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文本框 8" o:spid="_x0000_s1026" o:spt="202" type="#_x0000_t202" style="position:absolute;left:0pt;margin-left:-83.1pt;margin-top:43.25pt;height:166.25pt;width:596.2pt;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">
            <v:path/>
            <v:fill on="f" focussize="0,0"/>
            <v:stroke on="f" weight="0.5pt" joinstyle="miter"/>
            <v:imagedata o:title=""/>
            <o:lock v:ext="edit"/>
            <v:textbox>
              <w:txbxContent>
                <w:p>
                  <w:pPr>
                    <w:widowControl/>
                    <w:spacing w:line="1200" w:lineRule="exact"/>
                    <w:jc w:val="center"/>
                    <w:rPr>
                      <w:rFonts w:ascii="宋体" w:hAnsi="宋体" w:cs="宋体"/>
                      <w:color w:val="FDEFBE"/>
                      <w:sz w:val="96"/>
                      <w:szCs w:val="96"/>
                    </w:rPr>
                  </w:pPr>
                  <w:r>
                    <w:rPr>
                      <w:rFonts w:hint="eastAsia" w:ascii="宋体" w:hAnsi="宋体" w:cs="宋体"/>
                      <w:color w:val="FDEFBE"/>
                      <w:sz w:val="96"/>
                      <w:szCs w:val="96"/>
                    </w:rPr>
                    <w:t>青龙满族自治县统计局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 xml:space="preserve">      </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二〇一九年十月</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  部门决算情况说明</w:t>
      </w:r>
      <w:r>
        <w:rPr>
          <w:sz w:val="44"/>
        </w:rPr>
        <w:pict>
          <v:group id="组合 176" o:spid="_x0000_s1030" o:spt="203" style="position:absolute;left:0pt;margin-left:-80.8pt;margin-top:38.95pt;height:46.7pt;width:222.8pt;mso-position-vertical-relative:page;z-index:25167257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">
            <o:lock v:ext="edit"/>
            <v:rect id="矩形 13" o:spid="_x0000_s1031"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q+cIA&#10;AADcAAAADwAAAGRycy9kb3ducmV2LnhtbERPTYvCMBC9L/gfwgje1lQPKtUoIigeBNeqiLehGdti&#10;MylNtNVfvxEW9jaP9zmzRWtK8aTaFZYVDPoRCOLU6oIzBafj+nsCwnlkjaVlUvAiB4t552uGsbYN&#10;H+iZ+EyEEHYxKsi9r2IpXZqTQde3FXHgbrY26AOsM6lrbEK4KeUwikbSYMGhIceKVjml9+RhFNzw&#10;/bMsNvS+ji77zaBJyvNuslaq122XUxCeWv8v/nNvdZg/HsPnmXC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ir5wgAAANwAAAAPAAAAAAAAAAAAAAAAAJgCAABkcnMvZG93&#10;bnJldi54bWxQSwUGAAAAAAQABAD1AAAAhwMAAAAA&#10;">
              <v:path/>
              <v:fill on="t" focussize="0,0"/>
              <v:stroke on="f" weight="2pt"/>
              <v:imagedata o:title=""/>
              <o:lock v:ext="edit"/>
            </v:rect>
            <v:rect id="矩形 14" o:spid="_x0000_s1032"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PMsYA&#10;AADcAAAADwAAAGRycy9kb3ducmV2LnhtbESPQWvCQBCF74L/YZmCN91UtErqJtiCoJeitlB6m2an&#10;SWh2NmTXGP9951DwNsN78943m3xwjeqpC7VnA4+zBBRx4W3NpYGP9910DSpEZIuNZzJwowB5Nh5t&#10;MLX+yifqz7FUEsIhRQNVjG2qdSgqchhmviUW7cd3DqOsXalth1cJd42eJ8mTdlizNFTY0mtFxe/5&#10;4gysl2Q/F98voS+O5Xy14MPb5fhlzORh2D6DijTEu/n/em8FfyW08oxMo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XPMsYAAADcAAAADwAAAAAAAAAAAAAAAACYAgAAZHJz&#10;L2Rvd25yZXYueG1sUEsFBgAAAAAEAAQA9QAAAIsDAAAAAA==&#10;">
              <v:path/>
              <v:fill on="t" focussize="0,0"/>
              <v:stroke weight="2pt" color="#845209"/>
              <v:imagedata o:title=""/>
              <o:lock v:ext="edit"/>
              <v:textbox>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文本框 118" o:spid="_x0000_s1033" o:spt="202" type="#_x0000_t202" style="position:absolute;left:0pt;margin-left:-97.3pt;margin-top:259.1pt;height:81.7pt;width:613.65pt;z-index:2516705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组合 15" o:spid="_x0000_s1034" o:spt="203" style="position:absolute;left:0pt;margin-left:-80.8pt;margin-top:39.5pt;height:46.7pt;width:245.25pt;mso-position-vertical-relative:page;z-index:25166233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">
            <o:lock v:ext="edit"/>
            <v:rect id="矩形 13" o:spid="_x0000_s1035"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QisMA&#10;AADbAAAADwAAAGRycy9kb3ducmV2LnhtbERPS2vCQBC+C/6HZYTezEYLEtKsIgXFQ6E2bSm9DdnJ&#10;g2ZnQ3Zr0vx6tyB4m4/vOdluNK24UO8aywpWUQyCuLC64UrBx/thmYBwHllja5kU/JGD3XY+yzDV&#10;duA3uuS+EiGEXYoKau+7VEpX1GTQRbYjDlxpe4M+wL6SuschhJtWruN4Iw02HBpq7Oi5puIn/zUK&#10;SpzO++ZI0/fm6/W4GvL28yU5KPWwGPdPIDyN/i6+uU86zH+E/1/CA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QisMAAADbAAAADwAAAAAAAAAAAAAAAACYAgAAZHJzL2Rv&#10;d25yZXYueG1sUEsFBgAAAAAEAAQA9QAAAIgDAAAAAA==&#10;">
              <v:path/>
              <v:fill on="t" focussize="0,0"/>
              <v:stroke on="f" weight="2pt"/>
              <v:imagedata o:title=""/>
              <o:lock v:ext="edit"/>
            </v:rect>
            <v:rect id="矩形 14" o:spid="_x0000_s103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6cEA&#10;AADbAAAADwAAAGRycy9kb3ducmV2LnhtbERPS4vCMBC+C/sfwix403Slu0o1yioIehFfIN7GZmyL&#10;zaQ0sXb/vVkQvM3H95zJrDWlaKh2hWUFX/0IBHFqdcGZguNh2RuBcB5ZY2mZFPyRg9n0ozPBRNsH&#10;76jZ+0yEEHYJKsi9rxIpXZqTQde3FXHgrrY26AOsM6lrfIRwU8pBFP1IgwWHhhwrWuSU3vZ3o2D0&#10;TfoUX+auSbfZYBjzenPfnpXqfra/YxCeWv8Wv9wrHebH8P9LOE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KOnBAAAA2wAAAA8AAAAAAAAAAAAAAAAAmAIAAGRycy9kb3du&#10;cmV2LnhtbFBLBQYAAAAABAAEAPUAAACG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w:t>
                    </w:r>
                    <w:r>
                      <w:rPr>
                        <w:rFonts w:hint="eastAsia" w:ascii="宋体" w:hAnsi="宋体" w:cs="宋体"/>
                        <w:b/>
                        <w:bCs/>
                        <w:color w:val="FDEFBE"/>
                        <w:kern w:val="0"/>
                        <w:sz w:val="32"/>
                        <w:szCs w:val="32"/>
                      </w:rPr>
                      <w:t>8</w:t>
                    </w:r>
                    <w:r>
                      <w:rPr>
                        <w:rFonts w:hint="eastAsia" w:ascii="楷体" w:hAnsi="楷体" w:eastAsia="楷体" w:cs="楷体"/>
                        <w:b/>
                        <w:bCs/>
                        <w:color w:val="FDEFBE"/>
                        <w:kern w:val="0"/>
                        <w:sz w:val="32"/>
                        <w:szCs w:val="32"/>
                      </w:rPr>
                      <w:t>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spacing w:before="100" w:beforeAutospacing="1" w:after="100" w:afterAutospacing="1" w:line="240" w:lineRule="auto"/>
        <w:ind w:firstLine="641"/>
        <w:jc w:val="left"/>
        <w:rPr>
          <w:rFonts w:ascii="仿宋_GB2312"/>
          <w:szCs w:val="32"/>
        </w:rPr>
      </w:pPr>
      <w:r>
        <w:rPr>
          <w:rFonts w:hint="eastAsia" w:ascii="仿宋_GB2312"/>
          <w:szCs w:val="32"/>
        </w:rPr>
        <w:t>根据《青龙满族自治县统计局职能配置、内设机构和人员编制方案》规定，青龙满族自治县统计局的主要职责是：</w:t>
      </w:r>
    </w:p>
    <w:p>
      <w:pPr>
        <w:spacing w:before="100" w:beforeAutospacing="1" w:after="100" w:afterAutospacing="1" w:line="240" w:lineRule="auto"/>
        <w:ind w:firstLine="641"/>
        <w:rPr>
          <w:rFonts w:ascii="仿宋_GB2312"/>
          <w:szCs w:val="32"/>
        </w:rPr>
      </w:pPr>
      <w:r>
        <w:rPr>
          <w:rFonts w:hint="eastAsia" w:ascii="仿宋_GB2312"/>
          <w:szCs w:val="32"/>
        </w:rPr>
        <w:t>（</w:t>
      </w:r>
      <w:r>
        <w:rPr>
          <w:rFonts w:ascii="仿宋_GB2312"/>
          <w:szCs w:val="32"/>
        </w:rPr>
        <w:t>1</w:t>
      </w:r>
      <w:r>
        <w:rPr>
          <w:rFonts w:hint="eastAsia" w:ascii="仿宋_GB2312"/>
          <w:szCs w:val="32"/>
        </w:rPr>
        <w:t>）贯彻国家和省、市有关统计工作的法律、法规和规章，监督检查统计法律、法规的实施。</w:t>
      </w:r>
    </w:p>
    <w:p>
      <w:pPr>
        <w:spacing w:before="100" w:beforeAutospacing="1" w:after="100" w:afterAutospacing="1" w:line="240" w:lineRule="auto"/>
        <w:ind w:firstLine="641"/>
        <w:rPr>
          <w:rFonts w:ascii="仿宋_GB2312"/>
          <w:szCs w:val="32"/>
        </w:rPr>
      </w:pPr>
      <w:r>
        <w:rPr>
          <w:rFonts w:hint="eastAsia" w:ascii="仿宋_GB2312"/>
          <w:szCs w:val="32"/>
        </w:rPr>
        <w:t>（</w:t>
      </w:r>
      <w:r>
        <w:rPr>
          <w:rFonts w:ascii="仿宋_GB2312"/>
          <w:szCs w:val="32"/>
        </w:rPr>
        <w:t>2</w:t>
      </w:r>
      <w:r>
        <w:rPr>
          <w:rFonts w:hint="eastAsia" w:ascii="仿宋_GB2312"/>
          <w:szCs w:val="32"/>
        </w:rPr>
        <w:t>）执行国家指标解释，贯彻国家统计报表制度，完成国家、省和市布置的统计调查任务。</w:t>
      </w:r>
    </w:p>
    <w:p>
      <w:pPr>
        <w:spacing w:before="100" w:beforeAutospacing="1" w:after="100" w:afterAutospacing="1" w:line="240" w:lineRule="auto"/>
        <w:ind w:firstLine="641"/>
        <w:rPr>
          <w:rFonts w:ascii="仿宋_GB2312"/>
          <w:szCs w:val="32"/>
        </w:rPr>
      </w:pPr>
      <w:r>
        <w:rPr>
          <w:rFonts w:hint="eastAsia" w:ascii="仿宋_GB2312"/>
          <w:szCs w:val="32"/>
        </w:rPr>
        <w:t>（</w:t>
      </w:r>
      <w:r>
        <w:rPr>
          <w:rFonts w:ascii="仿宋_GB2312"/>
          <w:szCs w:val="32"/>
        </w:rPr>
        <w:t>3</w:t>
      </w:r>
      <w:r>
        <w:rPr>
          <w:rFonts w:hint="eastAsia" w:ascii="仿宋_GB2312"/>
          <w:szCs w:val="32"/>
        </w:rPr>
        <w:t>）组织实施全县国民经济核算，制定国民经济核算方案，编制国民经济基本核算表和国民经济循环帐户。</w:t>
      </w:r>
    </w:p>
    <w:p>
      <w:pPr>
        <w:spacing w:before="100" w:beforeAutospacing="1" w:after="100" w:afterAutospacing="1" w:line="240" w:lineRule="auto"/>
        <w:ind w:firstLine="641"/>
        <w:rPr>
          <w:rFonts w:ascii="仿宋_GB2312"/>
          <w:szCs w:val="32"/>
        </w:rPr>
      </w:pPr>
      <w:r>
        <w:rPr>
          <w:rFonts w:hint="eastAsia" w:ascii="仿宋_GB2312"/>
          <w:szCs w:val="32"/>
        </w:rPr>
        <w:t>（</w:t>
      </w:r>
      <w:r>
        <w:rPr>
          <w:rFonts w:ascii="仿宋_GB2312"/>
          <w:szCs w:val="32"/>
        </w:rPr>
        <w:t>4</w:t>
      </w:r>
      <w:r>
        <w:rPr>
          <w:rFonts w:hint="eastAsia" w:ascii="仿宋_GB2312"/>
          <w:szCs w:val="32"/>
        </w:rPr>
        <w:t>）会同有关部门组织开展重大的国情国力普查和大型调查。</w:t>
      </w:r>
    </w:p>
    <w:p>
      <w:pPr>
        <w:spacing w:before="100" w:beforeAutospacing="1" w:after="100" w:afterAutospacing="1" w:line="240" w:lineRule="auto"/>
        <w:ind w:firstLine="641"/>
        <w:rPr>
          <w:rFonts w:ascii="仿宋_GB2312"/>
          <w:szCs w:val="32"/>
        </w:rPr>
      </w:pPr>
      <w:r>
        <w:rPr>
          <w:rFonts w:hint="eastAsia" w:ascii="仿宋_GB2312"/>
          <w:szCs w:val="32"/>
        </w:rPr>
        <w:t>（</w:t>
      </w:r>
      <w:r>
        <w:rPr>
          <w:rFonts w:ascii="仿宋_GB2312"/>
          <w:szCs w:val="32"/>
        </w:rPr>
        <w:t>5</w:t>
      </w:r>
      <w:r>
        <w:rPr>
          <w:rFonts w:hint="eastAsia" w:ascii="仿宋_GB2312"/>
          <w:szCs w:val="32"/>
        </w:rPr>
        <w:t>）搜集、整理、提供全县性的基本统计资料，并对国民经济、社会发展和科技进步情况进行统计分析、统计预测和统计监督，向县委、县政府提供咨询建议。</w:t>
      </w:r>
    </w:p>
    <w:p>
      <w:pPr>
        <w:spacing w:before="100" w:beforeAutospacing="1" w:after="100" w:afterAutospacing="1" w:line="240" w:lineRule="auto"/>
        <w:ind w:firstLine="641"/>
        <w:rPr>
          <w:rFonts w:ascii="仿宋_GB2312"/>
          <w:szCs w:val="32"/>
        </w:rPr>
      </w:pPr>
      <w:r>
        <w:rPr>
          <w:rFonts w:hint="eastAsia" w:ascii="仿宋_GB2312"/>
          <w:szCs w:val="32"/>
        </w:rPr>
        <w:t>（</w:t>
      </w:r>
      <w:r>
        <w:rPr>
          <w:rFonts w:ascii="仿宋_GB2312"/>
          <w:szCs w:val="32"/>
        </w:rPr>
        <w:t>6</w:t>
      </w:r>
      <w:r>
        <w:rPr>
          <w:rFonts w:hint="eastAsia" w:ascii="仿宋_GB2312"/>
          <w:szCs w:val="32"/>
        </w:rPr>
        <w:t>）组织领导协调全县的统计工作，拟定全县统计工作发展规划和统计改革方案，审查各乡镇、各部门的统计调查计划及方案，管理各部门制发的统计调查表，负责制订全县统计方法制度。</w:t>
      </w:r>
    </w:p>
    <w:p>
      <w:pPr>
        <w:spacing w:before="100" w:beforeAutospacing="1" w:after="100" w:afterAutospacing="1" w:line="240" w:lineRule="auto"/>
        <w:ind w:firstLine="641"/>
        <w:rPr>
          <w:rFonts w:ascii="仿宋_GB2312"/>
          <w:szCs w:val="32"/>
        </w:rPr>
      </w:pPr>
      <w:r>
        <w:rPr>
          <w:rFonts w:hint="eastAsia" w:ascii="仿宋_GB2312"/>
          <w:szCs w:val="32"/>
        </w:rPr>
        <w:t>（</w:t>
      </w:r>
      <w:r>
        <w:rPr>
          <w:rFonts w:ascii="仿宋_GB2312"/>
          <w:szCs w:val="32"/>
        </w:rPr>
        <w:t>7</w:t>
      </w:r>
      <w:r>
        <w:rPr>
          <w:rFonts w:hint="eastAsia" w:ascii="仿宋_GB2312"/>
          <w:szCs w:val="32"/>
        </w:rPr>
        <w:t>）统一核定、管理、公布全县的基本统计资料，定期发布青龙县国民经济和社会发展情况的统计公报。</w:t>
      </w:r>
    </w:p>
    <w:p>
      <w:pPr>
        <w:spacing w:before="100" w:beforeAutospacing="1" w:after="100" w:afterAutospacing="1" w:line="240" w:lineRule="auto"/>
        <w:ind w:firstLine="641"/>
        <w:rPr>
          <w:rFonts w:ascii="仿宋_GB2312"/>
          <w:szCs w:val="32"/>
        </w:rPr>
      </w:pPr>
      <w:r>
        <w:rPr>
          <w:rFonts w:hint="eastAsia" w:ascii="仿宋_GB2312"/>
          <w:szCs w:val="32"/>
        </w:rPr>
        <w:t>（</w:t>
      </w:r>
      <w:r>
        <w:rPr>
          <w:rFonts w:ascii="仿宋_GB2312"/>
          <w:szCs w:val="32"/>
        </w:rPr>
        <w:t>8</w:t>
      </w:r>
      <w:r>
        <w:rPr>
          <w:rFonts w:hint="eastAsia" w:ascii="仿宋_GB2312"/>
          <w:szCs w:val="32"/>
        </w:rPr>
        <w:t>）制定全县统计现代化发展规划，建立健全全县统计信息自动化系统和统计数据库系统，组织协调和统一管理各乡镇、各部门的统计计算机网络。</w:t>
      </w:r>
    </w:p>
    <w:p>
      <w:pPr>
        <w:spacing w:before="100" w:beforeAutospacing="1" w:after="100" w:afterAutospacing="1" w:line="240" w:lineRule="auto"/>
        <w:ind w:firstLine="641"/>
        <w:rPr>
          <w:rFonts w:ascii="仿宋_GB2312"/>
          <w:szCs w:val="32"/>
        </w:rPr>
      </w:pPr>
      <w:r>
        <w:rPr>
          <w:rFonts w:hint="eastAsia" w:ascii="仿宋_GB2312"/>
          <w:szCs w:val="32"/>
        </w:rPr>
        <w:t>（</w:t>
      </w:r>
      <w:r>
        <w:rPr>
          <w:rFonts w:ascii="仿宋_GB2312"/>
          <w:szCs w:val="32"/>
        </w:rPr>
        <w:t>9</w:t>
      </w:r>
      <w:r>
        <w:rPr>
          <w:rFonts w:hint="eastAsia" w:ascii="仿宋_GB2312"/>
          <w:szCs w:val="32"/>
        </w:rPr>
        <w:t>）开展地区间的统计科学和统计信息交流，接受用户的委托，承担统计调查和统计信息服务工作。</w:t>
      </w:r>
    </w:p>
    <w:p>
      <w:pPr>
        <w:spacing w:before="100" w:beforeAutospacing="1" w:after="100" w:afterAutospacing="1" w:line="240" w:lineRule="auto"/>
        <w:ind w:firstLine="641"/>
        <w:rPr>
          <w:rFonts w:ascii="仿宋_GB2312"/>
          <w:szCs w:val="32"/>
        </w:rPr>
      </w:pPr>
      <w:r>
        <w:rPr>
          <w:rFonts w:hint="eastAsia" w:ascii="仿宋_GB2312"/>
          <w:szCs w:val="32"/>
        </w:rPr>
        <w:t>（</w:t>
      </w:r>
      <w:r>
        <w:rPr>
          <w:rFonts w:ascii="仿宋_GB2312"/>
          <w:szCs w:val="32"/>
        </w:rPr>
        <w:t>10</w:t>
      </w:r>
      <w:r>
        <w:rPr>
          <w:rFonts w:hint="eastAsia" w:ascii="仿宋_GB2312"/>
          <w:szCs w:val="32"/>
        </w:rPr>
        <w:t>）规划和协调全县统计信息咨询服务行业，积极培育和发展信息咨询服务市场。</w:t>
      </w:r>
    </w:p>
    <w:p>
      <w:pPr>
        <w:spacing w:before="100" w:beforeAutospacing="1" w:after="100" w:afterAutospacing="1" w:line="240" w:lineRule="auto"/>
        <w:ind w:firstLine="641"/>
        <w:rPr>
          <w:rFonts w:ascii="仿宋_GB2312"/>
          <w:szCs w:val="32"/>
        </w:rPr>
      </w:pPr>
      <w:r>
        <w:rPr>
          <w:rFonts w:hint="eastAsia" w:ascii="仿宋_GB2312"/>
          <w:szCs w:val="32"/>
        </w:rPr>
        <w:t>（</w:t>
      </w:r>
      <w:r>
        <w:rPr>
          <w:rFonts w:ascii="仿宋_GB2312"/>
          <w:szCs w:val="32"/>
        </w:rPr>
        <w:t>11</w:t>
      </w:r>
      <w:r>
        <w:rPr>
          <w:rFonts w:hint="eastAsia" w:ascii="仿宋_GB2312"/>
          <w:szCs w:val="32"/>
        </w:rPr>
        <w:t>）组织指导全县各部门、各单位统计基础工作的规范化建设和统计科学研究工作；组织指导全县的统计教育、统计干部培训、统计干部专业技术职务评聘及资格考试工作。</w:t>
      </w:r>
    </w:p>
    <w:p>
      <w:pPr>
        <w:spacing w:before="100" w:beforeAutospacing="1" w:after="100" w:afterAutospacing="1" w:line="240" w:lineRule="auto"/>
        <w:ind w:firstLine="641"/>
        <w:rPr>
          <w:rFonts w:ascii="仿宋_GB2312"/>
          <w:szCs w:val="32"/>
        </w:rPr>
      </w:pPr>
      <w:r>
        <w:rPr>
          <w:rFonts w:hint="eastAsia" w:ascii="仿宋_GB2312"/>
          <w:szCs w:val="32"/>
        </w:rPr>
        <w:t>（</w:t>
      </w:r>
      <w:r>
        <w:rPr>
          <w:rFonts w:ascii="仿宋_GB2312"/>
          <w:szCs w:val="32"/>
        </w:rPr>
        <w:t>12</w:t>
      </w:r>
      <w:r>
        <w:rPr>
          <w:rFonts w:hint="eastAsia" w:ascii="仿宋_GB2312"/>
          <w:szCs w:val="32"/>
        </w:rPr>
        <w:t>）管理青龙县城市和农村社会经济调查队及普查中心。</w:t>
      </w:r>
    </w:p>
    <w:p>
      <w:pPr>
        <w:spacing w:before="100" w:beforeAutospacing="1" w:after="100" w:afterAutospacing="1" w:line="240" w:lineRule="auto"/>
        <w:ind w:firstLine="641"/>
        <w:rPr>
          <w:rFonts w:ascii="仿宋_GB2312"/>
          <w:szCs w:val="32"/>
        </w:rPr>
      </w:pPr>
      <w:r>
        <w:rPr>
          <w:rFonts w:hint="eastAsia" w:ascii="仿宋_GB2312"/>
          <w:szCs w:val="32"/>
        </w:rPr>
        <w:t>（</w:t>
      </w:r>
      <w:r>
        <w:rPr>
          <w:rFonts w:ascii="仿宋_GB2312"/>
          <w:szCs w:val="32"/>
        </w:rPr>
        <w:t>13</w:t>
      </w:r>
      <w:r>
        <w:rPr>
          <w:rFonts w:hint="eastAsia" w:ascii="仿宋_GB2312"/>
          <w:szCs w:val="32"/>
        </w:rPr>
        <w:t>）承办县政府和上级主管部门交办的其它事项。</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 w:hAnsi="仿宋" w:eastAsia="仿宋" w:cs="ArialUnicodeMS"/>
          <w:kern w:val="0"/>
          <w:sz w:val="32"/>
          <w:szCs w:val="32"/>
        </w:rPr>
        <w:t>从决算编报单位构成看，纳入2018 年度本部门决算汇编范围的独立核算单位（以下简称“单位”）共 1个，无下属独立核算单位，具体情况如下：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青龙满族自治县统计局</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文本框 17" o:spid="_x0000_s1037" o:spt="202" type="#_x0000_t202" style="position:absolute;left:0pt;margin-left:-74.2pt;margin-top:120.3pt;height:159.1pt;width:596.2pt;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pPr>
        <w:autoSpaceDE w:val="0"/>
        <w:autoSpaceDN w:val="0"/>
        <w:adjustRightInd w:val="0"/>
        <w:spacing w:after="0" w:line="240" w:lineRule="auto"/>
        <w:jc w:val="left"/>
        <w:rPr>
          <w:rFonts w:ascii="仿宋" w:hAnsi="仿宋" w:eastAsia="仿宋" w:cs="仿宋_GB2312"/>
          <w:color w:val="000000"/>
          <w:kern w:val="0"/>
          <w:sz w:val="32"/>
          <w:szCs w:val="32"/>
        </w:rPr>
      </w:pPr>
      <w:r>
        <w:rPr>
          <w:rFonts w:hint="eastAsia" w:ascii="仿宋" w:hAnsi="仿宋" w:eastAsia="仿宋" w:cs="宋体"/>
          <w:color w:val="000000"/>
          <w:kern w:val="0"/>
          <w:sz w:val="32"/>
          <w:szCs w:val="32"/>
        </w:rPr>
        <w:t>详见附件</w:t>
      </w:r>
      <w:r>
        <w:rPr>
          <w:rFonts w:hint="eastAsia" w:ascii="仿宋" w:hAnsi="仿宋" w:eastAsia="仿宋" w:cs="___WRD_EMBED_SUB_39"/>
          <w:color w:val="000000"/>
          <w:kern w:val="0"/>
          <w:sz w:val="32"/>
          <w:szCs w:val="32"/>
        </w:rPr>
        <w:t>：</w:t>
      </w:r>
      <w:r>
        <w:rPr>
          <w:rFonts w:hint="eastAsia" w:ascii="仿宋" w:hAnsi="仿宋" w:eastAsia="仿宋" w:cs="宋体"/>
          <w:color w:val="000000"/>
          <w:kern w:val="0"/>
          <w:sz w:val="32"/>
          <w:szCs w:val="32"/>
        </w:rPr>
        <w:t>青龙满族自治县</w:t>
      </w:r>
      <w:r>
        <w:rPr>
          <w:rFonts w:hint="eastAsia" w:ascii="仿宋_GB2312" w:hAnsi="仿宋" w:eastAsia="仿宋_GB2312" w:cs="宋体"/>
          <w:color w:val="000000"/>
          <w:kern w:val="0"/>
          <w:sz w:val="32"/>
          <w:szCs w:val="32"/>
        </w:rPr>
        <w:t>统计局</w:t>
      </w:r>
      <w:r>
        <w:rPr>
          <w:rFonts w:ascii="仿宋" w:hAnsi="仿宋" w:eastAsia="仿宋" w:cs="宋体"/>
          <w:color w:val="000000"/>
          <w:kern w:val="0"/>
          <w:sz w:val="32"/>
          <w:szCs w:val="32"/>
        </w:rPr>
        <w:t>2018</w:t>
      </w:r>
      <w:r>
        <w:rPr>
          <w:rFonts w:hint="eastAsia" w:ascii="仿宋" w:hAnsi="仿宋" w:eastAsia="仿宋" w:cs="仿宋_GB2312"/>
          <w:color w:val="000000"/>
          <w:kern w:val="0"/>
          <w:sz w:val="32"/>
          <w:szCs w:val="32"/>
        </w:rPr>
        <w:t>年度部门决算公开报表（</w:t>
      </w:r>
      <w:r>
        <w:rPr>
          <w:rFonts w:ascii="仿宋" w:hAnsi="仿宋" w:eastAsia="仿宋" w:cs="仿宋_GB2312"/>
          <w:color w:val="000000"/>
          <w:kern w:val="0"/>
          <w:sz w:val="32"/>
          <w:szCs w:val="32"/>
        </w:rPr>
        <w:t xml:space="preserve">10 </w:t>
      </w:r>
      <w:r>
        <w:rPr>
          <w:rFonts w:hint="eastAsia" w:ascii="仿宋" w:hAnsi="仿宋" w:eastAsia="仿宋" w:cs="宋体"/>
          <w:color w:val="000000"/>
          <w:kern w:val="0"/>
          <w:sz w:val="32"/>
          <w:szCs w:val="32"/>
        </w:rPr>
        <w:t>张</w:t>
      </w:r>
      <w:r>
        <w:rPr>
          <w:rFonts w:hint="eastAsia" w:ascii="仿宋" w:hAnsi="仿宋" w:eastAsia="仿宋" w:cs="___WRD_EMBED_SUB_39"/>
          <w:color w:val="000000"/>
          <w:kern w:val="0"/>
          <w:sz w:val="32"/>
          <w:szCs w:val="32"/>
        </w:rPr>
        <w:t>）</w:t>
      </w:r>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文本框 5" o:spid="_x0000_s1068" o:spt="202" type="#_x0000_t202" style="position:absolute;left:0pt;margin-left:-78.7pt;margin-top:232.8pt;height:159.1pt;width:596.2pt;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组合 18" o:spid="_x0000_s1069" o:spt="203" style="position:absolute;left:0pt;margin-left:-0.55pt;margin-top:29.3pt;height:43.95pt;width:301.85pt;mso-position-horizontal-relative:page;mso-position-vertical-relative:page;z-index:251680768;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">
            <o:lock v:ext="edit"/>
            <v:rect id="矩形 13" o:spid="_x0000_s1070"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nYMMA&#10;AADbAAAADwAAAGRycy9kb3ducmV2LnhtbERPS2vCQBC+F/oflin01mziQWyaVUJB8SC0jYr0NmQn&#10;D5qdDdnVpP76riD0Nh/fc7LVZDpxocG1lhUkUQyCuLS65VrBYb9+WYBwHlljZ5kU/JKD1fLxIcNU&#10;25G/6FL4WoQQdikqaLzvUyld2ZBBF9meOHCVHQz6AIda6gHHEG46OYvjuTTYcmhosKf3hsqf4mwU&#10;VHj9zNsNXb/np49NMhbdcbdYK/X8NOVvIDxN/l98d291mP8Kt1/C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2nYMMAAADbAAAADwAAAAAAAAAAAAAAAACYAgAAZHJzL2Rv&#10;d25yZXYueG1sUEsFBgAAAAAEAAQA9QAAAIgDAAAAAA==&#10;">
              <v:path/>
              <v:fill on="t" focussize="0,0"/>
              <v:stroke on="f" weight="2pt"/>
              <v:imagedata o:title=""/>
              <o:lock v:ext="edit"/>
            </v:rect>
            <v:rect id="矩形 14" o:spid="_x0000_s1071"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kV8AA&#10;AADbAAAADwAAAGRycy9kb3ducmV2LnhtbERPy4rCMBTdC/5DuIK7MbU4o1Sj6MCAsxFfIO6uzbUt&#10;NjelibX+vVkILg/nPVu0phQN1a6wrGA4iEAQp1YXnCk4Hv6+JiCcR9ZYWiYFT3KwmHc7M0y0ffCO&#10;mr3PRAhhl6CC3PsqkdKlORl0A1sRB+5qa4M+wDqTusZHCDeljKPoRxosODTkWNFvTultfzcKJt+k&#10;T6PLyjXpNovHI/7f3Ldnpfq9djkF4an1H/HbvdYK4rA+fA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jkV8AAAADbAAAADwAAAAAAAAAAAAAAAACYAgAAZHJzL2Rvd25y&#10;ZXYueG1sUEsFBgAAAAAEAAQA9QAAAIUDAAAAAA==&#10;">
              <v:path/>
              <v:fill on="t" focussize="0,0"/>
              <v:stroke weight="2pt" color="#845209"/>
              <v:imagedata o:title=""/>
              <o:lock v:ext="edit"/>
              <v:textbox style="mso-next-textbox:#矩形 14;">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w:t>
                    </w:r>
                    <w:r>
                      <w:rPr>
                        <w:rFonts w:hint="eastAsia" w:ascii="宋体" w:hAnsi="宋体" w:cs="宋体"/>
                        <w:b/>
                        <w:bCs/>
                        <w:color w:val="FDEFBE"/>
                        <w:kern w:val="0"/>
                        <w:sz w:val="32"/>
                        <w:szCs w:val="32"/>
                      </w:rPr>
                      <w:t>8</w:t>
                    </w:r>
                    <w:r>
                      <w:rPr>
                        <w:rFonts w:hint="eastAsia" w:ascii="楷体" w:hAnsi="楷体" w:eastAsia="楷体" w:cs="楷体"/>
                        <w:b/>
                        <w:bCs/>
                        <w:color w:val="FDEFBE"/>
                        <w:kern w:val="0"/>
                        <w:sz w:val="32"/>
                        <w:szCs w:val="32"/>
                      </w:rPr>
                      <w:t>年度部门决算☞部门决算情况说明</w:t>
                    </w:r>
                  </w:p>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w:t>
                    </w:r>
                    <w:r>
                      <w:rPr>
                        <w:rFonts w:hint="eastAsia" w:ascii="宋体" w:hAnsi="宋体" w:cs="宋体"/>
                        <w:b/>
                        <w:bCs/>
                        <w:color w:val="FDEFBE"/>
                        <w:kern w:val="0"/>
                        <w:sz w:val="32"/>
                        <w:szCs w:val="32"/>
                      </w:rPr>
                      <w:t>8</w:t>
                    </w:r>
                    <w:r>
                      <w:rPr>
                        <w:rFonts w:hint="eastAsia" w:ascii="楷体" w:hAnsi="楷体" w:eastAsia="楷体" w:cs="楷体"/>
                        <w:b/>
                        <w:bCs/>
                        <w:color w:val="FDEFBE"/>
                        <w:kern w:val="0"/>
                        <w:sz w:val="32"/>
                        <w:szCs w:val="32"/>
                      </w:rPr>
                      <w:t>年度部门决算☞目 录</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入总计（含结转和结余）257.69万元。与2017年度决算相比，收入增加40.45万元，增长18.6%，主要原因是本年度为第四次全国经济普查年度，各项支出预算增加。本部门2018年度支出总计（含结转和结余）257.69万元。与2017年度决算相比，支出减少35.62万元，下降16.7%，主要原因是第四次全国经济普查各项普查员补贴未下拨。</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widowControl/>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本部门2018年度本年收入合计245.53万元，其中：财政拨款收入236.2万元，占总收入96.2%；</w:t>
      </w:r>
      <w:bookmarkStart w:id="0" w:name="OLE_LINK32"/>
      <w:bookmarkStart w:id="1" w:name="OLE_LINK33"/>
      <w:r>
        <w:rPr>
          <w:rFonts w:hint="eastAsia" w:ascii="仿宋_GB2312" w:eastAsia="仿宋_GB2312" w:cs="DengXian-Regular"/>
          <w:sz w:val="32"/>
          <w:szCs w:val="32"/>
        </w:rPr>
        <w:t>事业收入</w:t>
      </w:r>
      <w:bookmarkEnd w:id="0"/>
      <w:bookmarkEnd w:id="1"/>
      <w:r>
        <w:rPr>
          <w:rFonts w:hint="eastAsia" w:ascii="仿宋_GB2312" w:eastAsia="仿宋_GB2312" w:cs="DengXian-Regular"/>
          <w:sz w:val="32"/>
          <w:szCs w:val="32"/>
        </w:rPr>
        <w:t>无；上级补助收入无；经营收入无；其它收入9.3万元，占总收入3.8%。</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本部门2018年度本年支出合计178.18万元，其中：基本支出176.13万元，占98.9%；项目支出2.05万元，占1.1%；经营支出无。</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236.2万元,比2017年度增加18.96万元，增长8.7%，主要原因是本年度为第四次全国经济普查年度，各项支出预算增加；本年支出178.18万元，减少35.62万元，降低16.7%，主要原因是第四次全国经济普查各项普查员补贴未下拨。</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236.2万元，完成年初预算的97.8%,比年初预算减少5.25万元，决算数小于预算数主要原因是财政调减预算；本年支出178.18万元，完成年初预算的73.8%,比年初预算减少63.27万元，决算数小</w:t>
      </w:r>
      <w:r>
        <w:rPr>
          <w:sz w:val="44"/>
        </w:rPr>
        <w:pict>
          <v:group id="组合 76" o:spid="_x0000_s1090" o:spt="203" style="position:absolute;left:0pt;margin-left:-0.55pt;margin-top:29.3pt;height:43.95pt;width:301.85pt;mso-position-horizontal-relative:page;mso-position-vertical-relative:page;z-index:251673600;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">
            <o:lock v:ext="edit"/>
            <v:rect id="矩形 13" o:spid="_x0000_s1091"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zKcYA&#10;AADbAAAADwAAAGRycy9kb3ducmV2LnhtbESPQWvCQBSE70L/w/IKvZlNejCSukooKD0UamNL8fbI&#10;PpNg9m3Ibk2aX+8WBI/DzHzDrDajacWFetdYVpBEMQji0uqGKwVfh+18CcJ5ZI2tZVLwRw4264fZ&#10;CjNtB/6kS+ErESDsMlRQe99lUrqyJoMush1x8E62N+iD7CupexwC3LTyOY4X0mDDYaHGjl5rKs/F&#10;r1FwwmmfNzuajoufj10yFO33+3Kr1NPjmL+A8DT6e/jWftMK0hT+v4Qf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FzKcYAAADbAAAADwAAAAAAAAAAAAAAAACYAgAAZHJz&#10;L2Rvd25yZXYueG1sUEsFBgAAAAAEAAQA9QAAAIsDAAAAAA==&#10;">
              <v:path/>
              <v:fill on="t" focussize="0,0"/>
              <v:stroke on="f" weight="2pt"/>
              <v:imagedata o:title=""/>
              <o:lock v:ext="edit"/>
            </v:rect>
            <v:rect id="矩形 14" o:spid="_x0000_s1092"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HTMEA&#10;AADbAAAADwAAAGRycy9kb3ducmV2LnhtbERPy2rCQBTdF/yH4Rbc1UlFjURHUUFoNyXagri7Zm6T&#10;0MydkJk8/PvOQnB5OO/1djCV6KhxpWUF75MIBHFmdcm5gp/v49sShPPIGivLpOBODrab0csaE217&#10;PlF39rkIIewSVFB4XydSuqwgg25ia+LA/drGoA+wyaVusA/hppLTKFpIgyWHhgJrOhSU/Z1bo2A5&#10;J32Z3fauy9J8Gs/486tNr0qNX4fdCoSnwT/FD/eHVhCHseFL+A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9x0zBAAAA2wAAAA8AAAAAAAAAAAAAAAAAmAIAAGRycy9kb3du&#10;cmV2LnhtbFBLBQYAAAAABAAEAPUAAACG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于预算数主要原因是第四次全国经济普查各项普查员补贴未下拨。</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年度财政拨款支出178.18万元，主要用于以下方面：一般公共服务（类）支出147.88万元，占83%；社会保障和就业（类）支出 21.15万元，占11.9%；医疗卫生与计划生育（类）支出9.15万元，占5.1%。</w:t>
      </w:r>
    </w:p>
    <w:p>
      <w:pPr>
        <w:adjustRightInd w:val="0"/>
        <w:snapToGrid w:val="0"/>
        <w:spacing w:after="0" w:line="580" w:lineRule="exact"/>
        <w:ind w:left="420" w:leftChars="200"/>
        <w:rPr>
          <w:rFonts w:ascii="楷体_GB2312" w:eastAsia="楷体_GB2312" w:cs="DengXian-Bold"/>
          <w:b/>
          <w:bCs/>
          <w:sz w:val="32"/>
          <w:szCs w:val="32"/>
        </w:rPr>
      </w:pPr>
      <w:r>
        <w:rPr>
          <w:sz w:val="44"/>
        </w:rPr>
        <w:pict>
          <v:group id="组合 79" o:spid="_x0000_s1096" o:spt="203" style="position:absolute;left:0pt;margin-left:-0.55pt;margin-top:29.3pt;height:43.95pt;width:301.85pt;mso-position-horizontal-relative:page;mso-position-vertical-relative:page;z-index:25167462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">
            <o:lock v:ext="edit"/>
            <v:rect id="矩形 13" o:spid="_x0000_s1097"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besIA&#10;AADbAAAADwAAAGRycy9kb3ducmV2LnhtbERPTWvCQBC9F/oflhF6q5v0EELqKiJEehDU2FK8Ddkx&#10;CWZnQ3Zr0vx69yB4fLzvxWo0rbhR7xrLCuJ5BIK4tLrhSsH3KX9PQTiPrLG1TAr+ycFq+fqywEzb&#10;gY90K3wlQgi7DBXU3neZlK6syaCb2444cBfbG/QB9pXUPQ4h3LTyI4oSabDh0FBjR5uaymvxZxRc&#10;cDqsmy1N5+R3v42Hov3ZpblSb7Nx/QnC0+if4of7SytIw/rwJfw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Zt6wgAAANsAAAAPAAAAAAAAAAAAAAAAAJgCAABkcnMvZG93&#10;bnJldi54bWxQSwUGAAAAAAQABAD1AAAAhwMAAAAA&#10;">
              <v:path/>
              <v:fill on="t" focussize="0,0"/>
              <v:stroke on="f" weight="2pt"/>
              <v:imagedata o:title=""/>
              <o:lock v:ext="edit"/>
            </v:rect>
            <v:rect id="矩形 14" o:spid="_x0000_s1098"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e9sQA&#10;AADbAAAADwAAAGRycy9kb3ducmV2LnhtbESPT2vCQBTE74LfYXmF3pqNojZEV7GFQnspmhaKt2f2&#10;mYRm34bs5o/fvisUPA4zvxlmsxtNLXpqXWVZwSyKQRDnVldcKPj+entKQDiPrLG2TAqu5GC3nU42&#10;mGo78JH6zBcilLBLUUHpfZNK6fKSDLrINsTBu9jWoA+yLaRucQjlppbzOF5JgxWHhRIbei0p/806&#10;oyBZkv5ZnF9cnx+K+fOCPz67w0mpx4dxvwbhafT38D/9rgM3g9u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HvbEAAAA2wAAAA8AAAAAAAAAAAAAAAAAmAIAAGRycy9k&#10;b3ducmV2LnhtbFBLBQYAAAAABAAEAPUAAACJ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154.52万元，其中：人员经费154.52万元，主要包括基本工资74.34万元、津贴补贴42.17万元、奖金6.2万元、机关事业单位基本养老保险缴费21.15万元、职工基本医疗保险缴费8.47万元、其他社会保障缴费1.2万元、生活补助0.99万元；公用经费 12.28万元，主要包括培训费1.42万元、公务接待费2.06万元、公务用车运行维护费4.78万元、办公设备购置4.03万元。</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本部门2018年度“三公”经费支出共计6.84万元，较年初预算减少1.06万元，降低13.4%，主要是认真贯彻落实中央</w:t>
      </w:r>
      <w:bookmarkStart w:id="2" w:name="_GoBack"/>
      <w:r>
        <w:rPr>
          <w:rFonts w:hint="eastAsia" w:ascii="仿宋_GB2312" w:eastAsia="仿宋_GB2312" w:cs="DengXian-Regular"/>
          <w:sz w:val="32"/>
          <w:szCs w:val="32"/>
        </w:rPr>
        <w:t>八项规定</w:t>
      </w:r>
      <w:bookmarkEnd w:id="2"/>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w:t>
      </w:r>
      <w:r>
        <w:rPr>
          <w:sz w:val="44"/>
        </w:rPr>
        <w:pict>
          <v:group id="组合 82" o:spid="_x0000_s1102" o:spt="203" style="position:absolute;left:0pt;margin-left:-0.55pt;margin-top:29.3pt;height:43.95pt;width:301.85pt;mso-position-horizontal-relative:page;mso-position-vertical-relative:page;z-index:251675648;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">
            <o:lock v:ext="edit"/>
            <v:rect id="矩形 13" o:spid="_x0000_s1103"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FDcUA&#10;AADbAAAADwAAAGRycy9kb3ducmV2LnhtbESPQWvCQBSE7wX/w/IEb3WjQgjRVaRg8FBom1bE2yP7&#10;TEKzb0N2m6T59d1CocdhZr5hdofRNKKnztWWFayWEQjiwuqaSwUf76fHBITzyBoby6Tgmxwc9rOH&#10;HabaDvxGfe5LESDsUlRQed+mUrqiIoNuaVvi4N1tZ9AH2ZVSdzgEuGnkOopiabDmsFBhS08VFZ/5&#10;l1Fwx+n1WGc03eLrS7Ya8ubynJyUWszH4xaEp9H/h//aZ60g2cDvl/AD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wUNxQAAANsAAAAPAAAAAAAAAAAAAAAAAJgCAABkcnMv&#10;ZG93bnJldi54bWxQSwUGAAAAAAQABAD1AAAAigMAAAAA&#10;">
              <v:path/>
              <v:fill on="t" focussize="0,0"/>
              <v:stroke on="f" weight="2pt"/>
              <v:imagedata o:title=""/>
              <o:lock v:ext="edit"/>
            </v:rect>
            <v:rect id="矩形 14" o:spid="_x0000_s1104"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bsMA&#10;AADbAAAADwAAAGRycy9kb3ducmV2LnhtbESPT4vCMBTE78J+h/AWvGm60l2lGmUVBL2I/0C8PZtn&#10;W2xeShNr99ubBcHjMPObYSaz1pSiodoVlhV89SMQxKnVBWcKjodlbwTCeWSNpWVS8EcOZtOPzgQT&#10;bR+8o2bvMxFK2CWoIPe+SqR0aU4GXd9WxMG72tqgD7LOpK7xEcpNKQdR9CMNFhwWcqxokVN629+N&#10;gtE36VN8mbsm3WaDYczrzX17Vqr72f6OQXhq/Tv8olc6cDH8fw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9bsMAAADbAAAADwAAAAAAAAAAAAAAAACYAgAAZHJzL2Rv&#10;d25yZXYueG1sUEsFBgAAAAAEAAQA9QAAAI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w:t>
                    </w:r>
                    <w:r>
                      <w:rPr>
                        <w:rFonts w:hint="eastAsia" w:ascii="宋体" w:hAnsi="宋体" w:cs="宋体"/>
                        <w:b/>
                        <w:bCs/>
                        <w:color w:val="FDEFBE"/>
                        <w:kern w:val="0"/>
                        <w:sz w:val="32"/>
                        <w:szCs w:val="32"/>
                      </w:rPr>
                      <w:t>8</w:t>
                    </w:r>
                    <w:r>
                      <w:rPr>
                        <w:rFonts w:hint="eastAsia" w:ascii="楷体" w:hAnsi="楷体" w:eastAsia="楷体" w:cs="楷体"/>
                        <w:b/>
                        <w:bCs/>
                        <w:color w:val="FDEFBE"/>
                        <w:kern w:val="0"/>
                        <w:sz w:val="32"/>
                        <w:szCs w:val="32"/>
                      </w:rPr>
                      <w:t>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一）因公出国（境）费支出无。</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（二）公务用车购置及运行维护费支出4.78万元。</w:t>
      </w:r>
      <w:r>
        <w:rPr>
          <w:rFonts w:hint="eastAsia" w:ascii="仿宋_GB2312" w:eastAsia="仿宋_GB2312" w:cs="DengXian-Regular"/>
          <w:sz w:val="32"/>
          <w:szCs w:val="32"/>
        </w:rPr>
        <w:t>本部门2018年度公务用车购置及运行维护费较年初预算减少0.62万元，降低11.5%,主要是响应上级号召，缩减公务用车购置及运行维护费。</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本部门2018年度公务用车购置量0辆，未发生“公务用车购置”经费支出。公务用车购置费支出与年初预算持平。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本部门2018年度单位公务用车保有量1辆。公车运行维护费支出较年初预算减少0.62万元，降低11.48%,主要是响应上级号召，缩减公务用车购置及运行维护费。</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（三）公务接待费支出2.06万元。</w:t>
      </w:r>
      <w:r>
        <w:rPr>
          <w:sz w:val="44"/>
        </w:rPr>
        <w:pict>
          <v:group id="组合 85" o:spid="_x0000_s1105" o:spt="203" style="position:absolute;left:0pt;margin-left:-0.55pt;margin-top:29.3pt;height:43.95pt;width:301.85pt;mso-position-horizontal-relative:page;mso-position-vertical-relative:page;z-index:251676672;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">
            <o:lock v:ext="edit"/>
            <v:rect id="矩形 13" o:spid="_x0000_s110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mlcUA&#10;AADbAAAADwAAAGRycy9kb3ducmV2LnhtbESPQWuDQBSE74H+h+UVektWexCx2YQQUHootLEpIbeH&#10;+6IS9624W7X59dlCocdhZr5h1tvZdGKkwbWWFcSrCARxZXXLtYLjZ75MQTiPrLGzTAp+yMF287BY&#10;Y6btxAcaS1+LAGGXoYLG+z6T0lUNGXQr2xMH72IHgz7IoZZ6wCnATSefoyiRBlsOCw32tG+oupbf&#10;RsEFbx+7tqDbOTm9F/FUdl9vaa7U0+O8ewHhafb/4b/2q1aQJvD7Jfw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KaVxQAAANsAAAAPAAAAAAAAAAAAAAAAAJgCAABkcnMv&#10;ZG93bnJldi54bWxQSwUGAAAAAAQABAD1AAAAigMAAAAA&#10;">
              <v:path/>
              <v:fill on="t" focussize="0,0"/>
              <v:stroke on="f" weight="2pt"/>
              <v:imagedata o:title=""/>
              <o:lock v:ext="edit"/>
            </v:rect>
            <v:rect id="矩形 14" o:spid="_x0000_s1107"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jGcQA&#10;AADbAAAADwAAAGRycy9kb3ducmV2LnhtbESPQWvCQBSE7wX/w/KE3uqmkqpEV2kLhfYiNi0Ub8/s&#10;MwnNvg27mxj/vSsIHoeZb4ZZbQbTiJ6cry0reJ4kIIgLq2suFfz+fDwtQPiArLGxTArO5GGzHj2s&#10;MNP2xN/U56EUsYR9hgqqENpMSl9UZNBPbEscvaN1BkOUrpTa4SmWm0ZOk2QmDdYcFyps6b2i4j/v&#10;jILFC+m/9PDm+2JXTucpf2273V6px/HwugQRaAj38I3+1JGbw/VL/AF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3IxnEAAAA2wAAAA8AAAAAAAAAAAAAAAAAmAIAAGRycy9k&#10;b3ducmV2LnhtbFBLBQYAAAAABAAEAPUAAACJ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w:t>
                    </w:r>
                    <w:r>
                      <w:rPr>
                        <w:rFonts w:hint="eastAsia" w:ascii="宋体" w:hAnsi="宋体" w:cs="宋体"/>
                        <w:b/>
                        <w:bCs/>
                        <w:color w:val="FDEFBE"/>
                        <w:kern w:val="0"/>
                        <w:sz w:val="32"/>
                        <w:szCs w:val="32"/>
                      </w:rPr>
                      <w:t>8</w:t>
                    </w:r>
                    <w:r>
                      <w:rPr>
                        <w:rFonts w:hint="eastAsia" w:ascii="楷体" w:hAnsi="楷体" w:eastAsia="楷体" w:cs="楷体"/>
                        <w:b/>
                        <w:bCs/>
                        <w:color w:val="FDEFBE"/>
                        <w:kern w:val="0"/>
                        <w:sz w:val="32"/>
                        <w:szCs w:val="32"/>
                      </w:rPr>
                      <w:t>年度部门决算☞部门决算情况说明</w:t>
                    </w:r>
                  </w:p>
                  <w:p>
                    <w:pPr>
                      <w:jc w:val="center"/>
                    </w:pPr>
                  </w:p>
                </w:txbxContent>
              </v:textbox>
            </v:rect>
            <w10:anchorlock/>
          </v:group>
        </w:pict>
      </w:r>
      <w:r>
        <w:rPr>
          <w:rFonts w:hint="eastAsia" w:ascii="仿宋_GB2312" w:eastAsia="仿宋_GB2312" w:cs="DengXian-Regular"/>
          <w:sz w:val="32"/>
          <w:szCs w:val="32"/>
        </w:rPr>
        <w:t>本部门2018年度公务接待共42批次、489人次。公务接待费支出较年初预算减少0.44万元，降低17.6%,主要是响应上级号召，缩减公务接待费。</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坚持以数据质量为中心，认真组织实施各项统计调查，大力推进统计方法制度改革，不断提高统计数据的准确性、科学性、及时性和权威性，为实现全县经济持续、快速、健康发展多做贡献。</w:t>
      </w:r>
    </w:p>
    <w:p>
      <w:pPr>
        <w:spacing w:line="500" w:lineRule="exact"/>
        <w:ind w:firstLine="560"/>
        <w:rPr>
          <w:rFonts w:ascii="仿宋_GB2312" w:eastAsia="仿宋_GB2312" w:cs="DengXian-Regular"/>
          <w:sz w:val="32"/>
          <w:szCs w:val="32"/>
        </w:rPr>
      </w:pPr>
      <w:r>
        <w:rPr>
          <w:rFonts w:hint="eastAsia" w:ascii="仿宋_GB2312" w:eastAsia="仿宋_GB2312" w:cs="DengXian-Regular"/>
          <w:sz w:val="32"/>
          <w:szCs w:val="32"/>
        </w:rPr>
        <w:t>1、</w:t>
      </w:r>
      <w:r>
        <w:rPr>
          <w:rFonts w:ascii="仿宋_GB2312" w:eastAsia="仿宋_GB2312" w:cs="DengXian-Regular"/>
          <w:sz w:val="32"/>
          <w:szCs w:val="32"/>
        </w:rPr>
        <w:t>第四次全国经济普查</w:t>
      </w:r>
    </w:p>
    <w:p>
      <w:pPr>
        <w:spacing w:line="500" w:lineRule="exact"/>
        <w:ind w:firstLine="560"/>
        <w:rPr>
          <w:rFonts w:ascii="仿宋_GB2312" w:eastAsia="仿宋_GB2312" w:cs="DengXian-Regular"/>
          <w:sz w:val="32"/>
          <w:szCs w:val="32"/>
        </w:rPr>
      </w:pPr>
      <w:r>
        <w:rPr>
          <w:rFonts w:ascii="仿宋_GB2312" w:eastAsia="仿宋_GB2312" w:cs="DengXian-Regular"/>
          <w:sz w:val="32"/>
          <w:szCs w:val="32"/>
        </w:rPr>
        <w:t>对我县行政区域内从事第一、二、三产业的全部法人单位、产业活动单位和从事第二、三产业的个体经营户进行登记和调查。普查分为三个阶段，第一阶段为前期准备阶段，成立各级普查机构、确定所有普查小区、进行社会宣传动员、绘制小区地图、选聘两员、进行业务培训；第二阶段为清查摸底阶段，对所有普查区的单位数进行摸底；第三阶段为入户登记阶段，对确定在普查范围内的所有经营单位进行正式登记；第四阶段为数据处理阶段，对普查数据进行汇总、上报、发布。</w:t>
      </w:r>
    </w:p>
    <w:p>
      <w:pPr>
        <w:spacing w:line="500" w:lineRule="exact"/>
        <w:ind w:firstLine="560"/>
        <w:rPr>
          <w:rFonts w:ascii="仿宋_GB2312" w:eastAsia="仿宋_GB2312" w:cs="DengXian-Regular"/>
          <w:sz w:val="32"/>
          <w:szCs w:val="32"/>
        </w:rPr>
      </w:pPr>
      <w:r>
        <w:rPr>
          <w:rFonts w:ascii="仿宋_GB2312" w:eastAsia="仿宋_GB2312" w:cs="DengXian-Regular"/>
          <w:sz w:val="32"/>
          <w:szCs w:val="32"/>
        </w:rPr>
        <w:t>2、城乡一体化调查</w:t>
      </w:r>
    </w:p>
    <w:p>
      <w:pPr>
        <w:spacing w:line="500" w:lineRule="exact"/>
        <w:ind w:firstLine="560"/>
        <w:rPr>
          <w:rFonts w:ascii="仿宋_GB2312" w:eastAsia="仿宋_GB2312" w:cs="DengXian-Regular"/>
          <w:sz w:val="32"/>
          <w:szCs w:val="32"/>
        </w:rPr>
      </w:pPr>
      <w:r>
        <w:rPr>
          <w:rFonts w:ascii="仿宋_GB2312" w:eastAsia="仿宋_GB2312" w:cs="DengXian-Regular"/>
          <w:sz w:val="32"/>
          <w:szCs w:val="32"/>
        </w:rPr>
        <w:t>通过住户调查能够准确完整地反映全体居民收入、支出等情况，客观结合城乡之间、地区之间和不同群体之间的收入差距及其变化，是十分重要的民生统计。抽样调查点为11个点，抽样调查户为110户。开展好城乡住户调查工作，对于准确监测全面建成小康社会实现进程具有重要意义。</w:t>
      </w:r>
    </w:p>
    <w:p>
      <w:pPr>
        <w:spacing w:line="500" w:lineRule="exact"/>
        <w:ind w:firstLine="560"/>
        <w:rPr>
          <w:rFonts w:ascii="仿宋_GB2312" w:eastAsia="仿宋_GB2312" w:cs="DengXian-Regular"/>
          <w:sz w:val="32"/>
          <w:szCs w:val="32"/>
        </w:rPr>
      </w:pPr>
      <w:r>
        <w:rPr>
          <w:rFonts w:ascii="仿宋_GB2312" w:eastAsia="仿宋_GB2312" w:cs="DengXian-Regular"/>
          <w:sz w:val="32"/>
          <w:szCs w:val="32"/>
        </w:rPr>
        <w:t>3、粮食产量抽样调查、1%人口抽样调查等各项专项调查</w:t>
      </w:r>
    </w:p>
    <w:p>
      <w:pPr>
        <w:spacing w:line="500" w:lineRule="exact"/>
        <w:ind w:firstLine="560"/>
        <w:rPr>
          <w:rFonts w:ascii="仿宋_GB2312" w:eastAsia="仿宋_GB2312" w:cs="DengXian-Regular"/>
          <w:sz w:val="32"/>
          <w:szCs w:val="32"/>
        </w:rPr>
      </w:pPr>
      <w:r>
        <w:rPr>
          <w:rFonts w:ascii="仿宋_GB2312" w:eastAsia="仿宋_GB2312" w:cs="DengXian-Regular"/>
          <w:sz w:val="32"/>
          <w:szCs w:val="32"/>
        </w:rPr>
        <w:t>在不同阶段，按上级要求在全县开展粮食产量抽样调查、1%人口抽样调查等各项调查工作。</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（二）项目绩效自评结果。</w:t>
      </w:r>
    </w:p>
    <w:p>
      <w:pPr>
        <w:adjustRightInd w:val="0"/>
        <w:snapToGrid w:val="0"/>
        <w:spacing w:after="0" w:line="580" w:lineRule="exact"/>
        <w:ind w:firstLine="2400" w:firstLineChars="750"/>
        <w:rPr>
          <w:rFonts w:ascii="仿宋_GB2312" w:eastAsia="仿宋_GB2312" w:cs="DengXian-Regular"/>
          <w:sz w:val="32"/>
          <w:szCs w:val="32"/>
        </w:rPr>
      </w:pPr>
      <w:r>
        <w:rPr>
          <w:rFonts w:hint="eastAsia" w:ascii="仿宋_GB2312" w:eastAsia="仿宋_GB2312" w:cs="DengXian-Regular"/>
          <w:sz w:val="32"/>
          <w:szCs w:val="32"/>
        </w:rPr>
        <w:t>部门决算量化评价表</w:t>
      </w:r>
    </w:p>
    <w:tbl>
      <w:tblPr>
        <w:tblStyle w:val="12"/>
        <w:tblW w:w="12915" w:type="dxa"/>
        <w:tblInd w:w="93" w:type="dxa"/>
        <w:tblLayout w:type="autofit"/>
        <w:tblCellMar>
          <w:top w:w="0" w:type="dxa"/>
          <w:left w:w="108" w:type="dxa"/>
          <w:bottom w:w="0" w:type="dxa"/>
          <w:right w:w="108" w:type="dxa"/>
        </w:tblCellMar>
      </w:tblPr>
      <w:tblGrid>
        <w:gridCol w:w="10374"/>
        <w:gridCol w:w="546"/>
        <w:gridCol w:w="876"/>
        <w:gridCol w:w="656"/>
        <w:gridCol w:w="3080"/>
        <w:gridCol w:w="3057"/>
      </w:tblGrid>
      <w:tr>
        <w:tblPrEx>
          <w:tblCellMar>
            <w:top w:w="0" w:type="dxa"/>
            <w:left w:w="108" w:type="dxa"/>
            <w:bottom w:w="0" w:type="dxa"/>
            <w:right w:w="108" w:type="dxa"/>
          </w:tblCellMar>
        </w:tblPrEx>
        <w:trPr>
          <w:trHeight w:val="255" w:hRule="atLeast"/>
        </w:trPr>
        <w:tc>
          <w:tcPr>
            <w:tcW w:w="4700" w:type="dxa"/>
            <w:tcBorders>
              <w:top w:val="nil"/>
              <w:left w:val="nil"/>
              <w:bottom w:val="nil"/>
              <w:right w:val="nil"/>
            </w:tcBorders>
            <w:shd w:val="clear" w:color="auto" w:fill="auto"/>
            <w:noWrap/>
            <w:vAlign w:val="bottom"/>
          </w:tcPr>
          <w:tbl>
            <w:tblPr>
              <w:tblStyle w:val="12"/>
              <w:tblW w:w="10158" w:type="dxa"/>
              <w:tblInd w:w="0" w:type="dxa"/>
              <w:tblLayout w:type="autofit"/>
              <w:tblCellMar>
                <w:top w:w="0" w:type="dxa"/>
                <w:left w:w="108" w:type="dxa"/>
                <w:bottom w:w="0" w:type="dxa"/>
                <w:right w:w="108" w:type="dxa"/>
              </w:tblCellMar>
            </w:tblPr>
            <w:tblGrid>
              <w:gridCol w:w="436"/>
              <w:gridCol w:w="546"/>
              <w:gridCol w:w="656"/>
              <w:gridCol w:w="546"/>
              <w:gridCol w:w="998"/>
              <w:gridCol w:w="546"/>
              <w:gridCol w:w="876"/>
              <w:gridCol w:w="656"/>
              <w:gridCol w:w="2160"/>
              <w:gridCol w:w="2738"/>
            </w:tblGrid>
            <w:tr>
              <w:trPr>
                <w:trHeight w:val="255" w:hRule="atLeast"/>
              </w:trPr>
              <w:tc>
                <w:tcPr>
                  <w:tcW w:w="3728" w:type="dxa"/>
                  <w:gridSpan w:val="6"/>
                  <w:tcBorders>
                    <w:top w:val="nil"/>
                    <w:left w:val="nil"/>
                    <w:bottom w:val="nil"/>
                    <w:right w:val="nil"/>
                  </w:tcBorders>
                  <w:shd w:val="clear" w:color="auto" w:fill="auto"/>
                  <w:noWrap/>
                  <w:vAlign w:val="bottom"/>
                </w:tcPr>
                <w:p>
                  <w:pPr>
                    <w:widowControl/>
                    <w:spacing w:after="0" w:line="240" w:lineRule="auto"/>
                    <w:jc w:val="left"/>
                    <w:rPr>
                      <w:rFonts w:ascii="宋体" w:hAnsi="宋体" w:cs="Arial"/>
                      <w:color w:val="000000"/>
                      <w:kern w:val="0"/>
                      <w:sz w:val="20"/>
                      <w:szCs w:val="20"/>
                    </w:rPr>
                  </w:pPr>
                  <w:r>
                    <w:rPr>
                      <w:rFonts w:hint="eastAsia" w:ascii="宋体" w:hAnsi="宋体" w:cs="Arial"/>
                      <w:color w:val="000000"/>
                      <w:kern w:val="0"/>
                      <w:sz w:val="20"/>
                      <w:szCs w:val="20"/>
                    </w:rPr>
                    <w:t>单位名称：青龙满族自治县统计局</w:t>
                  </w:r>
                </w:p>
              </w:tc>
              <w:tc>
                <w:tcPr>
                  <w:tcW w:w="876"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656"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2160"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2738"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r>
            <w:tr>
              <w:tblPrEx>
                <w:tblCellMar>
                  <w:top w:w="0" w:type="dxa"/>
                  <w:left w:w="108" w:type="dxa"/>
                  <w:bottom w:w="0" w:type="dxa"/>
                  <w:right w:w="108" w:type="dxa"/>
                </w:tblCellMar>
              </w:tblPrEx>
              <w:trPr>
                <w:trHeight w:val="447" w:hRule="atLeast"/>
              </w:trPr>
              <w:tc>
                <w:tcPr>
                  <w:tcW w:w="3728" w:type="dxa"/>
                  <w:gridSpan w:val="6"/>
                  <w:tcBorders>
                    <w:top w:val="single" w:color="000000" w:sz="4" w:space="0"/>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评价指标</w:t>
                  </w:r>
                </w:p>
              </w:tc>
              <w:tc>
                <w:tcPr>
                  <w:tcW w:w="876" w:type="dxa"/>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计算值</w:t>
                  </w:r>
                </w:p>
              </w:tc>
              <w:tc>
                <w:tcPr>
                  <w:tcW w:w="656" w:type="dxa"/>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得分</w:t>
                  </w:r>
                </w:p>
              </w:tc>
              <w:tc>
                <w:tcPr>
                  <w:tcW w:w="2160" w:type="dxa"/>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指标说明</w:t>
                  </w:r>
                </w:p>
              </w:tc>
              <w:tc>
                <w:tcPr>
                  <w:tcW w:w="2738" w:type="dxa"/>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评分标准</w:t>
                  </w:r>
                </w:p>
              </w:tc>
            </w:tr>
            <w:tr>
              <w:tblPrEx>
                <w:tblCellMar>
                  <w:top w:w="0" w:type="dxa"/>
                  <w:left w:w="108" w:type="dxa"/>
                  <w:bottom w:w="0" w:type="dxa"/>
                  <w:right w:w="108" w:type="dxa"/>
                </w:tblCellMar>
              </w:tblPrEx>
              <w:trPr>
                <w:trHeight w:val="447" w:hRule="atLeast"/>
              </w:trPr>
              <w:tc>
                <w:tcPr>
                  <w:tcW w:w="982" w:type="dxa"/>
                  <w:gridSpan w:val="2"/>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一级指标</w:t>
                  </w:r>
                </w:p>
              </w:tc>
              <w:tc>
                <w:tcPr>
                  <w:tcW w:w="1202" w:type="dxa"/>
                  <w:gridSpan w:val="2"/>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二级指标</w:t>
                  </w:r>
                </w:p>
              </w:tc>
              <w:tc>
                <w:tcPr>
                  <w:tcW w:w="1544" w:type="dxa"/>
                  <w:gridSpan w:val="2"/>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三级指标</w:t>
                  </w:r>
                </w:p>
              </w:tc>
              <w:tc>
                <w:tcPr>
                  <w:tcW w:w="876"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2160"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2738"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447" w:hRule="atLeast"/>
              </w:trPr>
              <w:tc>
                <w:tcPr>
                  <w:tcW w:w="436" w:type="dxa"/>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名称</w:t>
                  </w:r>
                </w:p>
              </w:tc>
              <w:tc>
                <w:tcPr>
                  <w:tcW w:w="546"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权重</w:t>
                  </w:r>
                </w:p>
              </w:tc>
              <w:tc>
                <w:tcPr>
                  <w:tcW w:w="65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名称</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权重</w:t>
                  </w: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名称</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权重</w:t>
                  </w:r>
                </w:p>
              </w:tc>
              <w:tc>
                <w:tcPr>
                  <w:tcW w:w="876"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2160"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2738"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720" w:hRule="atLeast"/>
              </w:trPr>
              <w:tc>
                <w:tcPr>
                  <w:tcW w:w="436" w:type="dxa"/>
                  <w:vMerge w:val="restart"/>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预算编制及执行情况</w:t>
                  </w:r>
                </w:p>
              </w:tc>
              <w:tc>
                <w:tcPr>
                  <w:tcW w:w="546"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80</w:t>
                  </w:r>
                </w:p>
              </w:tc>
              <w:tc>
                <w:tcPr>
                  <w:tcW w:w="656"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预算编制的准确完整性</w:t>
                  </w:r>
                </w:p>
              </w:tc>
              <w:tc>
                <w:tcPr>
                  <w:tcW w:w="546" w:type="dxa"/>
                  <w:vMerge w:val="restar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25</w:t>
                  </w: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财政拨款收入预决算差异率</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-2.17</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4.5</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财政拨款收入：（决算数－年初预算数）/年初预算数*100%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差异率＝0，得满分；差异率（绝对值）﹥0时，每增加5%（含）扣减0.5分，减至0分为止。</w:t>
                  </w:r>
                </w:p>
              </w:tc>
            </w:tr>
            <w:tr>
              <w:tblPrEx>
                <w:tblCellMar>
                  <w:top w:w="0" w:type="dxa"/>
                  <w:left w:w="108" w:type="dxa"/>
                  <w:bottom w:w="0" w:type="dxa"/>
                  <w:right w:w="108" w:type="dxa"/>
                </w:tblCellMar>
              </w:tblPrEx>
              <w:trPr>
                <w:trHeight w:val="720" w:hRule="atLeast"/>
              </w:trPr>
              <w:tc>
                <w:tcPr>
                  <w:tcW w:w="43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非财政拨款收入预决算差异率</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非财政拨款收入：（决算数－年初预算数）/年初预算数*100%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差异率＝0，得满分；差异率（绝对值）﹥0时，每增加5%（含）扣减0.5分，减至0分为止。</w:t>
                  </w:r>
                </w:p>
              </w:tc>
            </w:tr>
            <w:tr>
              <w:tblPrEx>
                <w:tblCellMar>
                  <w:top w:w="0" w:type="dxa"/>
                  <w:left w:w="108" w:type="dxa"/>
                  <w:bottom w:w="0" w:type="dxa"/>
                  <w:right w:w="108" w:type="dxa"/>
                </w:tblCellMar>
              </w:tblPrEx>
              <w:trPr>
                <w:trHeight w:val="720" w:hRule="atLeast"/>
              </w:trPr>
              <w:tc>
                <w:tcPr>
                  <w:tcW w:w="43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年初结转和结余预决算差异率</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年初结转和结余：（决算数－年初预算数）/年初预算数*100%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差异率＝0，得满分；差异率（绝对值）≤100时，扣1分，差异率（绝对值）﹥100时，每增加10%（含）扣减0.5分，减至0分为止。</w:t>
                  </w:r>
                </w:p>
              </w:tc>
            </w:tr>
            <w:tr>
              <w:tblPrEx>
                <w:tblCellMar>
                  <w:top w:w="0" w:type="dxa"/>
                  <w:left w:w="108" w:type="dxa"/>
                  <w:bottom w:w="0" w:type="dxa"/>
                  <w:right w:w="108" w:type="dxa"/>
                </w:tblCellMar>
              </w:tblPrEx>
              <w:trPr>
                <w:trHeight w:val="720" w:hRule="atLeast"/>
              </w:trPr>
              <w:tc>
                <w:tcPr>
                  <w:tcW w:w="43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人员经费预决算差异率</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3</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-5.97</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2.0</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人员经费：（决算数－年初预算数）/年初预算数*100%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差异率＝0，得满分；差异率（绝对值）﹥0时，每增加5%（含）扣减0.5分，减至0分为止。</w:t>
                  </w:r>
                </w:p>
              </w:tc>
            </w:tr>
            <w:tr>
              <w:tblPrEx>
                <w:tblCellMar>
                  <w:top w:w="0" w:type="dxa"/>
                  <w:left w:w="108" w:type="dxa"/>
                  <w:bottom w:w="0" w:type="dxa"/>
                  <w:right w:w="108" w:type="dxa"/>
                </w:tblCellMar>
              </w:tblPrEx>
              <w:trPr>
                <w:trHeight w:val="720" w:hRule="atLeast"/>
              </w:trPr>
              <w:tc>
                <w:tcPr>
                  <w:tcW w:w="43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公用经费预决算差异率</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2</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203.52</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公用经费：（决算数－年初预算数）/年初预算数*100%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差异率＝0，得满分；差异率（绝对值）﹥0时，每增加5%（含）扣减0.5分，减至0分为止。</w:t>
                  </w:r>
                </w:p>
              </w:tc>
            </w:tr>
            <w:tr>
              <w:tblPrEx>
                <w:tblCellMar>
                  <w:top w:w="0" w:type="dxa"/>
                  <w:left w:w="108" w:type="dxa"/>
                  <w:bottom w:w="0" w:type="dxa"/>
                  <w:right w:w="108" w:type="dxa"/>
                </w:tblCellMar>
              </w:tblPrEx>
              <w:trPr>
                <w:trHeight w:val="720" w:hRule="atLeast"/>
              </w:trPr>
              <w:tc>
                <w:tcPr>
                  <w:tcW w:w="43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预算执行的有效性</w:t>
                  </w:r>
                </w:p>
              </w:tc>
              <w:tc>
                <w:tcPr>
                  <w:tcW w:w="546" w:type="dxa"/>
                  <w:vMerge w:val="restar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45</w:t>
                  </w: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人员经费预算执行差异率</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-2.87</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9.5</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人员经费：（决算数－调整预算数）/调整预算数*100%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差异率＝0，得满分；差异率（绝对值）﹥0时，每增加5%（含）扣减0.5分，减至0分为止。</w:t>
                  </w:r>
                </w:p>
              </w:tc>
            </w:tr>
            <w:tr>
              <w:tblPrEx>
                <w:tblCellMar>
                  <w:top w:w="0" w:type="dxa"/>
                  <w:left w:w="108" w:type="dxa"/>
                  <w:bottom w:w="0" w:type="dxa"/>
                  <w:right w:w="108" w:type="dxa"/>
                </w:tblCellMar>
              </w:tblPrEx>
              <w:trPr>
                <w:trHeight w:val="720" w:hRule="atLeast"/>
              </w:trPr>
              <w:tc>
                <w:tcPr>
                  <w:tcW w:w="43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公用经费预算执行差异率</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12.07</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8.5</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公用经费：（决算数－调整预算数）/调整预算数*100%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差异率＝0，得满分；差异率（绝对值）﹥0时，每增加5%（含）扣减0.5分，减至0分为止。</w:t>
                  </w:r>
                </w:p>
              </w:tc>
            </w:tr>
            <w:tr>
              <w:tblPrEx>
                <w:tblCellMar>
                  <w:top w:w="0" w:type="dxa"/>
                  <w:left w:w="108" w:type="dxa"/>
                  <w:bottom w:w="0" w:type="dxa"/>
                  <w:right w:w="108" w:type="dxa"/>
                </w:tblCellMar>
              </w:tblPrEx>
              <w:trPr>
                <w:trHeight w:val="720" w:hRule="atLeast"/>
              </w:trPr>
              <w:tc>
                <w:tcPr>
                  <w:tcW w:w="43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财政拨款结转和结余率</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32.02</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6.5</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财政拨款结转和结余：（本年年末数/支出调整预算数总计）*100%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结转和结余率=0，得满分；结转和结余率（绝对值）﹥0时，每增加5%（含）扣减0.5分，减至0分为止。</w:t>
                  </w:r>
                </w:p>
              </w:tc>
            </w:tr>
            <w:tr>
              <w:tblPrEx>
                <w:tblCellMar>
                  <w:top w:w="0" w:type="dxa"/>
                  <w:left w:w="108" w:type="dxa"/>
                  <w:bottom w:w="0" w:type="dxa"/>
                  <w:right w:w="108" w:type="dxa"/>
                </w:tblCellMar>
              </w:tblPrEx>
              <w:trPr>
                <w:trHeight w:val="720" w:hRule="atLeast"/>
              </w:trPr>
              <w:tc>
                <w:tcPr>
                  <w:tcW w:w="43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财政拨款结转和结余上下年变动率</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4.5</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财政拨款结转和结余：（本年年末数－上年年末数）/上年年末数*100%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变动率&lt;0，得满分；变动率≥0时，每增加5%（含）扣减0.5分，减至0分为止。</w:t>
                  </w:r>
                </w:p>
              </w:tc>
            </w:tr>
            <w:tr>
              <w:tblPrEx>
                <w:tblCellMar>
                  <w:top w:w="0" w:type="dxa"/>
                  <w:left w:w="108" w:type="dxa"/>
                  <w:bottom w:w="0" w:type="dxa"/>
                  <w:right w:w="108" w:type="dxa"/>
                </w:tblCellMar>
              </w:tblPrEx>
              <w:trPr>
                <w:trHeight w:val="720" w:hRule="atLeast"/>
              </w:trPr>
              <w:tc>
                <w:tcPr>
                  <w:tcW w:w="43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财政收回存量资金占上年财政拨款结转和结余比重</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-11.73</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3.5</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财政收回存量资金：（财政收回存量资金数/上年财政拨款结转和结余数）*100%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比重＝0，得满分；比重（绝对值）﹥0时，每增加5%（含）扣减0.5分，减至0分为止。</w:t>
                  </w:r>
                </w:p>
              </w:tc>
            </w:tr>
            <w:tr>
              <w:tblPrEx>
                <w:tblCellMar>
                  <w:top w:w="0" w:type="dxa"/>
                  <w:left w:w="108" w:type="dxa"/>
                  <w:bottom w:w="0" w:type="dxa"/>
                  <w:right w:w="108" w:type="dxa"/>
                </w:tblCellMar>
              </w:tblPrEx>
              <w:trPr>
                <w:trHeight w:val="720" w:hRule="atLeast"/>
              </w:trPr>
              <w:tc>
                <w:tcPr>
                  <w:tcW w:w="43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“三公”经费支出预决算差异率</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-13.47</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5.0</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“三公”经费：（决算数－年初预算数/年初预算数）*100%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差异率≤0，得满分；差异率﹥0时，每增加5%（含）扣减1分，减至0分为止。</w:t>
                  </w:r>
                </w:p>
              </w:tc>
            </w:tr>
            <w:tr>
              <w:trPr>
                <w:trHeight w:val="720" w:hRule="atLeast"/>
              </w:trPr>
              <w:tc>
                <w:tcPr>
                  <w:tcW w:w="43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预算编制及执行的规范性</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w:t>
                  </w: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项目支出中开支在职人员及离退休经费比重</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10.0</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财政拨款项目支出：（工资福利支出+离休费+退休费）/项目支出合计*100%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比重＝0，得满分；比重﹥0时，每增加1%（含）扣减0.5分，减至0分为止。</w:t>
                  </w:r>
                </w:p>
              </w:tc>
            </w:tr>
            <w:tr>
              <w:tblPrEx>
                <w:tblCellMar>
                  <w:top w:w="0" w:type="dxa"/>
                  <w:left w:w="108" w:type="dxa"/>
                  <w:bottom w:w="0" w:type="dxa"/>
                  <w:right w:w="108" w:type="dxa"/>
                </w:tblCellMar>
              </w:tblPrEx>
              <w:trPr>
                <w:trHeight w:val="720" w:hRule="atLeast"/>
              </w:trPr>
              <w:tc>
                <w:tcPr>
                  <w:tcW w:w="436" w:type="dxa"/>
                  <w:vMerge w:val="restart"/>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财务状况</w:t>
                  </w:r>
                </w:p>
              </w:tc>
              <w:tc>
                <w:tcPr>
                  <w:tcW w:w="546"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15</w:t>
                  </w:r>
                </w:p>
              </w:tc>
              <w:tc>
                <w:tcPr>
                  <w:tcW w:w="656"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资产状况</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7</w:t>
                  </w: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资产类往来款变动率</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7</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7.0</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应收账款+预付账款+其他应收款：（本年年末数－上年年末数）/上年年末数*100%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变动率≤0，得满分；变动率﹥0时，每增加5%（含）扣减0.5分，减至0分为止。</w:t>
                  </w:r>
                </w:p>
              </w:tc>
            </w:tr>
            <w:tr>
              <w:tblPrEx>
                <w:tblCellMar>
                  <w:top w:w="0" w:type="dxa"/>
                  <w:left w:w="108" w:type="dxa"/>
                  <w:bottom w:w="0" w:type="dxa"/>
                  <w:right w:w="108" w:type="dxa"/>
                </w:tblCellMar>
              </w:tblPrEx>
              <w:trPr>
                <w:trHeight w:val="720" w:hRule="atLeast"/>
              </w:trPr>
              <w:tc>
                <w:tcPr>
                  <w:tcW w:w="43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负债状况</w:t>
                  </w:r>
                </w:p>
              </w:tc>
              <w:tc>
                <w:tcPr>
                  <w:tcW w:w="546" w:type="dxa"/>
                  <w:vMerge w:val="restar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8</w:t>
                  </w: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负债类往来款变动率</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6</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6.0</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应付账款+预收账款+其他应付款+长期应付款：（本年年末数－上年年末数）/上年年末数*100%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变动率≤0，得满分；变动率﹥0时，每增加5%（含）扣减0.5分，减至0分为止。</w:t>
                  </w:r>
                </w:p>
              </w:tc>
            </w:tr>
            <w:tr>
              <w:tblPrEx>
                <w:tblCellMar>
                  <w:top w:w="0" w:type="dxa"/>
                  <w:left w:w="108" w:type="dxa"/>
                  <w:bottom w:w="0" w:type="dxa"/>
                  <w:right w:w="108" w:type="dxa"/>
                </w:tblCellMar>
              </w:tblPrEx>
              <w:trPr>
                <w:trHeight w:val="720" w:hRule="atLeast"/>
              </w:trPr>
              <w:tc>
                <w:tcPr>
                  <w:tcW w:w="43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事业单位借款变动率</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2</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2.0</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短期借款+长期借款：（本年年末数－上年年末数）/上年年末数*100%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变动率≤0，得满分；变动率﹥0时，每增加5%（含）扣减0.5分，减至0分为止。</w:t>
                  </w:r>
                </w:p>
              </w:tc>
            </w:tr>
            <w:tr>
              <w:tblPrEx>
                <w:tblCellMar>
                  <w:top w:w="0" w:type="dxa"/>
                  <w:left w:w="108" w:type="dxa"/>
                  <w:bottom w:w="0" w:type="dxa"/>
                  <w:right w:w="108" w:type="dxa"/>
                </w:tblCellMar>
              </w:tblPrEx>
              <w:trPr>
                <w:trHeight w:val="720" w:hRule="atLeast"/>
              </w:trPr>
              <w:tc>
                <w:tcPr>
                  <w:tcW w:w="436" w:type="dxa"/>
                  <w:vMerge w:val="restart"/>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人员情况</w:t>
                  </w:r>
                </w:p>
              </w:tc>
              <w:tc>
                <w:tcPr>
                  <w:tcW w:w="546"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656"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在职人员控制</w:t>
                  </w:r>
                </w:p>
              </w:tc>
              <w:tc>
                <w:tcPr>
                  <w:tcW w:w="546"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3</w:t>
                  </w: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在职人员控制率</w:t>
                  </w:r>
                </w:p>
              </w:tc>
              <w:tc>
                <w:tcPr>
                  <w:tcW w:w="546"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3</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79.17</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3.0</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在职人员数：（在职人员数/编制数）*100%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控制率≤100，得满分；控制率每超1%扣减0.5分，减至0分为止。</w:t>
                  </w:r>
                </w:p>
              </w:tc>
            </w:tr>
            <w:tr>
              <w:tblPrEx>
                <w:tblCellMar>
                  <w:top w:w="0" w:type="dxa"/>
                  <w:left w:w="108" w:type="dxa"/>
                  <w:bottom w:w="0" w:type="dxa"/>
                  <w:right w:w="108" w:type="dxa"/>
                </w:tblCellMar>
              </w:tblPrEx>
              <w:trPr>
                <w:trHeight w:val="720" w:hRule="atLeast"/>
              </w:trPr>
              <w:tc>
                <w:tcPr>
                  <w:tcW w:w="43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财政拨款（补助）人员控制</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一般公共预算财政拨款（补助）人员增减率</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1.0</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一般公共预算拨款（补助）开支在职人员数：（本年数－上年数）/上年数*100%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增减率≤0，得满分；在职人员控制率﹥100%时，增减率﹥0,扣减1分。</w:t>
                  </w:r>
                </w:p>
              </w:tc>
            </w:tr>
            <w:tr>
              <w:tblPrEx>
                <w:tblCellMar>
                  <w:top w:w="0" w:type="dxa"/>
                  <w:left w:w="108" w:type="dxa"/>
                  <w:bottom w:w="0" w:type="dxa"/>
                  <w:right w:w="108" w:type="dxa"/>
                </w:tblCellMar>
              </w:tblPrEx>
              <w:trPr>
                <w:trHeight w:val="720" w:hRule="atLeast"/>
              </w:trPr>
              <w:tc>
                <w:tcPr>
                  <w:tcW w:w="436"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46"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656"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其他人员控制</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其他人员增减率</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87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656"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1.0</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其他人员数：（本年数－上年数）/上年数*100%</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增减率≤0，得满分；增减率﹥0,扣减1分。</w:t>
                  </w:r>
                </w:p>
              </w:tc>
            </w:tr>
            <w:tr>
              <w:tblPrEx>
                <w:tblCellMar>
                  <w:top w:w="0" w:type="dxa"/>
                  <w:left w:w="108" w:type="dxa"/>
                  <w:bottom w:w="0" w:type="dxa"/>
                  <w:right w:w="108" w:type="dxa"/>
                </w:tblCellMar>
              </w:tblPrEx>
              <w:trPr>
                <w:trHeight w:val="447" w:hRule="atLeast"/>
              </w:trPr>
              <w:tc>
                <w:tcPr>
                  <w:tcW w:w="436" w:type="dxa"/>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合计</w:t>
                  </w:r>
                </w:p>
              </w:tc>
              <w:tc>
                <w:tcPr>
                  <w:tcW w:w="546"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100</w:t>
                  </w:r>
                </w:p>
              </w:tc>
              <w:tc>
                <w:tcPr>
                  <w:tcW w:w="65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100</w:t>
                  </w:r>
                </w:p>
              </w:tc>
              <w:tc>
                <w:tcPr>
                  <w:tcW w:w="9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w:t>
                  </w:r>
                </w:p>
              </w:tc>
              <w:tc>
                <w:tcPr>
                  <w:tcW w:w="54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100</w:t>
                  </w:r>
                </w:p>
              </w:tc>
              <w:tc>
                <w:tcPr>
                  <w:tcW w:w="876"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w:t>
                  </w:r>
                </w:p>
              </w:tc>
              <w:tc>
                <w:tcPr>
                  <w:tcW w:w="656"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74.0</w:t>
                  </w:r>
                </w:p>
              </w:tc>
              <w:tc>
                <w:tcPr>
                  <w:tcW w:w="216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w:t>
                  </w:r>
                </w:p>
              </w:tc>
              <w:tc>
                <w:tcPr>
                  <w:tcW w:w="273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w:t>
                  </w:r>
                </w:p>
              </w:tc>
            </w:tr>
          </w:tbl>
          <w:p>
            <w:pPr>
              <w:widowControl/>
              <w:spacing w:after="0" w:line="240" w:lineRule="auto"/>
              <w:jc w:val="left"/>
              <w:rPr>
                <w:rFonts w:ascii="宋体" w:hAnsi="宋体" w:cs="Arial"/>
                <w:color w:val="000000"/>
                <w:kern w:val="0"/>
                <w:sz w:val="20"/>
                <w:szCs w:val="20"/>
              </w:rPr>
            </w:pPr>
          </w:p>
        </w:tc>
        <w:tc>
          <w:tcPr>
            <w:tcW w:w="546"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876"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656"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3080"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3057"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r>
    </w:tbl>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本部门2018年度机关运行经费支出12.28万元，比年初预算数增加5.16万元，增长72.5%。主要原因是上年度结余在本期支出。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本部门2018年度无政府采购支出</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截至2018年12月31日，本部门共有车辆1辆，与上年数量持平。其中，机要通信用应急车1辆；单位价值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万元以上通用设备无，单位价值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预算财政拨款收入支出情况，故公开08表以空表列示；本部门2018年度国有资本经营预算财政拨款支出情况，故公开09表以空表列示；本部门2018年度政府采购情况，故公开10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组合 91" o:spid="_x0000_s1111" o:spt="203" style="position:absolute;left:0pt;margin-left:-0.55pt;margin-top:29.3pt;height:43.95pt;width:301.85pt;mso-position-horizontal-relative:page;mso-position-vertical-relative:page;z-index:25167769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">
            <o:lock v:ext="edit"/>
            <v:rect id="矩形 13" o:spid="_x0000_s1112"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2S8MA&#10;AADbAAAADwAAAGRycy9kb3ducmV2LnhtbESPQYvCMBSE7wv7H8ITvGmqB9FqFBGUPQhq3UW8PZpn&#10;W2xeShNt9dcbQdjjMDPfMLNFa0pxp9oVlhUM+hEI4tTqgjMFv8d1bwzCeWSNpWVS8CAHi/n31wxj&#10;bRs+0D3xmQgQdjEqyL2vYildmpNB17cVcfAutjbog6wzqWtsAtyUchhFI2mw4LCQY0WrnNJrcjMK&#10;LvjcL4sNPc+j024zaJLybzteK9XttMspCE+t/w9/2j9awWQI7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o2S8MAAADbAAAADwAAAAAAAAAAAAAAAACYAgAAZHJzL2Rv&#10;d25yZXYueG1sUEsFBgAAAAAEAAQA9QAAAIgDAAAAAA==&#10;">
              <v:path/>
              <v:fill on="t" focussize="0,0"/>
              <v:stroke on="f" weight="2pt"/>
              <v:imagedata o:title=""/>
              <o:lock v:ext="edit"/>
            </v:rect>
            <v:rect id="矩形 14" o:spid="_x0000_s1113"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zx8UA&#10;AADbAAAADwAAAGRycy9kb3ducmV2LnhtbESPQWvCQBSE74L/YXlCb2ZTtVbTbKQWCvVS1Ari7TX7&#10;moRm34bsGuO/d4VCj8PMfMOkq97UoqPWVZYVPEYxCOLc6ooLBYev9/EChPPIGmvLpOBKDlbZcJBi&#10;ou2Fd9TtfSEChF2CCkrvm0RKl5dk0EW2IQ7ej20N+iDbQuoWLwFuajmJ47k0WHFYKLGht5Ly3/3Z&#10;KFg8kT7Ovteuy7fF5HnGm8/z9qTUw6h/fQHhqff/4b/2h1awnML9S/g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bPHxQAAANsAAAAPAAAAAAAAAAAAAAAAAJgCAABkcnMv&#10;ZG93bnJldi54bWxQSwUGAAAAAAQABAD1AAAAig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w:t>
                    </w:r>
                    <w:r>
                      <w:rPr>
                        <w:rFonts w:hint="eastAsia" w:ascii="宋体" w:hAnsi="宋体" w:cs="宋体"/>
                        <w:b/>
                        <w:bCs/>
                        <w:color w:val="FDEFBE"/>
                        <w:kern w:val="0"/>
                        <w:sz w:val="32"/>
                        <w:szCs w:val="32"/>
                      </w:rPr>
                      <w:t>8</w:t>
                    </w:r>
                    <w:r>
                      <w:rPr>
                        <w:rFonts w:hint="eastAsia" w:ascii="楷体" w:hAnsi="楷体" w:eastAsia="楷体" w:cs="楷体"/>
                        <w:b/>
                        <w:bCs/>
                        <w:color w:val="FDEFBE"/>
                        <w:kern w:val="0"/>
                        <w:sz w:val="32"/>
                        <w:szCs w:val="32"/>
                      </w:rPr>
                      <w:t>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文本框 22" o:spid="_x0000_s1114" o:spt="202" type="#_x0000_t202" style="position:absolute;left:0pt;margin-left:-78.7pt;margin-top:232.8pt;height:159.1pt;width:596.2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组合 149" o:spid="_x0000_s1115" o:spt="203" style="position:absolute;left:0pt;margin-left:-81.05pt;margin-top:39.65pt;height:43.95pt;width:264.85pt;mso-position-vertical-relative:page;z-index:251671552;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">
            <o:lock v:ext="edit"/>
            <v:rect id="矩形 13" o:spid="_x0000_s111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7cYA&#10;AADcAAAADwAAAGRycy9kb3ducmV2LnhtbESPQWvCQBCF74L/YZlCb7pRqEjqKlJQPBRao1J6G7Jj&#10;EpqdDdnVpP565yB4m+G9ee+bxap3tbpSGyrPBibjBBRx7m3FhYHjYTOagwoR2WLtmQz8U4DVcjhY&#10;YGp9x3u6ZrFQEsIhRQNljE2qdchLchjGviEW7exbh1HWttC2xU7CXa2nSTLTDiuWhhIb+igp/8su&#10;zsAZb9/raku339nP13bSZfXpc74x5vWlX7+DitTHp/lxvbOC/yb48ox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Lu7cYAAADcAAAADwAAAAAAAAAAAAAAAACYAgAAZHJz&#10;L2Rvd25yZXYueG1sUEsFBgAAAAAEAAQA9QAAAIsDAAAAAA==&#10;">
              <v:path/>
              <v:fill on="t" focussize="0,0"/>
              <v:stroke on="f" weight="2pt"/>
              <v:imagedata o:title=""/>
              <o:lock v:ext="edit"/>
            </v:rect>
            <v:rect id="矩形 14" o:spid="_x0000_s1117"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z8MA&#10;AADcAAAADwAAAGRycy9kb3ducmV2LnhtbERPS2vCQBC+C/0PyxR6041iWkldRQuFepHUFsTbNDsm&#10;wexsyG4e/nu3IHibj+85y/VgKtFR40rLCqaTCARxZnXJuYLfn8/xAoTzyBory6TgSg7Wq6fREhNt&#10;e/6m7uBzEULYJaig8L5OpHRZQQbdxNbEgTvbxqAPsMmlbrAP4aaSsyh6lQZLDg0F1vRRUHY5tEbB&#10;IiZ9nP9tXZel+extzrt9m56UenkeNu8gPA3+Ib67v3SYH0/h/5lw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6z8MAAADcAAAADwAAAAAAAAAAAAAAAACYAgAAZHJzL2Rv&#10;d25yZXYueG1sUEsFBgAAAAAEAAQA9QAAAI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w:t>
                    </w:r>
                    <w:r>
                      <w:rPr>
                        <w:rFonts w:hint="eastAsia" w:ascii="宋体" w:hAnsi="宋体" w:cs="宋体"/>
                        <w:b/>
                        <w:bCs/>
                        <w:color w:val="FDEFBE"/>
                        <w:kern w:val="0"/>
                        <w:sz w:val="32"/>
                        <w:szCs w:val="32"/>
                      </w:rPr>
                      <w:t>8</w:t>
                    </w:r>
                    <w:r>
                      <w:rPr>
                        <w:rFonts w:hint="eastAsia" w:ascii="楷体" w:hAnsi="楷体" w:eastAsia="楷体" w:cs="楷体"/>
                        <w:b/>
                        <w:bCs/>
                        <w:color w:val="FDEFBE"/>
                        <w:kern w:val="0"/>
                        <w:sz w:val="32"/>
                        <w:szCs w:val="32"/>
                      </w:rPr>
                      <w:t>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118" o:spid="_x0000_s1118" o:spt="203" style="position:absolute;left:0pt;margin-left:-81.05pt;margin-top:39.65pt;height:43.95pt;width:264.85pt;mso-position-vertical-relative:page;z-index:251678720;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">
            <o:lock v:ext="edit"/>
            <v:rect id="矩形 13" o:spid="_x0000_s1119"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uP8QA&#10;AADbAAAADwAAAGRycy9kb3ducmV2LnhtbESPQYvCMBSE78L+h/AWvGnqguJWo8iC4kFw7Sri7dE8&#10;22LzUppoq7/eLAgeh5n5hpnOW1OKG9WusKxg0I9AEKdWF5wp2P8te2MQziNrLC2Tgjs5mM8+OlOM&#10;tW14R7fEZyJA2MWoIPe+iqV0aU4GXd9WxME729qgD7LOpK6xCXBTyq8oGkmDBYeFHCv6ySm9JFej&#10;4IyP30WxosdpdNyuBk1SHjbjpVLdz3YxAeGp9e/wq73WCr6H8P8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rj/EAAAA2wAAAA8AAAAAAAAAAAAAAAAAmAIAAGRycy9k&#10;b3ducmV2LnhtbFBLBQYAAAAABAAEAPUAAACJAwAAAAA=&#10;">
              <v:path/>
              <v:fill on="t" focussize="0,0"/>
              <v:stroke on="f" weight="2pt"/>
              <v:imagedata o:title=""/>
              <o:lock v:ext="edit"/>
            </v:rect>
            <v:rect id="矩形 14" o:spid="_x0000_s1120"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QX8MA&#10;AADbAAAADwAAAGRycy9kb3ducmV2LnhtbESPS4vCQBCE7wv+h6EFb+tE8RkdRQXBvSy+QLy1mTYJ&#10;ZnpCZozZf7+zIOyxqKqvqPmyMYWoqXK5ZQW9bgSCOLE651TB+bT9nIBwHlljYZkU/JCD5aL1McdY&#10;2xcfqD76VAQIuxgVZN6XsZQuycig69qSOHh3Wxn0QVap1BW+AtwUsh9FI2kw57CQYUmbjJLH8WkU&#10;TIakL4Pb2tXJPu2PB/z1/dxfleq0m9UMhKfG/4ff7Z1WMB3B3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QX8MAAADbAAAADwAAAAAAAAAAAAAAAACYAgAAZHJzL2Rv&#10;d25yZXYueG1sUEsFBgAAAAAEAAQA9QAAAI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121" o:spid="_x0000_s1121" o:spt="203" style="position:absolute;left:0pt;margin-left:-81.05pt;margin-top:39.65pt;height:43.95pt;width:264.85pt;mso-position-vertical-relative:page;z-index:25167974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">
            <o:lock v:ext="edit"/>
            <v:rect id="矩形 13" o:spid="_x0000_s1122"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BocEA&#10;AADbAAAADwAAAGRycy9kb3ducmV2LnhtbERPTYvCMBC9L/gfwix4W1M9iFuNpSwoHgS1KrK3oRnb&#10;ss2kNNFWf705CHt8vO9F0pta3Kl1lWUF41EEgji3uuJCwem4+pqBcB5ZY22ZFDzIQbIcfCww1rbj&#10;A90zX4gQwi5GBaX3TSyly0sy6Ea2IQ7c1bYGfYBtIXWLXQg3tZxE0VQarDg0lNjQT0n5X3YzCq74&#10;3KfVmp6/08tuPe6y+rydrZQafvbpHISn3v+L3+6NVvAdxoY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CAaHBAAAA2wAAAA8AAAAAAAAAAAAAAAAAmAIAAGRycy9kb3du&#10;cmV2LnhtbFBLBQYAAAAABAAEAPUAAACGAwAAAAA=&#10;">
              <v:path/>
              <v:fill on="t" focussize="0,0"/>
              <v:stroke on="f" weight="2pt"/>
              <v:imagedata o:title=""/>
              <o:lock v:ext="edit"/>
            </v:rect>
            <v:rect id="矩形 14" o:spid="_x0000_s1123"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ELcQA&#10;AADbAAAADwAAAGRycy9kb3ducmV2LnhtbESPT4vCMBTE7wt+h/AEb5oqrn+qUVQQ9LK4Koi3Z/Ns&#10;i81LaWLtfnuzsLDHYWZ+w8yXjSlETZXLLSvo9yIQxInVOacKzqdtdwLCeWSNhWVS8EMOlovWxxxj&#10;bV/8TfXRpyJA2MWoIPO+jKV0SUYGXc+WxMG728qgD7JKpa7wFeCmkIMoGkmDOYeFDEvaZJQ8jk+j&#10;YPJJ+jK8rV2dHNLBeMj7r+fhqlSn3axmIDw1/j/8195pBdMp/H4JP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9hC3EAAAA2wAAAA8AAAAAAAAAAAAAAAAAmAIAAGRycy9k&#10;b3ducmV2LnhtbFBLBQYAAAAABAAEAPUAAACJ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w:t>
                    </w:r>
                    <w:r>
                      <w:rPr>
                        <w:rFonts w:hint="eastAsia" w:ascii="宋体" w:hAnsi="宋体" w:cs="宋体"/>
                        <w:b/>
                        <w:bCs/>
                        <w:color w:val="FDEFBE"/>
                        <w:kern w:val="0"/>
                        <w:sz w:val="32"/>
                        <w:szCs w:val="32"/>
                      </w:rPr>
                      <w:t>8</w:t>
                    </w:r>
                    <w:r>
                      <w:rPr>
                        <w:rFonts w:hint="eastAsia" w:ascii="楷体" w:hAnsi="楷体" w:eastAsia="楷体" w:cs="楷体"/>
                        <w:b/>
                        <w:bCs/>
                        <w:color w:val="FDEFBE"/>
                        <w:kern w:val="0"/>
                        <w:sz w:val="32"/>
                        <w:szCs w:val="32"/>
                      </w:rPr>
                      <w:t>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8"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E618E7C-8601-4C82-940C-56B70635FD4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embedRegular r:id="rId2" w:fontKey="{69FA68A3-A1C4-4E62-B2AB-8C777619B534}"/>
  </w:font>
  <w:font w:name="仿宋">
    <w:panose1 w:val="02010609060101010101"/>
    <w:charset w:val="86"/>
    <w:family w:val="modern"/>
    <w:pitch w:val="default"/>
    <w:sig w:usb0="800002BF" w:usb1="38CF7CFA" w:usb2="00000016" w:usb3="00000000" w:csb0="00040001" w:csb1="00000000"/>
    <w:embedRegular r:id="rId3" w:fontKey="{BBD6DB16-A2AA-45E4-9BDA-C8D67C07DAE1}"/>
  </w:font>
  <w:font w:name="楷体">
    <w:panose1 w:val="02010609060101010101"/>
    <w:charset w:val="86"/>
    <w:family w:val="modern"/>
    <w:pitch w:val="default"/>
    <w:sig w:usb0="800002BF" w:usb1="38CF7CFA" w:usb2="00000016" w:usb3="00000000" w:csb0="00040001" w:csb1="00000000"/>
    <w:embedRegular r:id="rId4" w:fontKey="{B01DDF98-88E5-453C-8709-70287CD2CC4C}"/>
  </w:font>
  <w:font w:name="仿宋_GB2312">
    <w:panose1 w:val="02010609030101010101"/>
    <w:charset w:val="86"/>
    <w:family w:val="modern"/>
    <w:pitch w:val="default"/>
    <w:sig w:usb0="00000001" w:usb1="080E0000" w:usb2="00000000" w:usb3="00000000" w:csb0="00040000" w:csb1="00000000"/>
    <w:embedRegular r:id="rId5" w:fontKey="{C8767365-95B1-4BDA-9B36-266104CFDD49}"/>
  </w:font>
  <w:font w:name="ArialUnicodeMS">
    <w:altName w:val="Malgun Gothic"/>
    <w:panose1 w:val="00000000000000000000"/>
    <w:charset w:val="81"/>
    <w:family w:val="auto"/>
    <w:pitch w:val="default"/>
    <w:sig w:usb0="00000000" w:usb1="00000000" w:usb2="00000010" w:usb3="00000000" w:csb0="00080001" w:csb1="00000000"/>
    <w:embedRegular r:id="rId6" w:fontKey="{D7BBE553-9752-460F-A958-D9BE9ED62E9E}"/>
  </w:font>
  <w:font w:name="MS-UIGothic,Bold">
    <w:altName w:val="Malgun Gothic"/>
    <w:panose1 w:val="00000000000000000000"/>
    <w:charset w:val="81"/>
    <w:family w:val="auto"/>
    <w:pitch w:val="default"/>
    <w:sig w:usb0="00000000" w:usb1="00000000" w:usb2="00000010" w:usb3="00000000" w:csb0="00080000" w:csb1="00000000"/>
    <w:embedRegular r:id="rId7" w:fontKey="{BFB48E94-E053-41B5-9425-1BFAC9C7297A}"/>
  </w:font>
  <w:font w:name="___WRD_EMBED_SUB_39">
    <w:altName w:val="宋体"/>
    <w:panose1 w:val="02010609060101010101"/>
    <w:charset w:val="86"/>
    <w:family w:val="modern"/>
    <w:pitch w:val="default"/>
    <w:sig w:usb0="00000000" w:usb1="00000000" w:usb2="00000016" w:usb3="00000000" w:csb0="00040001" w:csb1="00000000"/>
    <w:embedRegular r:id="rId8" w:fontKey="{F3DBF781-1753-456E-9BDF-E9F198BD8001}"/>
  </w:font>
  <w:font w:name="DengXian-Regular">
    <w:altName w:val="宋体"/>
    <w:panose1 w:val="00000000000000000000"/>
    <w:charset w:val="86"/>
    <w:family w:val="auto"/>
    <w:pitch w:val="default"/>
    <w:sig w:usb0="00000000" w:usb1="00000000" w:usb2="00000010" w:usb3="00000000" w:csb0="00040001" w:csb1="00000000"/>
    <w:embedRegular r:id="rId9" w:fontKey="{96716CD5-4B83-4BE9-BC9A-61D265CBFE09}"/>
  </w:font>
  <w:font w:name="楷体_GB2312">
    <w:panose1 w:val="02010609030101010101"/>
    <w:charset w:val="86"/>
    <w:family w:val="modern"/>
    <w:pitch w:val="default"/>
    <w:sig w:usb0="00000001" w:usb1="080E0000" w:usb2="00000000" w:usb3="00000000" w:csb0="00040000" w:csb1="00000000"/>
    <w:embedRegular r:id="rId10" w:fontKey="{094619B8-3AE0-4759-86BE-EA12441B7B2E}"/>
  </w:font>
  <w:font w:name="DengXian-Bold">
    <w:altName w:val="宋体"/>
    <w:panose1 w:val="00000000000000000000"/>
    <w:charset w:val="86"/>
    <w:family w:val="auto"/>
    <w:pitch w:val="default"/>
    <w:sig w:usb0="00000000" w:usb1="00000000" w:usb2="00000010" w:usb3="00000000" w:csb0="00040001" w:csb1="00000000"/>
    <w:embedRegular r:id="rId11" w:fontKey="{20BA5C9F-F91D-47A2-BAF7-43414543BF64}"/>
  </w:font>
  <w:font w:name="Arial">
    <w:panose1 w:val="020B0604020202020204"/>
    <w:charset w:val="00"/>
    <w:family w:val="swiss"/>
    <w:pitch w:val="default"/>
    <w:sig w:usb0="E0002AFF" w:usb1="C0007843" w:usb2="00000009" w:usb3="00000000" w:csb0="400001FF" w:csb1="FFFF0000"/>
    <w:embedRegular r:id="rId12" w:fontKey="{CCD47B32-845B-4EDB-B7CF-5F5AED76E32F}"/>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0D0A"/>
    <w:rsid w:val="000241E6"/>
    <w:rsid w:val="00024E7F"/>
    <w:rsid w:val="000475A0"/>
    <w:rsid w:val="000838C3"/>
    <w:rsid w:val="00087EBC"/>
    <w:rsid w:val="000B2446"/>
    <w:rsid w:val="000D7C65"/>
    <w:rsid w:val="000E2F81"/>
    <w:rsid w:val="00117946"/>
    <w:rsid w:val="00117E2C"/>
    <w:rsid w:val="00146C47"/>
    <w:rsid w:val="00152FB8"/>
    <w:rsid w:val="00176658"/>
    <w:rsid w:val="0018239E"/>
    <w:rsid w:val="001A0DDF"/>
    <w:rsid w:val="001B13B1"/>
    <w:rsid w:val="001B3410"/>
    <w:rsid w:val="001C030D"/>
    <w:rsid w:val="001C4A84"/>
    <w:rsid w:val="001E5902"/>
    <w:rsid w:val="00215A4A"/>
    <w:rsid w:val="00233705"/>
    <w:rsid w:val="00251DDD"/>
    <w:rsid w:val="00275CA2"/>
    <w:rsid w:val="00294972"/>
    <w:rsid w:val="002A2CD9"/>
    <w:rsid w:val="002A65A5"/>
    <w:rsid w:val="002C04C4"/>
    <w:rsid w:val="002D08B0"/>
    <w:rsid w:val="002D1AE3"/>
    <w:rsid w:val="002F2ECE"/>
    <w:rsid w:val="00341C8F"/>
    <w:rsid w:val="003431E0"/>
    <w:rsid w:val="0035463A"/>
    <w:rsid w:val="00367611"/>
    <w:rsid w:val="00372C84"/>
    <w:rsid w:val="00374226"/>
    <w:rsid w:val="00380D04"/>
    <w:rsid w:val="00391D9D"/>
    <w:rsid w:val="003B6C51"/>
    <w:rsid w:val="003C1413"/>
    <w:rsid w:val="003C549F"/>
    <w:rsid w:val="003D5A16"/>
    <w:rsid w:val="003E7DB3"/>
    <w:rsid w:val="003F1321"/>
    <w:rsid w:val="00431175"/>
    <w:rsid w:val="00480388"/>
    <w:rsid w:val="00494AFD"/>
    <w:rsid w:val="004B51B8"/>
    <w:rsid w:val="004B6E37"/>
    <w:rsid w:val="004C32BA"/>
    <w:rsid w:val="00504F6B"/>
    <w:rsid w:val="005119D8"/>
    <w:rsid w:val="00516B9F"/>
    <w:rsid w:val="00545B33"/>
    <w:rsid w:val="005545A8"/>
    <w:rsid w:val="00575922"/>
    <w:rsid w:val="005A6C90"/>
    <w:rsid w:val="005C6530"/>
    <w:rsid w:val="005E3FB0"/>
    <w:rsid w:val="005E4B7D"/>
    <w:rsid w:val="005F4B66"/>
    <w:rsid w:val="005F5208"/>
    <w:rsid w:val="00641318"/>
    <w:rsid w:val="0064405D"/>
    <w:rsid w:val="006759DF"/>
    <w:rsid w:val="00695557"/>
    <w:rsid w:val="006D0AED"/>
    <w:rsid w:val="006D4EA7"/>
    <w:rsid w:val="0070012A"/>
    <w:rsid w:val="0070664B"/>
    <w:rsid w:val="007071B8"/>
    <w:rsid w:val="00731076"/>
    <w:rsid w:val="007414DE"/>
    <w:rsid w:val="007517D7"/>
    <w:rsid w:val="007905A9"/>
    <w:rsid w:val="007C60B4"/>
    <w:rsid w:val="007E5500"/>
    <w:rsid w:val="007F055B"/>
    <w:rsid w:val="0080519D"/>
    <w:rsid w:val="0081077A"/>
    <w:rsid w:val="00811C2F"/>
    <w:rsid w:val="00833D46"/>
    <w:rsid w:val="00840A97"/>
    <w:rsid w:val="0085210E"/>
    <w:rsid w:val="008715B2"/>
    <w:rsid w:val="00871DBE"/>
    <w:rsid w:val="008C0149"/>
    <w:rsid w:val="008D5DED"/>
    <w:rsid w:val="008E25CA"/>
    <w:rsid w:val="008F34FC"/>
    <w:rsid w:val="008F7CC3"/>
    <w:rsid w:val="00934248"/>
    <w:rsid w:val="00944CD7"/>
    <w:rsid w:val="009831B2"/>
    <w:rsid w:val="009A13ED"/>
    <w:rsid w:val="009A1ABE"/>
    <w:rsid w:val="009C7906"/>
    <w:rsid w:val="009D5305"/>
    <w:rsid w:val="009E21A4"/>
    <w:rsid w:val="009F22C6"/>
    <w:rsid w:val="00A07E50"/>
    <w:rsid w:val="00A13FCB"/>
    <w:rsid w:val="00A15397"/>
    <w:rsid w:val="00A249EE"/>
    <w:rsid w:val="00A35CE0"/>
    <w:rsid w:val="00A40225"/>
    <w:rsid w:val="00A4462E"/>
    <w:rsid w:val="00A44AA4"/>
    <w:rsid w:val="00A61623"/>
    <w:rsid w:val="00A80BA3"/>
    <w:rsid w:val="00A84687"/>
    <w:rsid w:val="00AB0A0E"/>
    <w:rsid w:val="00AD3B6E"/>
    <w:rsid w:val="00B14B76"/>
    <w:rsid w:val="00B1751F"/>
    <w:rsid w:val="00B37755"/>
    <w:rsid w:val="00B56722"/>
    <w:rsid w:val="00B74D39"/>
    <w:rsid w:val="00B74F80"/>
    <w:rsid w:val="00B91DA4"/>
    <w:rsid w:val="00BE4EA5"/>
    <w:rsid w:val="00C12630"/>
    <w:rsid w:val="00C27473"/>
    <w:rsid w:val="00C34562"/>
    <w:rsid w:val="00C3774E"/>
    <w:rsid w:val="00C42414"/>
    <w:rsid w:val="00C57456"/>
    <w:rsid w:val="00C65387"/>
    <w:rsid w:val="00C87FAB"/>
    <w:rsid w:val="00C91427"/>
    <w:rsid w:val="00C91FF7"/>
    <w:rsid w:val="00C94E53"/>
    <w:rsid w:val="00CA1A6A"/>
    <w:rsid w:val="00CC614F"/>
    <w:rsid w:val="00D0048E"/>
    <w:rsid w:val="00D23E7A"/>
    <w:rsid w:val="00D61063"/>
    <w:rsid w:val="00D80F9E"/>
    <w:rsid w:val="00DB35AF"/>
    <w:rsid w:val="00DD72D7"/>
    <w:rsid w:val="00DE6BE7"/>
    <w:rsid w:val="00DF0876"/>
    <w:rsid w:val="00DF5B88"/>
    <w:rsid w:val="00E0589E"/>
    <w:rsid w:val="00E241FA"/>
    <w:rsid w:val="00E2595E"/>
    <w:rsid w:val="00E35374"/>
    <w:rsid w:val="00E50C19"/>
    <w:rsid w:val="00E64655"/>
    <w:rsid w:val="00E73081"/>
    <w:rsid w:val="00E856C9"/>
    <w:rsid w:val="00EA0CD7"/>
    <w:rsid w:val="00EB6A8B"/>
    <w:rsid w:val="00EF38C6"/>
    <w:rsid w:val="00F4053D"/>
    <w:rsid w:val="00F679C7"/>
    <w:rsid w:val="00F728E2"/>
    <w:rsid w:val="00F73194"/>
    <w:rsid w:val="00F7711A"/>
    <w:rsid w:val="00FA0D58"/>
    <w:rsid w:val="00FA56F4"/>
    <w:rsid w:val="00FB4EDA"/>
    <w:rsid w:val="00FD3BD5"/>
    <w:rsid w:val="00FE3DC8"/>
    <w:rsid w:val="04073F84"/>
    <w:rsid w:val="0B60750A"/>
    <w:rsid w:val="10686488"/>
    <w:rsid w:val="10DF728A"/>
    <w:rsid w:val="1264200E"/>
    <w:rsid w:val="141C5B77"/>
    <w:rsid w:val="18D8339D"/>
    <w:rsid w:val="1A21388F"/>
    <w:rsid w:val="1A570D2F"/>
    <w:rsid w:val="28FB0B8D"/>
    <w:rsid w:val="2D2B7942"/>
    <w:rsid w:val="2D46481D"/>
    <w:rsid w:val="2E733B28"/>
    <w:rsid w:val="31852B5A"/>
    <w:rsid w:val="32D01238"/>
    <w:rsid w:val="3DFC59A8"/>
    <w:rsid w:val="3ECF245E"/>
    <w:rsid w:val="3FB96314"/>
    <w:rsid w:val="53A44FAF"/>
    <w:rsid w:val="594329EC"/>
    <w:rsid w:val="5BEE1540"/>
    <w:rsid w:val="5DE61A5D"/>
    <w:rsid w:val="63C04243"/>
    <w:rsid w:val="647B1A5E"/>
    <w:rsid w:val="649C01C7"/>
    <w:rsid w:val="699A3F60"/>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 w:type="character" w:customStyle="1" w:styleId="33">
    <w:name w:val="fontstyle01"/>
    <w:basedOn w:val="14"/>
    <w:qFormat/>
    <w:uiPriority w:val="0"/>
    <w:rPr>
      <w:rFonts w:hint="eastAsia" w:ascii="仿宋" w:hAnsi="仿宋" w:eastAsia="仿宋"/>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031"/>
    <customShpInfo spid="_x0000_s1032"/>
    <customShpInfo spid="_x0000_s1030"/>
    <customShpInfo spid="_x0000_s1033"/>
    <customShpInfo spid="_x0000_s1035"/>
    <customShpInfo spid="_x0000_s1036"/>
    <customShpInfo spid="_x0000_s1034"/>
    <customShpInfo spid="_x0000_s1037"/>
    <customShpInfo spid="_x0000_s1068"/>
    <customShpInfo spid="_x0000_s1070"/>
    <customShpInfo spid="_x0000_s1071"/>
    <customShpInfo spid="_x0000_s1069"/>
    <customShpInfo spid="_x0000_s1091"/>
    <customShpInfo spid="_x0000_s1092"/>
    <customShpInfo spid="_x0000_s1090"/>
    <customShpInfo spid="_x0000_s1097"/>
    <customShpInfo spid="_x0000_s1098"/>
    <customShpInfo spid="_x0000_s1096"/>
    <customShpInfo spid="_x0000_s1103"/>
    <customShpInfo spid="_x0000_s1104"/>
    <customShpInfo spid="_x0000_s1102"/>
    <customShpInfo spid="_x0000_s1106"/>
    <customShpInfo spid="_x0000_s1107"/>
    <customShpInfo spid="_x0000_s1105"/>
    <customShpInfo spid="_x0000_s1112"/>
    <customShpInfo spid="_x0000_s1113"/>
    <customShpInfo spid="_x0000_s1111"/>
    <customShpInfo spid="_x0000_s1114"/>
    <customShpInfo spid="_x0000_s1116"/>
    <customShpInfo spid="_x0000_s1117"/>
    <customShpInfo spid="_x0000_s1115"/>
    <customShpInfo spid="_x0000_s1119"/>
    <customShpInfo spid="_x0000_s1120"/>
    <customShpInfo spid="_x0000_s1118"/>
    <customShpInfo spid="_x0000_s1122"/>
    <customShpInfo spid="_x0000_s1123"/>
    <customShpInfo spid="_x0000_s112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496108-38D6-4363-A23F-AADC2BD97EF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1071</Words>
  <Characters>6105</Characters>
  <Lines>50</Lines>
  <Paragraphs>14</Paragraphs>
  <TotalTime>689</TotalTime>
  <ScaleCrop>false</ScaleCrop>
  <LinksUpToDate>false</LinksUpToDate>
  <CharactersWithSpaces>7162</CharactersWithSpaces>
  <Application>WPS Office_11.8.2.12011_F1E327BC-269C-435d-A152-05C5408002CA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2019-08-02T01:01:00Z</cp:lastPrinted>
  <dcterms:modified xsi:type="dcterms:W3CDTF">2023-11-03T06:42:20Z</dcterms:modified>
  <dc:subject>石家庄市xxx部门</dc:subject>
  <dc:title>2017年度部门决算</dc:title>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2052-11.8.2.12011</vt:lpwstr>
  </property>
  <property fmtid="{D5CDD505-2E9C-101B-9397-08002B2CF9AE}" pid="3" name="ICV">
    <vt:lpwstr>44B9F5E77D484A7597468119542DFD2F</vt:lpwstr>
  </property>
</Properties>
</file>