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黑体" w:hAnsi="黑体" w:eastAsia="黑体"/>
          <w:b/>
          <w:sz w:val="72"/>
          <w:szCs w:val="72"/>
        </w:rPr>
      </w:pPr>
      <w:bookmarkStart w:id="0" w:name="_GoBack"/>
      <w:bookmarkEnd w:id="0"/>
      <w:r>
        <w:rPr>
          <w:rFonts w:ascii="Times New Roman" w:hAnsi="Times New Roman" w:eastAsia="宋体" w:cs="Times New Roman"/>
          <w:kern w:val="2"/>
          <w:sz w:val="21"/>
          <w:szCs w:val="24"/>
          <w:lang w:val="en-US" w:eastAsia="zh-CN" w:bidi="ar-SA"/>
        </w:rPr>
        <w:pict>
          <v:shape id="图片 7" o:spid="_x0000_s1026" type="#_x0000_t75" style="position:absolute;left:0;margin-left:-78.75pt;margin-top:-106.7pt;height:850.15pt;width:596.6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p>
    <w:p>
      <w:pPr>
        <w:widowControl/>
        <w:jc w:val="center"/>
        <w:rPr>
          <w:rFonts w:ascii="黑体" w:hAnsi="宋体" w:eastAsia="黑体"/>
          <w:color w:val="002060"/>
          <w:sz w:val="72"/>
          <w:szCs w:val="72"/>
        </w:rPr>
      </w:pPr>
      <w:r>
        <w:rPr>
          <w:rFonts w:ascii="Times New Roman" w:hAnsi="Times New Roman" w:eastAsia="宋体" w:cs="Times New Roman"/>
          <w:kern w:val="2"/>
          <w:sz w:val="21"/>
          <w:szCs w:val="24"/>
          <w:lang w:val="en-US" w:eastAsia="zh-CN" w:bidi="ar-SA"/>
        </w:rPr>
        <w:pict>
          <v:shape id="文本框 8" o:spid="_x0000_s1027" type="#_x0000_t202" style="position:absolute;left:0;margin-left:-83.1pt;margin-top:43.25pt;height:166.25pt;width:596.2pt;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官场乡人民政府</w:t>
                  </w:r>
                </w:p>
                <w:p>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w:t>
                  </w:r>
                </w:p>
                <w:p>
                  <w:pPr>
                    <w:rPr>
                      <w:color w:val="FDEFBE"/>
                      <w:sz w:val="96"/>
                      <w:szCs w:val="96"/>
                    </w:rPr>
                  </w:pPr>
                </w:p>
              </w:txbxContent>
            </v:textbox>
          </v:shape>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ind w:firstLine="3092" w:firstLineChars="700"/>
        <w:rPr>
          <w:rFonts w:ascii="楷体" w:hAnsi="楷体" w:eastAsia="楷体" w:cs="楷体"/>
          <w:b/>
          <w:sz w:val="44"/>
          <w:szCs w:val="44"/>
        </w:rPr>
        <w:sectPr>
          <w:headerReference r:id="rId4" w:type="default"/>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rPr>
        <w:t>二〇一九年十月</w:t>
      </w:r>
    </w:p>
    <w:p>
      <w:pPr>
        <w:spacing w:beforeLines="200" w:after="0" w:line="1000" w:lineRule="exact"/>
        <w:jc w:val="center"/>
        <w:rPr>
          <w:rFonts w:ascii="黑体" w:eastAsia="黑体"/>
          <w:sz w:val="48"/>
          <w:szCs w:val="48"/>
        </w:rPr>
      </w:pPr>
      <w:r>
        <w:rPr>
          <w:rFonts w:ascii="Times New Roman" w:hAnsi="Times New Roman" w:eastAsia="宋体" w:cs="Times New Roman"/>
          <w:kern w:val="2"/>
          <w:sz w:val="21"/>
          <w:szCs w:val="24"/>
          <w:lang w:val="en-US" w:eastAsia="zh-CN" w:bidi="ar-SA"/>
        </w:rPr>
        <w:pict>
          <v:group id="组合 179" o:spid="_x0000_s1028" style="position:absolute;left:0;margin-left:-80.8pt;margin-top:39.95pt;height:46.7pt;width:250.05pt;mso-position-vertical-relative:page;rotation:0f;z-index:251672576;v-text-anchor:middle;" coordorigin="4551,52615" coordsize="8546,1398203" o:allowoverlap="f">
            <o:lock v:ext="edit" position="f" selection="f" grouping="f" rotation="f" cropping="f" text="f" aspectratio="f"/>
            <v:rect id="矩形 13" o:spid="_x0000_s1029"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30"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6"/>
                        <w:szCs w:val="36"/>
                      </w:rPr>
                    </w:pPr>
                    <w:r>
                      <w:rPr>
                        <w:rFonts w:ascii="楷体" w:hAnsi="楷体" w:eastAsia="楷体" w:cs="楷体"/>
                        <w:b/>
                        <w:bCs/>
                        <w:color w:val="FDEFBE"/>
                        <w:kern w:val="0"/>
                        <w:sz w:val="36"/>
                        <w:szCs w:val="36"/>
                      </w:rPr>
                      <w:t>2018</w:t>
                    </w:r>
                    <w:r>
                      <w:rPr>
                        <w:rFonts w:hint="eastAsia" w:ascii="楷体" w:hAnsi="楷体" w:eastAsia="楷体" w:cs="楷体"/>
                        <w:b/>
                        <w:bCs/>
                        <w:color w:val="FDEFBE"/>
                        <w:kern w:val="0"/>
                        <w:sz w:val="36"/>
                        <w:szCs w:val="36"/>
                      </w:rPr>
                      <w:t>年度部门决算</w:t>
                    </w:r>
                    <w:r>
                      <w:rPr>
                        <w:rFonts w:hint="eastAsia" w:ascii="MS Gothic" w:hAnsi="MS Gothic" w:eastAsia="MS Gothic" w:cs="MS Gothic"/>
                        <w:b/>
                        <w:bCs/>
                        <w:color w:val="FDEFBE"/>
                        <w:kern w:val="0"/>
                        <w:sz w:val="36"/>
                        <w:szCs w:val="36"/>
                      </w:rPr>
                      <w:t>☞</w:t>
                    </w:r>
                    <w:r>
                      <w:rPr>
                        <w:rFonts w:hint="eastAsia" w:ascii="楷体" w:hAnsi="楷体" w:eastAsia="楷体" w:cs="楷体"/>
                        <w:b/>
                        <w:bCs/>
                        <w:color w:val="FDEFBE"/>
                        <w:kern w:val="0"/>
                        <w:sz w:val="36"/>
                        <w:szCs w:val="36"/>
                      </w:rPr>
                      <w:t>目录</w:t>
                    </w:r>
                  </w:p>
                  <w:p>
                    <w:pPr>
                      <w:jc w:val="center"/>
                    </w:pPr>
                  </w:p>
                </w:txbxContent>
              </v:textbox>
            </v:rect>
            <w10:anchorlock/>
          </v:group>
        </w:pict>
      </w:r>
      <w:r>
        <w:rPr>
          <w:rFonts w:hint="eastAsia" w:ascii="黑体" w:eastAsia="黑体"/>
          <w:sz w:val="48"/>
          <w:szCs w:val="48"/>
        </w:rPr>
        <w:t>目录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hint="eastAsia" w:eastAsia="黑体"/>
          <w:sz w:val="32"/>
          <w:szCs w:val="32"/>
        </w:rPr>
        <w:t>第一部分部门概况</w:t>
      </w:r>
    </w:p>
    <w:p>
      <w:pPr>
        <w:widowControl/>
        <w:spacing w:line="580" w:lineRule="exact"/>
        <w:ind w:firstLine="1274" w:firstLineChars="398"/>
        <w:rPr>
          <w:rFonts w:eastAsia="仿宋_GB2312"/>
          <w:sz w:val="32"/>
          <w:szCs w:val="32"/>
        </w:rPr>
      </w:pPr>
      <w:r>
        <w:rPr>
          <w:rFonts w:hint="eastAsia" w:eastAsia="仿宋_GB2312"/>
          <w:sz w:val="32"/>
          <w:szCs w:val="32"/>
        </w:rPr>
        <w:t>一、部门职责</w:t>
      </w:r>
    </w:p>
    <w:p>
      <w:pPr>
        <w:widowControl/>
        <w:spacing w:line="580" w:lineRule="exact"/>
        <w:ind w:firstLine="1274" w:firstLineChars="398"/>
        <w:rPr>
          <w:rFonts w:eastAsia="仿宋_GB2312"/>
          <w:sz w:val="32"/>
          <w:szCs w:val="32"/>
        </w:rPr>
      </w:pPr>
      <w:r>
        <w:rPr>
          <w:rFonts w:hint="eastAsia" w:eastAsia="仿宋_GB2312"/>
          <w:sz w:val="32"/>
          <w:szCs w:val="32"/>
        </w:rPr>
        <w:t>二、机构设置</w:t>
      </w:r>
    </w:p>
    <w:p>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九、国有资本经营预算财政拨款支出决算表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hint="eastAsia" w:eastAsia="黑体"/>
          <w:sz w:val="32"/>
          <w:szCs w:val="32"/>
        </w:rPr>
        <w:t>第三部分官场乡</w:t>
      </w:r>
      <w:r>
        <w:rPr>
          <w:rFonts w:eastAsia="黑体"/>
          <w:sz w:val="32"/>
          <w:szCs w:val="32"/>
        </w:rPr>
        <w:t>2018</w:t>
      </w:r>
      <w:r>
        <w:rPr>
          <w:rFonts w:hint="eastAsia" w:eastAsia="黑体"/>
          <w:sz w:val="32"/>
          <w:szCs w:val="32"/>
        </w:rPr>
        <w:t>年部门决算情况说明</w:t>
      </w:r>
      <w:r>
        <w:rPr>
          <w:rFonts w:ascii="Times New Roman" w:hAnsi="Times New Roman" w:eastAsia="宋体" w:cs="Times New Roman"/>
          <w:kern w:val="2"/>
          <w:sz w:val="21"/>
          <w:szCs w:val="24"/>
          <w:lang w:val="en-US" w:eastAsia="zh-CN" w:bidi="ar-SA"/>
        </w:rPr>
        <w:pict>
          <v:group id="组合 176" o:spid="_x0000_s1031" style="position:absolute;left:0;margin-left:-80.8pt;margin-top:38.95pt;height:46.7pt;width:222.8pt;mso-position-vertical-relative:page;rotation:0f;z-index:251671552;v-text-anchor:middle;" coordorigin="4551,52615" coordsize="8546,1398203">
            <o:lock v:ext="edit" position="f" selection="f" grouping="f" rotation="f" cropping="f" text="f" aspectratio="f"/>
            <v:rect id="矩形 13" o:spid="_x0000_s1032"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33"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目录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hint="eastAsia"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七、其他重要事项的说明</w:t>
      </w:r>
    </w:p>
    <w:p>
      <w:pPr>
        <w:widowControl/>
        <w:spacing w:line="580" w:lineRule="exact"/>
        <w:ind w:firstLine="640" w:firstLineChars="200"/>
        <w:rPr>
          <w:rFonts w:eastAsia="黑体"/>
          <w:sz w:val="32"/>
          <w:szCs w:val="32"/>
        </w:rPr>
      </w:pPr>
      <w:r>
        <w:rPr>
          <w:rFonts w:hint="eastAsia" w:eastAsia="黑体"/>
          <w:sz w:val="32"/>
          <w:szCs w:val="32"/>
        </w:rPr>
        <w:t>第四部分名词解释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ascii="Times New Roman" w:hAnsi="Times New Roman" w:eastAsia="宋体" w:cs="Times New Roman"/>
          <w:kern w:val="2"/>
          <w:sz w:val="21"/>
          <w:szCs w:val="24"/>
          <w:lang w:val="en-US" w:eastAsia="zh-CN" w:bidi="ar-SA"/>
        </w:rPr>
        <w:pict>
          <v:shape id="图片 12" o:spid="_x0000_s1034" type="#_x0000_t75" style="position:absolute;left:0;margin-left:-80.7pt;margin-top:-106.45pt;height:844.65pt;width:597.3pt;rotation:0f;z-index:-25165619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
    <w:p/>
    <w:p/>
    <w:p/>
    <w:p>
      <w:r>
        <w:rPr>
          <w:rFonts w:ascii="Times New Roman" w:hAnsi="Times New Roman" w:eastAsia="宋体" w:cs="Times New Roman"/>
          <w:kern w:val="2"/>
          <w:sz w:val="21"/>
          <w:szCs w:val="24"/>
          <w:lang w:val="en-US" w:eastAsia="zh-CN" w:bidi="ar-SA"/>
        </w:rPr>
        <w:pict>
          <v:shape id="文本框 118" o:spid="_x0000_s1035" type="#_x0000_t202" style="position:absolute;left:0;margin-left:-97.3pt;margin-top:3.25pt;height:143.1pt;width:613.65pt;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jc w:val="center"/>
                    <w:rPr>
                      <w:rFonts w:ascii="黑体" w:hAnsi="宋体" w:eastAsia="黑体"/>
                      <w:color w:val="FDEFBE"/>
                      <w:sz w:val="96"/>
                      <w:szCs w:val="96"/>
                    </w:rPr>
                  </w:pPr>
                  <w:r>
                    <w:rPr>
                      <w:rFonts w:hint="eastAsia" w:ascii="黑体" w:hAnsi="宋体" w:eastAsia="黑体"/>
                      <w:color w:val="FDEFBE"/>
                      <w:sz w:val="96"/>
                      <w:szCs w:val="96"/>
                    </w:rPr>
                    <w:t>第一部分</w:t>
                  </w:r>
                </w:p>
                <w:p>
                  <w:pPr>
                    <w:widowControl/>
                    <w:jc w:val="center"/>
                    <w:rPr>
                      <w:color w:val="FDEFBE"/>
                      <w:sz w:val="96"/>
                      <w:szCs w:val="96"/>
                    </w:rPr>
                  </w:pPr>
                  <w:r>
                    <w:rPr>
                      <w:rFonts w:hint="eastAsia" w:ascii="黑体" w:hAnsi="宋体" w:eastAsia="黑体"/>
                      <w:color w:val="FDEFBE"/>
                      <w:sz w:val="96"/>
                      <w:szCs w:val="96"/>
                    </w:rPr>
                    <w:t>部门概况</w:t>
                  </w:r>
                </w:p>
              </w:txbxContent>
            </v:textbox>
          </v:shape>
        </w:pict>
      </w:r>
    </w:p>
    <w:p/>
    <w:p/>
    <w:p/>
    <w:p/>
    <w:p/>
    <w:p/>
    <w:p/>
    <w:p/>
    <w:p>
      <w:pPr>
        <w:pStyle w:val="2"/>
        <w:spacing w:before="0" w:after="0" w:line="600" w:lineRule="exact"/>
        <w:jc w:val="left"/>
        <w:rPr>
          <w:rFonts w:ascii="黑体" w:hAnsi="Cambria" w:eastAsia="黑体" w:cs="黑体"/>
          <w:b w:val="0"/>
          <w:bCs w:val="0"/>
          <w:kern w:val="0"/>
          <w:sz w:val="32"/>
          <w:szCs w:val="32"/>
        </w:rPr>
      </w:pPr>
      <w:r>
        <w:rPr>
          <w:rFonts w:ascii="Times New Roman" w:hAnsi="Times New Roman" w:eastAsia="宋体" w:cs="Times New Roman"/>
          <w:b/>
          <w:bCs/>
          <w:kern w:val="44"/>
          <w:sz w:val="44"/>
          <w:szCs w:val="44"/>
          <w:lang w:val="en-US" w:eastAsia="zh-CN" w:bidi="ar-SA"/>
        </w:rPr>
        <w:pict>
          <v:group id="组合 15" o:spid="_x0000_s1036" style="position:absolute;left:0;margin-left:-80.8pt;margin-top:39.5pt;height:46.7pt;width:245.25pt;mso-position-vertical-relative:page;rotation:0f;z-index:251661312;v-text-anchor:middle;" coordorigin="4551,52615" coordsize="8546,1398203">
            <o:lock v:ext="edit" position="f" selection="f" grouping="f" rotation="f" cropping="f" text="f" aspectratio="f"/>
            <v:rect id="矩形 13" o:spid="_x0000_s1037"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38"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部门概况</w:t>
                    </w:r>
                  </w:p>
                  <w:p>
                    <w:pPr>
                      <w:jc w:val="center"/>
                    </w:pPr>
                  </w:p>
                </w:txbxContent>
              </v:textbox>
            </v:rect>
            <w10:anchorlock/>
          </v:group>
        </w:pict>
      </w:r>
      <w:r>
        <w:rPr>
          <w:rFonts w:hint="eastAsia" w:ascii="黑体" w:hAnsi="Cambria" w:eastAsia="黑体" w:cs="黑体"/>
          <w:b w:val="0"/>
          <w:bCs w:val="0"/>
          <w:kern w:val="0"/>
          <w:sz w:val="32"/>
          <w:szCs w:val="32"/>
        </w:rPr>
        <w:t>一、部门职责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1、培训、执法检查、集中视察完成率；法规有效实施的保障情况；建议、意见的处理完成情况等。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2、会议活动完成率、会议部署执行情况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3、反腐败工作开展情况；党风廉政建设情况；廉洁自律开展情况。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4、组织建设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5、征兵工作完成率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6、妇女儿童权益保护情况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7、乡村两级团组织规范化建设完成率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8、用户满意度率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政府职能转化情况；政务公开情况；队伍建设情况。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办公场所及设备运行情况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城镇美化、亮化、硬化建设情况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预决算编制、执行情况及公开情况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统计法制建设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资产使用率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协调督导事项化解率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各项资金发放落实情况，五保、低保人员确定情况，优抚工作开展及资金落实情况等。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劳务输出率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养老保险参保率，人员增减变动核实情况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组织、引导、支持，农民自愿参加新型农村合作医疗，提高农村居民的医疗保障水平；建立大病保险制度；对城乡居民因患大病发生的高额医疗费用给予报销。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推进小城镇和集镇人居环境改善，指导国家级重点镇及省级重点镇的建设；做好县城规划、环境质量、居住水平、产业聚集、风貌特色、综合管理、城建投融资等指导工作，加快城市建设投融资体制改革，全面推进县城建设上水平；协调和指导推进城镇化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定期组织在全乡开展安全生产督导检查活动，对重点行业和作业场所职业卫生安全生产进行督导检查，加强行政执法监察，依法对违法行为实施行政处罚；不断加强安全生产监管能力建设，改善执法检测、监察检查等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文化设施、机构、队伍健全率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改善农村计划怀孕夫妇健康状况，降低出生缺陷发生风险；为推进计生工作，做好宣传教育和咨询服务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村级财务管理法律法规执行情况，财务公开率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推进村级组织建设；负责调解农村土地承包合同纠纷；负责推动和引导农村经济合作组织的发展，提高农村生产组织化程度；增强农村集体组织经济实力，大力发展民营经济，培育和发展农民专业合作组织和中介组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组织开展农业公共信息及培训教育、技术咨询等情况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组织农业病虫害、农业灾害的监测、预报、防治和处理；组织实施农作物、畜牧养殖、森林植物、果品、花卉、种苗及水生植物检疫防疫；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组织护林防火、生态公益林管护及野生动植物、森林、湿地资源及农业环境的保护情况；燃煤锅炉改造进展情况，减少大气污染程度。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ArialUnicodeMS"/>
          <w:kern w:val="0"/>
          <w:sz w:val="32"/>
          <w:szCs w:val="32"/>
        </w:rPr>
      </w:pPr>
      <w:r>
        <w:rPr>
          <w:rFonts w:ascii="仿宋" w:hAnsi="仿宋" w:eastAsia="仿宋" w:cs="ArialUnicodeMS"/>
          <w:kern w:val="0"/>
          <w:sz w:val="32"/>
          <w:szCs w:val="32"/>
        </w:rPr>
        <w:t>居民饮水安全情况；农业生产用水设施减少情况；汛期防汛工作开展情况。</w:t>
      </w:r>
    </w:p>
    <w:p>
      <w:pPr>
        <w:pStyle w:val="2"/>
        <w:spacing w:before="0" w:after="0" w:line="600" w:lineRule="exact"/>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rPr>
          <w:rFonts w:ascii="仿宋_GB2312" w:hAnsi="Cambria" w:eastAsia="仿宋_GB2312" w:cs="ArialUnicodeMS"/>
          <w:kern w:val="0"/>
          <w:sz w:val="32"/>
          <w:szCs w:val="32"/>
        </w:rPr>
      </w:pPr>
      <w:r>
        <w:rPr>
          <w:rFonts w:hint="eastAsia" w:ascii="仿宋" w:hAnsi="仿宋" w:eastAsia="仿宋" w:cs="ArialUnicodeMS"/>
          <w:kern w:val="0"/>
          <w:sz w:val="32"/>
          <w:szCs w:val="32"/>
        </w:rPr>
        <w:t xml:space="preserve">    从决算编报单位构成看，纳入</w:t>
      </w:r>
      <w:r>
        <w:rPr>
          <w:rFonts w:ascii="仿宋" w:hAnsi="仿宋" w:eastAsia="仿宋" w:cs="ArialUnicodeMS"/>
          <w:kern w:val="0"/>
          <w:sz w:val="32"/>
          <w:szCs w:val="32"/>
        </w:rPr>
        <w:t xml:space="preserve">2018 </w:t>
      </w:r>
      <w:r>
        <w:rPr>
          <w:rFonts w:hint="eastAsia" w:ascii="仿宋" w:hAnsi="仿宋" w:eastAsia="仿宋" w:cs="ArialUnicodeMS"/>
          <w:kern w:val="0"/>
          <w:sz w:val="32"/>
          <w:szCs w:val="32"/>
        </w:rPr>
        <w:t>年度本部门决算汇编范围的独立核算单位（以下简称“单位”）共</w:t>
      </w:r>
      <w:r>
        <w:rPr>
          <w:rFonts w:ascii="仿宋" w:hAnsi="仿宋" w:eastAsia="仿宋" w:cs="ArialUnicodeMS"/>
          <w:kern w:val="0"/>
          <w:sz w:val="32"/>
          <w:szCs w:val="32"/>
        </w:rPr>
        <w:t xml:space="preserve"> 1</w:t>
      </w:r>
      <w:r>
        <w:rPr>
          <w:rFonts w:hint="eastAsia" w:ascii="仿宋" w:hAnsi="仿宋" w:eastAsia="仿宋" w:cs="ArialUnicodeMS"/>
          <w:kern w:val="0"/>
          <w:sz w:val="32"/>
          <w:szCs w:val="32"/>
        </w:rPr>
        <w:t>个，无下属独立核算单位，具体情况如下：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1" w:hRule="atLeast"/>
          <w:jc w:val="center"/>
        </w:trPr>
        <w:tc>
          <w:tcPr>
            <w:tcW w:w="985" w:type="dxa"/>
            <w:vAlign w:val="center"/>
          </w:tcPr>
          <w:p>
            <w:pPr>
              <w:spacing w:after="0" w:line="560" w:lineRule="exact"/>
              <w:jc w:val="center"/>
              <w:rPr>
                <w:rFonts w:ascii="宋体" w:hAnsi="宋体" w:eastAsia="宋体" w:cs="ArialUnicodeMS"/>
                <w:b/>
                <w:bCs/>
                <w:kern w:val="0"/>
                <w:sz w:val="28"/>
                <w:szCs w:val="28"/>
              </w:rPr>
            </w:pPr>
            <w:r>
              <w:rPr>
                <w:rFonts w:hint="eastAsia" w:ascii="宋体" w:hAnsi="宋体" w:eastAsia="宋体" w:cs="ArialUnicodeMS"/>
                <w:b/>
                <w:bCs/>
                <w:kern w:val="0"/>
                <w:sz w:val="28"/>
                <w:szCs w:val="28"/>
              </w:rPr>
              <w:t>序号</w:t>
            </w:r>
          </w:p>
        </w:tc>
        <w:tc>
          <w:tcPr>
            <w:tcW w:w="3485" w:type="dxa"/>
            <w:vAlign w:val="center"/>
          </w:tcPr>
          <w:p>
            <w:pPr>
              <w:spacing w:after="0" w:line="560" w:lineRule="exact"/>
              <w:jc w:val="center"/>
              <w:rPr>
                <w:rFonts w:ascii="宋体" w:hAnsi="宋体" w:eastAsia="宋体" w:cs="ArialUnicodeMS"/>
                <w:b/>
                <w:bCs/>
                <w:kern w:val="0"/>
                <w:sz w:val="28"/>
                <w:szCs w:val="28"/>
              </w:rPr>
            </w:pPr>
            <w:r>
              <w:rPr>
                <w:rFonts w:hint="eastAsia" w:ascii="宋体" w:hAnsi="宋体" w:eastAsia="宋体" w:cs="ArialUnicodeMS"/>
                <w:b/>
                <w:bCs/>
                <w:kern w:val="0"/>
                <w:sz w:val="28"/>
                <w:szCs w:val="28"/>
              </w:rPr>
              <w:t>单位名称</w:t>
            </w:r>
          </w:p>
        </w:tc>
        <w:tc>
          <w:tcPr>
            <w:tcW w:w="2445" w:type="dxa"/>
            <w:vAlign w:val="center"/>
          </w:tcPr>
          <w:p>
            <w:pPr>
              <w:spacing w:after="0" w:line="560" w:lineRule="exact"/>
              <w:jc w:val="center"/>
              <w:rPr>
                <w:rFonts w:ascii="宋体" w:hAnsi="宋体" w:eastAsia="宋体" w:cs="ArialUnicodeMS"/>
                <w:b/>
                <w:bCs/>
                <w:kern w:val="0"/>
                <w:sz w:val="28"/>
                <w:szCs w:val="28"/>
              </w:rPr>
            </w:pPr>
            <w:r>
              <w:rPr>
                <w:rFonts w:hint="eastAsia" w:ascii="宋体" w:hAnsi="宋体" w:eastAsia="宋体" w:cs="ArialUnicodeMS"/>
                <w:b/>
                <w:bCs/>
                <w:kern w:val="0"/>
                <w:sz w:val="28"/>
                <w:szCs w:val="28"/>
              </w:rPr>
              <w:t>单位基本性质</w:t>
            </w:r>
          </w:p>
        </w:tc>
        <w:tc>
          <w:tcPr>
            <w:tcW w:w="2665" w:type="dxa"/>
            <w:vAlign w:val="center"/>
          </w:tcPr>
          <w:p>
            <w:pPr>
              <w:spacing w:after="0" w:line="560" w:lineRule="exact"/>
              <w:jc w:val="center"/>
              <w:rPr>
                <w:rFonts w:ascii="宋体" w:hAnsi="宋体" w:eastAsia="宋体" w:cs="ArialUnicodeMS"/>
                <w:b/>
                <w:bCs/>
                <w:kern w:val="0"/>
                <w:sz w:val="28"/>
                <w:szCs w:val="28"/>
              </w:rPr>
            </w:pPr>
            <w:r>
              <w:rPr>
                <w:rFonts w:hint="eastAsia" w:ascii="宋体" w:hAnsi="宋体" w:eastAsia="宋体"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6" w:hRule="atLeast"/>
          <w:jc w:val="center"/>
        </w:trPr>
        <w:tc>
          <w:tcPr>
            <w:tcW w:w="985" w:type="dxa"/>
            <w:vAlign w:val="top"/>
          </w:tcPr>
          <w:p>
            <w:pPr>
              <w:spacing w:after="0" w:line="560" w:lineRule="exact"/>
              <w:jc w:val="center"/>
              <w:rPr>
                <w:rFonts w:ascii="仿宋_GB2312" w:hAnsi="Cambria" w:eastAsia="仿宋_GB2312" w:cs="ArialUnicodeMS"/>
                <w:kern w:val="0"/>
                <w:sz w:val="28"/>
                <w:szCs w:val="28"/>
              </w:rPr>
            </w:pPr>
            <w:r>
              <w:rPr>
                <w:rFonts w:ascii="仿宋_GB2312" w:hAnsi="Cambria" w:eastAsia="仿宋_GB2312" w:cs="ArialUnicodeMS"/>
                <w:kern w:val="0"/>
                <w:sz w:val="28"/>
                <w:szCs w:val="28"/>
              </w:rPr>
              <w:t>1</w:t>
            </w:r>
          </w:p>
        </w:tc>
        <w:tc>
          <w:tcPr>
            <w:tcW w:w="3485" w:type="dxa"/>
            <w:vAlign w:val="top"/>
          </w:tcPr>
          <w:p>
            <w:pPr>
              <w:spacing w:after="0" w:line="560" w:lineRule="exact"/>
              <w:rPr>
                <w:rFonts w:ascii="仿宋_GB2312" w:hAnsi="Cambria" w:eastAsia="仿宋_GB2312" w:cs="ArialUnicodeMS"/>
                <w:kern w:val="0"/>
                <w:sz w:val="28"/>
                <w:szCs w:val="28"/>
              </w:rPr>
            </w:pPr>
            <w:r>
              <w:rPr>
                <w:rFonts w:hint="eastAsia" w:ascii="宋体" w:hAnsi="宋体" w:cs="宋体"/>
                <w:kern w:val="0"/>
                <w:sz w:val="28"/>
                <w:szCs w:val="28"/>
              </w:rPr>
              <w:t>官场乡人民政府</w:t>
            </w:r>
            <w:r>
              <w:rPr>
                <w:rFonts w:ascii="宋体" w:hAnsi="宋体" w:cs="宋体"/>
                <w:kern w:val="0"/>
                <w:sz w:val="28"/>
                <w:szCs w:val="28"/>
              </w:rPr>
              <w:t>(</w:t>
            </w:r>
            <w:r>
              <w:rPr>
                <w:rFonts w:hint="eastAsia" w:ascii="宋体" w:hAnsi="宋体" w:cs="宋体"/>
                <w:kern w:val="0"/>
                <w:sz w:val="28"/>
                <w:szCs w:val="28"/>
              </w:rPr>
              <w:t>本级</w:t>
            </w:r>
            <w:r>
              <w:rPr>
                <w:rFonts w:ascii="宋体" w:hAnsi="宋体" w:cs="宋体"/>
                <w:kern w:val="0"/>
                <w:sz w:val="28"/>
                <w:szCs w:val="28"/>
              </w:rPr>
              <w:t>)</w:t>
            </w:r>
          </w:p>
        </w:tc>
        <w:tc>
          <w:tcPr>
            <w:tcW w:w="2445" w:type="dxa"/>
            <w:vAlign w:val="top"/>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行政单位</w:t>
            </w:r>
          </w:p>
        </w:tc>
        <w:tc>
          <w:tcPr>
            <w:tcW w:w="2665" w:type="dxa"/>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6" w:hRule="atLeast"/>
          <w:jc w:val="center"/>
        </w:trPr>
        <w:tc>
          <w:tcPr>
            <w:tcW w:w="985" w:type="dxa"/>
            <w:vAlign w:val="top"/>
          </w:tcPr>
          <w:p>
            <w:pPr>
              <w:spacing w:after="0" w:line="560" w:lineRule="exact"/>
              <w:jc w:val="center"/>
              <w:rPr>
                <w:rFonts w:ascii="仿宋_GB2312" w:hAnsi="Cambria" w:eastAsia="仿宋_GB2312" w:cs="ArialUnicodeMS"/>
                <w:kern w:val="0"/>
                <w:sz w:val="28"/>
                <w:szCs w:val="28"/>
              </w:rPr>
            </w:pPr>
            <w:r>
              <w:rPr>
                <w:rFonts w:ascii="仿宋_GB2312" w:hAnsi="Cambria" w:eastAsia="仿宋_GB2312" w:cs="ArialUnicodeMS"/>
                <w:kern w:val="0"/>
                <w:sz w:val="28"/>
                <w:szCs w:val="28"/>
              </w:rPr>
              <w:t>2</w:t>
            </w:r>
          </w:p>
        </w:tc>
        <w:tc>
          <w:tcPr>
            <w:tcW w:w="3485" w:type="dxa"/>
            <w:vAlign w:val="top"/>
          </w:tcPr>
          <w:p>
            <w:pPr>
              <w:spacing w:after="0" w:line="560" w:lineRule="exact"/>
              <w:rPr>
                <w:rFonts w:ascii="仿宋_GB2312" w:hAnsi="Cambria" w:eastAsia="仿宋_GB2312" w:cs="ArialUnicodeMS"/>
                <w:kern w:val="0"/>
                <w:sz w:val="28"/>
                <w:szCs w:val="28"/>
              </w:rPr>
            </w:pPr>
          </w:p>
        </w:tc>
        <w:tc>
          <w:tcPr>
            <w:tcW w:w="2445" w:type="dxa"/>
            <w:vAlign w:val="top"/>
          </w:tcPr>
          <w:p>
            <w:pPr>
              <w:spacing w:after="0" w:line="560" w:lineRule="exact"/>
              <w:jc w:val="center"/>
              <w:rPr>
                <w:rFonts w:ascii="仿宋_GB2312" w:hAnsi="Cambria" w:eastAsia="仿宋_GB2312" w:cs="ArialUnicodeMS"/>
                <w:kern w:val="0"/>
                <w:sz w:val="28"/>
                <w:szCs w:val="28"/>
              </w:rPr>
            </w:pPr>
          </w:p>
        </w:tc>
        <w:tc>
          <w:tcPr>
            <w:tcW w:w="2665" w:type="dxa"/>
            <w:vAlign w:val="top"/>
          </w:tcPr>
          <w:p>
            <w:pPr>
              <w:spacing w:after="0" w:line="560" w:lineRule="exact"/>
              <w:jc w:val="center"/>
              <w:rPr>
                <w:rFonts w:ascii="仿宋_GB2312" w:hAnsi="Cambria"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6" w:hRule="atLeast"/>
          <w:jc w:val="center"/>
        </w:trPr>
        <w:tc>
          <w:tcPr>
            <w:tcW w:w="985" w:type="dxa"/>
            <w:vAlign w:val="top"/>
          </w:tcPr>
          <w:p>
            <w:pPr>
              <w:spacing w:after="0" w:line="560" w:lineRule="exact"/>
              <w:jc w:val="center"/>
              <w:rPr>
                <w:rFonts w:ascii="仿宋_GB2312" w:hAnsi="Cambria" w:eastAsia="仿宋_GB2312" w:cs="ArialUnicodeMS"/>
                <w:kern w:val="0"/>
                <w:sz w:val="28"/>
                <w:szCs w:val="28"/>
              </w:rPr>
            </w:pPr>
            <w:r>
              <w:rPr>
                <w:rFonts w:ascii="仿宋_GB2312" w:hAnsi="Cambria" w:eastAsia="仿宋_GB2312" w:cs="ArialUnicodeMS"/>
                <w:kern w:val="0"/>
                <w:sz w:val="28"/>
                <w:szCs w:val="28"/>
              </w:rPr>
              <w:t>3</w:t>
            </w:r>
          </w:p>
        </w:tc>
        <w:tc>
          <w:tcPr>
            <w:tcW w:w="3485" w:type="dxa"/>
            <w:vAlign w:val="top"/>
          </w:tcPr>
          <w:p>
            <w:pPr>
              <w:spacing w:after="0" w:line="560" w:lineRule="exact"/>
              <w:rPr>
                <w:rFonts w:ascii="仿宋_GB2312" w:hAnsi="Cambria" w:eastAsia="仿宋_GB2312" w:cs="ArialUnicodeMS"/>
                <w:kern w:val="0"/>
                <w:sz w:val="28"/>
                <w:szCs w:val="28"/>
              </w:rPr>
            </w:pPr>
          </w:p>
        </w:tc>
        <w:tc>
          <w:tcPr>
            <w:tcW w:w="2445" w:type="dxa"/>
            <w:vAlign w:val="top"/>
          </w:tcPr>
          <w:p>
            <w:pPr>
              <w:spacing w:after="0" w:line="560" w:lineRule="exact"/>
              <w:jc w:val="center"/>
              <w:rPr>
                <w:rFonts w:ascii="仿宋_GB2312" w:hAnsi="Cambria" w:eastAsia="仿宋_GB2312" w:cs="ArialUnicodeMS"/>
                <w:kern w:val="0"/>
                <w:sz w:val="28"/>
                <w:szCs w:val="28"/>
              </w:rPr>
            </w:pPr>
          </w:p>
        </w:tc>
        <w:tc>
          <w:tcPr>
            <w:tcW w:w="2665" w:type="dxa"/>
            <w:vAlign w:val="top"/>
          </w:tcPr>
          <w:p>
            <w:pPr>
              <w:spacing w:after="0" w:line="560" w:lineRule="exact"/>
              <w:jc w:val="center"/>
              <w:rPr>
                <w:rFonts w:ascii="仿宋_GB2312" w:hAnsi="Cambria"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jc w:val="center"/>
        </w:trPr>
        <w:tc>
          <w:tcPr>
            <w:tcW w:w="985" w:type="dxa"/>
            <w:vAlign w:val="top"/>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w:t>
            </w:r>
          </w:p>
        </w:tc>
        <w:tc>
          <w:tcPr>
            <w:tcW w:w="3485" w:type="dxa"/>
            <w:vAlign w:val="top"/>
          </w:tcPr>
          <w:p>
            <w:pPr>
              <w:spacing w:after="0"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w:t>
            </w:r>
          </w:p>
        </w:tc>
        <w:tc>
          <w:tcPr>
            <w:tcW w:w="2445" w:type="dxa"/>
            <w:vAlign w:val="top"/>
          </w:tcPr>
          <w:p>
            <w:pPr>
              <w:spacing w:after="0" w:line="560" w:lineRule="exact"/>
              <w:jc w:val="center"/>
              <w:rPr>
                <w:rFonts w:ascii="仿宋_GB2312" w:hAnsi="Cambria" w:eastAsia="仿宋_GB2312" w:cs="ArialUnicodeMS"/>
                <w:kern w:val="0"/>
                <w:sz w:val="28"/>
                <w:szCs w:val="28"/>
              </w:rPr>
            </w:pPr>
          </w:p>
        </w:tc>
        <w:tc>
          <w:tcPr>
            <w:tcW w:w="2665" w:type="dxa"/>
            <w:vAlign w:val="top"/>
          </w:tcPr>
          <w:p>
            <w:pPr>
              <w:spacing w:after="0" w:line="560" w:lineRule="exact"/>
              <w:jc w:val="center"/>
              <w:rPr>
                <w:rFonts w:ascii="仿宋_GB2312" w:hAnsi="Cambria"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6" w:hRule="atLeast"/>
          <w:jc w:val="center"/>
        </w:trPr>
        <w:tc>
          <w:tcPr>
            <w:tcW w:w="9580" w:type="dxa"/>
            <w:gridSpan w:val="4"/>
            <w:tcBorders>
              <w:left w:val="nil"/>
              <w:bottom w:val="nil"/>
              <w:right w:val="nil"/>
            </w:tcBorders>
            <w:vAlign w:val="top"/>
          </w:tcPr>
          <w:p>
            <w:pPr>
              <w:spacing w:after="0" w:line="560" w:lineRule="exact"/>
              <w:ind w:firstLine="560" w:firstLineChars="200"/>
              <w:jc w:val="left"/>
              <w:rPr>
                <w:rFonts w:ascii="仿宋_GB2312" w:hAnsi="Cambria" w:eastAsia="仿宋_GB2312" w:cs="ArialUnicodeMS"/>
                <w:kern w:val="0"/>
                <w:sz w:val="28"/>
                <w:szCs w:val="28"/>
              </w:rPr>
            </w:pPr>
          </w:p>
        </w:tc>
      </w:tr>
    </w:tbl>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hAnsi="Cambria" w:eastAsia="黑体" w:cs="MS-UIGothic,Bold"/>
          <w:bCs/>
          <w:kern w:val="0"/>
          <w:sz w:val="52"/>
          <w:szCs w:val="52"/>
        </w:rPr>
      </w:pPr>
      <w:r>
        <w:rPr>
          <w:rFonts w:ascii="Times New Roman" w:hAnsi="Times New Roman" w:eastAsia="宋体" w:cs="Times New Roman"/>
          <w:kern w:val="2"/>
          <w:sz w:val="21"/>
          <w:szCs w:val="24"/>
          <w:lang w:val="en-US" w:eastAsia="zh-CN" w:bidi="ar-SA"/>
        </w:rPr>
        <w:pict>
          <v:shape id="图片 16" o:spid="_x0000_s1039" type="#_x0000_t75" style="position:absolute;left:0;margin-left:-80.6pt;margin-top:-104.5pt;height:840.95pt;width:596.15pt;rotation:0f;z-index:-25165312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widowControl/>
        <w:spacing w:line="560" w:lineRule="exact"/>
        <w:jc w:val="center"/>
        <w:rPr>
          <w:rFonts w:ascii="黑体" w:hAnsi="Cambria" w:eastAsia="黑体" w:cs="MS-UIGothic,Bold"/>
          <w:bCs/>
          <w:kern w:val="0"/>
          <w:sz w:val="52"/>
          <w:szCs w:val="52"/>
        </w:rPr>
      </w:pPr>
    </w:p>
    <w:p>
      <w:pPr>
        <w:rPr>
          <w:rFonts w:ascii="宋体" w:cs="ArialUnicodeMS"/>
          <w:color w:val="000000"/>
          <w:kern w:val="0"/>
        </w:rPr>
      </w:pPr>
    </w:p>
    <w:p>
      <w:pPr>
        <w:rPr>
          <w:rFonts w:ascii="宋体" w:cs="ArialUnicodeMS"/>
          <w:color w:val="000000"/>
          <w:kern w:val="0"/>
        </w:rPr>
        <w:sectPr>
          <w:pgSz w:w="11906" w:h="16838"/>
          <w:pgMar w:top="2098" w:right="1474" w:bottom="1984" w:left="1588" w:header="851" w:footer="992" w:gutter="0"/>
          <w:cols w:space="0" w:num="1"/>
          <w:docGrid w:type="lines" w:linePitch="312" w:charSpace="0"/>
        </w:sectPr>
      </w:pPr>
      <w:r>
        <w:rPr>
          <w:rFonts w:ascii="Times New Roman" w:hAnsi="Times New Roman" w:eastAsia="宋体" w:cs="Times New Roman"/>
          <w:kern w:val="2"/>
          <w:sz w:val="21"/>
          <w:szCs w:val="24"/>
          <w:lang w:val="en-US" w:eastAsia="zh-CN" w:bidi="ar-SA"/>
        </w:rPr>
        <w:pict>
          <v:shape id="文本框 17" o:spid="_x0000_s1040" type="#_x0000_t202" style="position:absolute;left:0;margin-left:-74.2pt;margin-top:120.3pt;height:159.1pt;width:596.2pt;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pPr>
                    <w:widowControl/>
                    <w:spacing w:line="1200" w:lineRule="exact"/>
                    <w:jc w:val="center"/>
                    <w:rPr>
                      <w:color w:val="FDEFBE"/>
                      <w:sz w:val="96"/>
                      <w:szCs w:val="96"/>
                    </w:rPr>
                  </w:pPr>
                  <w:r>
                    <w:rPr>
                      <w:rFonts w:ascii="黑体" w:hAnsi="宋体" w:eastAsia="黑体"/>
                      <w:color w:val="FDEFBE"/>
                      <w:sz w:val="96"/>
                      <w:szCs w:val="96"/>
                    </w:rPr>
                    <w:t>2018</w:t>
                  </w:r>
                  <w:r>
                    <w:rPr>
                      <w:rFonts w:hint="eastAsia" w:ascii="黑体" w:hAnsi="宋体" w:eastAsia="黑体"/>
                      <w:color w:val="FDEFBE"/>
                      <w:sz w:val="96"/>
                      <w:szCs w:val="96"/>
                    </w:rPr>
                    <w:t>年度部门决算报表</w:t>
                  </w:r>
                </w:p>
              </w:txbxContent>
            </v:textbox>
          </v:shape>
        </w:pict>
      </w:r>
    </w:p>
    <w:p>
      <w:pPr>
        <w:autoSpaceDE w:val="0"/>
        <w:autoSpaceDN w:val="0"/>
        <w:adjustRightInd w:val="0"/>
        <w:spacing w:after="0" w:line="240" w:lineRule="auto"/>
        <w:jc w:val="left"/>
        <w:rPr>
          <w:rFonts w:ascii="仿宋" w:hAnsi="仿宋" w:eastAsia="仿宋" w:cs="仿宋_GB2312"/>
          <w:color w:val="000000"/>
          <w:kern w:val="0"/>
          <w:sz w:val="32"/>
          <w:szCs w:val="32"/>
        </w:rPr>
      </w:pPr>
      <w:r>
        <w:rPr>
          <w:rFonts w:hint="eastAsia" w:ascii="仿宋" w:hAnsi="仿宋" w:eastAsia="仿宋" w:cs="宋体"/>
          <w:color w:val="000000"/>
          <w:kern w:val="0"/>
          <w:sz w:val="32"/>
          <w:szCs w:val="32"/>
        </w:rPr>
        <w:t>详见附件</w:t>
      </w:r>
      <w:r>
        <w:rPr>
          <w:rFonts w:hint="eastAsia" w:ascii="仿宋" w:hAnsi="仿宋" w:eastAsia="仿宋" w:cs="___WRD_EMBED_SUB_39"/>
          <w:color w:val="000000"/>
          <w:kern w:val="0"/>
          <w:sz w:val="32"/>
          <w:szCs w:val="32"/>
        </w:rPr>
        <w:t>：</w:t>
      </w:r>
      <w:r>
        <w:rPr>
          <w:rFonts w:hint="eastAsia" w:ascii="仿宋" w:hAnsi="仿宋" w:eastAsia="仿宋" w:cs="ArialUnicodeMS"/>
          <w:kern w:val="0"/>
          <w:sz w:val="32"/>
          <w:szCs w:val="32"/>
        </w:rPr>
        <w:t>青龙满族自治县</w:t>
      </w:r>
      <w:r>
        <w:rPr>
          <w:rFonts w:hint="eastAsia" w:ascii="华文仿宋" w:hAnsi="华文仿宋" w:eastAsia="华文仿宋" w:cs="ArialUnicodeMS"/>
          <w:kern w:val="0"/>
          <w:sz w:val="32"/>
          <w:szCs w:val="32"/>
        </w:rPr>
        <w:t>官场乡人民政府</w:t>
      </w:r>
      <w:r>
        <w:rPr>
          <w:rFonts w:ascii="仿宋" w:hAnsi="仿宋" w:eastAsia="仿宋" w:cs="仿宋_GB2312"/>
          <w:color w:val="000000"/>
          <w:kern w:val="0"/>
          <w:sz w:val="32"/>
          <w:szCs w:val="32"/>
        </w:rPr>
        <w:t xml:space="preserve">2018 </w:t>
      </w:r>
      <w:r>
        <w:rPr>
          <w:rFonts w:hint="eastAsia" w:ascii="仿宋" w:hAnsi="仿宋" w:eastAsia="仿宋" w:cs="仿宋_GB2312"/>
          <w:color w:val="000000"/>
          <w:kern w:val="0"/>
          <w:sz w:val="32"/>
          <w:szCs w:val="32"/>
        </w:rPr>
        <w:t>年度部门决算公开报表（</w:t>
      </w:r>
      <w:r>
        <w:rPr>
          <w:rFonts w:ascii="仿宋" w:hAnsi="仿宋" w:eastAsia="仿宋" w:cs="仿宋_GB2312"/>
          <w:color w:val="000000"/>
          <w:kern w:val="0"/>
          <w:sz w:val="32"/>
          <w:szCs w:val="32"/>
        </w:rPr>
        <w:t xml:space="preserve">10 </w:t>
      </w:r>
      <w:r>
        <w:rPr>
          <w:rFonts w:hint="eastAsia" w:ascii="仿宋" w:hAnsi="仿宋" w:eastAsia="仿宋" w:cs="宋体"/>
          <w:color w:val="000000"/>
          <w:kern w:val="0"/>
          <w:sz w:val="32"/>
          <w:szCs w:val="32"/>
        </w:rPr>
        <w:t>张</w:t>
      </w:r>
      <w:r>
        <w:rPr>
          <w:rFonts w:hint="eastAsia" w:ascii="仿宋" w:hAnsi="仿宋" w:eastAsia="仿宋" w:cs="___WRD_EMBED_SUB_39"/>
          <w:color w:val="000000"/>
          <w:kern w:val="0"/>
          <w:sz w:val="32"/>
          <w:szCs w:val="32"/>
        </w:rPr>
        <w:t>）</w:t>
      </w:r>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tab/>
      </w:r>
    </w:p>
    <w:p>
      <w:pPr>
        <w:rPr>
          <w:rFonts w:ascii="宋体" w:cs="ArialUnicodeMS"/>
          <w:color w:val="000000"/>
          <w:kern w:val="0"/>
        </w:rPr>
        <w:sectPr>
          <w:pgSz w:w="11906" w:h="16838"/>
          <w:pgMar w:top="2098" w:right="1474" w:bottom="1984" w:left="1588" w:header="851" w:footer="992" w:gutter="0"/>
          <w:cols w:space="0" w:num="1"/>
          <w:docGrid w:type="lines" w:linePitch="312" w:charSpace="0"/>
        </w:sectPr>
      </w:pPr>
      <w:r>
        <w:rPr>
          <w:rFonts w:ascii="Times New Roman" w:hAnsi="Times New Roman" w:eastAsia="宋体" w:cs="Times New Roman"/>
          <w:kern w:val="2"/>
          <w:sz w:val="21"/>
          <w:szCs w:val="24"/>
          <w:lang w:val="en-US" w:eastAsia="zh-CN" w:bidi="ar-SA"/>
        </w:rPr>
        <w:pict>
          <v:shape id="图片 4" o:spid="_x0000_s1041" type="#_x0000_t75" style="position:absolute;left:0;margin-left:-79.45pt;margin-top:-105.35pt;height:840.95pt;width:594.5pt;rotation:0f;z-index:-25165107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shape id="文本框 5" o:spid="_x0000_s1042" type="#_x0000_t202" style="position:absolute;left:0;margin-left:-78.7pt;margin-top:232.8pt;height:159.1pt;width:596.2pt;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v:textbox>
          </v:shape>
        </w:pict>
      </w:r>
    </w:p>
    <w:p>
      <w:pPr>
        <w:pStyle w:val="3"/>
        <w:spacing w:before="0" w:after="0" w:line="52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w:t>
      </w:r>
      <w:r>
        <w:rPr>
          <w:rFonts w:ascii="Calibri" w:hAnsi="Calibri" w:eastAsia="宋体" w:cs="Times New Roman"/>
          <w:b/>
          <w:bCs/>
          <w:kern w:val="2"/>
          <w:sz w:val="32"/>
          <w:szCs w:val="32"/>
          <w:lang w:val="en-US" w:eastAsia="zh-CN" w:bidi="ar-SA"/>
        </w:rPr>
        <w:pict>
          <v:group id="组合 18" o:spid="_x0000_s1043" style="position:absolute;left:0;margin-left:-79.65pt;margin-top:29.35pt;height:50.8pt;width:301.85pt;mso-position-vertical-relative:page;rotation:0f;z-index:251680768;v-text-anchor:middle;" coordorigin="4551,52615" coordsize="8546,1398203">
            <o:lock v:ext="edit" position="f" selection="f" grouping="f" rotation="f" cropping="f" text="f" aspectratio="f"/>
            <v:rect id="矩形 13" o:spid="_x0000_s1044"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45"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黑体" w:hAnsi="Cambria" w:eastAsia="黑体" w:cs="黑体"/>
          <w:b w:val="0"/>
          <w:bCs w:val="0"/>
          <w:kern w:val="0"/>
        </w:rPr>
        <w:t>出</w:t>
      </w:r>
      <w:r>
        <w:rPr>
          <w:rFonts w:hint="eastAsia" w:ascii="黑体" w:eastAsia="黑体"/>
          <w:b w:val="0"/>
          <w:bCs w:val="0"/>
        </w:rPr>
        <w:t>决算总体情况说明</w:t>
      </w:r>
    </w:p>
    <w:p>
      <w:pPr>
        <w:adjustRightInd w:val="0"/>
        <w:snapToGrid w:val="0"/>
        <w:spacing w:after="0" w:line="52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2018</w:t>
      </w:r>
      <w:r>
        <w:rPr>
          <w:rFonts w:hint="eastAsia" w:ascii="仿宋" w:hAnsi="仿宋" w:eastAsia="仿宋" w:cs="DengXian-Regular"/>
          <w:sz w:val="32"/>
          <w:szCs w:val="32"/>
        </w:rPr>
        <w:t>年度决算收入总计742.45万元，决算支出总计778.33万元，年初结转和结余36.11万元，年末结转和结余0.23万元。与</w:t>
      </w:r>
      <w:r>
        <w:rPr>
          <w:rFonts w:ascii="仿宋" w:hAnsi="仿宋" w:eastAsia="仿宋" w:cs="DengXian-Regular"/>
          <w:sz w:val="32"/>
          <w:szCs w:val="32"/>
        </w:rPr>
        <w:t>2017</w:t>
      </w:r>
      <w:r>
        <w:rPr>
          <w:rFonts w:hint="eastAsia" w:ascii="仿宋" w:hAnsi="仿宋" w:eastAsia="仿宋" w:cs="DengXian-Regular"/>
          <w:sz w:val="32"/>
          <w:szCs w:val="32"/>
        </w:rPr>
        <w:t>年度决算相比，</w:t>
      </w:r>
      <w:r>
        <w:rPr>
          <w:rFonts w:ascii="仿宋" w:hAnsi="仿宋" w:eastAsia="仿宋" w:cs="DengXian-Regular"/>
          <w:sz w:val="32"/>
          <w:szCs w:val="32"/>
        </w:rPr>
        <w:t>2018</w:t>
      </w:r>
      <w:r>
        <w:rPr>
          <w:rFonts w:hint="eastAsia" w:ascii="仿宋" w:hAnsi="仿宋" w:eastAsia="仿宋" w:cs="DengXian-Regular"/>
          <w:sz w:val="32"/>
          <w:szCs w:val="32"/>
        </w:rPr>
        <w:t>年收入增加402.02万元，同比增长118.1</w:t>
      </w:r>
      <w:r>
        <w:rPr>
          <w:rFonts w:ascii="仿宋" w:hAnsi="仿宋" w:eastAsia="仿宋" w:cs="DengXian-Regular"/>
          <w:sz w:val="32"/>
          <w:szCs w:val="32"/>
        </w:rPr>
        <w:t>%</w:t>
      </w:r>
      <w:r>
        <w:rPr>
          <w:rFonts w:hint="eastAsia" w:ascii="仿宋" w:hAnsi="仿宋" w:eastAsia="仿宋" w:cs="DengXian-Regular"/>
          <w:sz w:val="32"/>
          <w:szCs w:val="32"/>
        </w:rPr>
        <w:t>，主要原因是：增加了一般公共服</w:t>
      </w:r>
      <w:r>
        <w:rPr>
          <w:rFonts w:ascii="仿宋" w:hAnsi="仿宋" w:eastAsia="仿宋" w:cs="DengXian-Regular"/>
          <w:sz w:val="32"/>
          <w:szCs w:val="32"/>
        </w:rPr>
        <w:t>务支出、</w:t>
      </w:r>
      <w:r>
        <w:rPr>
          <w:rFonts w:hint="eastAsia" w:ascii="仿宋" w:hAnsi="仿宋" w:eastAsia="仿宋" w:cs="DengXian-Regular"/>
          <w:sz w:val="32"/>
          <w:szCs w:val="32"/>
        </w:rPr>
        <w:t>政府办公厅（室）及相关机构事物支出、</w:t>
      </w:r>
      <w:r>
        <w:rPr>
          <w:rFonts w:ascii="仿宋" w:hAnsi="仿宋" w:eastAsia="仿宋" w:cs="DengXian-Regular"/>
          <w:sz w:val="32"/>
          <w:szCs w:val="32"/>
        </w:rPr>
        <w:t>社会保障和就业支出、</w:t>
      </w:r>
      <w:r>
        <w:rPr>
          <w:rFonts w:hint="eastAsia" w:ascii="仿宋" w:hAnsi="仿宋" w:eastAsia="仿宋" w:cs="DengXian-Regular"/>
          <w:sz w:val="32"/>
          <w:szCs w:val="32"/>
        </w:rPr>
        <w:t>行政事业单位离退休、</w:t>
      </w:r>
      <w:r>
        <w:rPr>
          <w:rFonts w:ascii="仿宋" w:hAnsi="仿宋" w:eastAsia="仿宋" w:cs="DengXian-Regular"/>
          <w:sz w:val="32"/>
          <w:szCs w:val="32"/>
        </w:rPr>
        <w:t>医疗卫生与计划生育支出、农林水支出上浮</w:t>
      </w:r>
      <w:r>
        <w:rPr>
          <w:rFonts w:hint="eastAsia" w:ascii="仿宋" w:hAnsi="仿宋" w:eastAsia="仿宋" w:cs="DengXian-Regular"/>
          <w:sz w:val="32"/>
          <w:szCs w:val="32"/>
        </w:rPr>
        <w:t>。</w:t>
      </w:r>
      <w:r>
        <w:rPr>
          <w:rFonts w:ascii="仿宋" w:hAnsi="仿宋" w:eastAsia="仿宋" w:cs="DengXian-Regular"/>
          <w:sz w:val="32"/>
          <w:szCs w:val="32"/>
        </w:rPr>
        <w:t xml:space="preserve"> </w:t>
      </w:r>
    </w:p>
    <w:p>
      <w:pPr>
        <w:pStyle w:val="3"/>
        <w:spacing w:before="0" w:after="0" w:line="52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2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年度本年收入合计742.45万元，其中：财政拨款收入742.45万元，占</w:t>
      </w:r>
      <w:r>
        <w:rPr>
          <w:rFonts w:ascii="仿宋_GB2312" w:eastAsia="仿宋_GB2312" w:cs="DengXian-Regular"/>
          <w:sz w:val="32"/>
          <w:szCs w:val="32"/>
        </w:rPr>
        <w:t>100%</w:t>
      </w:r>
      <w:r>
        <w:rPr>
          <w:rFonts w:hint="eastAsia" w:ascii="仿宋_GB2312" w:eastAsia="仿宋_GB2312" w:cs="DengXian-Regular"/>
          <w:sz w:val="32"/>
          <w:szCs w:val="32"/>
        </w:rPr>
        <w:t>。</w:t>
      </w:r>
      <w:r>
        <w:rPr>
          <w:rFonts w:ascii="仿宋_GB2312" w:eastAsia="仿宋_GB2312" w:cs="DengXian-Regular"/>
          <w:sz w:val="32"/>
          <w:szCs w:val="32"/>
        </w:rPr>
        <w:t xml:space="preserve"> </w:t>
      </w:r>
    </w:p>
    <w:p>
      <w:pPr>
        <w:pStyle w:val="3"/>
        <w:spacing w:before="0" w:after="0" w:line="52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2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年度本年支出合计778.33万元，其中：基本支出578.33万元，占74.30</w:t>
      </w:r>
      <w:r>
        <w:rPr>
          <w:rFonts w:ascii="仿宋_GB2312" w:eastAsia="仿宋_GB2312" w:cs="DengXian-Regular"/>
          <w:sz w:val="32"/>
          <w:szCs w:val="32"/>
        </w:rPr>
        <w:t>%</w:t>
      </w:r>
      <w:r>
        <w:rPr>
          <w:rFonts w:hint="eastAsia" w:ascii="仿宋_GB2312" w:eastAsia="仿宋_GB2312" w:cs="DengXian-Regular"/>
          <w:sz w:val="32"/>
          <w:szCs w:val="32"/>
        </w:rPr>
        <w:t>；项目支出200万元，占25.70</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 xml:space="preserve"> </w:t>
      </w:r>
    </w:p>
    <w:p>
      <w:pPr>
        <w:pStyle w:val="3"/>
        <w:spacing w:before="0" w:after="0" w:line="52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拨款收入支出决算情况说明</w:t>
      </w:r>
    </w:p>
    <w:p>
      <w:pPr>
        <w:spacing w:after="0" w:line="520" w:lineRule="exact"/>
        <w:ind w:firstLine="641"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2017 </w:t>
      </w:r>
      <w:r>
        <w:rPr>
          <w:rFonts w:hint="eastAsia" w:ascii="楷体_GB2312" w:eastAsia="楷体_GB2312" w:cs="DengXian-Bold"/>
          <w:b/>
          <w:bCs/>
          <w:sz w:val="32"/>
          <w:szCs w:val="32"/>
        </w:rPr>
        <w:t>年度决算对比情况</w:t>
      </w:r>
    </w:p>
    <w:p>
      <w:pPr>
        <w:widowControl/>
        <w:spacing w:line="520" w:lineRule="exact"/>
        <w:jc w:val="left"/>
        <w:rPr>
          <w:rFonts w:ascii="仿宋" w:hAnsi="仿宋" w:eastAsia="仿宋" w:cs="DengXian-Regular"/>
          <w:sz w:val="32"/>
          <w:szCs w:val="32"/>
        </w:rPr>
      </w:pPr>
      <w:r>
        <w:rPr>
          <w:rFonts w:hint="eastAsia" w:ascii="仿宋" w:hAnsi="仿宋" w:eastAsia="仿宋" w:cs="DengXian-Regular"/>
          <w:sz w:val="32"/>
          <w:szCs w:val="32"/>
        </w:rPr>
        <w:t xml:space="preserve">    本部门</w:t>
      </w:r>
      <w:r>
        <w:rPr>
          <w:rFonts w:ascii="仿宋" w:hAnsi="仿宋" w:eastAsia="仿宋" w:cs="DengXian-Regular"/>
          <w:sz w:val="32"/>
          <w:szCs w:val="32"/>
        </w:rPr>
        <w:t>2018</w:t>
      </w:r>
      <w:r>
        <w:rPr>
          <w:rFonts w:hint="eastAsia" w:ascii="仿宋" w:hAnsi="仿宋" w:eastAsia="仿宋" w:cs="DengXian-Regular"/>
          <w:sz w:val="32"/>
          <w:szCs w:val="32"/>
        </w:rPr>
        <w:t>年度形成的财政拨款收支均为一般公共预算财政拨款，其中一般公共预算财政拨款本年收入742.33万元</w:t>
      </w:r>
      <w:r>
        <w:rPr>
          <w:rFonts w:ascii="仿宋" w:hAnsi="仿宋" w:eastAsia="仿宋" w:cs="DengXian-Regular"/>
          <w:sz w:val="32"/>
          <w:szCs w:val="32"/>
        </w:rPr>
        <w:t>,</w:t>
      </w:r>
      <w:r>
        <w:rPr>
          <w:rFonts w:hint="eastAsia" w:ascii="仿宋" w:hAnsi="仿宋" w:eastAsia="仿宋" w:cs="DengXian-Regular"/>
          <w:sz w:val="32"/>
          <w:szCs w:val="32"/>
        </w:rPr>
        <w:t>比</w:t>
      </w:r>
      <w:r>
        <w:rPr>
          <w:rFonts w:ascii="仿宋" w:hAnsi="仿宋" w:eastAsia="仿宋" w:cs="DengXian-Regular"/>
          <w:sz w:val="32"/>
          <w:szCs w:val="32"/>
        </w:rPr>
        <w:t>2017</w:t>
      </w:r>
      <w:r>
        <w:rPr>
          <w:rFonts w:hint="eastAsia" w:ascii="仿宋" w:hAnsi="仿宋" w:eastAsia="仿宋" w:cs="DengXian-Regular"/>
          <w:sz w:val="32"/>
          <w:szCs w:val="32"/>
        </w:rPr>
        <w:t>年度增加402.02万元，增长118.09</w:t>
      </w:r>
      <w:r>
        <w:rPr>
          <w:rFonts w:ascii="仿宋" w:hAnsi="仿宋" w:eastAsia="仿宋" w:cs="DengXian-Regular"/>
          <w:sz w:val="32"/>
          <w:szCs w:val="32"/>
        </w:rPr>
        <w:t>%</w:t>
      </w:r>
      <w:r>
        <w:rPr>
          <w:rFonts w:hint="eastAsia" w:ascii="仿宋" w:hAnsi="仿宋" w:eastAsia="仿宋" w:cs="DengXian-Regular"/>
          <w:sz w:val="32"/>
          <w:szCs w:val="32"/>
        </w:rPr>
        <w:t>，主要是增加了一般公共服</w:t>
      </w:r>
      <w:r>
        <w:rPr>
          <w:rFonts w:ascii="仿宋" w:hAnsi="仿宋" w:eastAsia="仿宋" w:cs="DengXian-Regular"/>
          <w:sz w:val="32"/>
          <w:szCs w:val="32"/>
        </w:rPr>
        <w:t>务支出、</w:t>
      </w:r>
      <w:r>
        <w:rPr>
          <w:rFonts w:hint="eastAsia" w:ascii="仿宋" w:hAnsi="仿宋" w:eastAsia="仿宋" w:cs="DengXian-Regular"/>
          <w:sz w:val="32"/>
          <w:szCs w:val="32"/>
        </w:rPr>
        <w:t>政府办公厅（室）及相关机构事物支出、</w:t>
      </w:r>
      <w:r>
        <w:rPr>
          <w:rFonts w:ascii="仿宋" w:hAnsi="仿宋" w:eastAsia="仿宋" w:cs="DengXian-Regular"/>
          <w:sz w:val="32"/>
          <w:szCs w:val="32"/>
        </w:rPr>
        <w:t>社会保障和就业支出、</w:t>
      </w:r>
      <w:r>
        <w:rPr>
          <w:rFonts w:hint="eastAsia" w:ascii="仿宋" w:hAnsi="仿宋" w:eastAsia="仿宋" w:cs="DengXian-Regular"/>
          <w:sz w:val="32"/>
          <w:szCs w:val="32"/>
        </w:rPr>
        <w:t>行政事业单位离退休、</w:t>
      </w:r>
      <w:r>
        <w:rPr>
          <w:rFonts w:ascii="仿宋" w:hAnsi="仿宋" w:eastAsia="仿宋" w:cs="DengXian-Regular"/>
          <w:sz w:val="32"/>
          <w:szCs w:val="32"/>
        </w:rPr>
        <w:t xml:space="preserve">医疗卫生与计划生育支出、农林水支出上浮。 </w:t>
      </w:r>
    </w:p>
    <w:p>
      <w:pPr>
        <w:spacing w:after="0" w:line="520" w:lineRule="exact"/>
        <w:ind w:firstLine="641" w:firstLineChars="200"/>
        <w:rPr>
          <w:rFonts w:ascii="楷体_GB2312" w:eastAsia="楷体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2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2018</w:t>
      </w:r>
      <w:r>
        <w:rPr>
          <w:rFonts w:hint="eastAsia" w:ascii="仿宋" w:hAnsi="仿宋" w:eastAsia="仿宋" w:cs="DengXian-Regular"/>
          <w:sz w:val="32"/>
          <w:szCs w:val="32"/>
        </w:rPr>
        <w:t>年度一般公共预算财政拨款收入742.45万元，完成年初预算的178.6</w:t>
      </w:r>
      <w:r>
        <w:rPr>
          <w:rFonts w:ascii="仿宋" w:hAnsi="仿宋" w:eastAsia="仿宋" w:cs="DengXian-Regular"/>
          <w:sz w:val="32"/>
          <w:szCs w:val="32"/>
        </w:rPr>
        <w:t>%,</w:t>
      </w:r>
      <w:r>
        <w:rPr>
          <w:rFonts w:hint="eastAsia" w:ascii="仿宋" w:hAnsi="仿宋" w:eastAsia="仿宋" w:cs="DengXian-Regular"/>
          <w:sz w:val="32"/>
          <w:szCs w:val="32"/>
        </w:rPr>
        <w:t>比年初预算增加326.88万元，决算数大于预算数主要原因是人员经费，日常公共经费增加；本年支出778.33万元，完成年初预算的187.34</w:t>
      </w:r>
      <w:r>
        <w:rPr>
          <w:rFonts w:ascii="仿宋" w:hAnsi="仿宋" w:eastAsia="仿宋" w:cs="DengXian-Regular"/>
          <w:sz w:val="32"/>
          <w:szCs w:val="32"/>
        </w:rPr>
        <w:t>%,</w:t>
      </w:r>
      <w:r>
        <w:rPr>
          <w:rFonts w:hint="eastAsia" w:ascii="仿宋" w:hAnsi="仿宋" w:eastAsia="仿宋" w:cs="DengXian-Regular"/>
          <w:sz w:val="32"/>
          <w:szCs w:val="32"/>
        </w:rPr>
        <w:t>比年初预算增加362.99万元，决算数大于</w:t>
      </w:r>
      <w:r>
        <w:rPr>
          <w:rFonts w:ascii="仿宋" w:hAnsi="仿宋" w:eastAsia="仿宋" w:cs="Times New Roman"/>
          <w:kern w:val="2"/>
          <w:sz w:val="21"/>
          <w:szCs w:val="24"/>
          <w:lang w:val="en-US" w:eastAsia="zh-CN" w:bidi="ar-SA"/>
        </w:rPr>
        <w:pict>
          <v:group id="组合 76" o:spid="_x0000_s1046" style="position:absolute;left:0;margin-left:-79.65pt;margin-top:29.35pt;height:43.95pt;width:301.85pt;mso-position-vertical-relative:page;rotation:0f;z-index:251673600;v-text-anchor:middle;" coordorigin="4551,52615" coordsize="8546,1398203">
            <o:lock v:ext="edit" position="f" selection="f" grouping="f" rotation="f" cropping="f" text="f" aspectratio="f"/>
            <v:rect id="矩形 13" o:spid="_x0000_s1047"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48"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 w:hAnsi="仿宋" w:eastAsia="仿宋" w:cs="DengXian-Regular"/>
          <w:sz w:val="32"/>
          <w:szCs w:val="32"/>
        </w:rPr>
        <w:t>预算数主要原因是人员经费，日常公共经费增加。</w:t>
      </w:r>
    </w:p>
    <w:p>
      <w:pPr>
        <w:numPr>
          <w:ilvl w:val="0"/>
          <w:numId w:val="1"/>
        </w:numPr>
        <w:adjustRightInd w:val="0"/>
        <w:snapToGrid w:val="0"/>
        <w:spacing w:after="0" w:line="520" w:lineRule="exact"/>
        <w:ind w:left="420" w:leftChars="200"/>
        <w:rPr>
          <w:rFonts w:ascii="仿宋" w:hAnsi="仿宋" w:eastAsia="仿宋" w:cs="DengXian-Bold"/>
          <w:b/>
          <w:bCs/>
          <w:sz w:val="32"/>
          <w:szCs w:val="32"/>
        </w:rPr>
      </w:pPr>
      <w:r>
        <w:rPr>
          <w:rFonts w:hint="eastAsia" w:ascii="仿宋" w:hAnsi="仿宋" w:eastAsia="仿宋" w:cs="DengXian-Bold"/>
          <w:b/>
          <w:bCs/>
          <w:sz w:val="32"/>
          <w:szCs w:val="32"/>
        </w:rPr>
        <w:t>财政拨款支出决算结构情况。</w:t>
      </w:r>
    </w:p>
    <w:p>
      <w:pPr>
        <w:adjustRightInd w:val="0"/>
        <w:snapToGrid w:val="0"/>
        <w:spacing w:after="0" w:line="520" w:lineRule="exact"/>
        <w:ind w:firstLine="640" w:firstLineChars="200"/>
        <w:rPr>
          <w:rFonts w:ascii="仿宋" w:hAnsi="仿宋" w:eastAsia="仿宋" w:cs="DengXian-Regular"/>
          <w:sz w:val="32"/>
          <w:szCs w:val="32"/>
        </w:rPr>
      </w:pPr>
      <w:r>
        <w:rPr>
          <w:rFonts w:ascii="仿宋" w:hAnsi="仿宋" w:eastAsia="仿宋" w:cs="DengXian-Regular"/>
          <w:sz w:val="32"/>
          <w:szCs w:val="32"/>
        </w:rPr>
        <w:t xml:space="preserve">2018 </w:t>
      </w:r>
      <w:r>
        <w:rPr>
          <w:rFonts w:hint="eastAsia" w:ascii="仿宋" w:hAnsi="仿宋" w:eastAsia="仿宋" w:cs="DengXian-Regular"/>
          <w:sz w:val="32"/>
          <w:szCs w:val="32"/>
        </w:rPr>
        <w:t>年度财政拨款支出778.33万元，主要用于以下方面：一般公共服务支出264.89万元，占34.03</w:t>
      </w:r>
      <w:r>
        <w:rPr>
          <w:rFonts w:ascii="仿宋" w:hAnsi="仿宋" w:eastAsia="仿宋" w:cs="DengXian-Regular"/>
          <w:sz w:val="32"/>
          <w:szCs w:val="32"/>
        </w:rPr>
        <w:t>%</w:t>
      </w:r>
      <w:r>
        <w:rPr>
          <w:rFonts w:hint="eastAsia" w:ascii="仿宋" w:hAnsi="仿宋" w:eastAsia="仿宋" w:cs="DengXian-Regular"/>
          <w:sz w:val="32"/>
          <w:szCs w:val="32"/>
        </w:rPr>
        <w:t>；社会保障和就业支出71.90万元，占9.24</w:t>
      </w:r>
      <w:r>
        <w:rPr>
          <w:rFonts w:ascii="仿宋" w:hAnsi="仿宋" w:eastAsia="仿宋" w:cs="DengXian-Regular"/>
          <w:sz w:val="32"/>
          <w:szCs w:val="32"/>
        </w:rPr>
        <w:t>%</w:t>
      </w:r>
      <w:r>
        <w:rPr>
          <w:rFonts w:hint="eastAsia" w:ascii="仿宋" w:hAnsi="仿宋" w:eastAsia="仿宋" w:cs="DengXian-Regular"/>
          <w:sz w:val="32"/>
          <w:szCs w:val="32"/>
        </w:rPr>
        <w:t>；医疗卫生和计划生育支出22.02万元，占2.83</w:t>
      </w:r>
      <w:r>
        <w:rPr>
          <w:rFonts w:ascii="仿宋" w:hAnsi="仿宋" w:eastAsia="仿宋" w:cs="DengXian-Regular"/>
          <w:sz w:val="32"/>
          <w:szCs w:val="32"/>
        </w:rPr>
        <w:t>%;</w:t>
      </w:r>
      <w:r>
        <w:rPr>
          <w:rFonts w:hint="eastAsia" w:ascii="仿宋" w:hAnsi="仿宋" w:eastAsia="仿宋" w:cs="DengXian-Regular"/>
          <w:sz w:val="32"/>
          <w:szCs w:val="32"/>
        </w:rPr>
        <w:t>节能环保支出18万元，占2.31</w:t>
      </w:r>
      <w:r>
        <w:rPr>
          <w:rFonts w:ascii="仿宋" w:hAnsi="仿宋" w:eastAsia="仿宋" w:cs="DengXian-Regular"/>
          <w:sz w:val="32"/>
          <w:szCs w:val="32"/>
        </w:rPr>
        <w:t>%</w:t>
      </w:r>
      <w:r>
        <w:rPr>
          <w:rFonts w:hint="eastAsia" w:ascii="仿宋" w:hAnsi="仿宋" w:eastAsia="仿宋" w:cs="DengXian-Regular"/>
          <w:sz w:val="32"/>
          <w:szCs w:val="32"/>
        </w:rPr>
        <w:t>；农林水支出221.52万元，占28.46</w:t>
      </w:r>
      <w:r>
        <w:rPr>
          <w:rFonts w:ascii="仿宋" w:hAnsi="仿宋" w:eastAsia="仿宋" w:cs="DengXian-Regular"/>
          <w:sz w:val="32"/>
          <w:szCs w:val="32"/>
        </w:rPr>
        <w:t>%</w:t>
      </w:r>
      <w:r>
        <w:rPr>
          <w:rFonts w:hint="eastAsia" w:ascii="仿宋" w:hAnsi="仿宋" w:eastAsia="仿宋" w:cs="DengXian-Regular"/>
          <w:sz w:val="32"/>
          <w:szCs w:val="32"/>
        </w:rPr>
        <w:t>；其他支出180万,占23.13</w:t>
      </w:r>
      <w:r>
        <w:rPr>
          <w:rFonts w:ascii="仿宋" w:hAnsi="仿宋" w:eastAsia="仿宋" w:cs="DengXian-Regular"/>
          <w:sz w:val="32"/>
          <w:szCs w:val="32"/>
        </w:rPr>
        <w:t>%</w:t>
      </w:r>
      <w:r>
        <w:rPr>
          <w:rFonts w:hint="eastAsia" w:ascii="仿宋" w:hAnsi="仿宋" w:eastAsia="仿宋" w:cs="DengXian-Regular"/>
          <w:sz w:val="32"/>
          <w:szCs w:val="32"/>
        </w:rPr>
        <w:t>。</w:t>
      </w:r>
    </w:p>
    <w:p>
      <w:pPr>
        <w:adjustRightInd w:val="0"/>
        <w:snapToGrid w:val="0"/>
        <w:spacing w:after="0" w:line="520" w:lineRule="exact"/>
        <w:ind w:firstLine="420" w:firstLineChars="200"/>
        <w:rPr>
          <w:rFonts w:ascii="仿宋" w:hAnsi="仿宋" w:eastAsia="仿宋" w:cs="DengXian-Regular"/>
          <w:sz w:val="32"/>
          <w:szCs w:val="32"/>
        </w:rPr>
      </w:pPr>
      <w:r>
        <w:rPr>
          <w:rFonts w:ascii="Times New Roman" w:hAnsi="Times New Roman" w:eastAsia="宋体" w:cs="Times New Roman"/>
          <w:kern w:val="2"/>
          <w:sz w:val="21"/>
          <w:szCs w:val="24"/>
          <w:lang w:val="en-US" w:eastAsia="zh-CN" w:bidi="ar-SA"/>
        </w:rPr>
        <w:pict>
          <v:shape id="图表 1" o:spid="_x0000_s1049" type="#_x0000_t75" style="position:absolute;left:0;margin-left:11.4pt;margin-top:9.45pt;height:236.05pt;width:412.5pt;mso-wrap-distance-left:9pt;mso-wrap-distance-right:9pt;rotation:0f;z-index:-251634688;" o:ole="f" fillcolor="#FFFFFF" filled="f" o:preferrelative="t" stroked="f" coordorigin="0,0" coordsize="21600,21600" wrapcoords="-18 -32 -18 21518 21582 21518 21582 -32 -18 -32">
            <v:fill on="f" color2="#FFFFFF" focus="0%"/>
            <v:imagedata gain="65536f" blacklevel="0f" gamma="0" o:title="" r:id="rId8"/>
            <o:lock v:ext="edit" position="f" selection="f" grouping="f" rotation="f" cropping="f" text="f" aspectratio="t"/>
            <w10:wrap type="tight"/>
          </v:shape>
        </w:pict>
      </w:r>
    </w:p>
    <w:p>
      <w:pPr>
        <w:adjustRightInd w:val="0"/>
        <w:snapToGrid w:val="0"/>
        <w:spacing w:after="0" w:line="520" w:lineRule="exact"/>
        <w:ind w:left="420" w:leftChars="200"/>
        <w:rPr>
          <w:rFonts w:ascii="仿宋" w:hAnsi="仿宋" w:eastAsia="仿宋" w:cs="DengXian-Bold"/>
          <w:b/>
          <w:bCs/>
          <w:sz w:val="32"/>
          <w:szCs w:val="32"/>
        </w:rPr>
      </w:pPr>
      <w:r>
        <w:rPr>
          <w:rFonts w:ascii="仿宋" w:hAnsi="仿宋" w:eastAsia="仿宋" w:cs="Times New Roman"/>
          <w:kern w:val="2"/>
          <w:sz w:val="21"/>
          <w:szCs w:val="24"/>
          <w:lang w:val="en-US" w:eastAsia="zh-CN" w:bidi="ar-SA"/>
        </w:rPr>
        <w:pict>
          <v:group id="组合 79" o:spid="_x0000_s1050" style="position:absolute;left:0;margin-left:-79.65pt;margin-top:29.35pt;height:43.95pt;width:301.85pt;mso-position-vertical-relative:page;rotation:0f;z-index:251674624;v-text-anchor:middle;" coordorigin="4551,52615" coordsize="8546,1398203">
            <o:lock v:ext="edit" position="f" selection="f" grouping="f" rotation="f" cropping="f" text="f" aspectratio="f"/>
            <v:rect id="矩形 13" o:spid="_x0000_s1051"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52"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 w:hAnsi="仿宋" w:eastAsia="仿宋" w:cs="DengXian-Bold"/>
          <w:b/>
          <w:bCs/>
          <w:sz w:val="32"/>
          <w:szCs w:val="32"/>
        </w:rPr>
        <w:t>（四）一般公共预算财政拨款基本支出决算情况说明</w:t>
      </w:r>
    </w:p>
    <w:p>
      <w:pPr>
        <w:adjustRightInd w:val="0"/>
        <w:snapToGrid w:val="0"/>
        <w:spacing w:after="0" w:line="520" w:lineRule="exact"/>
        <w:ind w:firstLine="640" w:firstLineChars="200"/>
        <w:rPr>
          <w:rFonts w:ascii="仿宋" w:hAnsi="仿宋" w:eastAsia="仿宋" w:cs="DengXian-Regular"/>
          <w:sz w:val="32"/>
          <w:szCs w:val="32"/>
        </w:rPr>
      </w:pPr>
      <w:r>
        <w:rPr>
          <w:rFonts w:ascii="仿宋" w:hAnsi="仿宋" w:eastAsia="仿宋" w:cs="DengXian-Regular"/>
          <w:sz w:val="32"/>
          <w:szCs w:val="32"/>
        </w:rPr>
        <w:t xml:space="preserve">2018 </w:t>
      </w:r>
      <w:r>
        <w:rPr>
          <w:rFonts w:hint="eastAsia" w:ascii="仿宋" w:hAnsi="仿宋" w:eastAsia="仿宋" w:cs="DengXian-Regular"/>
          <w:sz w:val="32"/>
          <w:szCs w:val="32"/>
        </w:rPr>
        <w:t>年度一般公共预算财政拨款基本支出778.33万元，其中：人员经费449.35万元，主要包括基本工资242.33万元、津贴补贴4.56万元、绩效工资19.92万元、机关事业单位基本养老保险缴费48.08万元、职业年金缴费6.56万元、职工基本医疗保险缴费10.46万元、公务员医疗补助缴费11.56万元，其他社会保障缴费1.15万元、其他工资福利支出</w:t>
      </w:r>
      <w:r>
        <w:rPr>
          <w:rFonts w:ascii="仿宋" w:hAnsi="仿宋" w:eastAsia="仿宋" w:cs="DengXian-Regular"/>
          <w:sz w:val="32"/>
          <w:szCs w:val="32"/>
        </w:rPr>
        <w:t>0.5</w:t>
      </w:r>
      <w:r>
        <w:rPr>
          <w:rFonts w:hint="eastAsia" w:ascii="仿宋" w:hAnsi="仿宋" w:eastAsia="仿宋" w:cs="DengXian-Regular"/>
          <w:sz w:val="32"/>
          <w:szCs w:val="32"/>
        </w:rPr>
        <w:t>万元、对个人和家庭的补助104.22万元，退休费1.93万元、退职（役）费1.69万元，抚恤金</w:t>
      </w:r>
      <w:r>
        <w:rPr>
          <w:rFonts w:ascii="仿宋" w:hAnsi="仿宋" w:eastAsia="仿宋" w:cs="DengXian-Regular"/>
          <w:sz w:val="32"/>
          <w:szCs w:val="32"/>
        </w:rPr>
        <w:t>14.</w:t>
      </w:r>
      <w:r>
        <w:rPr>
          <w:rFonts w:hint="eastAsia" w:ascii="仿宋" w:hAnsi="仿宋" w:eastAsia="仿宋" w:cs="DengXian-Regular"/>
          <w:sz w:val="32"/>
          <w:szCs w:val="32"/>
        </w:rPr>
        <w:t xml:space="preserve">26万元、生活补助61.34万元，其他对个人和家庭的补助支出25万元；公用经费128.98万元，主要包括办公费100.61万元、维修（护）费7万元、公务接待费4.85万元、委托业务费1.60万元、公务用车运行维护费3.92万元、其他商品和服务支出11万元。 </w:t>
      </w:r>
    </w:p>
    <w:p>
      <w:pPr>
        <w:pStyle w:val="3"/>
        <w:spacing w:before="0" w:after="0" w:line="520" w:lineRule="exact"/>
        <w:ind w:firstLine="643" w:firstLineChars="200"/>
        <w:rPr>
          <w:rFonts w:ascii="仿宋" w:hAnsi="仿宋" w:eastAsia="仿宋"/>
          <w:bCs w:val="0"/>
        </w:rPr>
      </w:pPr>
      <w:r>
        <w:rPr>
          <w:rFonts w:hint="eastAsia" w:ascii="仿宋" w:hAnsi="仿宋" w:eastAsia="仿宋"/>
          <w:bCs w:val="0"/>
        </w:rPr>
        <w:t>五、一般公共预算财政拨款“三公”经费支出决算情况说明</w:t>
      </w:r>
    </w:p>
    <w:p>
      <w:pPr>
        <w:adjustRightInd w:val="0"/>
        <w:snapToGrid w:val="0"/>
        <w:spacing w:after="0" w:line="52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2018</w:t>
      </w:r>
      <w:r>
        <w:rPr>
          <w:rFonts w:hint="eastAsia" w:ascii="仿宋" w:hAnsi="仿宋" w:eastAsia="仿宋" w:cs="DengXian-Regular"/>
          <w:sz w:val="32"/>
          <w:szCs w:val="32"/>
        </w:rPr>
        <w:t>年度“三公”经费支出共计8.77万元，较年初预算减少0.23万元，降低2.55</w:t>
      </w:r>
      <w:r>
        <w:rPr>
          <w:rFonts w:ascii="仿宋" w:hAnsi="仿宋" w:eastAsia="仿宋" w:cs="DengXian-Regular"/>
          <w:sz w:val="32"/>
          <w:szCs w:val="32"/>
        </w:rPr>
        <w:t>%</w:t>
      </w:r>
      <w:r>
        <w:rPr>
          <w:rFonts w:hint="eastAsia" w:ascii="仿宋" w:hAnsi="仿宋" w:eastAsia="仿宋" w:cs="DengXian-Regular"/>
          <w:sz w:val="32"/>
          <w:szCs w:val="32"/>
        </w:rPr>
        <w:t>，主要是认真贯彻落实中央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精神和厉行节约要求，从严控制“三公”经费开支。具体情况如下：</w:t>
      </w:r>
    </w:p>
    <w:p>
      <w:pPr>
        <w:adjustRightInd w:val="0"/>
        <w:snapToGrid w:val="0"/>
        <w:spacing w:after="0" w:line="52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w:t>
      </w:r>
      <w:r>
        <w:rPr>
          <w:rFonts w:ascii="仿宋" w:hAnsi="仿宋" w:eastAsia="仿宋" w:cs="Times New Roman"/>
          <w:kern w:val="2"/>
          <w:sz w:val="21"/>
          <w:szCs w:val="24"/>
          <w:lang w:val="en-US" w:eastAsia="zh-CN" w:bidi="ar-SA"/>
        </w:rPr>
        <w:pict>
          <v:group id="组合 82" o:spid="_x0000_s1053" style="position:absolute;left:0;margin-left:-79.65pt;margin-top:29.35pt;height:43.95pt;width:301.85pt;mso-position-vertical-relative:page;rotation:0f;z-index:251675648;v-text-anchor:middle;" coordorigin="4551,52615" coordsize="8546,1398203">
            <o:lock v:ext="edit" position="f" selection="f" grouping="f" rotation="f" cropping="f" text="f" aspectratio="f"/>
            <v:rect id="矩形 13" o:spid="_x0000_s1054"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55"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 w:hAnsi="仿宋" w:eastAsia="仿宋" w:cs="DengXian-Bold"/>
          <w:b/>
          <w:bCs/>
          <w:sz w:val="32"/>
          <w:szCs w:val="32"/>
        </w:rPr>
        <w:t>一）因公出国（境）费支出</w:t>
      </w:r>
      <w:r>
        <w:rPr>
          <w:rFonts w:ascii="仿宋" w:hAnsi="仿宋" w:eastAsia="仿宋" w:cs="DengXian-Bold"/>
          <w:b/>
          <w:bCs/>
          <w:sz w:val="32"/>
          <w:szCs w:val="32"/>
        </w:rPr>
        <w:t>0</w:t>
      </w:r>
      <w:r>
        <w:rPr>
          <w:rFonts w:hint="eastAsia" w:ascii="仿宋" w:hAnsi="仿宋" w:eastAsia="仿宋" w:cs="DengXian-Bold"/>
          <w:b/>
          <w:bCs/>
          <w:sz w:val="32"/>
          <w:szCs w:val="32"/>
        </w:rPr>
        <w:t>万元。</w:t>
      </w:r>
      <w:r>
        <w:rPr>
          <w:rFonts w:hint="eastAsia" w:ascii="仿宋" w:hAnsi="仿宋" w:eastAsia="仿宋" w:cs="DengXian-Regular"/>
          <w:sz w:val="32"/>
          <w:szCs w:val="32"/>
        </w:rPr>
        <w:t>本部门</w:t>
      </w:r>
      <w:r>
        <w:rPr>
          <w:rFonts w:ascii="仿宋" w:hAnsi="仿宋" w:eastAsia="仿宋" w:cs="DengXian-Regular"/>
          <w:sz w:val="32"/>
          <w:szCs w:val="32"/>
        </w:rPr>
        <w:t>2018</w:t>
      </w:r>
      <w:r>
        <w:rPr>
          <w:rFonts w:hint="eastAsia" w:ascii="仿宋" w:hAnsi="仿宋" w:eastAsia="仿宋" w:cs="DengXian-Regular"/>
          <w:sz w:val="32"/>
          <w:szCs w:val="32"/>
        </w:rPr>
        <w:t>年度无因公出国（境）支出，与年初预算数一致。</w:t>
      </w:r>
    </w:p>
    <w:p>
      <w:pPr>
        <w:adjustRightInd w:val="0"/>
        <w:snapToGrid w:val="0"/>
        <w:spacing w:after="0" w:line="52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（二）公务用车购置及运行维护费支出3.92万元。</w:t>
      </w:r>
      <w:r>
        <w:rPr>
          <w:rFonts w:hint="eastAsia" w:ascii="仿宋" w:hAnsi="仿宋" w:eastAsia="仿宋" w:cs="DengXian-Regular"/>
          <w:sz w:val="32"/>
          <w:szCs w:val="32"/>
        </w:rPr>
        <w:t>本部门</w:t>
      </w:r>
      <w:r>
        <w:rPr>
          <w:rFonts w:ascii="仿宋" w:hAnsi="仿宋" w:eastAsia="仿宋" w:cs="DengXian-Regular"/>
          <w:sz w:val="32"/>
          <w:szCs w:val="32"/>
        </w:rPr>
        <w:t>2018</w:t>
      </w:r>
      <w:r>
        <w:rPr>
          <w:rFonts w:hint="eastAsia" w:ascii="仿宋" w:hAnsi="仿宋" w:eastAsia="仿宋" w:cs="DengXian-Regular"/>
          <w:sz w:val="32"/>
          <w:szCs w:val="32"/>
        </w:rPr>
        <w:t>年度公务用车购置及运行维护费较年初预算减少0.08万元，降低2.00</w:t>
      </w:r>
      <w:r>
        <w:rPr>
          <w:rFonts w:ascii="仿宋" w:hAnsi="仿宋" w:eastAsia="仿宋" w:cs="DengXian-Regular"/>
          <w:sz w:val="32"/>
          <w:szCs w:val="32"/>
        </w:rPr>
        <w:t>%</w:t>
      </w:r>
      <w:r>
        <w:rPr>
          <w:rFonts w:hint="eastAsia" w:ascii="仿宋" w:hAnsi="仿宋" w:eastAsia="仿宋" w:cs="DengXian-Regular"/>
          <w:sz w:val="32"/>
          <w:szCs w:val="32"/>
        </w:rPr>
        <w:t>。主要是认真贯彻落实中央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精神和厉行节约要求，从严控制“三公”经费开支。</w:t>
      </w:r>
    </w:p>
    <w:p>
      <w:pPr>
        <w:adjustRightInd w:val="0"/>
        <w:snapToGrid w:val="0"/>
        <w:spacing w:after="0" w:line="52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其中：</w:t>
      </w:r>
      <w:r>
        <w:rPr>
          <w:rFonts w:hint="eastAsia" w:ascii="仿宋" w:hAnsi="仿宋" w:eastAsia="仿宋" w:cs="DengXian-Regular"/>
          <w:b/>
          <w:sz w:val="32"/>
          <w:szCs w:val="32"/>
        </w:rPr>
        <w:t>公务用车购置费：</w:t>
      </w:r>
      <w:r>
        <w:rPr>
          <w:rFonts w:hint="eastAsia" w:ascii="仿宋" w:hAnsi="仿宋" w:eastAsia="仿宋" w:cs="DengXian-Regular"/>
          <w:sz w:val="32"/>
          <w:szCs w:val="32"/>
        </w:rPr>
        <w:t>本部门</w:t>
      </w:r>
      <w:r>
        <w:rPr>
          <w:rFonts w:ascii="仿宋" w:hAnsi="仿宋" w:eastAsia="仿宋" w:cs="DengXian-Regular"/>
          <w:sz w:val="32"/>
          <w:szCs w:val="32"/>
        </w:rPr>
        <w:t>2018</w:t>
      </w:r>
      <w:r>
        <w:rPr>
          <w:rFonts w:hint="eastAsia" w:ascii="仿宋" w:hAnsi="仿宋" w:eastAsia="仿宋" w:cs="DengXian-Regular"/>
          <w:sz w:val="32"/>
          <w:szCs w:val="32"/>
        </w:rPr>
        <w:t>年度无公务用车购置支出，与年初预算数一致。</w:t>
      </w:r>
    </w:p>
    <w:p>
      <w:pPr>
        <w:adjustRightInd w:val="0"/>
        <w:snapToGrid w:val="0"/>
        <w:spacing w:after="0" w:line="52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公务用车运行维护费：</w:t>
      </w:r>
      <w:r>
        <w:rPr>
          <w:rFonts w:hint="eastAsia" w:ascii="仿宋" w:hAnsi="仿宋" w:eastAsia="仿宋" w:cs="DengXian-Regular"/>
          <w:sz w:val="32"/>
          <w:szCs w:val="32"/>
        </w:rPr>
        <w:t>本部门</w:t>
      </w:r>
      <w:r>
        <w:rPr>
          <w:rFonts w:ascii="仿宋" w:hAnsi="仿宋" w:eastAsia="仿宋" w:cs="DengXian-Regular"/>
          <w:sz w:val="32"/>
          <w:szCs w:val="32"/>
        </w:rPr>
        <w:t>2018</w:t>
      </w:r>
      <w:r>
        <w:rPr>
          <w:rFonts w:hint="eastAsia" w:ascii="仿宋" w:hAnsi="仿宋" w:eastAsia="仿宋" w:cs="DengXian-Regular"/>
          <w:sz w:val="32"/>
          <w:szCs w:val="32"/>
        </w:rPr>
        <w:t>年度单位公务用车保有量</w:t>
      </w:r>
      <w:r>
        <w:rPr>
          <w:rFonts w:ascii="仿宋" w:hAnsi="仿宋" w:eastAsia="仿宋" w:cs="DengXian-Regular"/>
          <w:sz w:val="32"/>
          <w:szCs w:val="32"/>
        </w:rPr>
        <w:t>2</w:t>
      </w:r>
      <w:r>
        <w:rPr>
          <w:rFonts w:hint="eastAsia" w:ascii="仿宋" w:hAnsi="仿宋" w:eastAsia="仿宋" w:cs="DengXian-Regular"/>
          <w:sz w:val="32"/>
          <w:szCs w:val="32"/>
        </w:rPr>
        <w:t>辆。公车运行维护费支出较年初预算减少0.08万元，降低2.00</w:t>
      </w:r>
      <w:r>
        <w:rPr>
          <w:rFonts w:ascii="仿宋" w:hAnsi="仿宋" w:eastAsia="仿宋" w:cs="DengXian-Regular"/>
          <w:sz w:val="32"/>
          <w:szCs w:val="32"/>
        </w:rPr>
        <w:t>%</w:t>
      </w:r>
      <w:r>
        <w:rPr>
          <w:rFonts w:hint="eastAsia" w:ascii="仿宋" w:hAnsi="仿宋" w:eastAsia="仿宋" w:cs="DengXian-Regular"/>
          <w:sz w:val="32"/>
          <w:szCs w:val="32"/>
        </w:rPr>
        <w:t>。主要是严格控制公务用车运行维护相关支出。</w:t>
      </w:r>
    </w:p>
    <w:p>
      <w:pPr>
        <w:adjustRightInd w:val="0"/>
        <w:snapToGrid w:val="0"/>
        <w:spacing w:after="0" w:line="52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（三）公务接待费支出4.85万元。</w:t>
      </w:r>
      <w:r>
        <w:rPr>
          <w:rFonts w:ascii="仿宋" w:hAnsi="仿宋" w:eastAsia="仿宋" w:cs="Times New Roman"/>
          <w:kern w:val="2"/>
          <w:sz w:val="21"/>
          <w:szCs w:val="24"/>
          <w:lang w:val="en-US" w:eastAsia="zh-CN" w:bidi="ar-SA"/>
        </w:rPr>
        <w:pict>
          <v:group id="组合 85" o:spid="_x0000_s1056" style="position:absolute;left:0;margin-left:-79.65pt;margin-top:29.35pt;height:43.95pt;width:301.85pt;mso-position-vertical-relative:page;rotation:0f;z-index:251676672;v-text-anchor:middle;" coordorigin="4551,52615" coordsize="8546,1398203">
            <o:lock v:ext="edit" position="f" selection="f" grouping="f" rotation="f" cropping="f" text="f" aspectratio="f"/>
            <v:rect id="矩形 13" o:spid="_x0000_s1057"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58"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 w:hAnsi="仿宋" w:eastAsia="仿宋" w:cs="DengXian-Regular"/>
          <w:sz w:val="32"/>
          <w:szCs w:val="32"/>
        </w:rPr>
        <w:t>本部门</w:t>
      </w:r>
      <w:r>
        <w:rPr>
          <w:rFonts w:ascii="仿宋" w:hAnsi="仿宋" w:eastAsia="仿宋" w:cs="DengXian-Regular"/>
          <w:sz w:val="32"/>
          <w:szCs w:val="32"/>
        </w:rPr>
        <w:t>2018</w:t>
      </w:r>
      <w:r>
        <w:rPr>
          <w:rFonts w:hint="eastAsia" w:ascii="仿宋" w:hAnsi="仿宋" w:eastAsia="仿宋" w:cs="DengXian-Regular"/>
          <w:sz w:val="32"/>
          <w:szCs w:val="32"/>
        </w:rPr>
        <w:t>年度公务接待共180批次、</w:t>
      </w:r>
      <w:r>
        <w:rPr>
          <w:rFonts w:ascii="仿宋" w:hAnsi="仿宋" w:eastAsia="仿宋" w:cs="DengXian-Regular"/>
          <w:sz w:val="32"/>
          <w:szCs w:val="32"/>
        </w:rPr>
        <w:t>1</w:t>
      </w:r>
      <w:r>
        <w:rPr>
          <w:rFonts w:hint="eastAsia" w:ascii="仿宋" w:hAnsi="仿宋" w:eastAsia="仿宋" w:cs="DengXian-Regular"/>
          <w:sz w:val="32"/>
          <w:szCs w:val="32"/>
        </w:rPr>
        <w:t>600人次。公务接待费支出较年初预算减少</w:t>
      </w:r>
      <w:r>
        <w:rPr>
          <w:rFonts w:ascii="仿宋" w:hAnsi="仿宋" w:eastAsia="仿宋" w:cs="DengXian-Regular"/>
          <w:sz w:val="32"/>
          <w:szCs w:val="32"/>
        </w:rPr>
        <w:t>0</w:t>
      </w:r>
      <w:r>
        <w:rPr>
          <w:rFonts w:hint="eastAsia" w:ascii="仿宋" w:hAnsi="仿宋" w:eastAsia="仿宋" w:cs="DengXian-Regular"/>
          <w:sz w:val="32"/>
          <w:szCs w:val="32"/>
        </w:rPr>
        <w:t>.15万元，降低3</w:t>
      </w:r>
      <w:r>
        <w:rPr>
          <w:rFonts w:ascii="仿宋" w:hAnsi="仿宋" w:eastAsia="仿宋" w:cs="DengXian-Regular"/>
          <w:sz w:val="32"/>
          <w:szCs w:val="32"/>
        </w:rPr>
        <w:t>%,</w:t>
      </w:r>
      <w:r>
        <w:rPr>
          <w:rFonts w:hint="eastAsia" w:ascii="仿宋" w:hAnsi="仿宋" w:eastAsia="仿宋" w:cs="DengXian-Regular"/>
          <w:sz w:val="32"/>
          <w:szCs w:val="32"/>
        </w:rPr>
        <w:t>主要是严格执行公务接待标准，缩减公务接待支出。</w:t>
      </w:r>
    </w:p>
    <w:p>
      <w:pPr>
        <w:adjustRightInd w:val="0"/>
        <w:snapToGrid w:val="0"/>
        <w:spacing w:after="0" w:line="520" w:lineRule="exact"/>
        <w:ind w:firstLine="643" w:firstLineChars="200"/>
        <w:rPr>
          <w:rFonts w:ascii="仿宋" w:hAnsi="仿宋" w:eastAsia="仿宋"/>
          <w:b/>
          <w:sz w:val="32"/>
          <w:szCs w:val="40"/>
        </w:rPr>
      </w:pPr>
      <w:r>
        <w:rPr>
          <w:rFonts w:hint="eastAsia" w:ascii="仿宋" w:hAnsi="仿宋" w:eastAsia="仿宋"/>
          <w:b/>
          <w:sz w:val="32"/>
          <w:szCs w:val="40"/>
        </w:rPr>
        <w:t>六、预算绩效情况说明</w:t>
      </w:r>
    </w:p>
    <w:p>
      <w:pPr>
        <w:adjustRightInd w:val="0"/>
        <w:snapToGrid w:val="0"/>
        <w:spacing w:after="0" w:line="52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（一）预算绩效管理工作开展情况</w:t>
      </w:r>
    </w:p>
    <w:p>
      <w:pPr>
        <w:adjustRightInd w:val="0"/>
        <w:snapToGrid w:val="0"/>
        <w:spacing w:after="0" w:line="56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 xml:space="preserve"> </w:t>
      </w:r>
      <w:r>
        <w:rPr>
          <w:rFonts w:hint="eastAsia" w:ascii="仿宋" w:hAnsi="仿宋" w:eastAsia="仿宋" w:cs="宋体"/>
          <w:color w:val="000000"/>
          <w:kern w:val="0"/>
          <w:sz w:val="32"/>
          <w:szCs w:val="32"/>
        </w:rPr>
        <w:t xml:space="preserve">预算绩效管理是我乡绩效管理的重要组成部分，通过绩 </w:t>
      </w:r>
    </w:p>
    <w:p>
      <w:pPr>
        <w:widowControl/>
        <w:spacing w:line="560" w:lineRule="exact"/>
        <w:jc w:val="left"/>
        <w:rPr>
          <w:rFonts w:ascii="仿宋" w:hAnsi="仿宋" w:eastAsia="仿宋"/>
          <w:sz w:val="32"/>
          <w:szCs w:val="32"/>
        </w:rPr>
      </w:pPr>
      <w:r>
        <w:rPr>
          <w:rFonts w:hint="eastAsia" w:ascii="仿宋" w:hAnsi="仿宋" w:eastAsia="仿宋" w:cs="宋体"/>
          <w:color w:val="000000"/>
          <w:kern w:val="0"/>
          <w:sz w:val="32"/>
          <w:szCs w:val="32"/>
        </w:rPr>
        <w:t xml:space="preserve">效管理乡政府在预算资金的分配和使用过程中更加关注预算资金的产出和结果，注重支出的责任和效率，能够比较准确的了解 </w:t>
      </w:r>
    </w:p>
    <w:p>
      <w:pPr>
        <w:widowControl/>
        <w:spacing w:line="560" w:lineRule="exact"/>
        <w:jc w:val="left"/>
        <w:rPr>
          <w:rFonts w:ascii="仿宋" w:hAnsi="仿宋" w:eastAsia="仿宋"/>
          <w:sz w:val="32"/>
          <w:szCs w:val="32"/>
        </w:rPr>
      </w:pPr>
      <w:r>
        <w:rPr>
          <w:rFonts w:hint="eastAsia" w:ascii="仿宋" w:hAnsi="仿宋" w:eastAsia="仿宋" w:cs="宋体"/>
          <w:color w:val="000000"/>
          <w:kern w:val="0"/>
          <w:sz w:val="32"/>
          <w:szCs w:val="32"/>
        </w:rPr>
        <w:t xml:space="preserve">任务的完成情况，建立良好的沟通渠道。我乡严格按照部门职责 </w:t>
      </w:r>
    </w:p>
    <w:p>
      <w:pPr>
        <w:widowControl/>
        <w:spacing w:line="560" w:lineRule="exact"/>
        <w:jc w:val="left"/>
        <w:rPr>
          <w:rFonts w:ascii="仿宋" w:hAnsi="仿宋" w:eastAsia="仿宋"/>
          <w:sz w:val="32"/>
          <w:szCs w:val="32"/>
        </w:rPr>
      </w:pPr>
      <w:r>
        <w:rPr>
          <w:rFonts w:hint="eastAsia" w:ascii="仿宋" w:hAnsi="仿宋" w:eastAsia="仿宋" w:cs="宋体"/>
          <w:color w:val="000000"/>
          <w:kern w:val="0"/>
          <w:sz w:val="32"/>
          <w:szCs w:val="32"/>
        </w:rPr>
        <w:t xml:space="preserve">开展各项业务活动，对活动中的各项工作按照预算绩效指标开展 </w:t>
      </w:r>
    </w:p>
    <w:p>
      <w:pPr>
        <w:widowControl/>
        <w:spacing w:line="560" w:lineRule="exact"/>
        <w:jc w:val="left"/>
        <w:rPr>
          <w:rFonts w:ascii="仿宋" w:hAnsi="仿宋" w:eastAsia="仿宋"/>
          <w:sz w:val="32"/>
          <w:szCs w:val="32"/>
        </w:rPr>
      </w:pPr>
      <w:r>
        <w:rPr>
          <w:rFonts w:hint="eastAsia" w:ascii="仿宋" w:hAnsi="仿宋" w:eastAsia="仿宋" w:cs="宋体"/>
          <w:color w:val="000000"/>
          <w:kern w:val="0"/>
          <w:sz w:val="32"/>
          <w:szCs w:val="32"/>
        </w:rPr>
        <w:t>评价，有效提高了机关办事效率，得到了广大群众认可。</w:t>
      </w:r>
    </w:p>
    <w:p>
      <w:pPr>
        <w:spacing w:line="520" w:lineRule="exact"/>
        <w:rPr>
          <w:rFonts w:ascii="仿宋" w:hAnsi="仿宋" w:eastAsia="仿宋" w:cs="DengXian-Regular"/>
          <w:sz w:val="32"/>
          <w:szCs w:val="32"/>
        </w:rPr>
      </w:pPr>
      <w:r>
        <w:rPr>
          <w:rFonts w:hint="eastAsia" w:ascii="仿宋" w:hAnsi="仿宋" w:eastAsia="仿宋" w:cs="DengXian-Regular"/>
          <w:sz w:val="32"/>
          <w:szCs w:val="32"/>
        </w:rPr>
        <w:t>（二）项目绩效自评结果。</w:t>
      </w:r>
    </w:p>
    <w:p>
      <w:pPr>
        <w:widowControl/>
        <w:spacing w:after="0" w:line="240" w:lineRule="auto"/>
        <w:jc w:val="left"/>
        <w:rPr>
          <w:rFonts w:ascii="仿宋" w:hAnsi="仿宋" w:eastAsia="仿宋" w:cs="DengXian-Regular"/>
          <w:sz w:val="32"/>
          <w:szCs w:val="32"/>
        </w:rPr>
      </w:pPr>
      <w:r>
        <w:rPr>
          <w:rFonts w:ascii="仿宋" w:hAnsi="仿宋" w:eastAsia="仿宋" w:cs="DengXian-Regular"/>
          <w:kern w:val="2"/>
          <w:sz w:val="32"/>
          <w:szCs w:val="32"/>
          <w:lang w:val="en-US" w:eastAsia="zh-CN" w:bidi="ar-SA"/>
        </w:rPr>
        <w:pict>
          <v:shape id="图片 1" o:spid="_x0000_s1059" type="#_x0000_t75" style="height:401.9pt;width:465.9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ascii="仿宋" w:hAnsi="仿宋" w:eastAsia="仿宋" w:cs="DengXian-Regular"/>
          <w:sz w:val="32"/>
          <w:szCs w:val="32"/>
        </w:rPr>
        <w:br w:type="page"/>
      </w:r>
    </w:p>
    <w:p>
      <w:pPr>
        <w:adjustRightInd w:val="0"/>
        <w:snapToGrid w:val="0"/>
        <w:spacing w:after="0" w:line="580" w:lineRule="exact"/>
        <w:ind w:firstLine="640" w:firstLineChars="200"/>
        <w:rPr>
          <w:rFonts w:ascii="仿宋" w:hAnsi="仿宋" w:eastAsia="仿宋"/>
          <w:sz w:val="32"/>
          <w:szCs w:val="40"/>
        </w:rPr>
      </w:pPr>
    </w:p>
    <w:p>
      <w:pPr>
        <w:pStyle w:val="3"/>
        <w:spacing w:before="0" w:after="0" w:line="580" w:lineRule="exact"/>
        <w:ind w:firstLine="643" w:firstLineChars="200"/>
        <w:rPr>
          <w:rFonts w:ascii="仿宋" w:hAnsi="仿宋" w:eastAsia="仿宋"/>
          <w:bCs w:val="0"/>
          <w:szCs w:val="40"/>
        </w:rPr>
      </w:pPr>
      <w:r>
        <w:rPr>
          <w:rFonts w:hint="eastAsia" w:ascii="仿宋" w:hAnsi="仿宋" w:eastAsia="仿宋"/>
          <w:bCs w:val="0"/>
          <w:szCs w:val="40"/>
        </w:rPr>
        <w:t>七、其他重要事项的说明</w:t>
      </w:r>
    </w:p>
    <w:p>
      <w:pPr>
        <w:pStyle w:val="4"/>
        <w:spacing w:before="0" w:after="0" w:line="580" w:lineRule="exact"/>
        <w:rPr>
          <w:rFonts w:ascii="仿宋" w:hAnsi="仿宋" w:eastAsia="仿宋" w:cs="宋体"/>
          <w:bCs w:val="0"/>
          <w:color w:val="000000"/>
          <w:kern w:val="0"/>
        </w:rPr>
      </w:pPr>
      <w:r>
        <w:rPr>
          <w:rFonts w:hint="eastAsia" w:ascii="仿宋" w:hAnsi="仿宋" w:eastAsia="仿宋" w:cs="宋体"/>
          <w:bCs w:val="0"/>
          <w:color w:val="000000"/>
          <w:kern w:val="0"/>
        </w:rPr>
        <w:t xml:space="preserve">   （一）机关运行经费情况</w:t>
      </w:r>
    </w:p>
    <w:p>
      <w:pPr>
        <w:adjustRightInd w:val="0"/>
        <w:snapToGrid w:val="0"/>
        <w:spacing w:after="0" w:line="58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本部门</w:t>
      </w:r>
      <w:r>
        <w:rPr>
          <w:rFonts w:ascii="仿宋" w:hAnsi="仿宋" w:eastAsia="仿宋" w:cs="宋体"/>
          <w:color w:val="000000"/>
          <w:kern w:val="0"/>
          <w:sz w:val="32"/>
          <w:szCs w:val="32"/>
        </w:rPr>
        <w:t>2018</w:t>
      </w:r>
      <w:r>
        <w:rPr>
          <w:rFonts w:hint="eastAsia" w:ascii="仿宋" w:hAnsi="仿宋" w:eastAsia="仿宋" w:cs="宋体"/>
          <w:color w:val="000000"/>
          <w:kern w:val="0"/>
          <w:sz w:val="32"/>
          <w:szCs w:val="32"/>
        </w:rPr>
        <w:t>年度机关运行经费支出128.98万元，比年初预算数增加91.38万元，增长291.51</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。主要原因增加了村级运转经费及村干部工资经费的支出。</w:t>
      </w:r>
    </w:p>
    <w:p>
      <w:pPr>
        <w:pStyle w:val="4"/>
        <w:spacing w:before="0" w:after="0" w:line="580" w:lineRule="exact"/>
        <w:ind w:firstLine="643" w:firstLineChars="200"/>
        <w:rPr>
          <w:rFonts w:ascii="仿宋" w:hAnsi="仿宋" w:eastAsia="仿宋" w:cs="宋体"/>
          <w:bCs w:val="0"/>
          <w:color w:val="000000"/>
          <w:kern w:val="0"/>
        </w:rPr>
      </w:pPr>
      <w:r>
        <w:rPr>
          <w:rFonts w:hint="eastAsia" w:ascii="仿宋" w:hAnsi="仿宋" w:eastAsia="仿宋" w:cs="宋体"/>
          <w:bCs w:val="0"/>
          <w:color w:val="000000"/>
          <w:kern w:val="0"/>
        </w:rPr>
        <w:t>（二）政府采购情况</w:t>
      </w:r>
    </w:p>
    <w:p>
      <w:pPr>
        <w:snapToGrid w:val="0"/>
        <w:spacing w:line="580" w:lineRule="exact"/>
        <w:ind w:firstLine="640" w:firstLineChars="200"/>
        <w:jc w:val="left"/>
        <w:rPr>
          <w:rFonts w:ascii="仿宋_GB2312" w:eastAsia="仿宋_GB2312"/>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201</w:t>
      </w:r>
      <w:r>
        <w:rPr>
          <w:rFonts w:hint="eastAsia" w:ascii="仿宋_GB2312" w:eastAsia="仿宋_GB2312" w:cs="仿宋_GB2312"/>
          <w:sz w:val="32"/>
          <w:szCs w:val="32"/>
        </w:rPr>
        <w:t>8年度政府采购支出总额180万元，从采购类型来看，</w:t>
      </w:r>
      <w:r>
        <w:rPr>
          <w:rFonts w:hint="eastAsia" w:ascii="仿宋_GB2312" w:hAnsi="仿宋_GB2312" w:eastAsia="仿宋_GB2312" w:cs="仿宋_GB2312"/>
          <w:color w:val="000000"/>
          <w:kern w:val="0"/>
          <w:sz w:val="32"/>
          <w:szCs w:val="32"/>
        </w:rPr>
        <w:t>政府采购货物支出</w:t>
      </w:r>
      <w:r>
        <w:rPr>
          <w:rFonts w:ascii="仿宋_GB2312" w:hAnsi="仿宋_GB2312" w:eastAsia="仿宋_GB2312" w:cs="仿宋_GB2312"/>
          <w:color w:val="000000"/>
          <w:kern w:val="0"/>
          <w:sz w:val="32"/>
          <w:szCs w:val="32"/>
        </w:rPr>
        <w:t xml:space="preserve">0 </w:t>
      </w:r>
      <w:r>
        <w:rPr>
          <w:rFonts w:hint="eastAsia" w:ascii="仿宋_GB2312" w:hAnsi="仿宋_GB2312" w:eastAsia="仿宋_GB2312" w:cs="仿宋_GB2312"/>
          <w:color w:val="000000"/>
          <w:kern w:val="0"/>
          <w:sz w:val="32"/>
          <w:szCs w:val="32"/>
        </w:rPr>
        <w:t>万元、政府采购工程支出180万元、政府采购服务支出</w:t>
      </w:r>
      <w:r>
        <w:rPr>
          <w:rFonts w:ascii="仿宋_GB2312" w:hAnsi="仿宋_GB2312" w:eastAsia="仿宋_GB2312" w:cs="仿宋_GB2312"/>
          <w:color w:val="000000"/>
          <w:kern w:val="0"/>
          <w:sz w:val="32"/>
          <w:szCs w:val="32"/>
        </w:rPr>
        <w:t xml:space="preserve"> 0</w:t>
      </w:r>
      <w:r>
        <w:rPr>
          <w:rFonts w:hint="eastAsia" w:ascii="仿宋_GB2312" w:hAnsi="仿宋_GB2312" w:eastAsia="仿宋_GB2312" w:cs="仿宋_GB2312"/>
          <w:color w:val="000000"/>
          <w:kern w:val="0"/>
          <w:sz w:val="32"/>
          <w:szCs w:val="32"/>
        </w:rPr>
        <w:t>万元。授予中小企业合同金</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，其中授予小微企业合同金额180万元，占政府采购支出总额的100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pStyle w:val="4"/>
        <w:tabs>
          <w:tab w:val="left" w:pos="6611"/>
        </w:tabs>
        <w:spacing w:before="0" w:after="0" w:line="580" w:lineRule="exact"/>
        <w:ind w:firstLine="643" w:firstLineChars="200"/>
        <w:rPr>
          <w:rFonts w:ascii="仿宋" w:hAnsi="仿宋" w:eastAsia="仿宋" w:cs="宋体"/>
          <w:bCs w:val="0"/>
          <w:color w:val="000000"/>
          <w:kern w:val="0"/>
        </w:rPr>
      </w:pPr>
      <w:r>
        <w:rPr>
          <w:rFonts w:hint="eastAsia" w:ascii="仿宋" w:hAnsi="仿宋" w:eastAsia="仿宋" w:cs="宋体"/>
          <w:bCs w:val="0"/>
          <w:color w:val="000000"/>
          <w:kern w:val="0"/>
        </w:rPr>
        <w:t>（三）国有资产占用情况</w:t>
      </w:r>
      <w:r>
        <w:rPr>
          <w:rFonts w:ascii="仿宋" w:hAnsi="仿宋" w:eastAsia="仿宋" w:cs="宋体"/>
          <w:bCs w:val="0"/>
          <w:color w:val="000000"/>
          <w:kern w:val="0"/>
        </w:rPr>
        <w:tab/>
      </w:r>
    </w:p>
    <w:p>
      <w:pPr>
        <w:adjustRightInd w:val="0"/>
        <w:snapToGrid w:val="0"/>
        <w:spacing w:line="580" w:lineRule="exact"/>
        <w:ind w:firstLine="640" w:firstLineChars="200"/>
        <w:rPr>
          <w:rFonts w:ascii="仿宋_GB2312" w:eastAsia="仿宋_GB2312" w:cs="DengXian-Regular"/>
          <w:sz w:val="32"/>
          <w:szCs w:val="32"/>
        </w:rPr>
      </w:pPr>
      <w:r>
        <w:rPr>
          <w:rFonts w:hint="eastAsia" w:ascii="仿宋" w:hAnsi="仿宋" w:eastAsia="仿宋" w:cs="宋体"/>
          <w:color w:val="000000"/>
          <w:kern w:val="0"/>
          <w:sz w:val="32"/>
          <w:szCs w:val="32"/>
        </w:rPr>
        <w:t>截至</w:t>
      </w:r>
      <w:r>
        <w:rPr>
          <w:rFonts w:ascii="仿宋" w:hAnsi="仿宋" w:eastAsia="仿宋" w:cs="宋体"/>
          <w:color w:val="000000"/>
          <w:kern w:val="0"/>
          <w:sz w:val="32"/>
          <w:szCs w:val="32"/>
        </w:rPr>
        <w:t>2018</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12</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31</w:t>
      </w:r>
      <w:r>
        <w:rPr>
          <w:rFonts w:hint="eastAsia" w:ascii="仿宋" w:hAnsi="仿宋" w:eastAsia="仿宋" w:cs="宋体"/>
          <w:color w:val="000000"/>
          <w:kern w:val="0"/>
          <w:sz w:val="32"/>
          <w:szCs w:val="32"/>
        </w:rPr>
        <w:t>日，本部门共有车辆</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辆，与上年一致。</w:t>
      </w:r>
      <w:r>
        <w:rPr>
          <w:rFonts w:hint="eastAsia" w:ascii="仿宋_GB2312" w:eastAsia="仿宋_GB2312" w:cs="DengXian-Regular"/>
          <w:sz w:val="32"/>
          <w:szCs w:val="32"/>
        </w:rPr>
        <w:t>其中，副部（省）级及以上领导用车0辆，主要领导干部用车0辆，机要通信用车0辆，应急保障用车0辆，执法执勤用车0辆，特种专业技术用车0辆，离退休干部用车0辆，其他用车2辆。</w:t>
      </w:r>
      <w:r>
        <w:rPr>
          <w:rFonts w:ascii="仿宋_GB2312" w:eastAsia="仿宋_GB2312" w:cs="DengXian-Regular"/>
          <w:sz w:val="32"/>
          <w:szCs w:val="32"/>
        </w:rPr>
        <w:t xml:space="preserve"> </w:t>
      </w:r>
    </w:p>
    <w:p>
      <w:pPr>
        <w:adjustRightInd w:val="0"/>
        <w:snapToGrid w:val="0"/>
        <w:spacing w:after="0" w:line="580" w:lineRule="exact"/>
        <w:ind w:firstLine="640" w:firstLineChars="200"/>
        <w:rPr>
          <w:rFonts w:ascii="仿宋" w:hAnsi="仿宋" w:eastAsia="仿宋" w:cs="宋体"/>
          <w:color w:val="000000"/>
          <w:kern w:val="0"/>
          <w:sz w:val="32"/>
          <w:szCs w:val="32"/>
        </w:rPr>
      </w:pPr>
      <w:r>
        <w:rPr>
          <w:rFonts w:hint="eastAsia" w:ascii="仿宋_GB2312" w:eastAsia="仿宋_GB2312" w:cs="DengXian-Regular"/>
          <w:sz w:val="32"/>
          <w:szCs w:val="32"/>
        </w:rPr>
        <w:t>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万元以上通用设备0台（套），与上年持平，单位价值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万元以上专用设备0台（套），与上年持平。</w:t>
      </w:r>
    </w:p>
    <w:p>
      <w:pPr>
        <w:pStyle w:val="4"/>
        <w:spacing w:before="0" w:after="0" w:line="580" w:lineRule="exact"/>
        <w:ind w:firstLine="643" w:firstLineChars="200"/>
        <w:rPr>
          <w:rFonts w:ascii="仿宋" w:hAnsi="仿宋" w:eastAsia="仿宋" w:cs="宋体"/>
          <w:bCs w:val="0"/>
          <w:color w:val="000000"/>
          <w:kern w:val="0"/>
        </w:rPr>
      </w:pPr>
      <w:r>
        <w:rPr>
          <w:rFonts w:hint="eastAsia" w:ascii="仿宋" w:hAnsi="仿宋" w:eastAsia="仿宋" w:cs="宋体"/>
          <w:bCs w:val="0"/>
          <w:color w:val="000000"/>
          <w:kern w:val="0"/>
        </w:rPr>
        <w:t>（四）其他需要说明的情况</w:t>
      </w:r>
    </w:p>
    <w:p>
      <w:pPr>
        <w:adjustRightInd w:val="0"/>
        <w:snapToGrid w:val="0"/>
        <w:spacing w:after="0"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、本部门</w:t>
      </w:r>
      <w:r>
        <w:rPr>
          <w:rFonts w:ascii="仿宋" w:hAnsi="仿宋" w:eastAsia="仿宋" w:cs="宋体"/>
          <w:color w:val="000000"/>
          <w:kern w:val="0"/>
          <w:sz w:val="32"/>
          <w:szCs w:val="32"/>
        </w:rPr>
        <w:t>2018</w:t>
      </w:r>
      <w:r>
        <w:rPr>
          <w:rFonts w:hint="eastAsia" w:ascii="仿宋" w:hAnsi="仿宋" w:eastAsia="仿宋" w:cs="宋体"/>
          <w:color w:val="000000"/>
          <w:kern w:val="0"/>
          <w:sz w:val="32"/>
          <w:szCs w:val="32"/>
        </w:rPr>
        <w:t>年度政府性基金预算财政拨款、国有资本经营预算财政拨款无收支及结转结余情况，故政府性基金预算财政拨款收入支出决算表、国有资本经营预算财政拨款表以空表列示。</w:t>
      </w:r>
    </w:p>
    <w:p>
      <w:pPr>
        <w:adjustRightInd w:val="0"/>
        <w:snapToGrid w:val="0"/>
        <w:spacing w:after="0" w:line="58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、由于决算公开表格中金额数值应当保留两位小数，公开数据为四舍五入计算结</w:t>
      </w:r>
      <w:r>
        <w:rPr>
          <w:rFonts w:ascii="仿宋" w:hAnsi="仿宋" w:eastAsia="仿宋" w:cs="宋体"/>
          <w:color w:val="000000"/>
          <w:kern w:val="0"/>
          <w:sz w:val="32"/>
          <w:szCs w:val="32"/>
          <w:lang w:val="en-US" w:eastAsia="zh-CN" w:bidi="ar-SA"/>
        </w:rPr>
        <w:pict>
          <v:group id="组合 91" o:spid="_x0000_s1060" style="position:absolute;left:0;margin-left:-79.65pt;margin-top:29.35pt;height:43.95pt;width:301.85pt;mso-position-vertical-relative:page;rotation:0f;z-index:251677696;v-text-anchor:middle;" coordorigin="4551,52615" coordsize="8546,1398203">
            <o:lock v:ext="edit" position="f" selection="f" grouping="f" rotation="f" cropping="f" text="f" aspectratio="f"/>
            <v:rect id="矩形 13" o:spid="_x0000_s1061"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62"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部门决算情况说明</w:t>
                    </w:r>
                  </w:p>
                  <w:p>
                    <w:pPr>
                      <w:jc w:val="center"/>
                    </w:pPr>
                  </w:p>
                </w:txbxContent>
              </v:textbox>
            </v:rect>
            <w10:anchorlock/>
          </v:group>
        </w:pict>
      </w:r>
      <w:r>
        <w:rPr>
          <w:rFonts w:hint="eastAsia" w:ascii="仿宋" w:hAnsi="仿宋" w:eastAsia="仿宋" w:cs="宋体"/>
          <w:color w:val="000000"/>
          <w:kern w:val="0"/>
          <w:sz w:val="32"/>
          <w:szCs w:val="32"/>
        </w:rPr>
        <w:t>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0" w:num="1"/>
          <w:docGrid w:type="lines" w:linePitch="312" w:charSpace="0"/>
        </w:sectPr>
      </w:pPr>
    </w:p>
    <w:p>
      <w:pPr>
        <w:rPr>
          <w:rFonts w:ascii="宋体" w:cs="ArialUnicodeMS"/>
          <w:color w:val="000000"/>
          <w:kern w:val="0"/>
        </w:rPr>
        <w:sectPr>
          <w:pgSz w:w="11906" w:h="16838"/>
          <w:pgMar w:top="2098" w:right="1474" w:bottom="1984" w:left="1588" w:header="851" w:footer="992" w:gutter="0"/>
          <w:cols w:space="0" w:num="1"/>
          <w:docGrid w:type="lines" w:linePitch="312" w:charSpace="0"/>
        </w:sectPr>
      </w:pPr>
      <w:r>
        <w:rPr>
          <w:rFonts w:ascii="Times New Roman" w:hAnsi="Times New Roman" w:eastAsia="宋体" w:cs="Times New Roman"/>
          <w:kern w:val="2"/>
          <w:sz w:val="21"/>
          <w:szCs w:val="24"/>
          <w:lang w:val="en-US" w:eastAsia="zh-CN" w:bidi="ar-SA"/>
        </w:rPr>
        <w:pict>
          <v:shape id="图片 21" o:spid="_x0000_s1063" type="#_x0000_t75" style="position:absolute;left:0;margin-left:-79.45pt;margin-top:-105.35pt;height:840.95pt;width:594.5pt;rotation:0f;z-index:-25164902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Times New Roman" w:hAnsi="Times New Roman" w:eastAsia="宋体" w:cs="Times New Roman"/>
          <w:kern w:val="2"/>
          <w:sz w:val="21"/>
          <w:szCs w:val="24"/>
          <w:lang w:val="en-US" w:eastAsia="zh-CN" w:bidi="ar-SA"/>
        </w:rPr>
        <w:pict>
          <v:shape id="文本框 22" o:spid="_x0000_s1064" type="#_x0000_t202" style="position:absolute;left:0;margin-left:-78.7pt;margin-top:232.8pt;height:159.1pt;width:596.2pt;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pPr>
                    <w:widowControl/>
                    <w:spacing w:line="1200" w:lineRule="exact"/>
                    <w:jc w:val="center"/>
                    <w:rPr>
                      <w:color w:val="FDEFBE"/>
                      <w:sz w:val="96"/>
                      <w:szCs w:val="96"/>
                    </w:rPr>
                  </w:pPr>
                  <w:r>
                    <w:rPr>
                      <w:rFonts w:hint="eastAsia" w:ascii="黑体" w:hAnsi="宋体" w:eastAsia="黑体"/>
                      <w:color w:val="FDEFBE"/>
                      <w:sz w:val="96"/>
                      <w:szCs w:val="96"/>
                    </w:rPr>
                    <w:t>名词解释</w:t>
                  </w:r>
                </w:p>
              </w:txbxContent>
            </v:textbox>
          </v:shape>
        </w:pic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w:t>
      </w:r>
      <w:r>
        <w:rPr>
          <w:rFonts w:ascii="Times New Roman" w:hAnsi="Times New Roman" w:eastAsia="宋体" w:cs="Times New Roman"/>
          <w:kern w:val="2"/>
          <w:sz w:val="21"/>
          <w:szCs w:val="24"/>
          <w:lang w:val="en-US" w:eastAsia="zh-CN" w:bidi="ar-SA"/>
        </w:rPr>
        <w:pict>
          <v:group id="组合 149" o:spid="_x0000_s1065" style="position:absolute;left:0;margin-left:-81.05pt;margin-top:39.65pt;height:43.95pt;width:264.85pt;mso-position-vertical-relative:page;rotation:0f;z-index:251670528;v-text-anchor:middle;" coordorigin="4551,52615" coordsize="8546,1398203">
            <o:lock v:ext="edit" position="f" selection="f" grouping="f" rotation="f" cropping="f" text="f" aspectratio="f"/>
            <v:rect id="矩形 13" o:spid="_x0000_s1066"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67"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（十）资本性支出（基本建设）：</w:t>
      </w:r>
      <w:r>
        <w:rPr>
          <w:rFonts w:hint="eastAsia" w:ascii="仿宋_GB2312" w:hAnsi="宋体" w:eastAsia="仿宋_GB2312"/>
          <w:color w:val="000000"/>
          <w:kern w:val="0"/>
          <w:sz w:val="32"/>
          <w:szCs w:val="32"/>
        </w:rPr>
        <w:t>填列切块由发展改革部门安排的基本建设支出，对企业补助支出不在此科目反映。</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（十一）资本性支出：</w:t>
      </w:r>
      <w:r>
        <w:rPr>
          <w:rFonts w:hint="eastAsia" w:ascii="仿宋_GB2312" w:hAnsi="宋体"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Times New Roman" w:hAnsi="Times New Roman" w:eastAsia="宋体" w:cs="Times New Roman"/>
          <w:kern w:val="2"/>
          <w:sz w:val="21"/>
          <w:szCs w:val="24"/>
          <w:lang w:val="en-US" w:eastAsia="zh-CN" w:bidi="ar-SA"/>
        </w:rPr>
        <w:pict>
          <v:group id="组合 94" o:spid="_x0000_s1068" style="position:absolute;left:0;margin-left:-81.05pt;margin-top:39.65pt;height:43.95pt;width:264.85pt;mso-position-vertical-relative:page;rotation:0f;z-index:251678720;v-text-anchor:middle;" coordorigin="4551,52615" coordsize="8546,1398203">
            <o:lock v:ext="edit" position="f" selection="f" grouping="f" rotation="f" cropping="f" text="f" aspectratio="f"/>
            <v:rect id="矩形 13" o:spid="_x0000_s1069"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70"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w:t>
      </w:r>
      <w:r>
        <w:rPr>
          <w:rFonts w:ascii="Times New Roman" w:hAnsi="Times New Roman" w:eastAsia="宋体" w:cs="Times New Roman"/>
          <w:kern w:val="2"/>
          <w:sz w:val="21"/>
          <w:szCs w:val="24"/>
          <w:lang w:val="en-US" w:eastAsia="zh-CN" w:bidi="ar-SA"/>
        </w:rPr>
        <w:pict>
          <v:group id="组合 97" o:spid="_x0000_s1071" style="position:absolute;left:0;margin-left:-81.05pt;margin-top:39.65pt;height:43.95pt;width:264.85pt;mso-position-vertical-relative:page;rotation:0f;z-index:251679744;v-text-anchor:middle;" coordorigin="4551,52615" coordsize="8546,1398203">
            <o:lock v:ext="edit" position="f" selection="f" grouping="f" rotation="f" cropping="f" text="f" aspectratio="f"/>
            <v:rect id="矩形 13" o:spid="_x0000_s1072" style="position:absolute;left:4551;top:52615;height:1175;width:8546;rotation:0f;v-text-anchor:middle;" o:ole="f" fillcolor="#96DA9D" filled="t" o:preferrelative="t" stroked="f" coordsize="21600,21600">
              <v:imagedata gain="65536f" blacklevel="0f" gamma="0"/>
              <o:lock v:ext="edit" position="f" selection="f" grouping="f" rotation="f" cropping="f" text="f" aspectratio="f"/>
            </v:rect>
            <v:rect id="矩形 14" o:spid="_x0000_s1073" style="position:absolute;left:4577;top:52890;height:1123;width:8324;rotation:0f;v-text-anchor:middle;" o:ole="f" fillcolor="#AD002D" filled="t" o:preferrelative="t" stroked="t" coordsize="21600,21600">
              <v:stroke weight="2pt" color="#845209" color2="#FFFFFF" miterlimit="2"/>
              <v:imagedata gain="65536f" blacklevel="0f" gamma="0"/>
              <o:lock v:ext="edit" position="f" selection="f" grouping="f" rotation="f" cropping="f" text="f"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w:t>
                    </w:r>
                    <w:r>
                      <w:rPr>
                        <w:rFonts w:hint="eastAsia" w:ascii="MS Gothic" w:hAnsi="MS Gothic" w:eastAsia="MS Gothic" w:cs="MS Gothic"/>
                        <w:b/>
                        <w:bCs/>
                        <w:color w:val="FDEFBE"/>
                        <w:kern w:val="0"/>
                        <w:sz w:val="32"/>
                        <w:szCs w:val="32"/>
                      </w:rPr>
                      <w:t>☞</w:t>
                    </w:r>
                    <w:r>
                      <w:rPr>
                        <w:rFonts w:hint="eastAsia" w:ascii="楷体" w:hAnsi="楷体" w:eastAsia="楷体" w:cs="楷体"/>
                        <w:b/>
                        <w:bCs/>
                        <w:color w:val="FDEFBE"/>
                        <w:kern w:val="0"/>
                        <w:sz w:val="32"/>
                        <w:szCs w:val="32"/>
                      </w:rPr>
                      <w:t>名词解释</w:t>
                    </w:r>
                  </w:p>
                  <w:p>
                    <w:pPr>
                      <w:jc w:val="center"/>
                    </w:pPr>
                  </w:p>
                </w:txbxContent>
              </v:textbox>
            </v:rect>
            <w10:anchorlock/>
          </v:group>
        </w:pict>
      </w:r>
      <w:r>
        <w:rPr>
          <w:rFonts w:hint="eastAsia" w:ascii="仿宋_GB2312" w:hAnsi="宋体" w:eastAsia="仿宋_GB2312"/>
          <w:b/>
          <w:bCs/>
          <w:color w:val="000000"/>
          <w:kern w:val="0"/>
          <w:sz w:val="32"/>
          <w:szCs w:val="32"/>
        </w:rPr>
        <w:t>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填列单位公务用车购置支出（含车辆购置税、牌照费）。</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1"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1" w:firstLineChars="200"/>
        <w:rPr>
          <w:rFonts w:ascii="仿宋_GB2312" w:hAnsi="Cambria" w:eastAsia="仿宋_GB2312" w:cs="ArialUnicodeMS"/>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420" w:firstLineChars="200"/>
        <w:rPr>
          <w:rFonts w:ascii="仿宋_GB2312" w:hAnsi="Cambria" w:eastAsia="仿宋_GB2312" w:cs="ArialUnicodeMS"/>
          <w:kern w:val="0"/>
          <w:sz w:val="32"/>
          <w:szCs w:val="32"/>
        </w:rPr>
      </w:pPr>
      <w:r>
        <w:rPr>
          <w:rFonts w:ascii="Times New Roman" w:hAnsi="Times New Roman" w:eastAsia="宋体" w:cs="Times New Roman"/>
          <w:kern w:val="2"/>
          <w:sz w:val="21"/>
          <w:szCs w:val="24"/>
          <w:lang w:val="en-US" w:eastAsia="zh-CN" w:bidi="ar-SA"/>
        </w:rPr>
        <w:pict>
          <v:shape id="图片 101" o:spid="_x0000_s1074" type="#_x0000_t75" style="position:absolute;left:0;margin-left:-78pt;margin-top:-106.7pt;height:845.35pt;width:597.65pt;rotation:0f;z-index:-251648000;"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___WRD_EMBED_SUB_39">
    <w:altName w:val="宋体"/>
    <w:panose1 w:val="02010600030101010101"/>
    <w:charset w:val="86"/>
    <w:family w:val="auto"/>
    <w:pitch w:val="default"/>
    <w:sig w:usb0="00000003" w:usb1="288F0000" w:usb2="00000016" w:usb3="00000000" w:csb0="00040001" w:csb1="00000000"/>
  </w:font>
  <w:font w:name="华文仿宋">
    <w:altName w:val="仿宋"/>
    <w:panose1 w:val="00000000000000000000"/>
    <w:charset w:val="86"/>
    <w:family w:val="auto"/>
    <w:pitch w:val="default"/>
    <w:sig w:usb0="00000000" w:usb1="00000000" w:usb2="00000000"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2019847">
    <w:nsid w:val="45DB9A87"/>
    <w:multiLevelType w:val="singleLevel"/>
    <w:tmpl w:val="45DB9A87"/>
    <w:lvl w:ilvl="0" w:tentative="1">
      <w:start w:val="3"/>
      <w:numFmt w:val="chineseCounting"/>
      <w:suff w:val="nothing"/>
      <w:lvlText w:val="（%1）"/>
      <w:lvlJc w:val="left"/>
      <w:rPr>
        <w:rFonts w:hint="eastAsia" w:cs="Times New Roman"/>
      </w:rPr>
    </w:lvl>
  </w:abstractNum>
  <w:num w:numId="1">
    <w:abstractNumId w:val="11720198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C1413"/>
    <w:rsid w:val="00024E7F"/>
    <w:rsid w:val="00030181"/>
    <w:rsid w:val="00046869"/>
    <w:rsid w:val="000475A0"/>
    <w:rsid w:val="00061741"/>
    <w:rsid w:val="00080F0F"/>
    <w:rsid w:val="000838C3"/>
    <w:rsid w:val="000B2446"/>
    <w:rsid w:val="000D7C65"/>
    <w:rsid w:val="000E2F81"/>
    <w:rsid w:val="00117946"/>
    <w:rsid w:val="00117E2C"/>
    <w:rsid w:val="00126E07"/>
    <w:rsid w:val="00146C47"/>
    <w:rsid w:val="00152FB8"/>
    <w:rsid w:val="00176658"/>
    <w:rsid w:val="0018239E"/>
    <w:rsid w:val="001B13B1"/>
    <w:rsid w:val="001B3410"/>
    <w:rsid w:val="001B538C"/>
    <w:rsid w:val="001C030D"/>
    <w:rsid w:val="001C4A84"/>
    <w:rsid w:val="001E4A53"/>
    <w:rsid w:val="001E5902"/>
    <w:rsid w:val="00233705"/>
    <w:rsid w:val="0025465B"/>
    <w:rsid w:val="00275CA2"/>
    <w:rsid w:val="00294972"/>
    <w:rsid w:val="002A2CD9"/>
    <w:rsid w:val="002A65A5"/>
    <w:rsid w:val="002B6691"/>
    <w:rsid w:val="002C04C4"/>
    <w:rsid w:val="002D08B0"/>
    <w:rsid w:val="002D1AE3"/>
    <w:rsid w:val="002F2ECE"/>
    <w:rsid w:val="00341C8F"/>
    <w:rsid w:val="0035463A"/>
    <w:rsid w:val="00367611"/>
    <w:rsid w:val="00391D9D"/>
    <w:rsid w:val="003B6C51"/>
    <w:rsid w:val="003C1413"/>
    <w:rsid w:val="003C549F"/>
    <w:rsid w:val="003D5A16"/>
    <w:rsid w:val="003E69B9"/>
    <w:rsid w:val="003E7DB3"/>
    <w:rsid w:val="003F1321"/>
    <w:rsid w:val="00431175"/>
    <w:rsid w:val="00455491"/>
    <w:rsid w:val="00480388"/>
    <w:rsid w:val="004B51B8"/>
    <w:rsid w:val="004B6E37"/>
    <w:rsid w:val="004C25E4"/>
    <w:rsid w:val="004C32BA"/>
    <w:rsid w:val="004C5737"/>
    <w:rsid w:val="00530DB0"/>
    <w:rsid w:val="005464AF"/>
    <w:rsid w:val="00575922"/>
    <w:rsid w:val="00593805"/>
    <w:rsid w:val="005A6C90"/>
    <w:rsid w:val="005E3FB0"/>
    <w:rsid w:val="005F4B66"/>
    <w:rsid w:val="005F5208"/>
    <w:rsid w:val="0060435C"/>
    <w:rsid w:val="006220DA"/>
    <w:rsid w:val="00641318"/>
    <w:rsid w:val="0064405D"/>
    <w:rsid w:val="0064509E"/>
    <w:rsid w:val="00654036"/>
    <w:rsid w:val="00664AAB"/>
    <w:rsid w:val="006748AE"/>
    <w:rsid w:val="00686F0E"/>
    <w:rsid w:val="00695557"/>
    <w:rsid w:val="006D4EA7"/>
    <w:rsid w:val="0070012A"/>
    <w:rsid w:val="0070664B"/>
    <w:rsid w:val="007071B8"/>
    <w:rsid w:val="0072221A"/>
    <w:rsid w:val="007274F2"/>
    <w:rsid w:val="007414DE"/>
    <w:rsid w:val="007905A9"/>
    <w:rsid w:val="007A0859"/>
    <w:rsid w:val="007B0E8E"/>
    <w:rsid w:val="007D0935"/>
    <w:rsid w:val="007E5500"/>
    <w:rsid w:val="007F055B"/>
    <w:rsid w:val="007F7283"/>
    <w:rsid w:val="00811C2F"/>
    <w:rsid w:val="00833D46"/>
    <w:rsid w:val="00837480"/>
    <w:rsid w:val="00840A97"/>
    <w:rsid w:val="008715B2"/>
    <w:rsid w:val="008B19D2"/>
    <w:rsid w:val="008C0149"/>
    <w:rsid w:val="008C7F4A"/>
    <w:rsid w:val="008D5DED"/>
    <w:rsid w:val="008E25CA"/>
    <w:rsid w:val="008F34FC"/>
    <w:rsid w:val="008F7CC3"/>
    <w:rsid w:val="00944CD7"/>
    <w:rsid w:val="00981BD1"/>
    <w:rsid w:val="009831B2"/>
    <w:rsid w:val="00987D4F"/>
    <w:rsid w:val="009A1ABE"/>
    <w:rsid w:val="009C7906"/>
    <w:rsid w:val="009E21A4"/>
    <w:rsid w:val="009F22C6"/>
    <w:rsid w:val="00A02CE6"/>
    <w:rsid w:val="00A07E50"/>
    <w:rsid w:val="00A15397"/>
    <w:rsid w:val="00A35CE0"/>
    <w:rsid w:val="00A4462E"/>
    <w:rsid w:val="00A44AA4"/>
    <w:rsid w:val="00A61623"/>
    <w:rsid w:val="00A72D3C"/>
    <w:rsid w:val="00A80BA3"/>
    <w:rsid w:val="00A84687"/>
    <w:rsid w:val="00A85785"/>
    <w:rsid w:val="00A935B7"/>
    <w:rsid w:val="00AB0A0E"/>
    <w:rsid w:val="00AD3B6E"/>
    <w:rsid w:val="00B14B76"/>
    <w:rsid w:val="00B1751F"/>
    <w:rsid w:val="00B42D38"/>
    <w:rsid w:val="00B56722"/>
    <w:rsid w:val="00B634EC"/>
    <w:rsid w:val="00B74D39"/>
    <w:rsid w:val="00B91DA4"/>
    <w:rsid w:val="00BC3280"/>
    <w:rsid w:val="00C12630"/>
    <w:rsid w:val="00C23F88"/>
    <w:rsid w:val="00C34562"/>
    <w:rsid w:val="00C3774E"/>
    <w:rsid w:val="00C435F9"/>
    <w:rsid w:val="00C52499"/>
    <w:rsid w:val="00C57456"/>
    <w:rsid w:val="00C65387"/>
    <w:rsid w:val="00C66A91"/>
    <w:rsid w:val="00C87FAB"/>
    <w:rsid w:val="00C91FF7"/>
    <w:rsid w:val="00C94E53"/>
    <w:rsid w:val="00CD4F0B"/>
    <w:rsid w:val="00D0048E"/>
    <w:rsid w:val="00D23E7A"/>
    <w:rsid w:val="00D61063"/>
    <w:rsid w:val="00D92A68"/>
    <w:rsid w:val="00DB35AF"/>
    <w:rsid w:val="00DD4D30"/>
    <w:rsid w:val="00DD72D7"/>
    <w:rsid w:val="00DE6BE7"/>
    <w:rsid w:val="00DF5B88"/>
    <w:rsid w:val="00E0589E"/>
    <w:rsid w:val="00E07A55"/>
    <w:rsid w:val="00E241FA"/>
    <w:rsid w:val="00E2595E"/>
    <w:rsid w:val="00E35374"/>
    <w:rsid w:val="00E50C19"/>
    <w:rsid w:val="00E64655"/>
    <w:rsid w:val="00E73081"/>
    <w:rsid w:val="00E856C9"/>
    <w:rsid w:val="00E939EB"/>
    <w:rsid w:val="00EB6A8B"/>
    <w:rsid w:val="00EC6C78"/>
    <w:rsid w:val="00EE3BEF"/>
    <w:rsid w:val="00EF38C6"/>
    <w:rsid w:val="00F114F8"/>
    <w:rsid w:val="00F141AD"/>
    <w:rsid w:val="00F679C7"/>
    <w:rsid w:val="00F728E2"/>
    <w:rsid w:val="00F72F73"/>
    <w:rsid w:val="00F7711A"/>
    <w:rsid w:val="00F91289"/>
    <w:rsid w:val="00FA0D58"/>
    <w:rsid w:val="00FA1D4F"/>
    <w:rsid w:val="00FA56F4"/>
    <w:rsid w:val="00FB4EDA"/>
    <w:rsid w:val="00FD3BD5"/>
    <w:rsid w:val="00FE15D4"/>
    <w:rsid w:val="00FE3DC8"/>
    <w:rsid w:val="00FF4942"/>
    <w:rsid w:val="023D008C"/>
    <w:rsid w:val="02BF2F74"/>
    <w:rsid w:val="04073F84"/>
    <w:rsid w:val="044B3842"/>
    <w:rsid w:val="07815416"/>
    <w:rsid w:val="0B60750A"/>
    <w:rsid w:val="10686488"/>
    <w:rsid w:val="10DF728A"/>
    <w:rsid w:val="1264200E"/>
    <w:rsid w:val="141C5B77"/>
    <w:rsid w:val="145B0811"/>
    <w:rsid w:val="18D8339D"/>
    <w:rsid w:val="1A21388F"/>
    <w:rsid w:val="1A570D2F"/>
    <w:rsid w:val="234E772A"/>
    <w:rsid w:val="28FB0B8D"/>
    <w:rsid w:val="2D2B7942"/>
    <w:rsid w:val="2D46481D"/>
    <w:rsid w:val="2E733B28"/>
    <w:rsid w:val="31852B5A"/>
    <w:rsid w:val="32BA7D37"/>
    <w:rsid w:val="32D01238"/>
    <w:rsid w:val="3DFC59A8"/>
    <w:rsid w:val="3ECF245E"/>
    <w:rsid w:val="3FB96314"/>
    <w:rsid w:val="40645B94"/>
    <w:rsid w:val="53A44FAF"/>
    <w:rsid w:val="53B435AD"/>
    <w:rsid w:val="594329EC"/>
    <w:rsid w:val="5BEE1540"/>
    <w:rsid w:val="5DE61A5D"/>
    <w:rsid w:val="5FEB7341"/>
    <w:rsid w:val="63C04243"/>
    <w:rsid w:val="640000C1"/>
    <w:rsid w:val="649C01C7"/>
    <w:rsid w:val="699A3F60"/>
    <w:rsid w:val="72902E62"/>
    <w:rsid w:val="737573A5"/>
    <w:rsid w:val="73C61104"/>
    <w:rsid w:val="747258B4"/>
    <w:rsid w:val="776452EA"/>
    <w:rsid w:val="7DC663B9"/>
    <w:rsid w:val="7FD21032"/>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libri" w:hAnsi="Calibri"/>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paragraph" w:styleId="5">
    <w:name w:val="heading 4"/>
    <w:basedOn w:val="1"/>
    <w:next w:val="1"/>
    <w:link w:val="20"/>
    <w:qFormat/>
    <w:uiPriority w:val="99"/>
    <w:pPr>
      <w:keepNext/>
      <w:keepLines/>
      <w:spacing w:before="280" w:after="290" w:line="376" w:lineRule="auto"/>
      <w:outlineLvl w:val="3"/>
    </w:pPr>
    <w:rPr>
      <w:rFonts w:ascii="Calibri" w:hAnsi="Calibri"/>
      <w:b/>
      <w:bCs/>
      <w:sz w:val="28"/>
      <w:szCs w:val="28"/>
    </w:rPr>
  </w:style>
  <w:style w:type="character" w:default="1" w:styleId="12">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6">
    <w:name w:val="Date"/>
    <w:basedOn w:val="1"/>
    <w:next w:val="1"/>
    <w:link w:val="21"/>
    <w:semiHidden/>
    <w:qFormat/>
    <w:uiPriority w:val="99"/>
    <w:pPr>
      <w:ind w:left="100" w:leftChars="2500"/>
    </w:pPr>
  </w:style>
  <w:style w:type="paragraph" w:styleId="7">
    <w:name w:val="Balloon Text"/>
    <w:basedOn w:val="1"/>
    <w:link w:val="22"/>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mbria" w:hAnsi="Cambria" w:eastAsia="黑体"/>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0">
    <w:name w:val="Subtitle"/>
    <w:basedOn w:val="1"/>
    <w:next w:val="1"/>
    <w:link w:val="25"/>
    <w:qFormat/>
    <w:uiPriority w:val="99"/>
    <w:pPr>
      <w:widowControl/>
      <w:spacing w:after="200" w:line="276" w:lineRule="auto"/>
      <w:jc w:val="left"/>
    </w:pPr>
    <w:rPr>
      <w:rFonts w:ascii="Calibri" w:hAnsi="Calibri"/>
      <w:i/>
      <w:iCs/>
      <w:color w:val="F0A22E"/>
      <w:spacing w:val="15"/>
      <w:kern w:val="0"/>
      <w:sz w:val="24"/>
    </w:rPr>
  </w:style>
  <w:style w:type="paragraph" w:styleId="11">
    <w:name w:val="Title"/>
    <w:basedOn w:val="1"/>
    <w:next w:val="1"/>
    <w:link w:val="26"/>
    <w:qFormat/>
    <w:uiPriority w:val="99"/>
    <w:pPr>
      <w:widowControl/>
      <w:pBdr>
        <w:bottom w:val="single" w:color="F0A22E" w:sz="8" w:space="4"/>
      </w:pBdr>
      <w:spacing w:after="300"/>
      <w:contextualSpacing/>
      <w:jc w:val="left"/>
    </w:pPr>
    <w:rPr>
      <w:rFonts w:ascii="Calibri" w:hAnsi="Calibri"/>
      <w:color w:val="3A2C24"/>
      <w:spacing w:val="5"/>
      <w:kern w:val="28"/>
      <w:sz w:val="52"/>
      <w:szCs w:val="52"/>
    </w:rPr>
  </w:style>
  <w:style w:type="table" w:styleId="14">
    <w:name w:val="Table Grid"/>
    <w:basedOn w:val="13"/>
    <w:qFormat/>
    <w:uiPriority w:val="99"/>
    <w:pPr/>
    <w:rPr>
      <w:sz w:val="22"/>
    </w:rPr>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5">
    <w:name w:val="No Spacing"/>
    <w:link w:val="27"/>
    <w:qFormat/>
    <w:uiPriority w:val="99"/>
    <w:pPr>
      <w:spacing w:after="160" w:line="480" w:lineRule="auto"/>
    </w:pPr>
    <w:rPr>
      <w:rFonts w:ascii="Cambria" w:hAnsi="Cambria" w:eastAsia="黑体" w:cs="Times New Roman"/>
      <w:sz w:val="22"/>
      <w:szCs w:val="22"/>
      <w:lang w:val="en-US" w:eastAsia="zh-CN" w:bidi="ar-SA"/>
    </w:rPr>
  </w:style>
  <w:style w:type="paragraph" w:customStyle="1" w:styleId="16">
    <w:name w:val="List Paragraph"/>
    <w:basedOn w:val="1"/>
    <w:qFormat/>
    <w:uiPriority w:val="99"/>
    <w:pPr>
      <w:ind w:firstLine="420" w:firstLineChars="200"/>
    </w:p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libri" w:hAnsi="Calibri" w:eastAsia="宋体" w:cs="Times New Roman"/>
      <w:b/>
      <w:bCs/>
      <w:sz w:val="32"/>
      <w:szCs w:val="32"/>
    </w:rPr>
  </w:style>
  <w:style w:type="character" w:customStyle="1" w:styleId="19">
    <w:name w:val="标题 3 Char"/>
    <w:basedOn w:val="12"/>
    <w:link w:val="4"/>
    <w:qFormat/>
    <w:locked/>
    <w:uiPriority w:val="99"/>
    <w:rPr>
      <w:rFonts w:ascii="Times New Roman" w:hAnsi="Times New Roman" w:eastAsia="宋体" w:cs="Times New Roman"/>
      <w:b/>
      <w:bCs/>
      <w:sz w:val="32"/>
      <w:szCs w:val="32"/>
    </w:rPr>
  </w:style>
  <w:style w:type="character" w:customStyle="1" w:styleId="20">
    <w:name w:val="标题 4 Char"/>
    <w:basedOn w:val="12"/>
    <w:link w:val="5"/>
    <w:qFormat/>
    <w:locked/>
    <w:uiPriority w:val="99"/>
    <w:rPr>
      <w:rFonts w:ascii="Calibri" w:hAnsi="Calibri" w:eastAsia="宋体" w:cs="Times New Roman"/>
      <w:b/>
      <w:bCs/>
      <w:sz w:val="28"/>
      <w:szCs w:val="28"/>
    </w:rPr>
  </w:style>
  <w:style w:type="character" w:customStyle="1" w:styleId="21">
    <w:name w:val="日期 Char"/>
    <w:basedOn w:val="12"/>
    <w:link w:val="6"/>
    <w:semiHidden/>
    <w:qFormat/>
    <w:locked/>
    <w:uiPriority w:val="99"/>
    <w:rPr>
      <w:rFonts w:ascii="Times New Roman" w:hAnsi="Times New Roman" w:eastAsia="宋体" w:cs="Times New Roman"/>
      <w:sz w:val="24"/>
      <w:szCs w:val="24"/>
    </w:rPr>
  </w:style>
  <w:style w:type="character" w:customStyle="1" w:styleId="22">
    <w:name w:val="批注框文本 Char"/>
    <w:basedOn w:val="12"/>
    <w:link w:val="7"/>
    <w:semiHidden/>
    <w:qFormat/>
    <w:locked/>
    <w:uiPriority w:val="99"/>
    <w:rPr>
      <w:rFonts w:ascii="Times New Roman" w:hAnsi="Times New Roman" w:eastAsia="宋体" w:cs="Times New Roman"/>
      <w:sz w:val="18"/>
      <w:szCs w:val="18"/>
    </w:rPr>
  </w:style>
  <w:style w:type="character" w:customStyle="1" w:styleId="23">
    <w:name w:val="页脚 Char"/>
    <w:basedOn w:val="12"/>
    <w:link w:val="8"/>
    <w:qFormat/>
    <w:locked/>
    <w:uiPriority w:val="99"/>
    <w:rPr>
      <w:rFonts w:cs="Times New Roman"/>
      <w:sz w:val="18"/>
      <w:szCs w:val="18"/>
    </w:rPr>
  </w:style>
  <w:style w:type="character" w:customStyle="1" w:styleId="24">
    <w:name w:val="页眉 Char"/>
    <w:basedOn w:val="12"/>
    <w:link w:val="9"/>
    <w:qFormat/>
    <w:locked/>
    <w:uiPriority w:val="99"/>
    <w:rPr>
      <w:rFonts w:cs="Times New Roman"/>
      <w:sz w:val="18"/>
      <w:szCs w:val="18"/>
    </w:rPr>
  </w:style>
  <w:style w:type="character" w:customStyle="1" w:styleId="25">
    <w:name w:val="副标题 Char"/>
    <w:basedOn w:val="12"/>
    <w:link w:val="10"/>
    <w:qFormat/>
    <w:locked/>
    <w:uiPriority w:val="99"/>
    <w:rPr>
      <w:rFonts w:ascii="Calibri" w:hAnsi="Calibri" w:eastAsia="宋体" w:cs="Times New Roman"/>
      <w:i/>
      <w:iCs/>
      <w:color w:val="F0A22E"/>
      <w:spacing w:val="15"/>
      <w:kern w:val="0"/>
      <w:sz w:val="24"/>
      <w:szCs w:val="24"/>
    </w:rPr>
  </w:style>
  <w:style w:type="character" w:customStyle="1" w:styleId="26">
    <w:name w:val="标题 Char"/>
    <w:basedOn w:val="12"/>
    <w:link w:val="11"/>
    <w:qFormat/>
    <w:locked/>
    <w:uiPriority w:val="99"/>
    <w:rPr>
      <w:rFonts w:ascii="Calibri" w:hAnsi="Calibri" w:eastAsia="宋体" w:cs="Times New Roman"/>
      <w:color w:val="3A2C24"/>
      <w:spacing w:val="5"/>
      <w:kern w:val="28"/>
      <w:sz w:val="52"/>
      <w:szCs w:val="52"/>
    </w:rPr>
  </w:style>
  <w:style w:type="character" w:customStyle="1" w:styleId="27">
    <w:name w:val="无间隔 Char"/>
    <w:basedOn w:val="12"/>
    <w:link w:val="15"/>
    <w:qFormat/>
    <w:locked/>
    <w:uiPriority w:val="99"/>
    <w:rPr>
      <w:rFonts w:cs="Times New Roman"/>
      <w:sz w:val="22"/>
      <w:szCs w:val="22"/>
      <w:lang w:val="en-US" w:eastAsia="zh-CN" w:bidi="ar-SA"/>
    </w:rPr>
  </w:style>
  <w:style w:type="character" w:customStyle="1" w:styleId="28">
    <w:name w:val="Style1"/>
    <w:basedOn w:val="12"/>
    <w:qFormat/>
    <w:uiPriority w:val="99"/>
    <w:rPr>
      <w:rFonts w:ascii="Cambria" w:hAnsi="黑体" w:eastAsia="黑体" w:cs="Times New Roman"/>
      <w:sz w:val="22"/>
      <w:szCs w:val="22"/>
      <w:lang w:eastAsia="zh-CN"/>
    </w:rPr>
  </w:style>
  <w:style w:type="character" w:customStyle="1" w:styleId="29">
    <w:name w:val="Style2"/>
    <w:basedOn w:val="12"/>
    <w:qFormat/>
    <w:uiPriority w:val="99"/>
    <w:rPr>
      <w:rFonts w:ascii="Cambria" w:hAnsi="黑体" w:eastAsia="黑体" w:cs="Times New Roman"/>
      <w:sz w:val="22"/>
      <w:szCs w:val="22"/>
      <w:lang w:eastAsia="zh-CN"/>
    </w:rPr>
  </w:style>
  <w:style w:type="character" w:customStyle="1" w:styleId="30">
    <w:name w:val="Style3"/>
    <w:basedOn w:val="12"/>
    <w:qFormat/>
    <w:uiPriority w:val="99"/>
    <w:rPr>
      <w:rFonts w:ascii="Cambria" w:hAnsi="黑体" w:eastAsia="黑体" w:cs="Times New Roman"/>
      <w:sz w:val="22"/>
      <w:szCs w:val="22"/>
      <w:lang w:eastAsia="zh-CN"/>
    </w:rPr>
  </w:style>
  <w:style w:type="character" w:customStyle="1" w:styleId="31">
    <w:name w:val="Style4"/>
    <w:basedOn w:val="12"/>
    <w:qFormat/>
    <w:uiPriority w:val="99"/>
    <w:rPr>
      <w:rFonts w:ascii="Cambria" w:hAnsi="黑体" w:eastAsia="黑体" w:cs="Times New Roman"/>
      <w:sz w:val="22"/>
      <w:szCs w:val="22"/>
      <w:lang w:eastAsia="zh-CN"/>
    </w:rPr>
  </w:style>
  <w:style w:type="character" w:customStyle="1" w:styleId="32">
    <w:name w:val="Style5"/>
    <w:basedOn w:val="12"/>
    <w:qFormat/>
    <w:uiPriority w:val="99"/>
    <w:rPr>
      <w:rFonts w:ascii="Cambria" w:hAnsi="黑体" w:eastAsia="黑体" w:cs="Times New Roman"/>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798</Words>
  <Characters>4550</Characters>
  <Lines>37</Lines>
  <Paragraphs>10</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2021-06-22T09:58:00Z</dcterms:created>
  <dc:creator>User</dc:creator>
  <cp:lastModifiedBy>hp1</cp:lastModifiedBy>
  <cp:lastPrinted>2019-08-02T01:01:00Z</cp:lastPrinted>
  <dcterms:modified xsi:type="dcterms:W3CDTF">2023-11-03T03:04:27Z</dcterms:modified>
  <dc:subject>石家庄市xxx部门</dc:subject>
  <dc:title>2017年度部门决算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