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142240</wp:posOffset>
                </wp:positionV>
                <wp:extent cx="7571740" cy="2518410"/>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青龙满族自治县委统战部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11.2pt;height:198.3pt;width:596.2pt;z-index:251660288;mso-width-relative:page;mso-height-relative:page;" filled="f" stroked="f" coordsize="21600,21600" o:gfxdata="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RZXH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青龙满族自治县委统战部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 xml:space="preserve">      </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二〇一九年十月</w:t>
      </w:r>
    </w:p>
    <w:p>
      <w:pPr>
        <w:spacing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12700" r="2540" b="0"/>
                <wp:wrapNone/>
                <wp:docPr id="20"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203"/>
                        </a:xfrm>
                      </wpg:grpSpPr>
                      <wps:wsp>
                        <wps:cNvPr id="18" name="矩形 13"/>
                        <wps:cNvSpPr/>
                        <wps:spPr>
                          <a:xfrm>
                            <a:off x="4551" y="52615"/>
                            <a:ext cx="8546" cy="1175"/>
                          </a:xfrm>
                          <a:prstGeom prst="rect">
                            <a:avLst/>
                          </a:prstGeom>
                          <a:solidFill>
                            <a:srgbClr val="96DA9D"/>
                          </a:solidFill>
                          <a:ln w="25400">
                            <a:noFill/>
                          </a:ln>
                        </wps:spPr>
                        <wps:bodyPr anchor="ctr" anchorCtr="0" upright="1"/>
                      </wps:wsp>
                      <wps:wsp>
                        <wps:cNvPr id="1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203"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qsYA&#10;AADcAAAADwAAAGRycy9kb3ducmV2LnhtbESPQWvCQBCF7wX/wzIFb3VjDxKiq0hB8SBoU0V6G7Jj&#10;EpqdDdmtif5651DobYb35r1vFqvBNepGXag9G5hOElDEhbc1lwZOX5u3FFSIyBYbz2TgTgFWy9HL&#10;AjPre/6kWx5LJSEcMjRQxdhmWoeiIodh4lti0a6+cxhl7UptO+wl3DX6PUlm2mHN0lBhSx8VFT/5&#10;rzNwxcdxXW/p8T27HLbTPm/O+3RjzPh1WM9BRRriv/nvemcFPxV8eUYm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CqsYAAADcAAAADwAAAAAAAAAAAAAAAACYAgAAZHJz&#10;L2Rvd25yZXYueG1sUEsFBgAAAAAEAAQA9QAAAIs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WiMMA&#10;AADcAAAADwAAAGRycy9kb3ducmV2LnhtbERPS2vCQBC+F/wPywje6iZia4iuwRaE9iI+CqW3aXZM&#10;gtnZkN08+u/dQqG3+fies8lGU4ueWldZVhDPIxDEudUVFwo+LvvHBITzyBpry6Tghxxk28nDBlNt&#10;Bz5Rf/aFCCHsUlRQet+kUrq8JINubhviwF1ta9AH2BZStziEcFPLRRQ9S4MVh4YSG3otKb+dO6Mg&#10;eSL9ufx+cX1+LBarJb8fuuOXUrPpuFuD8DT6f/Gf+02H+UkM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oWiMMAAADcAAAADwAAAAAAAAAAAAAAAACYAgAAZHJzL2Rv&#10;d25yZXYueG1sUEsFBgAAAAAEAAQA9QAAAI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统战部</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12700" r="5080" b="0"/>
                <wp:wrapNone/>
                <wp:docPr id="15"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203"/>
                        </a:xfrm>
                      </wpg:grpSpPr>
                      <wps:wsp>
                        <wps:cNvPr id="13" name="矩形 13"/>
                        <wps:cNvSpPr/>
                        <wps:spPr>
                          <a:xfrm>
                            <a:off x="4551" y="52615"/>
                            <a:ext cx="8546" cy="1175"/>
                          </a:xfrm>
                          <a:prstGeom prst="rect">
                            <a:avLst/>
                          </a:prstGeom>
                          <a:solidFill>
                            <a:srgbClr val="96DA9D"/>
                          </a:solidFill>
                          <a:ln w="25400">
                            <a:noFill/>
                          </a:ln>
                        </wps:spPr>
                        <wps:bodyPr anchor="ctr" anchorCtr="0" upright="1"/>
                      </wps:wsp>
                      <wps:wsp>
                        <wps:cNvPr id="1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">
                <o:lock v:ext="edit" aspectratio="f"/>
                <v:rect id="_x0000_s1026"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q+cIA&#10;AADcAAAADwAAAGRycy9kb3ducmV2LnhtbERPTYvCMBC9L/gfwgje1lQPKtUoIigeBNeqiLehGdti&#10;MylNtNVfvxEW9jaP9zmzRWtK8aTaFZYVDPoRCOLU6oIzBafj+nsCwnlkjaVlUvAiB4t552uGsbYN&#10;H+iZ+EyEEHYxKsi9r2IpXZqTQde3FXHgbrY26AOsM6lrbEK4KeUwikbSYMGhIceKVjml9+RhFNzw&#10;/bMsNvS+ji77zaBJyvNuslaq122XUxCeWv8v/nNvdZg/HsPn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r5wgAAANwAAAAPAAAAAAAAAAAAAAAAAJgCAABkcnMvZG93&#10;bnJldi54bWxQSwUGAAAAAAQABAD1AAAAhw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MsYA&#10;AADcAAAADwAAAGRycy9kb3ducmV2LnhtbESPQWvCQBCF74L/YZmCN91UtErqJtiCoJeitlB6m2an&#10;SWh2NmTXGP9951DwNsN78943m3xwjeqpC7VnA4+zBBRx4W3NpYGP9910DSpEZIuNZzJwowB5Nh5t&#10;MLX+yifqz7FUEsIhRQNVjG2qdSgqchhmviUW7cd3DqOsXalth1cJd42eJ8mTdlizNFTY0mtFxe/5&#10;4gysl2Q/F98voS+O5Xy14MPb5fhlzORh2D6DijTEu/n/em8FfyW08oxMo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PMsYAAADcAAAADwAAAAAAAAAAAAAAAACYAgAAZHJz&#10;L2Rvd25yZXYueG1sUEsFBgAAAAAEAAQA9QAAAIs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12700" r="6350" b="0"/>
                <wp:wrapNone/>
                <wp:docPr id="3"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203"/>
                        </a:xfrm>
                      </wpg:grpSpPr>
                      <wps:wsp>
                        <wps:cNvPr id="1" name="矩形 13"/>
                        <wps:cNvSpPr/>
                        <wps:spPr>
                          <a:xfrm>
                            <a:off x="4551" y="52615"/>
                            <a:ext cx="8546" cy="1175"/>
                          </a:xfrm>
                          <a:prstGeom prst="rect">
                            <a:avLst/>
                          </a:prstGeom>
                          <a:solidFill>
                            <a:srgbClr val="96DA9D"/>
                          </a:solidFill>
                          <a:ln w="25400">
                            <a:noFill/>
                          </a:ln>
                        </wps:spPr>
                        <wps:bodyPr anchor="ctr" anchorCtr="0" upright="1"/>
                      </wps:wsp>
                      <wps:wsp>
                        <wps:cNvPr id="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QisMA&#10;AADbAAAADwAAAGRycy9kb3ducmV2LnhtbERPS2vCQBC+C/6HZYTezEYLEtKsIgXFQ6E2bSm9DdnJ&#10;g2ZnQ3Zr0vx6tyB4m4/vOdluNK24UO8aywpWUQyCuLC64UrBx/thmYBwHllja5kU/JGD3XY+yzDV&#10;duA3uuS+EiGEXYoKau+7VEpX1GTQRbYjDlxpe4M+wL6SuschhJtWruN4Iw02HBpq7Oi5puIn/zUK&#10;SpzO++ZI0/fm6/W4GvL28yU5KPWwGPdPIDyN/i6+uU86zH+E/1/C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QisMAAADbAAAADwAAAAAAAAAAAAAAAACYAgAAZHJzL2Rv&#10;d25yZXYueG1sUEsFBgAAAAAEAAQA9QAAAI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6cEA&#10;AADbAAAADwAAAGRycy9kb3ducmV2LnhtbERPS4vCMBC+C/sfwix403Slu0o1yioIehFfIN7GZmyL&#10;zaQ0sXb/vVkQvM3H95zJrDWlaKh2hWUFX/0IBHFqdcGZguNh2RuBcB5ZY2mZFPyRg9n0ozPBRNsH&#10;76jZ+0yEEHYJKsi9rxIpXZqTQde3FXHgrrY26AOsM6lrfIRwU8pBFP1IgwWHhhwrWuSU3vZ3o2D0&#10;TfoUX+auSbfZYBjzenPfnpXqfra/YxCeWv8Wv9wrHebH8P9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OnBAAAA2wAAAA8AAAAAAAAAAAAAAAAAmAIAAGRycy9kb3du&#10;cmV2LnhtbFBLBQYAAAAABAAEAPUAAACG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1、统战事务管理综合工作职责分类绩效目标。提升统战理论研究实力和社会影响力，提高统战工作科学化水平，更好地服务全县中心工作。完成调研课题100%；统战专题宣传6次。</w:t>
      </w:r>
    </w:p>
    <w:p>
      <w:pPr>
        <w:tabs>
          <w:tab w:val="right" w:pos="8844"/>
        </w:tabs>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2、民族宗教统战职责分类绩效目标。</w:t>
      </w:r>
      <w:r>
        <w:rPr>
          <w:rFonts w:asciiTheme="majorEastAsia" w:hAnsiTheme="majorEastAsia" w:eastAsiaTheme="majorEastAsia"/>
          <w:sz w:val="32"/>
          <w:szCs w:val="32"/>
        </w:rPr>
        <w:tab/>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3、民主党派和无党派代表人士工作职责分类绩效目标。不断推进多党合作和政治协商的制度化、规范化，协助民主党派建设高素质干部队伍，不断提高参政议政、民主监督水平。创新举措数量3条。</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4、非公经济统战工作职责分类绩效目标。促进非公经济人士健康成长和非公经济健康发展。挂职民企活动人数50名；送“服务”活动2次；三下乡活动次数2次。</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5、港澳台海外统战工作职责分类绩效目标。不断推进港澳台海外统战工作创新发展，为祖国和平统一事业以及我县对外开放和经济社会发展做贡献。港澳台联络交流工作完成率100%。</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6、党外知识分子工作职责分类绩效目标。凝聚共识，弘扬正能量；发挥人才智力优势，服务经济社会发展。完成调研报告篇数2篇；举办考察班期数2期；创新举措2条。</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7、侨联、海联工作职责分类绩效目标。提升拓展海外统战 联谊渠道，开展扶贫济困等工作，更好地发挥侨界参政议政、民主监督作用。扶贫济困、信息宣传报道次数2次。</w:t>
      </w:r>
    </w:p>
    <w:p>
      <w:pPr>
        <w:autoSpaceDE w:val="0"/>
        <w:autoSpaceDN w:val="0"/>
        <w:adjustRightInd w:val="0"/>
        <w:spacing w:line="520" w:lineRule="exact"/>
        <w:ind w:left="198" w:firstLine="480" w:firstLineChars="150"/>
        <w:jc w:val="left"/>
        <w:rPr>
          <w:rFonts w:ascii="宋体" w:hAnsi="宋体"/>
          <w:sz w:val="32"/>
          <w:szCs w:val="32"/>
        </w:rPr>
      </w:pPr>
      <w:r>
        <w:rPr>
          <w:rFonts w:hint="eastAsia" w:ascii="宋体" w:hAnsi="宋体"/>
          <w:sz w:val="32"/>
          <w:szCs w:val="32"/>
        </w:rPr>
        <w:t xml:space="preserve"> 8、党外干部队伍建设工作职责分类绩效目标。提升党外干部队伍整体素质，增强党外干部政治把握能力、参政议政能力、组织领导能力和合作共事能力；完善全县党外代表人士信息。年度培训率为95%以上；跟踪培养人数50人；遴选推荐人数10人。</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cs="ArialUnicodeMS" w:asciiTheme="majorEastAsia" w:hAnsiTheme="majorEastAsia" w:eastAsiaTheme="majorEastAsia"/>
          <w:kern w:val="0"/>
          <w:sz w:val="32"/>
          <w:szCs w:val="32"/>
        </w:rPr>
      </w:pPr>
      <w:r>
        <w:rPr>
          <w:rFonts w:hint="eastAsia" w:cs="ArialUnicodeMS" w:asciiTheme="majorEastAsia" w:hAnsiTheme="majorEastAsia" w:eastAsiaTheme="majorEastAsia"/>
          <w:kern w:val="0"/>
          <w:sz w:val="32"/>
          <w:szCs w:val="32"/>
        </w:rPr>
        <w:t>从决算编报单位构成看，纳入2018 年度本部门决算汇编范围的独立核算单位（以下简称“单位”）共 1个，无下属独立核算单位，具体情况如下：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pPr>
              <w:spacing w:after="0" w:line="560" w:lineRule="exact"/>
              <w:jc w:val="center"/>
              <w:rPr>
                <w:rFonts w:cs="ArialUnicodeMS" w:asciiTheme="majorEastAsia" w:hAnsiTheme="majorEastAsia" w:eastAsiaTheme="majorEastAsia"/>
                <w:b/>
                <w:bCs/>
                <w:kern w:val="0"/>
                <w:sz w:val="32"/>
                <w:szCs w:val="32"/>
              </w:rPr>
            </w:pPr>
            <w:r>
              <w:rPr>
                <w:rFonts w:hint="eastAsia" w:cs="ArialUnicodeMS" w:asciiTheme="majorEastAsia" w:hAnsiTheme="majorEastAsia" w:eastAsiaTheme="majorEastAsia"/>
                <w:b/>
                <w:bCs/>
                <w:kern w:val="0"/>
                <w:sz w:val="32"/>
                <w:szCs w:val="32"/>
              </w:rPr>
              <w:t>序号</w:t>
            </w:r>
          </w:p>
        </w:tc>
        <w:tc>
          <w:tcPr>
            <w:tcW w:w="3485" w:type="dxa"/>
            <w:vAlign w:val="center"/>
          </w:tcPr>
          <w:p>
            <w:pPr>
              <w:spacing w:after="0" w:line="560" w:lineRule="exact"/>
              <w:jc w:val="center"/>
              <w:rPr>
                <w:rFonts w:cs="ArialUnicodeMS" w:asciiTheme="majorEastAsia" w:hAnsiTheme="majorEastAsia" w:eastAsiaTheme="majorEastAsia"/>
                <w:b/>
                <w:bCs/>
                <w:kern w:val="0"/>
                <w:sz w:val="32"/>
                <w:szCs w:val="32"/>
              </w:rPr>
            </w:pPr>
            <w:r>
              <w:rPr>
                <w:rFonts w:hint="eastAsia" w:cs="ArialUnicodeMS" w:asciiTheme="majorEastAsia" w:hAnsiTheme="majorEastAsia" w:eastAsiaTheme="majorEastAsia"/>
                <w:b/>
                <w:bCs/>
                <w:kern w:val="0"/>
                <w:sz w:val="32"/>
                <w:szCs w:val="32"/>
              </w:rPr>
              <w:t>单位名称</w:t>
            </w:r>
          </w:p>
        </w:tc>
        <w:tc>
          <w:tcPr>
            <w:tcW w:w="2445" w:type="dxa"/>
            <w:vAlign w:val="center"/>
          </w:tcPr>
          <w:p>
            <w:pPr>
              <w:spacing w:after="0" w:line="560" w:lineRule="exact"/>
              <w:jc w:val="center"/>
              <w:rPr>
                <w:rFonts w:cs="ArialUnicodeMS" w:asciiTheme="majorEastAsia" w:hAnsiTheme="majorEastAsia" w:eastAsiaTheme="majorEastAsia"/>
                <w:b/>
                <w:bCs/>
                <w:kern w:val="0"/>
                <w:sz w:val="32"/>
                <w:szCs w:val="32"/>
              </w:rPr>
            </w:pPr>
            <w:r>
              <w:rPr>
                <w:rFonts w:hint="eastAsia" w:cs="ArialUnicodeMS" w:asciiTheme="majorEastAsia" w:hAnsiTheme="majorEastAsia" w:eastAsiaTheme="majorEastAsia"/>
                <w:b/>
                <w:bCs/>
                <w:kern w:val="0"/>
                <w:sz w:val="32"/>
                <w:szCs w:val="32"/>
              </w:rPr>
              <w:t>单位基本性质</w:t>
            </w:r>
          </w:p>
        </w:tc>
        <w:tc>
          <w:tcPr>
            <w:tcW w:w="2665" w:type="dxa"/>
            <w:vAlign w:val="center"/>
          </w:tcPr>
          <w:p>
            <w:pPr>
              <w:spacing w:after="0" w:line="560" w:lineRule="exact"/>
              <w:jc w:val="center"/>
              <w:rPr>
                <w:rFonts w:cs="ArialUnicodeMS" w:asciiTheme="majorEastAsia" w:hAnsiTheme="majorEastAsia" w:eastAsiaTheme="majorEastAsia"/>
                <w:b/>
                <w:bCs/>
                <w:kern w:val="0"/>
                <w:sz w:val="32"/>
                <w:szCs w:val="32"/>
              </w:rPr>
            </w:pPr>
            <w:r>
              <w:rPr>
                <w:rFonts w:hint="eastAsia" w:cs="ArialUnicodeMS" w:asciiTheme="majorEastAsia" w:hAnsiTheme="majorEastAsia" w:eastAsiaTheme="majorEastAsia"/>
                <w:b/>
                <w:bCs/>
                <w:kern w:val="0"/>
                <w:sz w:val="32"/>
                <w:szCs w:val="32"/>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985" w:type="dxa"/>
          </w:tcPr>
          <w:p>
            <w:pPr>
              <w:spacing w:after="0" w:line="560" w:lineRule="exact"/>
              <w:jc w:val="center"/>
              <w:rPr>
                <w:rFonts w:cs="ArialUnicodeMS" w:asciiTheme="majorEastAsia" w:hAnsiTheme="majorEastAsia" w:eastAsiaTheme="majorEastAsia"/>
                <w:kern w:val="0"/>
                <w:sz w:val="32"/>
                <w:szCs w:val="32"/>
              </w:rPr>
            </w:pPr>
            <w:r>
              <w:rPr>
                <w:rFonts w:hint="eastAsia" w:cs="宋体" w:asciiTheme="majorEastAsia" w:hAnsiTheme="majorEastAsia" w:eastAsiaTheme="majorEastAsia"/>
                <w:kern w:val="0"/>
                <w:sz w:val="32"/>
                <w:szCs w:val="32"/>
              </w:rPr>
              <w:t>1</w:t>
            </w:r>
          </w:p>
        </w:tc>
        <w:tc>
          <w:tcPr>
            <w:tcW w:w="3485" w:type="dxa"/>
          </w:tcPr>
          <w:p>
            <w:pPr>
              <w:spacing w:after="0" w:line="560" w:lineRule="exact"/>
              <w:rPr>
                <w:rFonts w:cs="ArialUnicodeMS" w:asciiTheme="majorEastAsia" w:hAnsiTheme="majorEastAsia" w:eastAsiaTheme="majorEastAsia"/>
                <w:kern w:val="0"/>
                <w:sz w:val="32"/>
                <w:szCs w:val="32"/>
              </w:rPr>
            </w:pPr>
            <w:r>
              <w:rPr>
                <w:rFonts w:hint="eastAsia" w:cs="ArialUnicodeMS" w:asciiTheme="majorEastAsia" w:hAnsiTheme="majorEastAsia" w:eastAsiaTheme="majorEastAsia"/>
                <w:kern w:val="0"/>
                <w:sz w:val="32"/>
                <w:szCs w:val="32"/>
              </w:rPr>
              <w:t>中共青龙满族自治县委员会统一战线工作部</w:t>
            </w:r>
          </w:p>
        </w:tc>
        <w:tc>
          <w:tcPr>
            <w:tcW w:w="2445" w:type="dxa"/>
          </w:tcPr>
          <w:p>
            <w:pPr>
              <w:spacing w:after="0" w:line="560" w:lineRule="exact"/>
              <w:jc w:val="center"/>
              <w:rPr>
                <w:rFonts w:cs="ArialUnicodeMS" w:asciiTheme="majorEastAsia" w:hAnsiTheme="majorEastAsia" w:eastAsiaTheme="majorEastAsia"/>
                <w:kern w:val="0"/>
                <w:sz w:val="32"/>
                <w:szCs w:val="32"/>
              </w:rPr>
            </w:pPr>
            <w:r>
              <w:rPr>
                <w:rFonts w:hint="eastAsia" w:cs="ArialUnicodeMS" w:asciiTheme="majorEastAsia" w:hAnsiTheme="majorEastAsia" w:eastAsiaTheme="majorEastAsia"/>
                <w:kern w:val="0"/>
                <w:sz w:val="32"/>
                <w:szCs w:val="32"/>
              </w:rPr>
              <w:t>行政单位</w:t>
            </w:r>
          </w:p>
        </w:tc>
        <w:tc>
          <w:tcPr>
            <w:tcW w:w="2665" w:type="dxa"/>
          </w:tcPr>
          <w:p>
            <w:pPr>
              <w:spacing w:after="0" w:line="560" w:lineRule="exact"/>
              <w:jc w:val="center"/>
              <w:rPr>
                <w:rFonts w:cs="ArialUnicodeMS" w:asciiTheme="majorEastAsia" w:hAnsiTheme="majorEastAsia" w:eastAsiaTheme="majorEastAsia"/>
                <w:kern w:val="0"/>
                <w:sz w:val="32"/>
                <w:szCs w:val="32"/>
              </w:rPr>
            </w:pPr>
            <w:r>
              <w:rPr>
                <w:rFonts w:hint="eastAsia" w:ascii="宋体" w:hAnsi="宋体"/>
                <w:sz w:val="32"/>
                <w:szCs w:val="32"/>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cs="ArialUnicodeMS" w:asciiTheme="majorEastAsia" w:hAnsiTheme="majorEastAsia" w:eastAsiaTheme="majorEastAsia"/>
                <w:kern w:val="0"/>
                <w:sz w:val="32"/>
                <w:szCs w:val="32"/>
              </w:rPr>
            </w:pPr>
            <w:r>
              <w:rPr>
                <w:rFonts w:hint="eastAsia" w:cs="ArialUnicodeMS" w:asciiTheme="majorEastAsia" w:hAnsiTheme="majorEastAsia" w:eastAsiaTheme="majorEastAsia"/>
                <w:kern w:val="0"/>
                <w:sz w:val="32"/>
                <w:szCs w:val="32"/>
              </w:rPr>
              <w:t>2</w:t>
            </w:r>
          </w:p>
        </w:tc>
        <w:tc>
          <w:tcPr>
            <w:tcW w:w="3485" w:type="dxa"/>
          </w:tcPr>
          <w:p>
            <w:pPr>
              <w:spacing w:after="0" w:line="560" w:lineRule="exact"/>
              <w:rPr>
                <w:rFonts w:cs="ArialUnicodeMS" w:asciiTheme="majorEastAsia" w:hAnsiTheme="majorEastAsia" w:eastAsiaTheme="majorEastAsia"/>
                <w:kern w:val="0"/>
                <w:sz w:val="32"/>
                <w:szCs w:val="32"/>
              </w:rPr>
            </w:pPr>
          </w:p>
        </w:tc>
        <w:tc>
          <w:tcPr>
            <w:tcW w:w="2445" w:type="dxa"/>
          </w:tcPr>
          <w:p>
            <w:pPr>
              <w:spacing w:after="0" w:line="560" w:lineRule="exact"/>
              <w:jc w:val="center"/>
              <w:rPr>
                <w:rFonts w:cs="ArialUnicodeMS" w:asciiTheme="majorEastAsia" w:hAnsiTheme="majorEastAsia" w:eastAsiaTheme="majorEastAsia"/>
                <w:kern w:val="0"/>
                <w:sz w:val="32"/>
                <w:szCs w:val="32"/>
              </w:rPr>
            </w:pPr>
          </w:p>
        </w:tc>
        <w:tc>
          <w:tcPr>
            <w:tcW w:w="2665" w:type="dxa"/>
          </w:tcPr>
          <w:p>
            <w:pPr>
              <w:spacing w:after="0" w:line="560" w:lineRule="exact"/>
              <w:jc w:val="center"/>
              <w:rPr>
                <w:rFonts w:cs="ArialUnicodeMS" w:asciiTheme="majorEastAsia" w:hAnsiTheme="majorEastAsia" w:eastAsiaTheme="maj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cs="ArialUnicodeMS" w:asciiTheme="majorEastAsia" w:hAnsiTheme="majorEastAsia" w:eastAsiaTheme="majorEastAsia"/>
                <w:kern w:val="0"/>
                <w:sz w:val="32"/>
                <w:szCs w:val="32"/>
              </w:rPr>
            </w:pPr>
            <w:r>
              <w:rPr>
                <w:rFonts w:hint="eastAsia" w:cs="ArialUnicodeMS" w:asciiTheme="majorEastAsia" w:hAnsiTheme="majorEastAsia" w:eastAsiaTheme="majorEastAsia"/>
                <w:kern w:val="0"/>
                <w:sz w:val="32"/>
                <w:szCs w:val="32"/>
              </w:rPr>
              <w:t>3</w:t>
            </w:r>
          </w:p>
        </w:tc>
        <w:tc>
          <w:tcPr>
            <w:tcW w:w="3485" w:type="dxa"/>
          </w:tcPr>
          <w:p>
            <w:pPr>
              <w:spacing w:after="0" w:line="560" w:lineRule="exact"/>
              <w:rPr>
                <w:rFonts w:cs="ArialUnicodeMS" w:asciiTheme="majorEastAsia" w:hAnsiTheme="majorEastAsia" w:eastAsiaTheme="majorEastAsia"/>
                <w:kern w:val="0"/>
                <w:sz w:val="32"/>
                <w:szCs w:val="32"/>
              </w:rPr>
            </w:pPr>
          </w:p>
        </w:tc>
        <w:tc>
          <w:tcPr>
            <w:tcW w:w="2445" w:type="dxa"/>
          </w:tcPr>
          <w:p>
            <w:pPr>
              <w:spacing w:after="0" w:line="560" w:lineRule="exact"/>
              <w:jc w:val="center"/>
              <w:rPr>
                <w:rFonts w:cs="ArialUnicodeMS" w:asciiTheme="majorEastAsia" w:hAnsiTheme="majorEastAsia" w:eastAsiaTheme="majorEastAsia"/>
                <w:kern w:val="0"/>
                <w:sz w:val="32"/>
                <w:szCs w:val="32"/>
              </w:rPr>
            </w:pPr>
          </w:p>
        </w:tc>
        <w:tc>
          <w:tcPr>
            <w:tcW w:w="2665" w:type="dxa"/>
          </w:tcPr>
          <w:p>
            <w:pPr>
              <w:spacing w:after="0" w:line="560" w:lineRule="exact"/>
              <w:jc w:val="center"/>
              <w:rPr>
                <w:rFonts w:cs="ArialUnicodeMS" w:asciiTheme="majorEastAsia" w:hAnsiTheme="majorEastAsia" w:eastAsiaTheme="majorEastAsia"/>
                <w:kern w:val="0"/>
                <w:sz w:val="32"/>
                <w:szCs w:val="32"/>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pPr>
        <w:autoSpaceDE w:val="0"/>
        <w:autoSpaceDN w:val="0"/>
        <w:adjustRightInd w:val="0"/>
        <w:spacing w:after="0" w:line="240" w:lineRule="auto"/>
        <w:jc w:val="left"/>
        <w:rPr>
          <w:rFonts w:ascii="仿宋" w:hAnsi="仿宋" w:eastAsia="仿宋" w:cs="仿宋_GB2312"/>
          <w:color w:val="000000"/>
          <w:kern w:val="0"/>
          <w:sz w:val="32"/>
          <w:szCs w:val="32"/>
        </w:rPr>
      </w:pPr>
      <w:r>
        <w:rPr>
          <w:rFonts w:hint="eastAsia" w:ascii="仿宋" w:hAnsi="仿宋" w:eastAsia="仿宋" w:cs="宋体"/>
          <w:color w:val="000000"/>
          <w:kern w:val="0"/>
          <w:sz w:val="32"/>
          <w:szCs w:val="32"/>
        </w:rPr>
        <w:t>详见附件</w:t>
      </w:r>
      <w:r>
        <w:rPr>
          <w:rFonts w:hint="eastAsia" w:ascii="仿宋" w:hAnsi="仿宋" w:eastAsia="仿宋" w:cs="___WRD_EMBED_SUB_39"/>
          <w:color w:val="000000"/>
          <w:kern w:val="0"/>
          <w:sz w:val="32"/>
          <w:szCs w:val="32"/>
        </w:rPr>
        <w:t>：</w:t>
      </w:r>
      <w:r>
        <w:rPr>
          <w:rFonts w:hint="eastAsia" w:ascii="仿宋" w:hAnsi="仿宋" w:eastAsia="仿宋" w:cs="ArialUnicodeMS"/>
          <w:kern w:val="0"/>
          <w:sz w:val="32"/>
          <w:szCs w:val="32"/>
        </w:rPr>
        <w:t>中共青龙满族自治县委员会统一战线工作部</w:t>
      </w:r>
      <w:r>
        <w:rPr>
          <w:rFonts w:ascii="仿宋" w:hAnsi="仿宋" w:eastAsia="仿宋" w:cs="仿宋_GB2312"/>
          <w:color w:val="000000"/>
          <w:kern w:val="0"/>
          <w:sz w:val="32"/>
          <w:szCs w:val="32"/>
        </w:rPr>
        <w:t xml:space="preserve">2018 </w:t>
      </w:r>
      <w:r>
        <w:rPr>
          <w:rFonts w:hint="eastAsia" w:ascii="仿宋" w:hAnsi="仿宋" w:eastAsia="仿宋" w:cs="仿宋_GB2312"/>
          <w:color w:val="000000"/>
          <w:kern w:val="0"/>
          <w:sz w:val="32"/>
          <w:szCs w:val="32"/>
        </w:rPr>
        <w:t>年度部门决算公开报表（</w:t>
      </w:r>
      <w:r>
        <w:rPr>
          <w:rFonts w:ascii="仿宋" w:hAnsi="仿宋" w:eastAsia="仿宋" w:cs="仿宋_GB2312"/>
          <w:color w:val="000000"/>
          <w:kern w:val="0"/>
          <w:sz w:val="32"/>
          <w:szCs w:val="32"/>
        </w:rPr>
        <w:t xml:space="preserve">10 </w:t>
      </w:r>
      <w:r>
        <w:rPr>
          <w:rFonts w:hint="eastAsia" w:ascii="仿宋" w:hAnsi="仿宋" w:eastAsia="仿宋" w:cs="宋体"/>
          <w:color w:val="000000"/>
          <w:kern w:val="0"/>
          <w:sz w:val="32"/>
          <w:szCs w:val="32"/>
        </w:rPr>
        <w:t>张</w:t>
      </w:r>
      <w:r>
        <w:rPr>
          <w:rFonts w:hint="eastAsia" w:ascii="仿宋" w:hAnsi="仿宋" w:eastAsia="仿宋" w:cs="___WRD_EMBED_SUB_39"/>
          <w:color w:val="000000"/>
          <w:kern w:val="0"/>
          <w:sz w:val="32"/>
          <w:szCs w:val="32"/>
        </w:rPr>
        <w:t>）</w:t>
      </w: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0768"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43"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41" name="矩形 13"/>
                        <wps:cNvSpPr/>
                        <wps:spPr>
                          <a:xfrm>
                            <a:off x="4551" y="52615"/>
                            <a:ext cx="8546" cy="1175"/>
                          </a:xfrm>
                          <a:prstGeom prst="rect">
                            <a:avLst/>
                          </a:prstGeom>
                          <a:solidFill>
                            <a:srgbClr val="96DA9D"/>
                          </a:solidFill>
                          <a:ln w="25400">
                            <a:noFill/>
                          </a:ln>
                        </wps:spPr>
                        <wps:bodyPr anchor="ctr" anchorCtr="0" upright="1"/>
                      </wps:wsp>
                      <wps:wsp>
                        <wps:cNvPr id="4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0.55pt;margin-top:29.3pt;height:43.95pt;width:301.85pt;mso-position-horizontal-relative:page;mso-position-vertical-relative:page;z-index:251680768;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nYMMA&#10;AADbAAAADwAAAGRycy9kb3ducmV2LnhtbERPS2vCQBC+F/oflin01mziQWyaVUJB8SC0jYr0NmQn&#10;D5qdDdnVpP76riD0Nh/fc7LVZDpxocG1lhUkUQyCuLS65VrBYb9+WYBwHlljZ5kU/JKD1fLxIcNU&#10;25G/6FL4WoQQdikqaLzvUyld2ZBBF9meOHCVHQz6AIda6gHHEG46OYvjuTTYcmhosKf3hsqf4mwU&#10;VHj9zNsNXb/np49NMhbdcbdYK/X8NOVvIDxN/l98d291mP8Kt1/C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nYMMAAADbAAAADwAAAAAAAAAAAAAAAACYAgAAZHJzL2Rv&#10;d25yZXYueG1sUEsFBgAAAAAEAAQA9QAAAI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kV8AA&#10;AADbAAAADwAAAGRycy9kb3ducmV2LnhtbERPy4rCMBTdC/5DuIK7MbU4o1Sj6MCAsxFfIO6uzbUt&#10;NjelibX+vVkILg/nPVu0phQN1a6wrGA4iEAQp1YXnCk4Hv6+JiCcR9ZYWiYFT3KwmHc7M0y0ffCO&#10;mr3PRAhhl6CC3PsqkdKlORl0A1sRB+5qa4M+wDqTusZHCDeljKPoRxosODTkWNFvTultfzcKJt+k&#10;T6PLyjXpNovHI/7f3Ldnpfq9djkF4an1H/HbvdYK4rA+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jkV8AAAADbAAAADwAAAAAAAAAAAAAAAACYAgAAZHJzL2Rvd25y&#10;ZXYueG1sUEsFBgAAAAAEAAQA9QAAAI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本部门2018年度收支总计（含结转和结余）116.36万元。与2017年度决算相比，收支各增加38.22万元，增长32.84%，主要原因是基本支出增加。</w:t>
      </w:r>
    </w:p>
    <w:p>
      <w:pPr>
        <w:pStyle w:val="3"/>
        <w:spacing w:before="0" w:after="0" w:line="520" w:lineRule="exact"/>
        <w:ind w:firstLine="640" w:firstLineChars="200"/>
        <w:rPr>
          <w:rFonts w:asciiTheme="majorEastAsia" w:hAnsiTheme="majorEastAsia"/>
          <w:b w:val="0"/>
          <w:bCs w:val="0"/>
        </w:rPr>
      </w:pPr>
      <w:r>
        <w:rPr>
          <w:rFonts w:hint="eastAsia" w:asciiTheme="majorEastAsia" w:hAnsiTheme="majorEastAsia"/>
          <w:b w:val="0"/>
          <w:bCs w:val="0"/>
        </w:rPr>
        <w:t>二、收入决算情况说明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本部门2018年度本年收入合计110.34万元，其中：财政拨款收入110.33万元，占99.99%，其他收入0.01万元，占0.01%；本部门无事业收入、经营收入。</w:t>
      </w:r>
    </w:p>
    <w:p>
      <w:pPr>
        <w:adjustRightInd w:val="0"/>
        <w:snapToGrid w:val="0"/>
        <w:spacing w:after="0" w:line="520" w:lineRule="exact"/>
        <w:ind w:firstLine="1920" w:firstLineChars="600"/>
        <w:rPr>
          <w:rFonts w:ascii="仿宋_GB2312" w:eastAsia="仿宋_GB2312" w:cs="DengXian-Regular"/>
          <w:sz w:val="32"/>
          <w:szCs w:val="32"/>
        </w:rPr>
      </w:pPr>
    </w:p>
    <w:p>
      <w:pPr>
        <w:pStyle w:val="3"/>
        <w:spacing w:before="0" w:after="0" w:line="52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本部门2018年度本年支出合计98.39万元，其中：基本支出93.7万元，占95.2%；项目支出4.69万元，占4.8%。</w:t>
      </w:r>
    </w:p>
    <w:p>
      <w:pPr>
        <w:pStyle w:val="3"/>
        <w:spacing w:before="0" w:after="0" w:line="520" w:lineRule="exact"/>
        <w:ind w:firstLine="640" w:firstLineChars="200"/>
        <w:rPr>
          <w:rFonts w:ascii="黑体" w:eastAsia="黑体"/>
          <w:b w:val="0"/>
          <w:bCs w:val="0"/>
        </w:rPr>
      </w:pPr>
    </w:p>
    <w:p>
      <w:pPr>
        <w:pStyle w:val="3"/>
        <w:spacing w:before="0" w:after="0" w:line="52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2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形成的财政拨款收支均为一般公共预算财政拨款，其中一般公共预算财政拨款本年收入110.33万元,比2017年度增加35.02万元，增长46.5%，主要是本年度增加基本支出；本年支出98.39万元，增加24.28万元，增长32.76%，主要是本年度增加基本支出。</w:t>
      </w:r>
    </w:p>
    <w:p>
      <w:pPr>
        <w:spacing w:after="0" w:line="52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本部门2018年度一般公共预算财政拨款收入110.34万元，完成年初预算的116.1%,比年初预算增加15.31万元，决算数大于预算数主要原因</w:t>
      </w:r>
      <w:r>
        <w:rPr>
          <w:rFonts w:hint="eastAsia" w:cs="DengXian-Regular" w:asciiTheme="majorEastAsia" w:hAnsiTheme="majorEastAsia" w:eastAsiaTheme="majorEastAsia"/>
          <w:color w:val="000000" w:themeColor="text1"/>
          <w:sz w:val="32"/>
          <w:szCs w:val="32"/>
        </w:rPr>
        <w:t>是项目支出增加</w:t>
      </w:r>
      <w:r>
        <w:rPr>
          <w:rFonts w:hint="eastAsia" w:cs="DengXian-Regular" w:asciiTheme="majorEastAsia" w:hAnsiTheme="majorEastAsia" w:eastAsiaTheme="majorEastAsia"/>
          <w:sz w:val="32"/>
          <w:szCs w:val="32"/>
        </w:rPr>
        <w:t>；本年支出98.39万元，完成年初预算</w:t>
      </w:r>
      <w:r>
        <w:rPr>
          <w:rFonts w:hint="eastAsia" w:cs="DengXian-Regular" w:asciiTheme="majorEastAsia" w:hAnsiTheme="majorEastAsia" w:eastAsiaTheme="majorEastAsia"/>
          <w:color w:val="000000" w:themeColor="text1"/>
          <w:sz w:val="32"/>
          <w:szCs w:val="32"/>
        </w:rPr>
        <w:t>的103.5%,比年初预算增加3.36万元，决算数大于预算数主要原因是项目支出增加</w:t>
      </w:r>
      <w:r>
        <w:rPr>
          <w:rFonts w:hint="eastAsia" w:cs="DengXian-Regular" w:asciiTheme="majorEastAsia" w:hAnsiTheme="majorEastAsia" w:eastAsiaTheme="majorEastAsia"/>
          <w:sz w:val="32"/>
          <w:szCs w:val="32"/>
        </w:rPr>
        <w:t>。</w:t>
      </w:r>
    </w:p>
    <w:p>
      <w:pPr>
        <w:adjustRightInd w:val="0"/>
        <w:snapToGrid w:val="0"/>
        <w:spacing w:after="0" w:line="520" w:lineRule="exact"/>
        <w:ind w:firstLine="640" w:firstLineChars="200"/>
        <w:rPr>
          <w:rFonts w:cs="DengXian-Regular" w:asciiTheme="majorEastAsia" w:hAnsiTheme="majorEastAsia" w:eastAsiaTheme="majorEastAsia"/>
          <w:sz w:val="32"/>
          <w:szCs w:val="32"/>
          <w:highlight w:val="yellow"/>
        </w:rPr>
      </w:pPr>
    </w:p>
    <w:p>
      <w:pPr>
        <w:adjustRightInd w:val="0"/>
        <w:snapToGrid w:val="0"/>
        <w:spacing w:after="0" w:line="520" w:lineRule="exact"/>
        <w:ind w:firstLine="640" w:firstLineChars="200"/>
        <w:rPr>
          <w:rFonts w:cs="DengXian-Regular" w:asciiTheme="majorEastAsia" w:hAnsiTheme="majorEastAsia" w:eastAsiaTheme="majorEastAsia"/>
          <w:sz w:val="32"/>
          <w:szCs w:val="32"/>
          <w:highlight w:val="yellow"/>
        </w:rPr>
      </w:pPr>
    </w:p>
    <w:p>
      <w:pPr>
        <w:numPr>
          <w:ilvl w:val="0"/>
          <w:numId w:val="1"/>
        </w:numPr>
        <w:adjustRightInd w:val="0"/>
        <w:snapToGrid w:val="0"/>
        <w:spacing w:after="0" w:line="520" w:lineRule="exact"/>
        <w:ind w:left="420" w:leftChars="200"/>
        <w:rPr>
          <w:rFonts w:cs="DengXian-Bold" w:asciiTheme="majorEastAsia" w:hAnsiTheme="majorEastAsia" w:eastAsiaTheme="majorEastAsia"/>
          <w:b/>
          <w:bCs/>
          <w:sz w:val="32"/>
          <w:szCs w:val="32"/>
        </w:rPr>
      </w:pPr>
      <w:r>
        <w:rPr>
          <w:rFonts w:hint="eastAsia" w:cs="DengXian-Bold" w:asciiTheme="majorEastAsia" w:hAnsiTheme="majorEastAsia" w:eastAsiaTheme="majorEastAsia"/>
          <w:b/>
          <w:bCs/>
          <w:sz w:val="32"/>
          <w:szCs w:val="32"/>
        </w:rPr>
        <w:t>财政拨款支出决算结构情况。</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2018 年度财政拨款支出98.39万元，主要用于以下方面:一般公共服务（类）支出81.49万元，占82.8%；社会保障和就业（类）支出12.28万元，占12.5%；医疗卫生与计划生育支出4.62万元,占4.7%。</w:t>
      </w:r>
    </w:p>
    <w:p>
      <w:pPr>
        <w:adjustRightInd w:val="0"/>
        <w:snapToGrid w:val="0"/>
        <w:spacing w:after="0" w:line="520" w:lineRule="exact"/>
        <w:ind w:left="420" w:leftChars="200"/>
        <w:rPr>
          <w:rFonts w:cs="DengXian-Bold" w:asciiTheme="majorEastAsia" w:hAnsiTheme="majorEastAsia" w:eastAsiaTheme="majorEastAsia"/>
          <w:b/>
          <w:bCs/>
          <w:sz w:val="32"/>
          <w:szCs w:val="32"/>
        </w:rPr>
      </w:pPr>
    </w:p>
    <w:p>
      <w:pPr>
        <w:adjustRightInd w:val="0"/>
        <w:snapToGrid w:val="0"/>
        <w:spacing w:after="0" w:line="520" w:lineRule="exact"/>
        <w:ind w:left="420" w:leftChars="200"/>
        <w:rPr>
          <w:rFonts w:cs="DengXian-Bold" w:asciiTheme="majorEastAsia" w:hAnsiTheme="majorEastAsia" w:eastAsiaTheme="majorEastAsia"/>
          <w:b/>
          <w:bCs/>
          <w:sz w:val="32"/>
          <w:szCs w:val="32"/>
        </w:rPr>
      </w:pPr>
      <w:r>
        <w:rPr>
          <w:rFonts w:asciiTheme="majorEastAsia" w:hAnsiTheme="majorEastAsia" w:eastAsiaTheme="majorEastAsia"/>
          <w:sz w:val="44"/>
        </w:rPr>
        <mc:AlternateContent>
          <mc:Choice Requires="wpg">
            <w:drawing>
              <wp:anchor distT="0" distB="0" distL="114300" distR="114300" simplePos="0" relativeHeight="251674624"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25"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23" name="矩形 13"/>
                        <wps:cNvSpPr/>
                        <wps:spPr>
                          <a:xfrm>
                            <a:off x="4551" y="52615"/>
                            <a:ext cx="8546" cy="1175"/>
                          </a:xfrm>
                          <a:prstGeom prst="rect">
                            <a:avLst/>
                          </a:prstGeom>
                          <a:solidFill>
                            <a:srgbClr val="96DA9D"/>
                          </a:solidFill>
                          <a:ln w="25400">
                            <a:noFill/>
                          </a:ln>
                        </wps:spPr>
                        <wps:bodyPr anchor="ctr" anchorCtr="0" upright="1"/>
                      </wps:wsp>
                      <wps:wsp>
                        <wps:cNvPr id="2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0.55pt;margin-top:29.3pt;height:43.95pt;width:301.85pt;mso-position-horizontal-relative:page;mso-position-vertical-relative:page;z-index:251674624;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besIA&#10;AADbAAAADwAAAGRycy9kb3ducmV2LnhtbERPTWvCQBC9F/oflhF6q5v0EELqKiJEehDU2FK8Ddkx&#10;CWZnQ3Zr0vx69yB4fLzvxWo0rbhR7xrLCuJ5BIK4tLrhSsH3KX9PQTiPrLG1TAr+ycFq+fqywEzb&#10;gY90K3wlQgi7DBXU3neZlK6syaCb2444cBfbG/QB9pXUPQ4h3LTyI4oSabDh0FBjR5uaymvxZxRc&#10;cDqsmy1N5+R3v42Hov3ZpblSb7Nx/QnC0+if4of7Syt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t6wgAAANsAAAAPAAAAAAAAAAAAAAAAAJgCAABkcnMvZG93&#10;bnJldi54bWxQSwUGAAAAAAQABAD1AAAAh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e9sQA&#10;AADbAAAADwAAAGRycy9kb3ducmV2LnhtbESPT2vCQBTE74LfYXmF3pqNojZEV7GFQnspmhaKt2f2&#10;mYRm34bs5o/fvisUPA4zvxlmsxtNLXpqXWVZwSyKQRDnVldcKPj+entKQDiPrLG2TAqu5GC3nU42&#10;mGo78JH6zBcilLBLUUHpfZNK6fKSDLrINsTBu9jWoA+yLaRucQjlppbzOF5JgxWHhRIbei0p/806&#10;oyBZkv5ZnF9cnx+K+fOCPz67w0mpx4dxvwbhafT38D/9rgM3g9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vbEAAAA2wAAAA8AAAAAAAAAAAAAAAAAmAIAAGRycy9k&#10;b3ducmV2LnhtbFBLBQYAAAAABAAEAPUAAACJ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cs="DengXian-Bold" w:asciiTheme="majorEastAsia" w:hAnsiTheme="majorEastAsia" w:eastAsiaTheme="majorEastAsia"/>
          <w:b/>
          <w:bCs/>
          <w:sz w:val="32"/>
          <w:szCs w:val="32"/>
        </w:rPr>
        <w:t>（四）一般公共预算财政拨款基本支出决算情况说明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2018 年度一般公共预算财政拨款基本支出93.68万元，其中：人员经费81.4万元，主要包括基本工资39.63万元、津贴补贴21.27万元、奖金3.31万元、机关事业单位基本养老保险缴费11.6万元、职工基本医疗保险缴费4.62万元、其他社会保障缴费0.3万元、对个人和家庭的补助0.68万元、退休费0.68万元；公用经费12.28万元，主要包括办公费6.78万元、印刷费0.1万元、邮电费1.14万元、差旅费0.73万元、公务接待费0.4万元、公务用车运行维护费2.0万元、其他交通费用1.12万元。</w:t>
      </w:r>
    </w:p>
    <w:p>
      <w:pPr>
        <w:pStyle w:val="3"/>
        <w:spacing w:before="0" w:after="0" w:line="520" w:lineRule="exact"/>
        <w:ind w:firstLine="640" w:firstLineChars="200"/>
        <w:rPr>
          <w:rFonts w:asciiTheme="majorEastAsia" w:hAnsiTheme="majorEastAsia"/>
          <w:b w:val="0"/>
          <w:bCs w:val="0"/>
        </w:rPr>
      </w:pPr>
      <w:r>
        <w:rPr>
          <w:rFonts w:hint="eastAsia" w:asciiTheme="majorEastAsia" w:hAnsiTheme="majorEastAsia"/>
          <w:b w:val="0"/>
          <w:bCs w:val="0"/>
        </w:rPr>
        <w:t>五、一般公共预算财政拨款“三公” 经费支出决算情况说明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本部门2018年度“三公”经费支出共计2.4万元，</w:t>
      </w:r>
      <w:r>
        <w:rPr>
          <w:rFonts w:hint="eastAsia" w:cs="DengXian-Regular" w:asciiTheme="majorEastAsia" w:hAnsiTheme="majorEastAsia" w:eastAsiaTheme="majorEastAsia"/>
          <w:b/>
          <w:bCs/>
          <w:sz w:val="32"/>
          <w:szCs w:val="32"/>
        </w:rPr>
        <w:t>与年初预算数一致，</w:t>
      </w:r>
      <w:r>
        <w:rPr>
          <w:rFonts w:hint="eastAsia" w:cs="DengXian-Regular" w:asciiTheme="majorEastAsia" w:hAnsiTheme="majorEastAsia" w:eastAsiaTheme="majorEastAsia"/>
          <w:sz w:val="32"/>
          <w:szCs w:val="32"/>
        </w:rPr>
        <w:t>主要是认真贯彻落实中央八项规定</w:t>
      </w:r>
      <w:bookmarkStart w:id="0" w:name="_GoBack"/>
      <w:bookmarkEnd w:id="0"/>
      <w:r>
        <w:rPr>
          <w:rFonts w:hint="eastAsia" w:cs="DengXian-Regular" w:asciiTheme="majorEastAsia" w:hAnsiTheme="majorEastAsia" w:eastAsiaTheme="majorEastAsia"/>
          <w:sz w:val="32"/>
          <w:szCs w:val="32"/>
        </w:rPr>
        <w:t>精神和厉行节约要求，从严控制“三公”经费开支。具体情况如下：</w:t>
      </w:r>
    </w:p>
    <w:p>
      <w:pPr>
        <w:adjustRightInd w:val="0"/>
        <w:snapToGrid w:val="0"/>
        <w:spacing w:after="0" w:line="520" w:lineRule="exact"/>
        <w:ind w:firstLine="643" w:firstLineChars="200"/>
        <w:rPr>
          <w:rFonts w:cs="DengXian-Regular" w:asciiTheme="majorEastAsia" w:hAnsiTheme="majorEastAsia" w:eastAsiaTheme="majorEastAsia"/>
          <w:sz w:val="32"/>
          <w:szCs w:val="32"/>
        </w:rPr>
      </w:pPr>
      <w:r>
        <w:rPr>
          <w:rFonts w:hint="eastAsia" w:cs="DengXian-Bold" w:asciiTheme="majorEastAsia" w:hAnsiTheme="majorEastAsia" w:eastAsiaTheme="majorEastAsia"/>
          <w:b/>
          <w:bCs/>
          <w:sz w:val="32"/>
          <w:szCs w:val="32"/>
        </w:rPr>
        <w:t>（</w:t>
      </w:r>
      <w:r>
        <w:rPr>
          <w:rFonts w:asciiTheme="majorEastAsia" w:hAnsiTheme="majorEastAsia" w:eastAsiaTheme="majorEastAsia"/>
          <w:sz w:val="44"/>
        </w:rPr>
        <mc:AlternateContent>
          <mc:Choice Requires="wpg">
            <w:drawing>
              <wp:anchor distT="0" distB="0" distL="114300" distR="114300" simplePos="0" relativeHeight="251675648"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28"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26" name="矩形 13"/>
                        <wps:cNvSpPr/>
                        <wps:spPr>
                          <a:xfrm>
                            <a:off x="4551" y="52615"/>
                            <a:ext cx="8546" cy="1175"/>
                          </a:xfrm>
                          <a:prstGeom prst="rect">
                            <a:avLst/>
                          </a:prstGeom>
                          <a:solidFill>
                            <a:srgbClr val="96DA9D"/>
                          </a:solidFill>
                          <a:ln w="25400">
                            <a:noFill/>
                          </a:ln>
                        </wps:spPr>
                        <wps:bodyPr anchor="ctr" anchorCtr="0" upright="1"/>
                      </wps:wsp>
                      <wps:wsp>
                        <wps:cNvPr id="2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0.55pt;margin-top:29.3pt;height:43.95pt;width:301.85pt;mso-position-horizontal-relative:page;mso-position-vertical-relative:page;z-index:251675648;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BZvwNeVAMAAFkKAAAOAAAAAAAA&#10;AAAAAAAAAC4CAABkcnMvZTJvRG9jLnhtbFBLAQItABQABgAIAAAAIQAmvTwE4QAAAAsBAAAPAAAA&#10;AAAAAAAAAAAAAK4FAABkcnMvZG93bnJldi54bWxQSwUGAAAAAAQABADzAAAAvAY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FDcUA&#10;AADbAAAADwAAAGRycy9kb3ducmV2LnhtbESPQWvCQBSE7wX/w/IEb3WjQgjRVaRg8FBom1bE2yP7&#10;TEKzb0N2m6T59d1CocdhZr5hdofRNKKnztWWFayWEQjiwuqaSwUf76fHBITzyBoby6Tgmxwc9rOH&#10;HabaDvxGfe5LESDsUlRQed+mUrqiIoNuaVvi4N1tZ9AH2ZVSdzgEuGnkOopiabDmsFBhS08VFZ/5&#10;l1Fwx+n1WGc03eLrS7Ya8ubynJyUWszH4xaEp9H/h//aZ60g2cD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wUN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sMA&#10;AADbAAAADwAAAGRycy9kb3ducmV2LnhtbESPT4vCMBTE78J+h/AWvGm60l2lGmUVBL2I/0C8PZtn&#10;W2xeShNr99ubBcHjMPObYSaz1pSiodoVlhV89SMQxKnVBWcKjodlbwTCeWSNpWVS8EcOZtOPzgQT&#10;bR+8o2bvMxFK2CWoIPe+SqR0aU4GXd9WxMG72tqgD7LOpK7xEcpNKQdR9CMNFhwWcqxokVN629+N&#10;gtE36VN8mbsm3WaDYczrzX17Vqr72f6OQXhq/Tv8olc6cDH8fw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bsMAAADbAAAADwAAAAAAAAAAAAAAAACYAgAAZHJzL2Rv&#10;d25yZXYueG1sUEsFBgAAAAAEAAQA9QAAAI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cs="DengXian-Bold" w:asciiTheme="majorEastAsia" w:hAnsiTheme="majorEastAsia" w:eastAsiaTheme="majorEastAsia"/>
          <w:b/>
          <w:bCs/>
          <w:sz w:val="32"/>
          <w:szCs w:val="32"/>
        </w:rPr>
        <w:t>一）因公出国（境）费支出0万元。</w:t>
      </w:r>
      <w:r>
        <w:rPr>
          <w:rFonts w:hint="eastAsia" w:cs="DengXian-Regular" w:asciiTheme="majorEastAsia" w:hAnsiTheme="majorEastAsia" w:eastAsiaTheme="majorEastAsia"/>
          <w:sz w:val="32"/>
          <w:szCs w:val="32"/>
        </w:rPr>
        <w:t>本部门2018年度无因公出国（境）支出，与年初预算一致。</w:t>
      </w:r>
    </w:p>
    <w:p>
      <w:pPr>
        <w:adjustRightInd w:val="0"/>
        <w:snapToGrid w:val="0"/>
        <w:spacing w:after="0" w:line="520" w:lineRule="exact"/>
        <w:ind w:firstLine="643" w:firstLineChars="200"/>
        <w:rPr>
          <w:rFonts w:cs="DengXian-Bold" w:asciiTheme="majorEastAsia" w:hAnsiTheme="majorEastAsia" w:eastAsiaTheme="majorEastAsia"/>
          <w:b/>
          <w:bCs/>
          <w:sz w:val="32"/>
          <w:szCs w:val="32"/>
        </w:rPr>
      </w:pPr>
      <w:r>
        <w:rPr>
          <w:rFonts w:hint="eastAsia" w:cs="DengXian-Bold" w:asciiTheme="majorEastAsia" w:hAnsiTheme="majorEastAsia" w:eastAsiaTheme="majorEastAsia"/>
          <w:b/>
          <w:bCs/>
          <w:sz w:val="32"/>
          <w:szCs w:val="32"/>
        </w:rPr>
        <w:t>（二）公务用车购置及运行维护费支出2万元。</w:t>
      </w:r>
      <w:r>
        <w:rPr>
          <w:rFonts w:hint="eastAsia" w:cs="DengXian-Regular" w:asciiTheme="majorEastAsia" w:hAnsiTheme="majorEastAsia" w:eastAsiaTheme="majorEastAsia"/>
          <w:sz w:val="32"/>
          <w:szCs w:val="32"/>
        </w:rPr>
        <w:t>本部门2018年度公务用车购置及运行维护费与年初预算持平。</w:t>
      </w:r>
    </w:p>
    <w:p>
      <w:pPr>
        <w:adjustRightInd w:val="0"/>
        <w:snapToGrid w:val="0"/>
        <w:spacing w:after="0" w:line="520" w:lineRule="exact"/>
        <w:ind w:firstLine="643" w:firstLineChars="200"/>
        <w:rPr>
          <w:rFonts w:cs="DengXian-Regular" w:asciiTheme="majorEastAsia" w:hAnsiTheme="majorEastAsia" w:eastAsiaTheme="majorEastAsia"/>
          <w:color w:val="000000" w:themeColor="text1"/>
          <w:sz w:val="32"/>
          <w:szCs w:val="32"/>
        </w:rPr>
      </w:pPr>
      <w:r>
        <w:rPr>
          <w:rFonts w:hint="eastAsia" w:cs="DengXian-Regular" w:asciiTheme="majorEastAsia" w:hAnsiTheme="majorEastAsia" w:eastAsiaTheme="majorEastAsia"/>
          <w:b/>
          <w:sz w:val="32"/>
          <w:szCs w:val="32"/>
        </w:rPr>
        <w:t>公务用车购置费：</w:t>
      </w:r>
      <w:r>
        <w:rPr>
          <w:rFonts w:hint="eastAsia" w:cs="DengXian-Regular" w:asciiTheme="majorEastAsia" w:hAnsiTheme="majorEastAsia" w:eastAsiaTheme="majorEastAsia"/>
          <w:sz w:val="32"/>
          <w:szCs w:val="32"/>
        </w:rPr>
        <w:t>本部门2018年度公务用车购置量0辆，发生“公务用车购置”经费支出0万元。</w:t>
      </w:r>
      <w:r>
        <w:rPr>
          <w:rFonts w:hint="eastAsia" w:cs="DengXian-Regular" w:asciiTheme="majorEastAsia" w:hAnsiTheme="majorEastAsia" w:eastAsiaTheme="majorEastAsia"/>
          <w:color w:val="000000" w:themeColor="text1"/>
          <w:sz w:val="32"/>
          <w:szCs w:val="32"/>
        </w:rPr>
        <w:t>未发生公务用车购置经费支出，与年初预算持平。</w:t>
      </w:r>
    </w:p>
    <w:p>
      <w:pPr>
        <w:adjustRightInd w:val="0"/>
        <w:snapToGrid w:val="0"/>
        <w:spacing w:after="0" w:line="520" w:lineRule="exact"/>
        <w:ind w:firstLine="643"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b/>
          <w:sz w:val="32"/>
          <w:szCs w:val="32"/>
        </w:rPr>
        <w:t>公务用车运行维护费：</w:t>
      </w:r>
      <w:r>
        <w:rPr>
          <w:rFonts w:hint="eastAsia" w:cs="DengXian-Regular" w:asciiTheme="majorEastAsia" w:hAnsiTheme="majorEastAsia" w:eastAsiaTheme="majorEastAsia"/>
          <w:sz w:val="32"/>
          <w:szCs w:val="32"/>
        </w:rPr>
        <w:t>本部门2018年度单位公务用车保有量</w:t>
      </w:r>
      <w:r>
        <w:rPr>
          <w:rFonts w:hint="eastAsia" w:cs="DengXian-Regular" w:asciiTheme="majorEastAsia" w:hAnsiTheme="majorEastAsia" w:eastAsiaTheme="majorEastAsia"/>
          <w:sz w:val="32"/>
          <w:szCs w:val="32"/>
          <w:lang w:val="en-US" w:eastAsia="zh-CN"/>
        </w:rPr>
        <w:t>2</w:t>
      </w:r>
      <w:r>
        <w:rPr>
          <w:rFonts w:hint="eastAsia" w:cs="DengXian-Regular" w:asciiTheme="majorEastAsia" w:hAnsiTheme="majorEastAsia" w:eastAsiaTheme="majorEastAsia"/>
          <w:sz w:val="32"/>
          <w:szCs w:val="32"/>
        </w:rPr>
        <w:t>辆。公车运行维护费支出与年初预算持平。</w:t>
      </w:r>
    </w:p>
    <w:p>
      <w:pPr>
        <w:adjustRightInd w:val="0"/>
        <w:snapToGrid w:val="0"/>
        <w:spacing w:after="0" w:line="520" w:lineRule="exact"/>
        <w:ind w:firstLine="643" w:firstLineChars="200"/>
        <w:rPr>
          <w:rFonts w:cs="DengXian-Regular" w:asciiTheme="majorEastAsia" w:hAnsiTheme="majorEastAsia" w:eastAsiaTheme="majorEastAsia"/>
          <w:sz w:val="32"/>
          <w:szCs w:val="32"/>
        </w:rPr>
      </w:pPr>
      <w:r>
        <w:rPr>
          <w:rFonts w:hint="eastAsia" w:cs="DengXian-Bold" w:asciiTheme="majorEastAsia" w:hAnsiTheme="majorEastAsia" w:eastAsiaTheme="majorEastAsia"/>
          <w:b/>
          <w:bCs/>
          <w:sz w:val="32"/>
          <w:szCs w:val="32"/>
        </w:rPr>
        <w:t>（三）公务接待费支出0.4万元。</w:t>
      </w:r>
      <w:r>
        <w:rPr>
          <w:rFonts w:asciiTheme="majorEastAsia" w:hAnsiTheme="majorEastAsia" w:eastAsiaTheme="majorEastAsia"/>
          <w:sz w:val="44"/>
        </w:rP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31"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29" name="矩形 13"/>
                        <wps:cNvSpPr/>
                        <wps:spPr>
                          <a:xfrm>
                            <a:off x="4551" y="52615"/>
                            <a:ext cx="8546" cy="1175"/>
                          </a:xfrm>
                          <a:prstGeom prst="rect">
                            <a:avLst/>
                          </a:prstGeom>
                          <a:solidFill>
                            <a:srgbClr val="96DA9D"/>
                          </a:solidFill>
                          <a:ln w="25400">
                            <a:noFill/>
                          </a:ln>
                        </wps:spPr>
                        <wps:bodyPr anchor="ctr" anchorCtr="0" upright="1"/>
                      </wps:wsp>
                      <wps:wsp>
                        <wps:cNvPr id="3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0.55pt;margin-top:29.3pt;height:43.95pt;width:301.85pt;mso-position-horizontal-relative:page;mso-position-vertical-relative:page;z-index:251676672;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DyUryIVAMAAFkKAAAOAAAAAAAA&#10;AAAAAAAAAC4CAABkcnMvZTJvRG9jLnhtbFBLAQItABQABgAIAAAAIQAmvTwE4QAAAAsBAAAPAAAA&#10;AAAAAAAAAAAAAK4FAABkcnMvZG93bnJldi54bWxQSwUGAAAAAAQABADzAAAAvAY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mlcUA&#10;AADbAAAADwAAAGRycy9kb3ducmV2LnhtbESPQWuDQBSE74H+h+UVektWexCx2YQQUHootLEpIbeH&#10;+6IS9624W7X59dlCocdhZr5h1tvZdGKkwbWWFcSrCARxZXXLtYLjZ75MQTiPrLGzTAp+yMF287BY&#10;Y6btxAcaS1+LAGGXoYLG+z6T0lUNGXQr2xMH72IHgz7IoZZ6wCnATSefoyiRBlsOCw32tG+oupbf&#10;RsEFbx+7tqDbOTm9F/FUdl9vaa7U0+O8ewHhafb/4b/2q1aQJv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KaV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jGcQA&#10;AADbAAAADwAAAGRycy9kb3ducmV2LnhtbESPQWvCQBSE7wX/w/KE3uqmkqpEV2kLhfYiNi0Ub8/s&#10;MwnNvg27mxj/vSsIHoeZb4ZZbQbTiJ6cry0reJ4kIIgLq2suFfz+fDwtQPiArLGxTArO5GGzHj2s&#10;MNP2xN/U56EUsYR9hgqqENpMSl9UZNBPbEscvaN1BkOUrpTa4SmWm0ZOk2QmDdYcFyps6b2i4j/v&#10;jILFC+m/9PDm+2JXTucpf2273V6px/HwugQRaAj38I3+1JGbw/VL/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IxnEAAAA2wAAAA8AAAAAAAAAAAAAAAAAmAIAAGRycy9k&#10;b3ducmV2LnhtbFBLBQYAAAAABAAEAPUAAACJ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cs="DengXian-Regular" w:asciiTheme="majorEastAsia" w:hAnsiTheme="majorEastAsia" w:eastAsiaTheme="majorEastAsia"/>
          <w:sz w:val="32"/>
          <w:szCs w:val="32"/>
        </w:rPr>
        <w:t>本部门2018年度公务接待共12批次、130人次。公务接待费支出与年初预算持平。</w:t>
      </w:r>
    </w:p>
    <w:p>
      <w:pPr>
        <w:adjustRightInd w:val="0"/>
        <w:snapToGrid w:val="0"/>
        <w:spacing w:after="0" w:line="520" w:lineRule="exact"/>
        <w:ind w:firstLine="640" w:firstLineChars="200"/>
        <w:rPr>
          <w:rFonts w:asciiTheme="majorEastAsia" w:hAnsiTheme="majorEastAsia" w:eastAsiaTheme="majorEastAsia"/>
          <w:sz w:val="32"/>
          <w:szCs w:val="40"/>
        </w:rPr>
      </w:pPr>
      <w:r>
        <w:rPr>
          <w:rFonts w:hint="eastAsia" w:asciiTheme="majorEastAsia" w:hAnsiTheme="majorEastAsia" w:eastAsiaTheme="majorEastAsia"/>
          <w:sz w:val="32"/>
          <w:szCs w:val="40"/>
        </w:rPr>
        <w:t>六、预算绩效情况说明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（一）预算绩效管理工作开展情况</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1、在全县统一战线做好学习宣传贯彻党的十九大精神工作。</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2、加强民主党派建设、支持民主党派、无党派人士积极建言献策。</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3、积极开展民族宗教领域维稳工作。</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4、促进非公有制经济健康发展。</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5、积极做好侨联、对台和海外联谊工作。</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6、积极开展新的社会阶层人士工作。</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7、继续开展“泛海助学行动”。</w:t>
      </w:r>
    </w:p>
    <w:p>
      <w:pPr>
        <w:autoSpaceDE w:val="0"/>
        <w:autoSpaceDN w:val="0"/>
        <w:adjustRightInd w:val="0"/>
        <w:spacing w:line="520" w:lineRule="exact"/>
        <w:ind w:left="198" w:firstLine="640" w:firstLineChars="200"/>
        <w:jc w:val="left"/>
        <w:rPr>
          <w:rFonts w:ascii="宋体" w:hAnsi="宋体"/>
          <w:sz w:val="32"/>
          <w:szCs w:val="32"/>
        </w:rPr>
      </w:pPr>
      <w:r>
        <w:rPr>
          <w:rFonts w:hint="eastAsia" w:ascii="宋体" w:hAnsi="宋体"/>
          <w:sz w:val="32"/>
          <w:szCs w:val="32"/>
        </w:rPr>
        <w:t>8、继续实施“阳光统战”行动。</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（二）项目绩效自评结果。</w:t>
      </w:r>
    </w:p>
    <w:p>
      <w:pPr>
        <w:widowControl/>
        <w:spacing w:after="0" w:line="240" w:lineRule="auto"/>
        <w:jc w:val="left"/>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br w:type="page"/>
      </w:r>
      <w:r>
        <w:rPr>
          <w:rFonts w:cs="DengXian-Regular" w:asciiTheme="majorEastAsia" w:hAnsiTheme="majorEastAsia" w:eastAsiaTheme="majorEastAsia"/>
          <w:sz w:val="32"/>
          <w:szCs w:val="32"/>
        </w:rPr>
        <w:drawing>
          <wp:inline distT="0" distB="0" distL="0" distR="0">
            <wp:extent cx="5915660" cy="5619750"/>
            <wp:effectExtent l="19050" t="0" r="8779" b="0"/>
            <wp:docPr id="6" name="图片 5" descr="360软件小助手截图2019102214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60软件小助手截图20191022143748.jpg"/>
                    <pic:cNvPicPr>
                      <a:picLocks noChangeAspect="1"/>
                    </pic:cNvPicPr>
                  </pic:nvPicPr>
                  <pic:blipFill>
                    <a:blip r:embed="rId8" cstate="print"/>
                    <a:stretch>
                      <a:fillRect/>
                    </a:stretch>
                  </pic:blipFill>
                  <pic:spPr>
                    <a:xfrm>
                      <a:off x="0" y="0"/>
                      <a:ext cx="5920516" cy="5624808"/>
                    </a:xfrm>
                    <a:prstGeom prst="rect">
                      <a:avLst/>
                    </a:prstGeom>
                  </pic:spPr>
                </pic:pic>
              </a:graphicData>
            </a:graphic>
          </wp:inline>
        </w:drawing>
      </w:r>
    </w:p>
    <w:p>
      <w:pPr>
        <w:adjustRightInd w:val="0"/>
        <w:snapToGrid w:val="0"/>
        <w:spacing w:after="0" w:line="580" w:lineRule="exact"/>
        <w:ind w:firstLine="640" w:firstLineChars="200"/>
        <w:rPr>
          <w:rFonts w:cs="DengXian-Regular" w:asciiTheme="majorEastAsia" w:hAnsiTheme="majorEastAsia" w:eastAsiaTheme="majorEastAsia"/>
          <w:sz w:val="32"/>
          <w:szCs w:val="32"/>
        </w:rPr>
      </w:pPr>
    </w:p>
    <w:p>
      <w:pPr>
        <w:pStyle w:val="3"/>
        <w:spacing w:before="0" w:after="0" w:line="580" w:lineRule="exact"/>
        <w:ind w:firstLine="640" w:firstLineChars="200"/>
        <w:rPr>
          <w:rFonts w:cs="Times New Roman" w:asciiTheme="majorEastAsia" w:hAnsiTheme="majorEastAsia"/>
          <w:b w:val="0"/>
          <w:bCs w:val="0"/>
        </w:rPr>
      </w:pPr>
      <w:r>
        <w:rPr>
          <w:rFonts w:hint="eastAsia" w:cs="Times New Roman" w:asciiTheme="majorEastAsia" w:hAnsiTheme="majorEastAsia"/>
          <w:b w:val="0"/>
          <w:bCs w:val="0"/>
        </w:rPr>
        <w:t>七、其他重要事项的说明</w:t>
      </w:r>
    </w:p>
    <w:p>
      <w:pPr>
        <w:pStyle w:val="4"/>
        <w:spacing w:before="0" w:after="0" w:line="58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（一）机关运行经费情况</w:t>
      </w:r>
    </w:p>
    <w:p>
      <w:pPr>
        <w:adjustRightInd w:val="0"/>
        <w:snapToGrid w:val="0"/>
        <w:spacing w:after="0" w:line="58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本部门2018年度机关运行经费支出12.29万元，比年初预算数增加0.29万元，增长2.4%。主要</w:t>
      </w:r>
      <w:r>
        <w:rPr>
          <w:rFonts w:hint="eastAsia" w:cs="DengXian-Regular" w:asciiTheme="majorEastAsia" w:hAnsiTheme="majorEastAsia" w:eastAsiaTheme="majorEastAsia"/>
          <w:color w:val="000000" w:themeColor="text1"/>
          <w:sz w:val="32"/>
          <w:szCs w:val="32"/>
        </w:rPr>
        <w:t>原因是人员经费增加</w:t>
      </w:r>
      <w:r>
        <w:rPr>
          <w:rFonts w:hint="eastAsia" w:cs="DengXian-Regular" w:asciiTheme="majorEastAsia" w:hAnsiTheme="majorEastAsia" w:eastAsiaTheme="majorEastAsia"/>
          <w:sz w:val="32"/>
          <w:szCs w:val="32"/>
        </w:rPr>
        <w:t>。</w:t>
      </w:r>
    </w:p>
    <w:p>
      <w:pPr>
        <w:pStyle w:val="4"/>
        <w:spacing w:before="0" w:after="0" w:line="58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（二）政府采购情况</w:t>
      </w:r>
    </w:p>
    <w:p>
      <w:pPr>
        <w:widowControl/>
        <w:spacing w:after="0" w:line="580" w:lineRule="exact"/>
        <w:ind w:firstLine="640" w:firstLineChars="200"/>
        <w:jc w:val="left"/>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本部门2018年度无政府采购支出，与年初预算一致。</w:t>
      </w:r>
    </w:p>
    <w:p>
      <w:pPr>
        <w:pStyle w:val="4"/>
        <w:spacing w:before="0" w:after="0" w:line="58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（三）国有资产占用情况</w:t>
      </w:r>
    </w:p>
    <w:p>
      <w:pPr>
        <w:adjustRightInd w:val="0"/>
        <w:snapToGrid w:val="0"/>
        <w:spacing w:after="0" w:line="58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截至2018年12月31日，本部门共有车辆2辆，与上年一致。其中，无副部（省）级及以上领导用车，单位无价值</w:t>
      </w:r>
      <w:r>
        <w:rPr>
          <w:rFonts w:hint="eastAsia" w:cs="TimesNewRomanPSMT" w:asciiTheme="majorEastAsia" w:hAnsiTheme="majorEastAsia" w:eastAsiaTheme="majorEastAsia"/>
          <w:sz w:val="32"/>
          <w:szCs w:val="32"/>
        </w:rPr>
        <w:t>50</w:t>
      </w:r>
      <w:r>
        <w:rPr>
          <w:rFonts w:hint="eastAsia" w:cs="DengXian-Regular" w:asciiTheme="majorEastAsia" w:hAnsiTheme="majorEastAsia" w:eastAsiaTheme="majorEastAsia"/>
          <w:sz w:val="32"/>
          <w:szCs w:val="32"/>
        </w:rPr>
        <w:t>万元以上通用设备，单位无价值</w:t>
      </w:r>
      <w:r>
        <w:rPr>
          <w:rFonts w:hint="eastAsia" w:cs="TimesNewRomanPSMT" w:asciiTheme="majorEastAsia" w:hAnsiTheme="majorEastAsia" w:eastAsiaTheme="majorEastAsia"/>
          <w:sz w:val="32"/>
          <w:szCs w:val="32"/>
        </w:rPr>
        <w:t>100</w:t>
      </w:r>
      <w:r>
        <w:rPr>
          <w:rFonts w:hint="eastAsia" w:cs="DengXian-Regular" w:asciiTheme="majorEastAsia" w:hAnsiTheme="majorEastAsia" w:eastAsiaTheme="majorEastAsia"/>
          <w:sz w:val="32"/>
          <w:szCs w:val="32"/>
        </w:rPr>
        <w:t>万元以上专用设备。</w:t>
      </w:r>
    </w:p>
    <w:p>
      <w:pPr>
        <w:pStyle w:val="4"/>
        <w:spacing w:before="0" w:after="0" w:line="58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（四）其他需要说明的情况</w:t>
      </w:r>
    </w:p>
    <w:p>
      <w:pPr>
        <w:autoSpaceDE w:val="0"/>
        <w:autoSpaceDN w:val="0"/>
        <w:adjustRightInd w:val="0"/>
        <w:spacing w:after="0" w:line="240" w:lineRule="auto"/>
        <w:jc w:val="left"/>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1</w:t>
      </w:r>
      <w:r>
        <w:rPr>
          <w:rFonts w:hint="eastAsia" w:cs="DengXian-Regular" w:asciiTheme="majorEastAsia" w:hAnsiTheme="majorEastAsia" w:eastAsiaTheme="majorEastAsia"/>
          <w:sz w:val="32"/>
          <w:szCs w:val="32"/>
        </w:rPr>
        <w:t>、本部门</w:t>
      </w:r>
      <w:r>
        <w:rPr>
          <w:rFonts w:cs="DengXian-Regular" w:asciiTheme="majorEastAsia" w:hAnsiTheme="majorEastAsia" w:eastAsiaTheme="majorEastAsia"/>
          <w:sz w:val="32"/>
          <w:szCs w:val="32"/>
        </w:rPr>
        <w:t xml:space="preserve">2018 </w:t>
      </w:r>
      <w:r>
        <w:rPr>
          <w:rFonts w:hint="eastAsia" w:cs="DengXian-Regular" w:asciiTheme="majorEastAsia" w:hAnsiTheme="majorEastAsia" w:eastAsiaTheme="majorEastAsia"/>
          <w:sz w:val="32"/>
          <w:szCs w:val="32"/>
        </w:rPr>
        <w:t>年度政府性基金预算财政拨款无收支及结转</w:t>
      </w:r>
    </w:p>
    <w:p>
      <w:pPr>
        <w:autoSpaceDE w:val="0"/>
        <w:autoSpaceDN w:val="0"/>
        <w:adjustRightInd w:val="0"/>
        <w:spacing w:after="0" w:line="240" w:lineRule="auto"/>
        <w:jc w:val="left"/>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结余情况，故政府性基金预算财政拨款收入支出决算表以空表列示；本部门</w:t>
      </w:r>
      <w:r>
        <w:rPr>
          <w:rFonts w:cs="DengXian-Regular" w:asciiTheme="majorEastAsia" w:hAnsiTheme="majorEastAsia" w:eastAsiaTheme="majorEastAsia"/>
          <w:sz w:val="32"/>
          <w:szCs w:val="32"/>
        </w:rPr>
        <w:t xml:space="preserve">2018 </w:t>
      </w:r>
      <w:r>
        <w:rPr>
          <w:rFonts w:hint="eastAsia" w:cs="DengXian-Regular" w:asciiTheme="majorEastAsia" w:hAnsiTheme="majorEastAsia" w:eastAsiaTheme="majorEastAsia"/>
          <w:sz w:val="32"/>
          <w:szCs w:val="32"/>
        </w:rPr>
        <w:t>年度国有资本经营预算财政拨款无收支及结转结余情况，故国有资本经营预算财政拨款支出决算表以空表列示；本部门</w:t>
      </w:r>
      <w:r>
        <w:rPr>
          <w:rFonts w:cs="DengXian-Regular" w:asciiTheme="majorEastAsia" w:hAnsiTheme="majorEastAsia" w:eastAsiaTheme="majorEastAsia"/>
          <w:sz w:val="32"/>
          <w:szCs w:val="32"/>
        </w:rPr>
        <w:t xml:space="preserve">2018 </w:t>
      </w:r>
      <w:r>
        <w:rPr>
          <w:rFonts w:hint="eastAsia" w:cs="DengXian-Regular" w:asciiTheme="majorEastAsia" w:hAnsiTheme="majorEastAsia" w:eastAsiaTheme="majorEastAsia"/>
          <w:sz w:val="32"/>
          <w:szCs w:val="32"/>
        </w:rPr>
        <w:t>年度</w:t>
      </w:r>
      <w:r>
        <w:rPr>
          <w:rFonts w:hint="eastAsia" w:cs="宋体" w:asciiTheme="majorEastAsia" w:hAnsiTheme="majorEastAsia" w:eastAsiaTheme="majorEastAsia"/>
          <w:sz w:val="32"/>
          <w:szCs w:val="32"/>
        </w:rPr>
        <w:t>政府采购财政拨款无收支，故政府采购情况表空表列示</w:t>
      </w:r>
      <w:r>
        <w:rPr>
          <w:rFonts w:hint="eastAsia" w:cs="DengXian-Regular" w:asciiTheme="majorEastAsia" w:hAnsiTheme="majorEastAsia" w:eastAsiaTheme="majorEastAsia"/>
          <w:sz w:val="32"/>
          <w:szCs w:val="32"/>
        </w:rPr>
        <w:t>。</w:t>
      </w:r>
    </w:p>
    <w:p>
      <w:pPr>
        <w:adjustRightInd w:val="0"/>
        <w:snapToGrid w:val="0"/>
        <w:spacing w:after="0" w:line="58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2、由于决算公开表格中金额数值应当保留两位小数，公开数据为四舍五入计算结</w:t>
      </w:r>
      <w:r>
        <w:rPr>
          <w:rFonts w:asciiTheme="majorEastAsia" w:hAnsiTheme="majorEastAsia" w:eastAsiaTheme="majorEastAsia"/>
          <w:sz w:val="44"/>
        </w:rPr>
        <mc:AlternateContent>
          <mc:Choice Requires="wpg">
            <w:drawing>
              <wp:anchor distT="0" distB="0" distL="114300" distR="114300" simplePos="0" relativeHeight="251677696"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34"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32" name="矩形 13"/>
                        <wps:cNvSpPr/>
                        <wps:spPr>
                          <a:xfrm>
                            <a:off x="4551" y="52615"/>
                            <a:ext cx="8546" cy="1175"/>
                          </a:xfrm>
                          <a:prstGeom prst="rect">
                            <a:avLst/>
                          </a:prstGeom>
                          <a:solidFill>
                            <a:srgbClr val="96DA9D"/>
                          </a:solidFill>
                          <a:ln w="25400">
                            <a:noFill/>
                          </a:ln>
                        </wps:spPr>
                        <wps:bodyPr anchor="ctr" anchorCtr="0" upright="1"/>
                      </wps:wsp>
                      <wps:wsp>
                        <wps:cNvPr id="3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0.55pt;margin-top:29.3pt;height:43.95pt;width:301.85pt;mso-position-horizontal-relative:page;mso-position-vertical-relative:page;z-index:251677696;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2S8MA&#10;AADbAAAADwAAAGRycy9kb3ducmV2LnhtbESPQYvCMBSE7wv7H8ITvGmqB9FqFBGUPQhq3UW8PZpn&#10;W2xeShNt9dcbQdjjMDPfMLNFa0pxp9oVlhUM+hEI4tTqgjMFv8d1bwzCeWSNpWVS8CAHi/n31wxj&#10;bRs+0D3xmQgQdjEqyL2vYildmpNB17cVcfAutjbog6wzqWtsAtyUchhFI2mw4LCQY0WrnNJrcjMK&#10;LvjcL4sNPc+j024zaJLybzteK9XttMspCE+t/w9/2j9awW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2S8MAAADbAAAADwAAAAAAAAAAAAAAAACYAgAAZHJzL2Rv&#10;d25yZXYueG1sUEsFBgAAAAAEAAQA9QAAAI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x8UA&#10;AADbAAAADwAAAGRycy9kb3ducmV2LnhtbESPQWvCQBSE74L/YXlCb2ZTtVbTbKQWCvVS1Ari7TX7&#10;moRm34bsGuO/d4VCj8PMfMOkq97UoqPWVZYVPEYxCOLc6ooLBYev9/EChPPIGmvLpOBKDlbZcJBi&#10;ou2Fd9TtfSEChF2CCkrvm0RKl5dk0EW2IQ7ej20N+iDbQuoWLwFuajmJ47k0WHFYKLGht5Ly3/3Z&#10;KFg8kT7Ovteuy7fF5HnGm8/z9qTUw6h/fQHhqff/4b/2h1awnML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bPHxQAAANsAAAAPAAAAAAAAAAAAAAAAAJgCAABkcnMv&#10;ZG93bnJldi54bWxQSwUGAAAAAAQABAD1AAAAig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cs="DengXian-Regular" w:asciiTheme="majorEastAsia" w:hAnsiTheme="majorEastAsia" w:eastAsiaTheme="majorEastAsia"/>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ind w:firstLine="640" w:firstLineChars="200"/>
        <w:rPr>
          <w:rFonts w:ascii="仿宋_GB2312" w:eastAsia="仿宋_GB2312" w:cs="MS-UIGothic,Bold" w:hAnsiTheme="majorEastAsia"/>
          <w:bCs/>
          <w:sz w:val="32"/>
          <w:szCs w:val="32"/>
        </w:rPr>
      </w:pP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Theme="majorEastAsia" w:hAnsiTheme="majorEastAsia" w:eastAsia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Theme="majorEastAsia" w:hAnsiTheme="majorEastAsia" w:eastAsia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Theme="majorEastAsia" w:hAnsiTheme="majorEastAsia" w:eastAsia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Theme="majorEastAsia" w:hAnsiTheme="majorEastAsia" w:eastAsia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Theme="majorEastAsia" w:hAnsiTheme="majorEastAsia" w:eastAsia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Theme="majorEastAsia" w:hAnsiTheme="majorEastAsia" w:eastAsia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12700" r="5715" b="0"/>
                <wp:wrapNone/>
                <wp:docPr id="11"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203"/>
                        </a:xfrm>
                      </wpg:grpSpPr>
                      <wps:wsp>
                        <wps:cNvPr id="9" name="矩形 13"/>
                        <wps:cNvSpPr/>
                        <wps:spPr>
                          <a:xfrm>
                            <a:off x="4551" y="52615"/>
                            <a:ext cx="8546" cy="1175"/>
                          </a:xfrm>
                          <a:prstGeom prst="rect">
                            <a:avLst/>
                          </a:prstGeom>
                          <a:solidFill>
                            <a:srgbClr val="96DA9D"/>
                          </a:solidFill>
                          <a:ln w="25400">
                            <a:noFill/>
                          </a:ln>
                        </wps:spPr>
                        <wps:bodyPr anchor="ctr" anchorCtr="0" upright="1"/>
                      </wps:wsp>
                      <wps:wsp>
                        <wps:cNvPr id="1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GxCQNFQDAABdCgAADgAAAAAA&#10;AAAAAAAAAAAuAgAAZHJzL2Uyb0RvYy54bWxQSwECLQAUAAYACAAAACEAsU8KUeIAAAALAQAADwAA&#10;AAAAAAAAAAAAAACuBQAAZHJzL2Rvd25yZXYueG1sUEsFBgAAAAAEAAQA8wAAAL0GA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7cYA&#10;AADcAAAADwAAAGRycy9kb3ducmV2LnhtbESPQWvCQBCF74L/YZlCb7pRqEjqKlJQPBRao1J6G7Jj&#10;EpqdDdnVpP565yB4m+G9ee+bxap3tbpSGyrPBibjBBRx7m3FhYHjYTOagwoR2WLtmQz8U4DVcjhY&#10;YGp9x3u6ZrFQEsIhRQNljE2qdchLchjGviEW7exbh1HWttC2xU7CXa2nSTLTDiuWhhIb+igp/8su&#10;zsAZb9/raku339nP13bSZfXpc74x5vWlX7+DitTHp/lxvbOC/yb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u7cYAAADcAAAADwAAAAAAAAAAAAAAAACYAgAAZHJz&#10;L2Rvd25yZXYueG1sUEsFBgAAAAAEAAQA9QAAAIs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z8MA&#10;AADcAAAADwAAAGRycy9kb3ducmV2LnhtbERPS2vCQBC+C/0PyxR6041iWkldRQuFepHUFsTbNDsm&#10;wexsyG4e/nu3IHibj+85y/VgKtFR40rLCqaTCARxZnXJuYLfn8/xAoTzyBory6TgSg7Wq6fREhNt&#10;e/6m7uBzEULYJaig8L5OpHRZQQbdxNbEgTvbxqAPsMmlbrAP4aaSsyh6lQZLDg0F1vRRUHY5tEbB&#10;IiZ9nP9tXZel+extzrt9m56UenkeNu8gPA3+Ib67v3SYH0/h/5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6z8MAAADcAAAADwAAAAAAAAAAAAAAAACYAgAAZHJzL2Rv&#10;d25yZXYueG1sUEsFBgAAAAAEAAQA9QAAAI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Theme="majorEastAsia" w:hAnsiTheme="majorEastAsia" w:eastAsia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Theme="majorEastAsia" w:hAnsiTheme="majorEastAsia" w:eastAsia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Theme="majorEastAsia" w:hAnsiTheme="majorEastAsia" w:eastAsia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Theme="majorEastAsia" w:hAnsiTheme="majorEastAsia" w:eastAsia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Theme="majorEastAsia" w:hAnsiTheme="majorEastAsia" w:eastAsia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Theme="majorEastAsia" w:hAnsiTheme="majorEastAsia" w:eastAsia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Theme="majorEastAsia" w:hAnsiTheme="majorEastAsia" w:eastAsiaTheme="majorEastAsia"/>
          <w:b/>
          <w:bCs/>
          <w:color w:val="000000"/>
          <w:kern w:val="0"/>
          <w:sz w:val="32"/>
          <w:szCs w:val="32"/>
        </w:rPr>
        <mc:AlternateContent>
          <mc:Choice Requires="wpg">
            <w:drawing>
              <wp:anchor distT="0" distB="0" distL="114300" distR="114300" simplePos="0" relativeHeight="251678720" behindDoc="0" locked="1" layoutInCell="1" allowOverlap="1">
                <wp:simplePos x="0" y="0"/>
                <wp:positionH relativeFrom="column">
                  <wp:posOffset>-1029335</wp:posOffset>
                </wp:positionH>
                <wp:positionV relativeFrom="page">
                  <wp:posOffset>503555</wp:posOffset>
                </wp:positionV>
                <wp:extent cx="3363595" cy="558165"/>
                <wp:effectExtent l="2540" t="12700" r="5715" b="0"/>
                <wp:wrapNone/>
                <wp:docPr id="37"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203"/>
                        </a:xfrm>
                      </wpg:grpSpPr>
                      <wps:wsp>
                        <wps:cNvPr id="35" name="矩形 13"/>
                        <wps:cNvSpPr/>
                        <wps:spPr>
                          <a:xfrm>
                            <a:off x="4551" y="52615"/>
                            <a:ext cx="8546" cy="1175"/>
                          </a:xfrm>
                          <a:prstGeom prst="rect">
                            <a:avLst/>
                          </a:prstGeom>
                          <a:solidFill>
                            <a:srgbClr val="96DA9D"/>
                          </a:solidFill>
                          <a:ln w="25400">
                            <a:noFill/>
                          </a:ln>
                        </wps:spPr>
                        <wps:bodyPr anchor="ctr" anchorCtr="0" upright="1"/>
                      </wps:wsp>
                      <wps:wsp>
                        <wps:cNvPr id="3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78720;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uP8QA&#10;AADbAAAADwAAAGRycy9kb3ducmV2LnhtbESPQYvCMBSE78L+h/AWvGnqguJWo8iC4kFw7Sri7dE8&#10;22LzUppoq7/eLAgeh5n5hpnOW1OKG9WusKxg0I9AEKdWF5wp2P8te2MQziNrLC2Tgjs5mM8+OlOM&#10;tW14R7fEZyJA2MWoIPe+iqV0aU4GXd9WxME729qgD7LOpK6xCXBTyq8oGkmDBYeFHCv6ySm9JFej&#10;4IyP30WxosdpdNyuBk1SHjbjpVLdz3YxAeGp9e/wq73WCr6H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rj/EAAAA2wAAAA8AAAAAAAAAAAAAAAAAmAIAAGRycy9k&#10;b3ducmV2LnhtbFBLBQYAAAAABAAEAPUAAACJ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QX8MA&#10;AADbAAAADwAAAGRycy9kb3ducmV2LnhtbESPS4vCQBCE7wv+h6EFb+tE8RkdRQXBvSy+QLy1mTYJ&#10;ZnpCZozZf7+zIOyxqKqvqPmyMYWoqXK5ZQW9bgSCOLE651TB+bT9nIBwHlljYZkU/JCD5aL1McdY&#10;2xcfqD76VAQIuxgVZN6XsZQuycig69qSOHh3Wxn0QVap1BW+AtwUsh9FI2kw57CQYUmbjJLH8WkU&#10;TIakL4Pb2tXJPu2PB/z1/dxfleq0m9UMhKfG/4ff7Z1WMB3B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QX8MAAADbAAAADwAAAAAAAAAAAAAAAACYAgAAZHJzL2Rv&#10;d25yZXYueG1sUEsFBgAAAAAEAAQA9QAAAI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Theme="majorEastAsia" w:hAnsiTheme="majorEastAsia" w:eastAsia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9744" behindDoc="0" locked="1" layoutInCell="1" allowOverlap="1">
                <wp:simplePos x="0" y="0"/>
                <wp:positionH relativeFrom="column">
                  <wp:posOffset>-1029335</wp:posOffset>
                </wp:positionH>
                <wp:positionV relativeFrom="page">
                  <wp:posOffset>503555</wp:posOffset>
                </wp:positionV>
                <wp:extent cx="3363595" cy="558165"/>
                <wp:effectExtent l="2540" t="12700" r="5715" b="0"/>
                <wp:wrapNone/>
                <wp:docPr id="40"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203"/>
                        </a:xfrm>
                      </wpg:grpSpPr>
                      <wps:wsp>
                        <wps:cNvPr id="38" name="矩形 13"/>
                        <wps:cNvSpPr/>
                        <wps:spPr>
                          <a:xfrm>
                            <a:off x="4551" y="52615"/>
                            <a:ext cx="8546" cy="1175"/>
                          </a:xfrm>
                          <a:prstGeom prst="rect">
                            <a:avLst/>
                          </a:prstGeom>
                          <a:solidFill>
                            <a:srgbClr val="96DA9D"/>
                          </a:solidFill>
                          <a:ln w="25400">
                            <a:noFill/>
                          </a:ln>
                        </wps:spPr>
                        <wps:bodyPr anchor="ctr" anchorCtr="0" upright="1"/>
                      </wps:wsp>
                      <wps:wsp>
                        <wps:cNvPr id="3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79744;mso-width-relative:page;mso-height-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I99hUlQDAABZCgAADgAAAAAA&#10;AAAAAAAAAAAuAgAAZHJzL2Uyb0RvYy54bWxQSwECLQAUAAYACAAAACEAsU8KUeIAAAALAQAADwAA&#10;AAAAAAAAAAAAAACuBQAAZHJzL2Rvd25yZXYueG1sUEsFBgAAAAAEAAQA8wAAAL0GAAAAAA==&#10;">
                <o:lock v:ext="edit" aspectratio="f"/>
                <v:rect id="矩形 13" o:spid="_x0000_s102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BocEA&#10;AADbAAAADwAAAGRycy9kb3ducmV2LnhtbERPTYvCMBC9L/gfwix4W1M9iFuNpSwoHgS1KrK3oRnb&#10;ss2kNNFWf705CHt8vO9F0pta3Kl1lWUF41EEgji3uuJCwem4+pqBcB5ZY22ZFDzIQbIcfCww1rbj&#10;A90zX4gQwi5GBaX3TSyly0sy6Ea2IQ7c1bYGfYBtIXWLXQg3tZxE0VQarDg0lNjQT0n5X3YzCq74&#10;3KfVmp6/08tuPe6y+rydrZQafvbpHISn3v+L3+6NVvAdxoY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AaHBAAAA2wAAAA8AAAAAAAAAAAAAAAAAmAIAAGRycy9kb3du&#10;cmV2LnhtbFBLBQYAAAAABAAEAPUAAACG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LcQA&#10;AADbAAAADwAAAGRycy9kb3ducmV2LnhtbESPT4vCMBTE7wt+h/AEb5oqrn+qUVQQ9LK4Koi3Z/Ns&#10;i81LaWLtfnuzsLDHYWZ+w8yXjSlETZXLLSvo9yIQxInVOacKzqdtdwLCeWSNhWVS8EMOlovWxxxj&#10;bV/8TfXRpyJA2MWoIPO+jKV0SUYGXc+WxMG728qgD7JKpa7wFeCmkIMoGkmDOYeFDEvaZJQ8jk+j&#10;YPJJ+jK8rV2dHNLBeMj7r+fhqlSn3axmIDw1/j/8195pBdMp/H4JP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hC3EAAAA2wAAAA8AAAAAAAAAAAAAAAAAmAIAAGRycy9k&#10;b3ducmV2LnhtbFBLBQYAAAAABAAEAPUAAACJ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Theme="majorEastAsia" w:hAnsiTheme="majorEastAsia" w:eastAsia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Theme="majorEastAsia" w:hAnsiTheme="majorEastAsia" w:eastAsiaTheme="majorEastAsia"/>
          <w:color w:val="000000"/>
          <w:kern w:val="0"/>
          <w:sz w:val="32"/>
          <w:szCs w:val="32"/>
        </w:rPr>
        <w:t>填列单位公务用车购置支出（含车辆购置税、牌照费）。</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Theme="majorEastAsia" w:hAnsiTheme="majorEastAsia" w:eastAsia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Theme="majorEastAsia" w:hAnsiTheme="majorEastAsia" w:eastAsia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cs="ArialUnicodeMS" w:asciiTheme="majorEastAsia" w:hAnsiTheme="majorEastAsia" w:eastAsiaTheme="majorEastAsia"/>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Theme="majorEastAsia" w:hAnsiTheme="majorEastAsia" w:eastAsiaTheme="majorEastAsia"/>
          <w:color w:val="000000"/>
          <w:kern w:val="0"/>
          <w:sz w:val="32"/>
          <w:szCs w:val="32"/>
        </w:rPr>
        <w:t>按照经费来源，</w:t>
      </w:r>
      <w:r>
        <w:rPr>
          <w:rFonts w:hint="eastAsia" w:cs="ArialUnicodeMS" w:asciiTheme="majorEastAsia" w:hAnsiTheme="majorEastAsia" w:eastAsiaTheme="majorEastAsia"/>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9"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3E9850-6D47-4945-96E8-8E09AE76052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2" w:fontKey="{D97E560E-241D-44EC-ABA3-7F18D82F2649}"/>
  </w:font>
  <w:font w:name="楷体">
    <w:panose1 w:val="02010609060101010101"/>
    <w:charset w:val="86"/>
    <w:family w:val="modern"/>
    <w:pitch w:val="default"/>
    <w:sig w:usb0="800002BF" w:usb1="38CF7CFA" w:usb2="00000016" w:usb3="00000000" w:csb0="00040001" w:csb1="00000000"/>
    <w:embedRegular r:id="rId3" w:fontKey="{56CFD6FE-8172-4D92-9D1C-718B1A124099}"/>
  </w:font>
  <w:font w:name="仿宋_GB2312">
    <w:panose1 w:val="02010609030101010101"/>
    <w:charset w:val="86"/>
    <w:family w:val="modern"/>
    <w:pitch w:val="default"/>
    <w:sig w:usb0="00000001" w:usb1="080E0000" w:usb2="00000000" w:usb3="00000000" w:csb0="00040000" w:csb1="00000000"/>
    <w:embedRegular r:id="rId4" w:fontKey="{464805AB-28F7-4933-BBCB-1A5BA3490432}"/>
  </w:font>
  <w:font w:name="ArialUnicodeMS">
    <w:altName w:val="Malgun Gothic"/>
    <w:panose1 w:val="00000000000000000000"/>
    <w:charset w:val="81"/>
    <w:family w:val="auto"/>
    <w:pitch w:val="default"/>
    <w:sig w:usb0="00000000" w:usb1="00000000" w:usb2="00000010" w:usb3="00000000" w:csb0="00080001" w:csb1="00000000"/>
    <w:embedRegular r:id="rId5" w:fontKey="{4C467ACC-183B-4057-BE53-643C5D1354A0}"/>
  </w:font>
  <w:font w:name="MS-UIGothic,Bold">
    <w:altName w:val="Malgun Gothic"/>
    <w:panose1 w:val="00000000000000000000"/>
    <w:charset w:val="81"/>
    <w:family w:val="auto"/>
    <w:pitch w:val="default"/>
    <w:sig w:usb0="00000000" w:usb1="00000000" w:usb2="00000010" w:usb3="00000000" w:csb0="00080000" w:csb1="00000000"/>
    <w:embedRegular r:id="rId6" w:fontKey="{0F5A9F4D-0A5F-4820-9E75-76D14DAE0988}"/>
  </w:font>
  <w:font w:name="仿宋">
    <w:panose1 w:val="02010609060101010101"/>
    <w:charset w:val="86"/>
    <w:family w:val="modern"/>
    <w:pitch w:val="default"/>
    <w:sig w:usb0="800002BF" w:usb1="38CF7CFA" w:usb2="00000016" w:usb3="00000000" w:csb0="00040001" w:csb1="00000000"/>
    <w:embedRegular r:id="rId7" w:fontKey="{9B9B4538-E80A-4455-9B55-808B79795D47}"/>
  </w:font>
  <w:font w:name="___WRD_EMBED_SUB_39">
    <w:altName w:val="宋体"/>
    <w:panose1 w:val="00000000000000000000"/>
    <w:charset w:val="86"/>
    <w:family w:val="modern"/>
    <w:pitch w:val="default"/>
    <w:sig w:usb0="00000000" w:usb1="00000000" w:usb2="00000000" w:usb3="00000000" w:csb0="00000000" w:csb1="00000000"/>
    <w:embedRegular r:id="rId8" w:fontKey="{2AAF5AB8-EA3A-4AA4-B698-2FC96FAEB7E0}"/>
  </w:font>
  <w:font w:name="DengXian-Regular">
    <w:altName w:val="宋体"/>
    <w:panose1 w:val="00000000000000000000"/>
    <w:charset w:val="86"/>
    <w:family w:val="auto"/>
    <w:pitch w:val="default"/>
    <w:sig w:usb0="00000000" w:usb1="00000000" w:usb2="00000010" w:usb3="00000000" w:csb0="00040001" w:csb1="00000000"/>
    <w:embedRegular r:id="rId9" w:fontKey="{4DB16DCC-0F96-4588-B44A-FFCC1CD52682}"/>
  </w:font>
  <w:font w:name="楷体_GB2312">
    <w:altName w:val="楷体"/>
    <w:panose1 w:val="00000000000000000000"/>
    <w:charset w:val="86"/>
    <w:family w:val="modern"/>
    <w:pitch w:val="default"/>
    <w:sig w:usb0="00000000" w:usb1="00000000" w:usb2="00000010" w:usb3="00000000" w:csb0="00040000" w:csb1="00000000"/>
    <w:embedRegular r:id="rId10" w:fontKey="{AF63E211-F894-4412-BF0C-868AF81122EE}"/>
  </w:font>
  <w:font w:name="DengXian-Bold">
    <w:altName w:val="宋体"/>
    <w:panose1 w:val="00000000000000000000"/>
    <w:charset w:val="86"/>
    <w:family w:val="auto"/>
    <w:pitch w:val="default"/>
    <w:sig w:usb0="00000000" w:usb1="00000000" w:usb2="00000010" w:usb3="00000000" w:csb0="00040001" w:csb1="00000000"/>
    <w:embedRegular r:id="rId11" w:fontKey="{F2C69241-0584-4D31-BE1F-1FDA54C13596}"/>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0E78FC"/>
    <w:rsid w:val="00117946"/>
    <w:rsid w:val="00117E2C"/>
    <w:rsid w:val="00130828"/>
    <w:rsid w:val="00146C47"/>
    <w:rsid w:val="00150071"/>
    <w:rsid w:val="00152FB8"/>
    <w:rsid w:val="00176658"/>
    <w:rsid w:val="0018239E"/>
    <w:rsid w:val="001B13B1"/>
    <w:rsid w:val="001B3410"/>
    <w:rsid w:val="001C030D"/>
    <w:rsid w:val="001C4A84"/>
    <w:rsid w:val="001E5902"/>
    <w:rsid w:val="00233705"/>
    <w:rsid w:val="00270EC6"/>
    <w:rsid w:val="0027345F"/>
    <w:rsid w:val="00275CA2"/>
    <w:rsid w:val="00294972"/>
    <w:rsid w:val="002A2CD9"/>
    <w:rsid w:val="002A65A5"/>
    <w:rsid w:val="002C04C4"/>
    <w:rsid w:val="002D08B0"/>
    <w:rsid w:val="002D1AE3"/>
    <w:rsid w:val="002F2ECE"/>
    <w:rsid w:val="00303230"/>
    <w:rsid w:val="00315A49"/>
    <w:rsid w:val="00341C8F"/>
    <w:rsid w:val="003461EC"/>
    <w:rsid w:val="0035463A"/>
    <w:rsid w:val="00367611"/>
    <w:rsid w:val="00391D9D"/>
    <w:rsid w:val="003939A8"/>
    <w:rsid w:val="003B6C51"/>
    <w:rsid w:val="003C1413"/>
    <w:rsid w:val="003C549F"/>
    <w:rsid w:val="003D5A16"/>
    <w:rsid w:val="003E7DB3"/>
    <w:rsid w:val="003F1321"/>
    <w:rsid w:val="00431175"/>
    <w:rsid w:val="00480388"/>
    <w:rsid w:val="004803CF"/>
    <w:rsid w:val="00487AA8"/>
    <w:rsid w:val="004A0202"/>
    <w:rsid w:val="004B51B8"/>
    <w:rsid w:val="004B6E37"/>
    <w:rsid w:val="004C32BA"/>
    <w:rsid w:val="004E6A29"/>
    <w:rsid w:val="005258D7"/>
    <w:rsid w:val="00575922"/>
    <w:rsid w:val="005A6C90"/>
    <w:rsid w:val="005B439F"/>
    <w:rsid w:val="005E3FB0"/>
    <w:rsid w:val="005F4B66"/>
    <w:rsid w:val="005F5208"/>
    <w:rsid w:val="006240B0"/>
    <w:rsid w:val="00641318"/>
    <w:rsid w:val="0064405D"/>
    <w:rsid w:val="00674517"/>
    <w:rsid w:val="00695557"/>
    <w:rsid w:val="006A607D"/>
    <w:rsid w:val="006D4EA7"/>
    <w:rsid w:val="0070012A"/>
    <w:rsid w:val="0070664B"/>
    <w:rsid w:val="007071B8"/>
    <w:rsid w:val="0072773A"/>
    <w:rsid w:val="007414DE"/>
    <w:rsid w:val="007905A9"/>
    <w:rsid w:val="00797013"/>
    <w:rsid w:val="00797136"/>
    <w:rsid w:val="007B1DA1"/>
    <w:rsid w:val="007D4C8B"/>
    <w:rsid w:val="007E5500"/>
    <w:rsid w:val="007F055B"/>
    <w:rsid w:val="00811C2F"/>
    <w:rsid w:val="00833D46"/>
    <w:rsid w:val="008355B1"/>
    <w:rsid w:val="00840A97"/>
    <w:rsid w:val="008715B2"/>
    <w:rsid w:val="008C0149"/>
    <w:rsid w:val="008D5DED"/>
    <w:rsid w:val="008E25CA"/>
    <w:rsid w:val="008F34FC"/>
    <w:rsid w:val="008F7CC3"/>
    <w:rsid w:val="00944CD7"/>
    <w:rsid w:val="00965844"/>
    <w:rsid w:val="009831B2"/>
    <w:rsid w:val="009A188C"/>
    <w:rsid w:val="009A1ABE"/>
    <w:rsid w:val="009A2D79"/>
    <w:rsid w:val="009C7906"/>
    <w:rsid w:val="009C7EEF"/>
    <w:rsid w:val="009E21A4"/>
    <w:rsid w:val="009F22C6"/>
    <w:rsid w:val="00A07E50"/>
    <w:rsid w:val="00A15397"/>
    <w:rsid w:val="00A35CE0"/>
    <w:rsid w:val="00A4462E"/>
    <w:rsid w:val="00A44AA4"/>
    <w:rsid w:val="00A61623"/>
    <w:rsid w:val="00A80BA3"/>
    <w:rsid w:val="00A84687"/>
    <w:rsid w:val="00A876B8"/>
    <w:rsid w:val="00AB0A0E"/>
    <w:rsid w:val="00AD3B6E"/>
    <w:rsid w:val="00B14B76"/>
    <w:rsid w:val="00B1751F"/>
    <w:rsid w:val="00B56722"/>
    <w:rsid w:val="00B74D39"/>
    <w:rsid w:val="00B857CF"/>
    <w:rsid w:val="00B91DA4"/>
    <w:rsid w:val="00BC6D79"/>
    <w:rsid w:val="00C12630"/>
    <w:rsid w:val="00C17220"/>
    <w:rsid w:val="00C34562"/>
    <w:rsid w:val="00C372EA"/>
    <w:rsid w:val="00C3774E"/>
    <w:rsid w:val="00C57456"/>
    <w:rsid w:val="00C65387"/>
    <w:rsid w:val="00C87FAB"/>
    <w:rsid w:val="00C91FF7"/>
    <w:rsid w:val="00C94E53"/>
    <w:rsid w:val="00CF01A2"/>
    <w:rsid w:val="00CF45AE"/>
    <w:rsid w:val="00CF7434"/>
    <w:rsid w:val="00D0048E"/>
    <w:rsid w:val="00D23996"/>
    <w:rsid w:val="00D23E7A"/>
    <w:rsid w:val="00D61063"/>
    <w:rsid w:val="00D75991"/>
    <w:rsid w:val="00DA53F7"/>
    <w:rsid w:val="00DB35AF"/>
    <w:rsid w:val="00DD72D7"/>
    <w:rsid w:val="00DE6BE7"/>
    <w:rsid w:val="00DF5B88"/>
    <w:rsid w:val="00E0589E"/>
    <w:rsid w:val="00E241FA"/>
    <w:rsid w:val="00E2595E"/>
    <w:rsid w:val="00E31E8E"/>
    <w:rsid w:val="00E35374"/>
    <w:rsid w:val="00E50C19"/>
    <w:rsid w:val="00E60286"/>
    <w:rsid w:val="00E64655"/>
    <w:rsid w:val="00E73081"/>
    <w:rsid w:val="00E856C9"/>
    <w:rsid w:val="00EB6A8B"/>
    <w:rsid w:val="00EF11D6"/>
    <w:rsid w:val="00EF38C6"/>
    <w:rsid w:val="00F64270"/>
    <w:rsid w:val="00F679C7"/>
    <w:rsid w:val="00F71C81"/>
    <w:rsid w:val="00F728E2"/>
    <w:rsid w:val="00F7711A"/>
    <w:rsid w:val="00FA0D58"/>
    <w:rsid w:val="00FA56F4"/>
    <w:rsid w:val="00FB4EDA"/>
    <w:rsid w:val="00FD3BD5"/>
    <w:rsid w:val="00FE3DC8"/>
    <w:rsid w:val="04073F84"/>
    <w:rsid w:val="0B60750A"/>
    <w:rsid w:val="101960EA"/>
    <w:rsid w:val="10686488"/>
    <w:rsid w:val="109E424A"/>
    <w:rsid w:val="10DF728A"/>
    <w:rsid w:val="1264200E"/>
    <w:rsid w:val="141C5B77"/>
    <w:rsid w:val="18D8339D"/>
    <w:rsid w:val="1A21388F"/>
    <w:rsid w:val="1A570D2F"/>
    <w:rsid w:val="1B0C3A01"/>
    <w:rsid w:val="28FB0B8D"/>
    <w:rsid w:val="2ADF0E8F"/>
    <w:rsid w:val="2D2B7942"/>
    <w:rsid w:val="2D46481D"/>
    <w:rsid w:val="2E733B28"/>
    <w:rsid w:val="31852B5A"/>
    <w:rsid w:val="32D01238"/>
    <w:rsid w:val="3DFC59A8"/>
    <w:rsid w:val="3ECF245E"/>
    <w:rsid w:val="3FB96314"/>
    <w:rsid w:val="53A44FAF"/>
    <w:rsid w:val="540A56D5"/>
    <w:rsid w:val="594329EC"/>
    <w:rsid w:val="5BEE1540"/>
    <w:rsid w:val="5DE61A5D"/>
    <w:rsid w:val="63C04243"/>
    <w:rsid w:val="649C01C7"/>
    <w:rsid w:val="699A3F60"/>
    <w:rsid w:val="72902E62"/>
    <w:rsid w:val="73C61104"/>
    <w:rsid w:val="776452EA"/>
    <w:rsid w:val="785A4AC7"/>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821DA530-4E18-4B23-BAC2-AC5D649864C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677</Words>
  <Characters>3864</Characters>
  <Lines>32</Lines>
  <Paragraphs>9</Paragraphs>
  <TotalTime>24</TotalTime>
  <ScaleCrop>false</ScaleCrop>
  <LinksUpToDate>false</LinksUpToDate>
  <CharactersWithSpaces>4532</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2023-11-02T08:45:33Z</dcterms:modified>
  <dc:subject>石家庄市xxx部门</dc:subject>
  <dc:title>2017年度部门决算</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65F7BBB78084490FBF63148637D9EEB9</vt:lpwstr>
  </property>
</Properties>
</file>