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3.35pt;height:69.6pt;width:600.25pt;z-index:-251657216;mso-width-relative:page;mso-height-relative:page;" coordorigin="13622,-6671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青龙满族自治县青龙镇人民政府</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28"/>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00" w:lineRule="exact"/>
        <w:ind w:firstLine="560" w:firstLineChars="200"/>
        <w:jc w:val="left"/>
        <w:rPr>
          <w:rFonts w:hAnsi="宋体"/>
          <w:sz w:val="28"/>
        </w:rPr>
      </w:pPr>
      <w:r>
        <w:rPr>
          <w:rFonts w:hint="eastAsia" w:eastAsia="方正仿宋_GBK"/>
          <w:sz w:val="28"/>
        </w:rPr>
        <w:t>根据《青龙镇职能配置、内设机构和人员编制规定》， 青龙镇的主要职责是：</w:t>
      </w:r>
    </w:p>
    <w:p>
      <w:pPr>
        <w:spacing w:line="500" w:lineRule="exact"/>
        <w:ind w:firstLine="560" w:firstLineChars="200"/>
        <w:jc w:val="left"/>
        <w:rPr>
          <w:rFonts w:eastAsia="方正仿宋_GBK"/>
          <w:sz w:val="28"/>
        </w:rPr>
      </w:pPr>
      <w:r>
        <w:rPr>
          <w:rFonts w:eastAsia="方正仿宋_GBK"/>
          <w:sz w:val="28"/>
        </w:rPr>
        <w:t>青龙镇职责情况说明</w:t>
      </w:r>
    </w:p>
    <w:p>
      <w:pPr>
        <w:spacing w:line="500" w:lineRule="exact"/>
        <w:ind w:firstLine="560" w:firstLineChars="200"/>
        <w:jc w:val="left"/>
        <w:rPr>
          <w:rFonts w:eastAsia="方正仿宋_GBK"/>
          <w:sz w:val="28"/>
        </w:rPr>
      </w:pPr>
      <w:r>
        <w:rPr>
          <w:rFonts w:eastAsia="方正仿宋_GBK"/>
          <w:sz w:val="28"/>
        </w:rPr>
        <w:t>镇人大负责监督宪法和法律在我镇行政区域内正确实施；监督政府及县直属部门依法开展工作；监督镇本级预算按照镇人代会通过的预算有效实施；监督经济和社会发展计划有效实施。</w:t>
      </w:r>
    </w:p>
    <w:p>
      <w:pPr>
        <w:spacing w:line="500" w:lineRule="exact"/>
        <w:ind w:firstLine="560" w:firstLineChars="200"/>
        <w:jc w:val="left"/>
        <w:rPr>
          <w:rFonts w:eastAsia="方正仿宋_GBK"/>
          <w:sz w:val="28"/>
        </w:rPr>
      </w:pPr>
      <w:r>
        <w:rPr>
          <w:rFonts w:eastAsia="方正仿宋_GBK"/>
          <w:sz w:val="28"/>
        </w:rPr>
        <w:t>镇组织部负责加强基层领导班子建设；加强大学生村官队伍建设，健全全镇党的组织制度、党内生活制度建设；加强民主集中制建设和民主生活会宏观指导；协调和指导镇党代会、人代会；做好代表补选、罢免等事宜。</w:t>
      </w:r>
    </w:p>
    <w:p>
      <w:pPr>
        <w:spacing w:line="500" w:lineRule="exact"/>
        <w:ind w:firstLine="560" w:firstLineChars="200"/>
        <w:jc w:val="left"/>
        <w:rPr>
          <w:rFonts w:eastAsia="方正仿宋_GBK"/>
          <w:sz w:val="28"/>
        </w:rPr>
      </w:pPr>
      <w:r>
        <w:rPr>
          <w:rFonts w:eastAsia="方正仿宋_GBK"/>
          <w:sz w:val="28"/>
        </w:rPr>
        <w:t>镇武装部负责全镇征兵工作及民兵整组，完成全镇全年的征兵及民兵整组任务。</w:t>
      </w:r>
    </w:p>
    <w:p>
      <w:pPr>
        <w:spacing w:line="500" w:lineRule="exact"/>
        <w:ind w:firstLine="560" w:firstLineChars="200"/>
        <w:jc w:val="left"/>
        <w:rPr>
          <w:rFonts w:eastAsia="方正仿宋_GBK"/>
          <w:sz w:val="28"/>
        </w:rPr>
      </w:pPr>
      <w:r>
        <w:rPr>
          <w:rFonts w:eastAsia="方正仿宋_GBK"/>
          <w:sz w:val="28"/>
        </w:rPr>
        <w:t>镇妇联负责团结、教育全镇妇女及各类妇女组织同党中央在思想上、政治上、行动上保持高度一致，全面提高妇女素质。</w:t>
      </w:r>
    </w:p>
    <w:p>
      <w:pPr>
        <w:spacing w:line="500" w:lineRule="exact"/>
        <w:ind w:firstLine="560" w:firstLineChars="200"/>
        <w:jc w:val="left"/>
        <w:rPr>
          <w:rFonts w:eastAsia="方正仿宋_GBK"/>
          <w:sz w:val="28"/>
        </w:rPr>
      </w:pPr>
      <w:r>
        <w:rPr>
          <w:rFonts w:eastAsia="方正仿宋_GBK"/>
          <w:sz w:val="28"/>
        </w:rPr>
        <w:t>镇城镇规划建设负责村镇规划、建设、管理工作，加强基础设施建设，推进城镇一体化进程，搞好社会主义新农村建设工作；负责村镇容貌、环境卫生管理等工作。</w:t>
      </w:r>
    </w:p>
    <w:p>
      <w:pPr>
        <w:spacing w:line="500" w:lineRule="exact"/>
        <w:ind w:firstLine="560" w:firstLineChars="200"/>
        <w:jc w:val="left"/>
        <w:rPr>
          <w:rFonts w:eastAsia="方正仿宋_GBK"/>
          <w:sz w:val="28"/>
        </w:rPr>
      </w:pPr>
      <w:r>
        <w:rPr>
          <w:rFonts w:eastAsia="方正仿宋_GBK"/>
          <w:sz w:val="28"/>
        </w:rPr>
        <w:t>镇农业综合服务站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spacing w:line="500" w:lineRule="exact"/>
        <w:ind w:firstLine="560" w:firstLineChars="200"/>
        <w:jc w:val="left"/>
        <w:rPr>
          <w:rFonts w:eastAsia="方正仿宋_GBK"/>
          <w:sz w:val="28"/>
        </w:rPr>
      </w:pPr>
      <w:r>
        <w:rPr>
          <w:rFonts w:eastAsia="方正仿宋_GBK"/>
          <w:sz w:val="28"/>
        </w:rPr>
        <w:t>镇就业所负责促进失业人员再就业，控制城镇登记失业率，转移农村劳动力，保持就业形势的基本稳定；通过建立和实施新型农村合作医疗、疾病应急救助、城镇居民大病保险以及公费医疗等制度，保障人民群众公平享有所需医疗服务权益。</w:t>
      </w:r>
    </w:p>
    <w:p>
      <w:pPr>
        <w:spacing w:line="500" w:lineRule="exact"/>
        <w:ind w:firstLine="560" w:firstLineChars="200"/>
        <w:jc w:val="left"/>
        <w:rPr>
          <w:rFonts w:eastAsia="方正仿宋_GBK"/>
          <w:sz w:val="28"/>
        </w:rPr>
      </w:pPr>
      <w:r>
        <w:rPr>
          <w:rFonts w:eastAsia="方正仿宋_GBK"/>
          <w:sz w:val="28"/>
        </w:rPr>
        <w:t>镇安监站负责定期组织在全镇开展安全生产督导检查活动，对重点行业和作业场所职业卫生安全生产加强行政执法监察，依法对违法行为实施行政处罚；不断加强安全生产监管能力建设，改善执法检测、监察检查等能力。</w:t>
      </w:r>
    </w:p>
    <w:p>
      <w:pPr>
        <w:spacing w:line="500" w:lineRule="exact"/>
        <w:ind w:firstLine="560" w:firstLineChars="200"/>
        <w:jc w:val="left"/>
        <w:rPr>
          <w:rFonts w:eastAsia="方正仿宋_GBK"/>
          <w:sz w:val="28"/>
        </w:rPr>
      </w:pPr>
      <w:r>
        <w:rPr>
          <w:rFonts w:eastAsia="方正仿宋_GBK"/>
          <w:sz w:val="28"/>
        </w:rPr>
        <w:t>镇文化中负责管理和指导全镇文化建设，推进文化发展环境能力建设，提供公共文化服务、文化艺术资源建设和文化艺术生产。</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sectPr>
          <w:footerReference r:id="rId16" w:type="default"/>
          <w:pgSz w:w="11907" w:h="16839"/>
          <w:pgMar w:top="1531" w:right="1134" w:bottom="1474" w:left="1134" w:header="851" w:footer="992" w:gutter="0"/>
          <w:pgNumType w:start="1"/>
          <w:cols w:space="720" w:num="1"/>
          <w:docGrid w:type="lines" w:linePitch="312" w:charSpace="0"/>
        </w:sect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4"/>
        <w:gridCol w:w="687"/>
        <w:gridCol w:w="773"/>
        <w:gridCol w:w="1424"/>
        <w:gridCol w:w="430"/>
        <w:gridCol w:w="430"/>
        <w:gridCol w:w="429"/>
        <w:gridCol w:w="430"/>
        <w:gridCol w:w="567"/>
        <w:gridCol w:w="293"/>
        <w:gridCol w:w="429"/>
        <w:gridCol w:w="430"/>
        <w:gridCol w:w="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6058"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925</w:t>
            </w:r>
            <w:r>
              <w:rPr>
                <w:rFonts w:hint="eastAsia" w:ascii="方正小标宋_GBK" w:eastAsia="方正小标宋_GBK"/>
                <w:sz w:val="24"/>
              </w:rPr>
              <w:t>青龙镇</w:t>
            </w:r>
          </w:p>
        </w:tc>
        <w:tc>
          <w:tcPr>
            <w:tcW w:w="2575"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单位：人（辆）</w:t>
            </w:r>
          </w:p>
        </w:tc>
        <w:tc>
          <w:tcPr>
            <w:tcW w:w="424"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1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68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77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1424"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430" w:type="dxa"/>
            <w:vMerge w:val="restart"/>
            <w:vAlign w:val="center"/>
          </w:tcPr>
          <w:p>
            <w:pPr>
              <w:spacing w:line="300" w:lineRule="exact"/>
              <w:jc w:val="center"/>
              <w:rPr>
                <w:rFonts w:ascii="方正书宋_GBK" w:eastAsia="方正书宋_GBK"/>
                <w:b/>
              </w:rPr>
            </w:pPr>
            <w:r>
              <w:rPr>
                <w:rFonts w:hint="eastAsia" w:ascii="方正书宋_GBK" w:eastAsia="方正书宋_GBK"/>
                <w:b/>
              </w:rPr>
              <w:t>车辆实有数</w:t>
            </w:r>
          </w:p>
        </w:tc>
        <w:tc>
          <w:tcPr>
            <w:tcW w:w="858" w:type="dxa"/>
            <w:gridSpan w:val="2"/>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997" w:type="dxa"/>
            <w:gridSpan w:val="2"/>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1148" w:type="dxa"/>
            <w:gridSpan w:val="3"/>
            <w:vAlign w:val="center"/>
          </w:tcPr>
          <w:p>
            <w:pPr>
              <w:spacing w:line="300" w:lineRule="exact"/>
              <w:jc w:val="center"/>
              <w:rPr>
                <w:rFonts w:ascii="方正书宋_GBK" w:eastAsia="方正书宋_GBK"/>
                <w:b/>
              </w:rPr>
            </w:pPr>
            <w:r>
              <w:rPr>
                <w:rFonts w:hint="eastAsia" w:ascii="方正书宋_GBK" w:eastAsia="方正书宋_GBK"/>
                <w:b/>
              </w:rPr>
              <w:t>离退人数</w:t>
            </w:r>
          </w:p>
        </w:tc>
        <w:tc>
          <w:tcPr>
            <w:tcW w:w="424"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16" w:type="dxa"/>
            <w:vMerge w:val="continue"/>
            <w:vAlign w:val="center"/>
          </w:tcPr>
          <w:p>
            <w:pPr>
              <w:spacing w:line="300" w:lineRule="exact"/>
              <w:jc w:val="left"/>
              <w:outlineLvl w:val="0"/>
              <w:rPr>
                <w:rFonts w:eastAsia="方正仿宋_GBK"/>
                <w:sz w:val="28"/>
              </w:rPr>
            </w:pPr>
          </w:p>
        </w:tc>
        <w:tc>
          <w:tcPr>
            <w:tcW w:w="687" w:type="dxa"/>
            <w:vMerge w:val="continue"/>
            <w:vAlign w:val="center"/>
          </w:tcPr>
          <w:p>
            <w:pPr>
              <w:spacing w:line="300" w:lineRule="exact"/>
              <w:jc w:val="left"/>
              <w:outlineLvl w:val="0"/>
              <w:rPr>
                <w:rFonts w:eastAsia="方正仿宋_GBK"/>
                <w:sz w:val="28"/>
              </w:rPr>
            </w:pPr>
          </w:p>
        </w:tc>
        <w:tc>
          <w:tcPr>
            <w:tcW w:w="773" w:type="dxa"/>
            <w:vMerge w:val="continue"/>
            <w:vAlign w:val="center"/>
          </w:tcPr>
          <w:p>
            <w:pPr>
              <w:spacing w:line="300" w:lineRule="exact"/>
              <w:jc w:val="left"/>
              <w:outlineLvl w:val="0"/>
              <w:rPr>
                <w:rFonts w:eastAsia="方正仿宋_GBK"/>
                <w:sz w:val="28"/>
              </w:rPr>
            </w:pPr>
          </w:p>
        </w:tc>
        <w:tc>
          <w:tcPr>
            <w:tcW w:w="1424" w:type="dxa"/>
            <w:vMerge w:val="continue"/>
            <w:vAlign w:val="center"/>
          </w:tcPr>
          <w:p>
            <w:pPr>
              <w:spacing w:line="300" w:lineRule="exact"/>
              <w:jc w:val="left"/>
              <w:outlineLvl w:val="0"/>
              <w:rPr>
                <w:rFonts w:eastAsia="方正仿宋_GBK"/>
                <w:sz w:val="28"/>
              </w:rPr>
            </w:pPr>
          </w:p>
        </w:tc>
        <w:tc>
          <w:tcPr>
            <w:tcW w:w="430" w:type="dxa"/>
            <w:vMerge w:val="continue"/>
            <w:vAlign w:val="center"/>
          </w:tcPr>
          <w:p>
            <w:pPr>
              <w:spacing w:line="300" w:lineRule="exact"/>
              <w:jc w:val="left"/>
              <w:outlineLvl w:val="0"/>
              <w:rPr>
                <w:rFonts w:eastAsia="方正仿宋_GBK"/>
                <w:sz w:val="28"/>
              </w:rPr>
            </w:pPr>
          </w:p>
        </w:tc>
        <w:tc>
          <w:tcPr>
            <w:tcW w:w="430" w:type="dxa"/>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429" w:type="dxa"/>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430" w:type="dxa"/>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566" w:type="dxa"/>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293" w:type="dxa"/>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429" w:type="dxa"/>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430" w:type="dxa"/>
            <w:vAlign w:val="center"/>
          </w:tcPr>
          <w:p>
            <w:pPr>
              <w:spacing w:line="300" w:lineRule="exact"/>
              <w:jc w:val="center"/>
              <w:rPr>
                <w:rFonts w:ascii="方正书宋_GBK" w:eastAsia="方正书宋_GBK"/>
                <w:b/>
              </w:rPr>
            </w:pPr>
            <w:r>
              <w:rPr>
                <w:rFonts w:hint="eastAsia" w:ascii="方正书宋_GBK" w:eastAsia="方正书宋_GBK"/>
                <w:b/>
              </w:rPr>
              <w:t>退职</w:t>
            </w:r>
          </w:p>
        </w:tc>
        <w:tc>
          <w:tcPr>
            <w:tcW w:w="423"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16"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87" w:type="dxa"/>
            <w:vAlign w:val="center"/>
          </w:tcPr>
          <w:p>
            <w:pPr>
              <w:spacing w:line="300" w:lineRule="exact"/>
              <w:jc w:val="center"/>
              <w:rPr>
                <w:rFonts w:ascii="方正书宋_GBK" w:eastAsia="方正书宋_GBK"/>
                <w:b/>
              </w:rPr>
            </w:pPr>
          </w:p>
        </w:tc>
        <w:tc>
          <w:tcPr>
            <w:tcW w:w="773" w:type="dxa"/>
            <w:vAlign w:val="center"/>
          </w:tcPr>
          <w:p>
            <w:pPr>
              <w:spacing w:line="300" w:lineRule="exact"/>
              <w:jc w:val="center"/>
              <w:rPr>
                <w:rFonts w:ascii="方正书宋_GBK" w:eastAsia="方正书宋_GBK"/>
                <w:b/>
              </w:rPr>
            </w:pPr>
          </w:p>
        </w:tc>
        <w:tc>
          <w:tcPr>
            <w:tcW w:w="1424" w:type="dxa"/>
            <w:vAlign w:val="center"/>
          </w:tcPr>
          <w:p>
            <w:pPr>
              <w:spacing w:line="300" w:lineRule="exact"/>
              <w:jc w:val="center"/>
              <w:rPr>
                <w:rFonts w:ascii="方正书宋_GBK" w:eastAsia="方正书宋_GBK"/>
                <w:b/>
              </w:rPr>
            </w:pPr>
          </w:p>
        </w:tc>
        <w:tc>
          <w:tcPr>
            <w:tcW w:w="430" w:type="dxa"/>
            <w:vAlign w:val="center"/>
          </w:tcPr>
          <w:p>
            <w:pPr>
              <w:spacing w:line="300" w:lineRule="exact"/>
              <w:jc w:val="center"/>
              <w:rPr>
                <w:rFonts w:ascii="方正书宋_GBK" w:eastAsia="方正书宋_GBK"/>
                <w:b/>
              </w:rPr>
            </w:pPr>
            <w:r>
              <w:rPr>
                <w:rFonts w:ascii="方正书宋_GBK" w:eastAsia="方正书宋_GBK"/>
                <w:b/>
              </w:rPr>
              <w:t>2</w:t>
            </w:r>
          </w:p>
        </w:tc>
        <w:tc>
          <w:tcPr>
            <w:tcW w:w="430" w:type="dxa"/>
            <w:vAlign w:val="center"/>
          </w:tcPr>
          <w:p>
            <w:pPr>
              <w:spacing w:line="300" w:lineRule="exact"/>
              <w:jc w:val="center"/>
              <w:rPr>
                <w:rFonts w:ascii="方正书宋_GBK" w:eastAsia="方正书宋_GBK"/>
                <w:b/>
              </w:rPr>
            </w:pPr>
            <w:r>
              <w:rPr>
                <w:rFonts w:ascii="方正书宋_GBK" w:eastAsia="方正书宋_GBK"/>
                <w:b/>
              </w:rPr>
              <w:t>34</w:t>
            </w:r>
          </w:p>
        </w:tc>
        <w:tc>
          <w:tcPr>
            <w:tcW w:w="429" w:type="dxa"/>
            <w:vAlign w:val="center"/>
          </w:tcPr>
          <w:p>
            <w:pPr>
              <w:spacing w:line="300" w:lineRule="exact"/>
              <w:jc w:val="center"/>
              <w:rPr>
                <w:rFonts w:ascii="方正书宋_GBK" w:eastAsia="方正书宋_GBK"/>
                <w:b/>
              </w:rPr>
            </w:pPr>
            <w:r>
              <w:rPr>
                <w:rFonts w:ascii="方正书宋_GBK" w:eastAsia="方正书宋_GBK"/>
                <w:b/>
              </w:rPr>
              <w:t>45</w:t>
            </w:r>
          </w:p>
        </w:tc>
        <w:tc>
          <w:tcPr>
            <w:tcW w:w="430" w:type="dxa"/>
            <w:vAlign w:val="center"/>
          </w:tcPr>
          <w:p>
            <w:pPr>
              <w:spacing w:line="300" w:lineRule="exact"/>
              <w:jc w:val="center"/>
              <w:rPr>
                <w:rFonts w:ascii="方正书宋_GBK" w:eastAsia="方正书宋_GBK"/>
                <w:b/>
              </w:rPr>
            </w:pPr>
            <w:r>
              <w:rPr>
                <w:rFonts w:ascii="方正书宋_GBK" w:eastAsia="方正书宋_GBK"/>
                <w:b/>
              </w:rPr>
              <w:t>31</w:t>
            </w:r>
          </w:p>
        </w:tc>
        <w:tc>
          <w:tcPr>
            <w:tcW w:w="566" w:type="dxa"/>
            <w:vAlign w:val="center"/>
          </w:tcPr>
          <w:p>
            <w:pPr>
              <w:spacing w:line="300" w:lineRule="exact"/>
              <w:jc w:val="center"/>
              <w:rPr>
                <w:rFonts w:ascii="方正书宋_GBK" w:eastAsia="方正书宋_GBK"/>
                <w:b/>
              </w:rPr>
            </w:pPr>
            <w:r>
              <w:rPr>
                <w:rFonts w:ascii="方正书宋_GBK" w:eastAsia="方正书宋_GBK"/>
                <w:b/>
              </w:rPr>
              <w:t>119</w:t>
            </w:r>
          </w:p>
        </w:tc>
        <w:tc>
          <w:tcPr>
            <w:tcW w:w="293" w:type="dxa"/>
            <w:vAlign w:val="center"/>
          </w:tcPr>
          <w:p>
            <w:pPr>
              <w:spacing w:line="300" w:lineRule="exact"/>
              <w:jc w:val="center"/>
              <w:rPr>
                <w:rFonts w:ascii="方正书宋_GBK" w:eastAsia="方正书宋_GBK"/>
                <w:b/>
              </w:rPr>
            </w:pPr>
            <w:r>
              <w:rPr>
                <w:rFonts w:ascii="方正书宋_GBK" w:eastAsia="方正书宋_GBK"/>
                <w:b/>
              </w:rPr>
              <w:t>2</w:t>
            </w:r>
          </w:p>
        </w:tc>
        <w:tc>
          <w:tcPr>
            <w:tcW w:w="429" w:type="dxa"/>
            <w:vAlign w:val="center"/>
          </w:tcPr>
          <w:p>
            <w:pPr>
              <w:spacing w:line="300" w:lineRule="exact"/>
              <w:jc w:val="center"/>
              <w:rPr>
                <w:rFonts w:ascii="方正书宋_GBK" w:eastAsia="方正书宋_GBK"/>
                <w:b/>
              </w:rPr>
            </w:pPr>
            <w:r>
              <w:rPr>
                <w:rFonts w:ascii="方正书宋_GBK" w:eastAsia="方正书宋_GBK"/>
                <w:b/>
              </w:rPr>
              <w:t>94</w:t>
            </w:r>
          </w:p>
        </w:tc>
        <w:tc>
          <w:tcPr>
            <w:tcW w:w="430" w:type="dxa"/>
            <w:vAlign w:val="center"/>
          </w:tcPr>
          <w:p>
            <w:pPr>
              <w:spacing w:line="300" w:lineRule="exact"/>
              <w:jc w:val="center"/>
              <w:rPr>
                <w:rFonts w:ascii="方正书宋_GBK" w:eastAsia="方正书宋_GBK"/>
                <w:b/>
              </w:rPr>
            </w:pPr>
            <w:r>
              <w:rPr>
                <w:rFonts w:ascii="方正书宋_GBK" w:eastAsia="方正书宋_GBK"/>
                <w:b/>
              </w:rPr>
              <w:t>1</w:t>
            </w:r>
          </w:p>
        </w:tc>
        <w:tc>
          <w:tcPr>
            <w:tcW w:w="423"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16" w:type="dxa"/>
            <w:vAlign w:val="center"/>
          </w:tcPr>
          <w:p>
            <w:pPr>
              <w:spacing w:line="300" w:lineRule="exact"/>
              <w:jc w:val="left"/>
              <w:rPr>
                <w:rFonts w:ascii="方正书宋_GBK" w:eastAsia="方正书宋_GBK"/>
              </w:rPr>
            </w:pPr>
            <w:r>
              <w:rPr>
                <w:rFonts w:hint="eastAsia" w:ascii="方正书宋_GBK" w:eastAsia="方正书宋_GBK"/>
              </w:rPr>
              <w:t>青龙满族自治县青龙镇人民政府</w:t>
            </w:r>
          </w:p>
        </w:tc>
        <w:tc>
          <w:tcPr>
            <w:tcW w:w="687"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77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1424" w:type="dxa"/>
            <w:vAlign w:val="center"/>
          </w:tcPr>
          <w:p>
            <w:pPr>
              <w:spacing w:line="300" w:lineRule="exact"/>
              <w:jc w:val="center"/>
              <w:rPr>
                <w:rFonts w:ascii="方正书宋_GBK" w:eastAsia="方正书宋_GBK"/>
              </w:rPr>
            </w:pPr>
            <w:r>
              <w:rPr>
                <w:rFonts w:hint="eastAsia" w:ascii="方正书宋_GBK" w:eastAsia="方正书宋_GBK"/>
              </w:rPr>
              <w:t>财政拨款</w:t>
            </w:r>
          </w:p>
        </w:tc>
        <w:tc>
          <w:tcPr>
            <w:tcW w:w="430" w:type="dxa"/>
            <w:vAlign w:val="center"/>
          </w:tcPr>
          <w:p>
            <w:pPr>
              <w:spacing w:line="300" w:lineRule="exact"/>
              <w:jc w:val="center"/>
              <w:rPr>
                <w:rFonts w:ascii="方正书宋_GBK" w:eastAsia="方正书宋_GBK"/>
              </w:rPr>
            </w:pPr>
            <w:r>
              <w:rPr>
                <w:rFonts w:ascii="方正书宋_GBK" w:eastAsia="方正书宋_GBK"/>
              </w:rPr>
              <w:t>2</w:t>
            </w:r>
          </w:p>
        </w:tc>
        <w:tc>
          <w:tcPr>
            <w:tcW w:w="430" w:type="dxa"/>
            <w:vAlign w:val="center"/>
          </w:tcPr>
          <w:p>
            <w:pPr>
              <w:spacing w:line="300" w:lineRule="exact"/>
              <w:jc w:val="center"/>
              <w:rPr>
                <w:rFonts w:ascii="方正书宋_GBK" w:eastAsia="方正书宋_GBK"/>
              </w:rPr>
            </w:pPr>
            <w:r>
              <w:rPr>
                <w:rFonts w:hint="eastAsia" w:ascii="方正书宋_GBK" w:eastAsia="方正书宋_GBK"/>
              </w:rPr>
              <w:t>36</w:t>
            </w:r>
          </w:p>
        </w:tc>
        <w:tc>
          <w:tcPr>
            <w:tcW w:w="429" w:type="dxa"/>
            <w:vAlign w:val="center"/>
          </w:tcPr>
          <w:p>
            <w:pPr>
              <w:spacing w:line="300" w:lineRule="exact"/>
              <w:jc w:val="center"/>
              <w:rPr>
                <w:rFonts w:ascii="方正书宋_GBK" w:eastAsia="方正书宋_GBK"/>
              </w:rPr>
            </w:pPr>
          </w:p>
        </w:tc>
        <w:tc>
          <w:tcPr>
            <w:tcW w:w="430" w:type="dxa"/>
            <w:vAlign w:val="center"/>
          </w:tcPr>
          <w:p>
            <w:pPr>
              <w:spacing w:line="300" w:lineRule="exact"/>
              <w:jc w:val="center"/>
              <w:rPr>
                <w:rFonts w:ascii="方正书宋_GBK" w:eastAsia="方正书宋_GBK"/>
              </w:rPr>
            </w:pPr>
            <w:r>
              <w:rPr>
                <w:rFonts w:ascii="方正书宋_GBK" w:eastAsia="方正书宋_GBK"/>
              </w:rPr>
              <w:t>31</w:t>
            </w:r>
          </w:p>
        </w:tc>
        <w:tc>
          <w:tcPr>
            <w:tcW w:w="566" w:type="dxa"/>
            <w:vAlign w:val="center"/>
          </w:tcPr>
          <w:p>
            <w:pPr>
              <w:spacing w:line="300" w:lineRule="exact"/>
              <w:jc w:val="center"/>
              <w:rPr>
                <w:rFonts w:ascii="方正书宋_GBK" w:eastAsia="方正书宋_GBK"/>
              </w:rPr>
            </w:pPr>
          </w:p>
        </w:tc>
        <w:tc>
          <w:tcPr>
            <w:tcW w:w="293" w:type="dxa"/>
            <w:vAlign w:val="center"/>
          </w:tcPr>
          <w:p>
            <w:pPr>
              <w:spacing w:line="300" w:lineRule="exact"/>
              <w:jc w:val="center"/>
              <w:rPr>
                <w:rFonts w:ascii="方正书宋_GBK" w:eastAsia="方正书宋_GBK"/>
              </w:rPr>
            </w:pPr>
            <w:r>
              <w:rPr>
                <w:rFonts w:ascii="方正书宋_GBK" w:eastAsia="方正书宋_GBK"/>
              </w:rPr>
              <w:t>2</w:t>
            </w:r>
          </w:p>
        </w:tc>
        <w:tc>
          <w:tcPr>
            <w:tcW w:w="429" w:type="dxa"/>
            <w:vAlign w:val="center"/>
          </w:tcPr>
          <w:p>
            <w:pPr>
              <w:spacing w:line="300" w:lineRule="exact"/>
              <w:jc w:val="center"/>
              <w:rPr>
                <w:rFonts w:ascii="方正书宋_GBK" w:eastAsia="方正书宋_GBK"/>
              </w:rPr>
            </w:pPr>
            <w:r>
              <w:rPr>
                <w:rFonts w:ascii="方正书宋_GBK" w:eastAsia="方正书宋_GBK"/>
              </w:rPr>
              <w:t>65</w:t>
            </w:r>
          </w:p>
        </w:tc>
        <w:tc>
          <w:tcPr>
            <w:tcW w:w="430" w:type="dxa"/>
            <w:vAlign w:val="center"/>
          </w:tcPr>
          <w:p>
            <w:pPr>
              <w:spacing w:line="300" w:lineRule="exact"/>
              <w:jc w:val="center"/>
              <w:rPr>
                <w:rFonts w:ascii="方正书宋_GBK" w:eastAsia="方正书宋_GBK"/>
              </w:rPr>
            </w:pPr>
            <w:r>
              <w:rPr>
                <w:rFonts w:ascii="方正书宋_GBK" w:eastAsia="方正书宋_GBK"/>
              </w:rPr>
              <w:t>1</w:t>
            </w:r>
          </w:p>
        </w:tc>
        <w:tc>
          <w:tcPr>
            <w:tcW w:w="423"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16" w:type="dxa"/>
            <w:vAlign w:val="center"/>
          </w:tcPr>
          <w:p>
            <w:pPr>
              <w:spacing w:line="300" w:lineRule="exact"/>
              <w:jc w:val="left"/>
              <w:rPr>
                <w:rFonts w:ascii="方正书宋_GBK" w:eastAsia="方正书宋_GBK"/>
              </w:rPr>
            </w:pPr>
            <w:r>
              <w:rPr>
                <w:rFonts w:hint="eastAsia" w:ascii="方正书宋_GBK" w:eastAsia="方正书宋_GBK"/>
              </w:rPr>
              <w:t>青龙镇公共事务服务站</w:t>
            </w:r>
          </w:p>
        </w:tc>
        <w:tc>
          <w:tcPr>
            <w:tcW w:w="687"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773" w:type="dxa"/>
            <w:vAlign w:val="center"/>
          </w:tcPr>
          <w:p>
            <w:pPr>
              <w:spacing w:line="300" w:lineRule="exact"/>
              <w:jc w:val="center"/>
              <w:rPr>
                <w:rFonts w:ascii="方正书宋_GBK" w:eastAsia="方正书宋_GBK"/>
              </w:rPr>
            </w:pPr>
          </w:p>
        </w:tc>
        <w:tc>
          <w:tcPr>
            <w:tcW w:w="1424"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c>
          <w:tcPr>
            <w:tcW w:w="430" w:type="dxa"/>
            <w:vAlign w:val="center"/>
          </w:tcPr>
          <w:p>
            <w:pPr>
              <w:spacing w:line="300" w:lineRule="exact"/>
              <w:jc w:val="center"/>
              <w:rPr>
                <w:rFonts w:ascii="方正书宋_GBK" w:eastAsia="方正书宋_GBK"/>
              </w:rPr>
            </w:pPr>
          </w:p>
        </w:tc>
        <w:tc>
          <w:tcPr>
            <w:tcW w:w="430" w:type="dxa"/>
            <w:vAlign w:val="center"/>
          </w:tcPr>
          <w:p>
            <w:pPr>
              <w:spacing w:line="300" w:lineRule="exact"/>
              <w:jc w:val="center"/>
              <w:rPr>
                <w:rFonts w:ascii="方正书宋_GBK" w:eastAsia="方正书宋_GBK"/>
              </w:rPr>
            </w:pPr>
          </w:p>
        </w:tc>
        <w:tc>
          <w:tcPr>
            <w:tcW w:w="429" w:type="dxa"/>
            <w:vAlign w:val="center"/>
          </w:tcPr>
          <w:p>
            <w:pPr>
              <w:spacing w:line="300" w:lineRule="exact"/>
              <w:jc w:val="center"/>
              <w:rPr>
                <w:rFonts w:ascii="方正书宋_GBK" w:eastAsia="方正书宋_GBK"/>
              </w:rPr>
            </w:pPr>
            <w:r>
              <w:rPr>
                <w:rFonts w:ascii="方正书宋_GBK" w:eastAsia="方正书宋_GBK"/>
              </w:rPr>
              <w:t>45</w:t>
            </w:r>
          </w:p>
        </w:tc>
        <w:tc>
          <w:tcPr>
            <w:tcW w:w="430" w:type="dxa"/>
            <w:vAlign w:val="center"/>
          </w:tcPr>
          <w:p>
            <w:pPr>
              <w:spacing w:line="300" w:lineRule="exact"/>
              <w:jc w:val="center"/>
              <w:rPr>
                <w:rFonts w:ascii="方正书宋_GBK" w:eastAsia="方正书宋_GBK"/>
              </w:rPr>
            </w:pPr>
          </w:p>
        </w:tc>
        <w:tc>
          <w:tcPr>
            <w:tcW w:w="566" w:type="dxa"/>
            <w:vAlign w:val="center"/>
          </w:tcPr>
          <w:p>
            <w:pPr>
              <w:spacing w:line="300" w:lineRule="exact"/>
              <w:jc w:val="center"/>
              <w:rPr>
                <w:rFonts w:ascii="方正书宋_GBK" w:eastAsia="方正书宋_GBK"/>
              </w:rPr>
            </w:pPr>
            <w:r>
              <w:rPr>
                <w:rFonts w:ascii="方正书宋_GBK" w:eastAsia="方正书宋_GBK"/>
              </w:rPr>
              <w:t>21</w:t>
            </w:r>
          </w:p>
        </w:tc>
        <w:tc>
          <w:tcPr>
            <w:tcW w:w="293" w:type="dxa"/>
            <w:vAlign w:val="center"/>
          </w:tcPr>
          <w:p>
            <w:pPr>
              <w:spacing w:line="300" w:lineRule="exact"/>
              <w:jc w:val="center"/>
              <w:rPr>
                <w:rFonts w:ascii="方正书宋_GBK" w:eastAsia="方正书宋_GBK"/>
              </w:rPr>
            </w:pPr>
          </w:p>
        </w:tc>
        <w:tc>
          <w:tcPr>
            <w:tcW w:w="429" w:type="dxa"/>
            <w:vAlign w:val="center"/>
          </w:tcPr>
          <w:p>
            <w:pPr>
              <w:spacing w:line="300" w:lineRule="exact"/>
              <w:jc w:val="center"/>
              <w:rPr>
                <w:rFonts w:ascii="方正书宋_GBK" w:eastAsia="方正书宋_GBK"/>
              </w:rPr>
            </w:pPr>
          </w:p>
        </w:tc>
        <w:tc>
          <w:tcPr>
            <w:tcW w:w="430" w:type="dxa"/>
            <w:vAlign w:val="center"/>
          </w:tcPr>
          <w:p>
            <w:pPr>
              <w:spacing w:line="300" w:lineRule="exact"/>
              <w:jc w:val="center"/>
              <w:rPr>
                <w:rFonts w:ascii="方正书宋_GBK" w:eastAsia="方正书宋_GBK"/>
              </w:rPr>
            </w:pPr>
          </w:p>
        </w:tc>
        <w:tc>
          <w:tcPr>
            <w:tcW w:w="423"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16" w:type="dxa"/>
            <w:vAlign w:val="center"/>
          </w:tcPr>
          <w:p>
            <w:pPr>
              <w:spacing w:line="300" w:lineRule="exact"/>
              <w:jc w:val="left"/>
              <w:rPr>
                <w:rFonts w:ascii="方正书宋_GBK" w:eastAsia="方正书宋_GBK"/>
              </w:rPr>
            </w:pPr>
            <w:r>
              <w:rPr>
                <w:rFonts w:hint="eastAsia" w:ascii="方正书宋_GBK" w:eastAsia="方正书宋_GBK"/>
              </w:rPr>
              <w:t>青龙镇农业综合服务站</w:t>
            </w:r>
          </w:p>
        </w:tc>
        <w:tc>
          <w:tcPr>
            <w:tcW w:w="687"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773" w:type="dxa"/>
            <w:vAlign w:val="center"/>
          </w:tcPr>
          <w:p>
            <w:pPr>
              <w:spacing w:line="300" w:lineRule="exact"/>
              <w:jc w:val="center"/>
              <w:rPr>
                <w:rFonts w:ascii="方正书宋_GBK" w:eastAsia="方正书宋_GBK"/>
              </w:rPr>
            </w:pPr>
          </w:p>
        </w:tc>
        <w:tc>
          <w:tcPr>
            <w:tcW w:w="1424" w:type="dxa"/>
            <w:vAlign w:val="center"/>
          </w:tcPr>
          <w:p>
            <w:pPr>
              <w:spacing w:line="300" w:lineRule="exact"/>
              <w:jc w:val="center"/>
              <w:rPr>
                <w:rFonts w:ascii="方正书宋_GBK" w:eastAsia="方正书宋_GBK"/>
              </w:rPr>
            </w:pPr>
            <w:r>
              <w:rPr>
                <w:rFonts w:hint="eastAsia" w:ascii="方正书宋_GBK" w:eastAsia="方正书宋_GBK"/>
              </w:rPr>
              <w:t>财政拨款</w:t>
            </w:r>
          </w:p>
        </w:tc>
        <w:tc>
          <w:tcPr>
            <w:tcW w:w="430" w:type="dxa"/>
            <w:vAlign w:val="center"/>
          </w:tcPr>
          <w:p>
            <w:pPr>
              <w:spacing w:line="300" w:lineRule="exact"/>
              <w:jc w:val="center"/>
              <w:rPr>
                <w:rFonts w:ascii="方正书宋_GBK" w:eastAsia="方正书宋_GBK"/>
              </w:rPr>
            </w:pPr>
          </w:p>
        </w:tc>
        <w:tc>
          <w:tcPr>
            <w:tcW w:w="430" w:type="dxa"/>
            <w:vAlign w:val="center"/>
          </w:tcPr>
          <w:p>
            <w:pPr>
              <w:spacing w:line="300" w:lineRule="exact"/>
              <w:jc w:val="center"/>
              <w:rPr>
                <w:rFonts w:ascii="方正书宋_GBK" w:eastAsia="方正书宋_GBK"/>
              </w:rPr>
            </w:pPr>
          </w:p>
        </w:tc>
        <w:tc>
          <w:tcPr>
            <w:tcW w:w="429" w:type="dxa"/>
            <w:vAlign w:val="center"/>
          </w:tcPr>
          <w:p>
            <w:pPr>
              <w:spacing w:line="300" w:lineRule="exact"/>
              <w:jc w:val="center"/>
              <w:rPr>
                <w:rFonts w:ascii="方正书宋_GBK" w:eastAsia="方正书宋_GBK"/>
              </w:rPr>
            </w:pPr>
          </w:p>
        </w:tc>
        <w:tc>
          <w:tcPr>
            <w:tcW w:w="430" w:type="dxa"/>
            <w:vAlign w:val="center"/>
          </w:tcPr>
          <w:p>
            <w:pPr>
              <w:spacing w:line="300" w:lineRule="exact"/>
              <w:jc w:val="center"/>
              <w:rPr>
                <w:rFonts w:ascii="方正书宋_GBK" w:eastAsia="方正书宋_GBK"/>
              </w:rPr>
            </w:pPr>
          </w:p>
        </w:tc>
        <w:tc>
          <w:tcPr>
            <w:tcW w:w="566" w:type="dxa"/>
            <w:vAlign w:val="center"/>
          </w:tcPr>
          <w:p>
            <w:pPr>
              <w:spacing w:line="300" w:lineRule="exact"/>
              <w:jc w:val="center"/>
              <w:rPr>
                <w:rFonts w:ascii="方正书宋_GBK" w:eastAsia="方正书宋_GBK"/>
              </w:rPr>
            </w:pPr>
            <w:r>
              <w:rPr>
                <w:rFonts w:ascii="方正书宋_GBK" w:eastAsia="方正书宋_GBK"/>
              </w:rPr>
              <w:t>98</w:t>
            </w:r>
          </w:p>
        </w:tc>
        <w:tc>
          <w:tcPr>
            <w:tcW w:w="293" w:type="dxa"/>
            <w:vAlign w:val="center"/>
          </w:tcPr>
          <w:p>
            <w:pPr>
              <w:spacing w:line="300" w:lineRule="exact"/>
              <w:jc w:val="center"/>
              <w:rPr>
                <w:rFonts w:ascii="方正书宋_GBK" w:eastAsia="方正书宋_GBK"/>
              </w:rPr>
            </w:pPr>
          </w:p>
        </w:tc>
        <w:tc>
          <w:tcPr>
            <w:tcW w:w="429" w:type="dxa"/>
            <w:vAlign w:val="center"/>
          </w:tcPr>
          <w:p>
            <w:pPr>
              <w:spacing w:line="300" w:lineRule="exact"/>
              <w:jc w:val="center"/>
              <w:rPr>
                <w:rFonts w:ascii="方正书宋_GBK" w:eastAsia="方正书宋_GBK"/>
              </w:rPr>
            </w:pPr>
            <w:r>
              <w:rPr>
                <w:rFonts w:ascii="方正书宋_GBK" w:eastAsia="方正书宋_GBK"/>
              </w:rPr>
              <w:t>29</w:t>
            </w:r>
          </w:p>
        </w:tc>
        <w:tc>
          <w:tcPr>
            <w:tcW w:w="430" w:type="dxa"/>
            <w:vAlign w:val="center"/>
          </w:tcPr>
          <w:p>
            <w:pPr>
              <w:spacing w:line="300" w:lineRule="exact"/>
              <w:jc w:val="center"/>
              <w:rPr>
                <w:rFonts w:ascii="方正书宋_GBK" w:eastAsia="方正书宋_GBK"/>
              </w:rPr>
            </w:pPr>
          </w:p>
        </w:tc>
        <w:tc>
          <w:tcPr>
            <w:tcW w:w="423" w:type="dxa"/>
            <w:vAlign w:val="center"/>
          </w:tcPr>
          <w:p>
            <w:pPr>
              <w:spacing w:line="300" w:lineRule="exact"/>
              <w:jc w:val="center"/>
              <w:rPr>
                <w:rFonts w:ascii="方正书宋_GBK" w:eastAsia="方正书宋_GBK"/>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7"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28"/>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本部门2019年度收支总计（含结转和结余）2521.09万元。与2018年度决算相比，收支各增加674.92万元，增加36.55%，主要原因是本年度增加政府性基金预算财政拨款收支和上年结转收支。</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本部门2019年度本年收入合计2280.74万元，其中：财政拨款收入2280.74万元，占100%。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本部门2019年度本年支出合计2,151.94万元，其中：基本支出1,483.92万元，占68.96%；项目支出668.01万元，占31.04%。如图所示：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259080</wp:posOffset>
            </wp:positionH>
            <wp:positionV relativeFrom="paragraph">
              <wp:posOffset>315595</wp:posOffset>
            </wp:positionV>
            <wp:extent cx="3910330" cy="227711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srcRect/>
                    <a:stretch>
                      <a:fillRect/>
                    </a:stretch>
                  </pic:blipFill>
                  <pic:spPr>
                    <a:xfrm>
                      <a:off x="0" y="0"/>
                      <a:ext cx="3910779" cy="2277718"/>
                    </a:xfrm>
                    <a:prstGeom prst="rect">
                      <a:avLst/>
                    </a:prstGeom>
                    <a:noFill/>
                  </pic:spPr>
                </pic:pic>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2280.74万元,比2018年度增加416.57万元，增长22.56%，主要是增加政府性基金预算财政拨款收入；本年支出2151.94万元，增加305.77万元，增长16.56%，主要是增加政府性基金预算财政拨款支出和上年结转收支。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一般公共预算财政拨款收入1832.29万元,比2018年度减少13.89万元，降低0.75%，主要是压减机关运行经费；本年支出1747.15万元，增加145.2万元，增加9.06%，主要是增加上年结转经费支出。</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政府性基金预算财政拨款收入448.45万元，比2018年度增加448.45万元，增加100%，本年支出404.79万元，增加404.79万元，增加100%。</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anchor distT="0" distB="0" distL="114300" distR="114300" simplePos="0" relativeHeight="251674624" behindDoc="0" locked="0" layoutInCell="1" allowOverlap="1">
            <wp:simplePos x="0" y="0"/>
            <wp:positionH relativeFrom="column">
              <wp:posOffset>339090</wp:posOffset>
            </wp:positionH>
            <wp:positionV relativeFrom="paragraph">
              <wp:posOffset>39370</wp:posOffset>
            </wp:positionV>
            <wp:extent cx="4595495" cy="2760345"/>
            <wp:effectExtent l="1905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srcRect/>
                    <a:stretch>
                      <a:fillRect/>
                    </a:stretch>
                  </pic:blipFill>
                  <pic:spPr>
                    <a:xfrm>
                      <a:off x="0" y="0"/>
                      <a:ext cx="4595495" cy="2760345"/>
                    </a:xfrm>
                    <a:prstGeom prst="rect">
                      <a:avLst/>
                    </a:prstGeom>
                    <a:noFill/>
                  </pic:spPr>
                </pic:pic>
              </a:graphicData>
            </a:graphic>
          </wp:anchor>
        </w:drawing>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numPr>
          <w:ilvl w:val="0"/>
          <w:numId w:val="2"/>
        </w:num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本部门2019年度财政拨款本年收入2280.74万元，完成年初预算的124.9%（如图4）,比年初预算增加454.96万元，决算数大于预算数主要原因是</w:t>
      </w:r>
      <w:r>
        <w:rPr>
          <w:rFonts w:hint="eastAsia" w:ascii="仿宋_GB2312" w:eastAsia="仿宋_GB2312" w:cs="DengXian-Regular"/>
          <w:sz w:val="32"/>
          <w:szCs w:val="32"/>
        </w:rPr>
        <w:t>年初预算未列支村级组织运转经费</w:t>
      </w:r>
      <w:r>
        <w:rPr>
          <w:rFonts w:hint="eastAsia" w:ascii="仿宋_GB2312" w:hAnsi="Times New Roman" w:eastAsia="仿宋_GB2312" w:cs="DengXian-Regular"/>
          <w:sz w:val="32"/>
          <w:szCs w:val="32"/>
        </w:rPr>
        <w:t>；本年支出2151.94万元，完成年初预算的117.86%,比年初预算增加326.16万元，决算数大于预算数主要原因</w:t>
      </w:r>
      <w:r>
        <w:rPr>
          <w:rFonts w:hint="eastAsia" w:ascii="仿宋_GB2312" w:eastAsia="仿宋_GB2312" w:cs="DengXian-Regular"/>
          <w:sz w:val="32"/>
          <w:szCs w:val="32"/>
        </w:rPr>
        <w:t>年初预算未列支村级组织运转经费</w:t>
      </w:r>
      <w:r>
        <w:rPr>
          <w:rFonts w:hint="eastAsia" w:ascii="仿宋_GB2312" w:hAnsi="Times New Roman" w:eastAsia="仿宋_GB2312" w:cs="DengXian-Regular"/>
          <w:sz w:val="32"/>
          <w:szCs w:val="32"/>
        </w:rPr>
        <w:t>和上年结转支出。具体情况如下：</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一般公共预算财政拨款本年收入完成年初预算133%，比年初预算增加454.96万元，主要是</w:t>
      </w:r>
      <w:r>
        <w:rPr>
          <w:rFonts w:hint="eastAsia" w:ascii="仿宋_GB2312" w:eastAsia="仿宋_GB2312" w:cs="DengXian-Regular"/>
          <w:sz w:val="32"/>
          <w:szCs w:val="32"/>
        </w:rPr>
        <w:t>年初预算未列支村级组织运转经费</w:t>
      </w:r>
      <w:r>
        <w:rPr>
          <w:rFonts w:hint="eastAsia" w:ascii="仿宋_GB2312" w:hAnsi="Times New Roman" w:eastAsia="仿宋_GB2312" w:cs="DengXian-Regular"/>
          <w:sz w:val="32"/>
          <w:szCs w:val="32"/>
        </w:rPr>
        <w:t>；支出完成年初预算126.85%，比年初预算增加369.82万元，主要是增加</w:t>
      </w:r>
      <w:r>
        <w:rPr>
          <w:rFonts w:hint="eastAsia" w:ascii="仿宋_GB2312" w:eastAsia="仿宋_GB2312" w:cs="DengXian-Regular"/>
          <w:sz w:val="32"/>
          <w:szCs w:val="32"/>
        </w:rPr>
        <w:t>村级组织运转经费</w:t>
      </w:r>
      <w:r>
        <w:rPr>
          <w:rFonts w:hint="eastAsia" w:ascii="仿宋_GB2312" w:hAnsi="Times New Roman" w:eastAsia="仿宋_GB2312" w:cs="DengXian-Regular"/>
          <w:sz w:val="32"/>
          <w:szCs w:val="32"/>
        </w:rPr>
        <w:t>和上年结转支出。</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政府性基金预算财政拨款本年收入完成年初预算100%，与年初预算持平；支出完成年初预算90.26%，比年初预算减少43.66万元，主要是部分补偿款未支付。</w:t>
      </w: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年度财政拨款支出2151.94万元，主要用于以下方面一般公共服务（类）支出432.64万元，占20.1%，；社会保障和就业（类）支出 263.76万元，占12.26%；卫生健康（类）支出83.43万元，占3.88%；节能环保支出16.03万元，占0.74%；城乡社区支出404.79万元，占18.81%；农林水支出900.95万元，占41.87%；住房保障（类）支出47.35万元，占 2.2%。灾害防治及应急管理支出3万元，占0.14%。</w:t>
      </w: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3600" behindDoc="0" locked="0" layoutInCell="1" allowOverlap="1">
            <wp:simplePos x="0" y="0"/>
            <wp:positionH relativeFrom="column">
              <wp:posOffset>424815</wp:posOffset>
            </wp:positionH>
            <wp:positionV relativeFrom="paragraph">
              <wp:posOffset>245110</wp:posOffset>
            </wp:positionV>
            <wp:extent cx="4595495" cy="2768600"/>
            <wp:effectExtent l="1905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1" cstate="print"/>
                    <a:srcRect/>
                    <a:stretch>
                      <a:fillRect/>
                    </a:stretch>
                  </pic:blipFill>
                  <pic:spPr>
                    <a:xfrm>
                      <a:off x="0" y="0"/>
                      <a:ext cx="4595495" cy="2768600"/>
                    </a:xfrm>
                    <a:prstGeom prst="rect">
                      <a:avLst/>
                    </a:prstGeom>
                    <a:noFill/>
                  </pic:spPr>
                </pic:pic>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年度财政拨款基本支出1483.92万元，其中：人员经费 1333.99万元，主要包括基本工资531.11万元、津贴补贴102.27万元、绩效工资200.24万元、机关事业单位基本养老保险缴费157.81万元、职业年金缴费36.67万元、职工基本医疗保险缴费70.23万元、住房公积金47.35万元、其他社会保障缴费10.47万元、其他工资福利支出0.5万元、离休费16.79万元、退休费30.51万元、抚恤金2.4万元、生活补助127.64万元；公用经费 149.93万元，主要包括办公费97.85万元、印刷费4.79万元、水费0.35万元、电费4.69万元、邮电费3.63万元、取暖费7.95万元、差旅费6.4万元、维修（护）费2.96万元、公务接待费5万元、劳务费1.78万元、公务用车运行维护费2万元、其他交通费用8.61万元、其他商品和服务支出3.91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本部门2019年度“三公”经费支出共计7万元，完成预算的63.64%,较预算减少4万元，降低36.36%，主要是</w:t>
      </w:r>
      <w:r>
        <w:rPr>
          <w:rFonts w:hint="eastAsia" w:ascii="仿宋_GB2312" w:eastAsia="仿宋_GB2312" w:cs="DengXian-Regular"/>
          <w:sz w:val="32"/>
          <w:szCs w:val="32"/>
        </w:rPr>
        <w:t>认真贯彻落实中央</w:t>
      </w:r>
      <w:r>
        <w:rPr>
          <w:rFonts w:hint="eastAsia" w:ascii="仿宋_GB2312" w:eastAsia="仿宋_GB2312" w:cs="DengXian-Regular"/>
          <w:sz w:val="32"/>
          <w:szCs w:val="32"/>
          <w:lang w:eastAsia="zh-CN"/>
        </w:rPr>
        <w:t>八项规定</w:t>
      </w:r>
      <w:r>
        <w:rPr>
          <w:rFonts w:hint="eastAsia" w:ascii="仿宋_GB2312" w:eastAsia="仿宋_GB2312" w:cs="DengXian-Regular"/>
          <w:sz w:val="32"/>
          <w:szCs w:val="32"/>
        </w:rPr>
        <w:t>精神和厉行节约要求，从严控制“三公”经费开支，全年实际支出比预算有所节约</w:t>
      </w:r>
      <w:r>
        <w:rPr>
          <w:rFonts w:hint="eastAsia" w:ascii="仿宋_GB2312" w:hAnsi="Times New Roman" w:eastAsia="仿宋_GB2312" w:cs="DengXian-Regular"/>
          <w:sz w:val="32"/>
          <w:szCs w:val="32"/>
        </w:rPr>
        <w:t>；较2018年度减少2.46万元，降低21.46%，主要公务接待费用减少5.5万元。具体情况如下：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（二）公务用车购置及运行维护费支出2万元。</w:t>
      </w:r>
      <w:r>
        <w:rPr>
          <w:rFonts w:hint="eastAsia" w:ascii="仿宋_GB2312" w:hAnsi="Times New Roman" w:eastAsia="仿宋_GB2312" w:cs="DengXian-Regular"/>
          <w:sz w:val="32"/>
          <w:szCs w:val="32"/>
        </w:rPr>
        <w:t>本部门2019年度公务用车购置及运行维护费与年初预算持平,较上年增加1.04万元，增加108.3%,主要是因扶贫、维稳等工作用车次数增加，公务用车运行维护费用相应增加。</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本部门2019年度单位公务用车保有量1辆。公车运行维护费支出与年初预算持平;较上年增加1.04万元，增加108.3%,主要是因扶贫、维稳等工作用车次数增加，公务用车运行维护费用相应增加。。</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（三）公务接待费支出5万元。</w:t>
      </w:r>
      <w:r>
        <w:rPr>
          <w:rFonts w:hint="eastAsia" w:ascii="仿宋_GB2312" w:hAnsi="Times New Roman" w:eastAsia="仿宋_GB2312" w:cs="DengXian-Regular"/>
          <w:sz w:val="32"/>
          <w:szCs w:val="32"/>
        </w:rPr>
        <w:t>本部门2019年度公务接待共120批次、1121人次。公务接待费支出较预算减少2万元，减少22.22%,主要是本单位厉行节约，压缩公务接待费；较上年度减少5.5万元，减少52.38%,主要是</w:t>
      </w:r>
      <w:r>
        <w:rPr>
          <w:rFonts w:hint="eastAsia" w:ascii="仿宋_GB2312" w:eastAsia="仿宋_GB2312" w:cs="DengXian-Regular"/>
          <w:sz w:val="32"/>
          <w:szCs w:val="32"/>
        </w:rPr>
        <w:t>认真贯彻落实中央</w:t>
      </w:r>
      <w:r>
        <w:rPr>
          <w:rFonts w:hint="eastAsia" w:ascii="仿宋_GB2312" w:eastAsia="仿宋_GB2312" w:cs="DengXian-Regular"/>
          <w:sz w:val="32"/>
          <w:szCs w:val="32"/>
          <w:lang w:eastAsia="zh-CN"/>
        </w:rPr>
        <w:t>八项规定</w:t>
      </w:r>
      <w:r>
        <w:rPr>
          <w:rFonts w:hint="eastAsia" w:ascii="仿宋_GB2312" w:eastAsia="仿宋_GB2312" w:cs="DengXian-Regular"/>
          <w:sz w:val="32"/>
          <w:szCs w:val="32"/>
        </w:rPr>
        <w:t>精神和厉行节约要求，从严控制公务接待费开支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项目17个，资金263.23万元，占一般公共预算项目支出总额的146.92%。组织对2019年度前庄水场迁建项目建设资金、西城区征迁历史遗留问题补偿款等2个政府性基金预算项目支出开展绩效自评，共涉及资金</w:t>
      </w:r>
      <w:r>
        <w:rPr>
          <w:rFonts w:hint="eastAsia" w:ascii="仿宋_GB2312" w:hAnsi="Times New Roman" w:eastAsia="仿宋_GB2312" w:cs="DengXian-Regular"/>
          <w:sz w:val="32"/>
          <w:szCs w:val="32"/>
        </w:rPr>
        <w:t>404.79</w:t>
      </w:r>
      <w:r>
        <w:rPr>
          <w:rFonts w:hint="eastAsia" w:ascii="仿宋_GB2312" w:hAnsi="仿宋_GB2312" w:eastAsia="仿宋_GB2312" w:cs="仿宋_GB2312"/>
          <w:sz w:val="32"/>
          <w:szCs w:val="32"/>
        </w:rPr>
        <w:t>万元，占政府性基金预算项目支出总额的90.26%。</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扶贫工作经费、纪委谈话室建设资金、党建工作经费、纪委保障机制经费、人大代表之家工作经费、团委工作经费、严重精神障碍患者监护人责任险、综治工作经费、安全生产监管工作经费、村级组织运转经费-村干部工资、村级组织运转经费-服务群众专项经费、村级组织运转经费-村级组织办公经费、环境治理工作经费、防火防汛工作经费、关于下达2019年市县第三批新增政府债券资金的通知-大石门村农村面貌改造提升资金、关于下达2019年市县第三批新增政府债券资金的通知-逃军山村农村面貌改造提升资金、关于下达2019年市县第三批新增政府债券资金的通知-蛇盘兔村农村面貌改造提升资金、前庄水场迁建项目建设资金、西城区征迁历史遗留问题补偿款等19个项目绩效自评结果。</w:t>
      </w:r>
    </w:p>
    <w:p>
      <w:pPr>
        <w:numPr>
          <w:ilvl w:val="0"/>
          <w:numId w:val="5"/>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方正仿宋_GBK"/>
          <w:sz w:val="32"/>
          <w:szCs w:val="32"/>
        </w:rPr>
        <w:t>扶贫工作经费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扶贫工作经费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分（绩效自评表附后）。全年预算数为6万元，执行数为6万元，完成预算的100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包村领导、干部入户一对一帮扶，通过生活帮助、政策帮扶、产业帮扶，实现脱贫；二是对十三五贫困村扶贫资金足额拨付到位，保证扶贫产业落实到位并充分发挥作用；三是建档立卡贫困户全部实现脱贫，圆满完成脱贫攻坚工作。发现的主要问题及原因：一是</w:t>
      </w:r>
      <w:r>
        <w:rPr>
          <w:rFonts w:hint="eastAsia" w:ascii="仿宋_GB2312" w:eastAsia="仿宋_GB2312"/>
          <w:sz w:val="32"/>
          <w:szCs w:val="32"/>
        </w:rPr>
        <w:t>预算编制工作有待细化</w:t>
      </w:r>
      <w:r>
        <w:rPr>
          <w:rFonts w:hint="eastAsia" w:ascii="仿宋_GB2312" w:hAnsi="仿宋_GB2312" w:eastAsia="仿宋_GB2312" w:cs="仿宋_GB2312"/>
          <w:sz w:val="32"/>
          <w:szCs w:val="32"/>
        </w:rPr>
        <w:t>；二是</w:t>
      </w:r>
      <w:r>
        <w:rPr>
          <w:rFonts w:hint="eastAsia" w:ascii="仿宋_GB2312" w:eastAsia="仿宋_GB2312"/>
          <w:sz w:val="32"/>
          <w:szCs w:val="32"/>
        </w:rPr>
        <w:t>绩效目标设立不够明确和量化；三：预算编制的合理性及资金使用效益需提高；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0" w:type="dxa"/>
        <w:tblInd w:w="0" w:type="dxa"/>
        <w:tblLayout w:type="fixed"/>
        <w:tblCellMar>
          <w:top w:w="15" w:type="dxa"/>
          <w:left w:w="15" w:type="dxa"/>
          <w:bottom w:w="15" w:type="dxa"/>
          <w:right w:w="15" w:type="dxa"/>
        </w:tblCellMar>
      </w:tblPr>
      <w:tblGrid>
        <w:gridCol w:w="928"/>
        <w:gridCol w:w="986"/>
        <w:gridCol w:w="1046"/>
        <w:gridCol w:w="1211"/>
        <w:gridCol w:w="1226"/>
        <w:gridCol w:w="1049"/>
        <w:gridCol w:w="1246"/>
        <w:gridCol w:w="1288"/>
      </w:tblGrid>
      <w:tr>
        <w:tblPrEx>
          <w:tblCellMar>
            <w:top w:w="15" w:type="dxa"/>
            <w:left w:w="15" w:type="dxa"/>
            <w:bottom w:w="15" w:type="dxa"/>
            <w:right w:w="15" w:type="dxa"/>
          </w:tblCellMar>
        </w:tblPrEx>
        <w:trPr>
          <w:trHeight w:val="510" w:hRule="atLeast"/>
        </w:trPr>
        <w:tc>
          <w:tcPr>
            <w:tcW w:w="8980"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0"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92" w:type="dxa"/>
            <w:gridSpan w:val="7"/>
            <w:shd w:val="clear" w:color="auto" w:fill="auto"/>
            <w:vAlign w:val="center"/>
          </w:tcPr>
          <w:p>
            <w:pP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88"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15"/>
                <w:rFonts w:hint="default"/>
              </w:rPr>
              <w:t>一、</w:t>
            </w:r>
            <w:r>
              <w:rPr>
                <w:rStyle w:val="16"/>
                <w:rFonts w:eastAsia="宋体"/>
              </w:rPr>
              <w:t xml:space="preserve"> </w:t>
            </w:r>
            <w:r>
              <w:rPr>
                <w:rStyle w:val="15"/>
                <w:rFonts w:hint="default"/>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扶贫工作经费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eastAsia="宋体" w:cs="Calibri"/>
                <w:color w:val="000000"/>
                <w:szCs w:val="21"/>
              </w:rPr>
            </w:pPr>
            <w:r>
              <w:rPr>
                <w:rFonts w:ascii="Calibri" w:hAnsi="Calibri" w:eastAsia="宋体" w:cs="Calibri"/>
                <w:color w:val="000000"/>
                <w:kern w:val="0"/>
                <w:szCs w:val="21"/>
              </w:rPr>
              <w:t>6</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包村领导、干部入户一对一帮扶，通过生活帮助、政策帮扶、产业帮扶，实现脱贫；对十三五贫困村扶贫资金足额拨付到位，保证扶贫产业落实到位并充分发挥作用；建档立卡贫困户全部实现脱贫，圆满完成脱贫攻坚工作。</w:t>
            </w:r>
          </w:p>
        </w:tc>
        <w:tc>
          <w:tcPr>
            <w:tcW w:w="3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37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52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8"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Style w:val="15"/>
                <w:rFonts w:hint="default"/>
              </w:rPr>
              <w:t>四、</w:t>
            </w:r>
            <w:r>
              <w:rPr>
                <w:rStyle w:val="16"/>
                <w:rFonts w:eastAsia="宋体"/>
              </w:rPr>
              <w:t xml:space="preserve"> </w:t>
            </w:r>
            <w:r>
              <w:rPr>
                <w:rStyle w:val="15"/>
                <w:rFonts w:hint="default"/>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285" w:hRule="atLeast"/>
        </w:trPr>
        <w:tc>
          <w:tcPr>
            <w:tcW w:w="9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贫困村脱贫出列数(个)</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25</w:t>
            </w:r>
          </w:p>
        </w:tc>
      </w:tr>
      <w:tr>
        <w:tblPrEx>
          <w:tblCellMar>
            <w:top w:w="15" w:type="dxa"/>
            <w:left w:w="15" w:type="dxa"/>
            <w:bottom w:w="15" w:type="dxa"/>
            <w:right w:w="15" w:type="dxa"/>
          </w:tblCellMar>
        </w:tblPrEx>
        <w:trPr>
          <w:trHeight w:val="285" w:hRule="atLeast"/>
        </w:trPr>
        <w:tc>
          <w:tcPr>
            <w:tcW w:w="9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实施扶贫项目数量(个)</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25</w:t>
            </w:r>
          </w:p>
        </w:tc>
      </w:tr>
      <w:tr>
        <w:tblPrEx>
          <w:tblCellMar>
            <w:top w:w="15" w:type="dxa"/>
            <w:left w:w="15" w:type="dxa"/>
            <w:bottom w:w="15" w:type="dxa"/>
            <w:right w:w="15" w:type="dxa"/>
          </w:tblCellMar>
        </w:tblPrEx>
        <w:trPr>
          <w:trHeight w:val="285" w:hRule="atLeast"/>
        </w:trPr>
        <w:tc>
          <w:tcPr>
            <w:tcW w:w="9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生态效益指标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改善贫困户生活环境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Cs w:val="21"/>
              </w:rPr>
              <w:t>≥</w:t>
            </w:r>
            <w:r>
              <w:rPr>
                <w:rStyle w:val="18"/>
                <w:rFonts w:eastAsia="宋体"/>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Cs w:val="21"/>
              </w:rPr>
              <w:t>≥</w:t>
            </w:r>
            <w:r>
              <w:rPr>
                <w:rStyle w:val="18"/>
                <w:rFonts w:eastAsia="宋体"/>
              </w:rPr>
              <w:t>95%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30</w:t>
            </w:r>
          </w:p>
        </w:tc>
      </w:tr>
      <w:tr>
        <w:tblPrEx>
          <w:tblCellMar>
            <w:top w:w="15" w:type="dxa"/>
            <w:left w:w="15" w:type="dxa"/>
            <w:bottom w:w="15" w:type="dxa"/>
            <w:right w:w="15" w:type="dxa"/>
          </w:tblCellMar>
        </w:tblPrEx>
        <w:trPr>
          <w:trHeight w:val="420" w:hRule="atLeast"/>
        </w:trPr>
        <w:tc>
          <w:tcPr>
            <w:tcW w:w="9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被帮扶贫困村（人员）满意度（%）</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r>
              <w:rPr>
                <w:rStyle w:val="18"/>
                <w:rFonts w:eastAsia="宋体"/>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r>
              <w:rPr>
                <w:rStyle w:val="18"/>
                <w:rFonts w:eastAsia="宋体"/>
              </w:rPr>
              <w:t>95%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w:t>
            </w:r>
          </w:p>
        </w:tc>
      </w:tr>
      <w:tr>
        <w:tblPrEx>
          <w:tblCellMar>
            <w:top w:w="15" w:type="dxa"/>
            <w:left w:w="15" w:type="dxa"/>
            <w:bottom w:w="15" w:type="dxa"/>
            <w:right w:w="15" w:type="dxa"/>
          </w:tblCellMar>
        </w:tblPrEx>
        <w:trPr>
          <w:trHeight w:val="495" w:hRule="atLeast"/>
        </w:trPr>
        <w:tc>
          <w:tcPr>
            <w:tcW w:w="9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w:t>
            </w:r>
          </w:p>
        </w:tc>
      </w:tr>
      <w:tr>
        <w:tblPrEx>
          <w:tblCellMar>
            <w:top w:w="15" w:type="dxa"/>
            <w:left w:w="15" w:type="dxa"/>
            <w:bottom w:w="15" w:type="dxa"/>
            <w:right w:w="15" w:type="dxa"/>
          </w:tblCellMar>
        </w:tblPrEx>
        <w:trPr>
          <w:trHeight w:val="285" w:hRule="atLeast"/>
        </w:trPr>
        <w:tc>
          <w:tcPr>
            <w:tcW w:w="928"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w:t>
            </w:r>
          </w:p>
        </w:tc>
      </w:tr>
      <w:tr>
        <w:tblPrEx>
          <w:tblCellMar>
            <w:top w:w="15" w:type="dxa"/>
            <w:left w:w="15" w:type="dxa"/>
            <w:bottom w:w="15" w:type="dxa"/>
            <w:right w:w="15" w:type="dxa"/>
          </w:tblCellMar>
        </w:tblPrEx>
        <w:trPr>
          <w:trHeight w:val="915" w:hRule="atLeast"/>
        </w:trPr>
        <w:tc>
          <w:tcPr>
            <w:tcW w:w="928"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Style w:val="16"/>
                <w:rFonts w:eastAsia="宋体"/>
              </w:rPr>
              <w:t xml:space="preserve"> </w:t>
            </w:r>
            <w:r>
              <w:rPr>
                <w:rStyle w:val="15"/>
                <w:rFonts w:hint="default"/>
              </w:rPr>
              <w:t>存在问题、原因及下一步整改措施</w:t>
            </w:r>
          </w:p>
        </w:tc>
        <w:tc>
          <w:tcPr>
            <w:tcW w:w="80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（2）纪委谈话室建设资金</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纪委谈话室建设资金</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分（绩效自评表附后）。全年预算数为4万元，执行数为4万元，完成预算的100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监督党委责任主体，发挥监督主体作用；二是微腐败工作取得较大成效，辖区内政治清明，纪律严明，风清气正。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2" w:type="dxa"/>
        <w:tblInd w:w="0" w:type="dxa"/>
        <w:tblLayout w:type="fixed"/>
        <w:tblCellMar>
          <w:top w:w="15" w:type="dxa"/>
          <w:left w:w="15" w:type="dxa"/>
          <w:bottom w:w="15" w:type="dxa"/>
          <w:right w:w="15" w:type="dxa"/>
        </w:tblCellMar>
      </w:tblPr>
      <w:tblGrid>
        <w:gridCol w:w="922"/>
        <w:gridCol w:w="986"/>
        <w:gridCol w:w="1046"/>
        <w:gridCol w:w="1215"/>
        <w:gridCol w:w="1225"/>
        <w:gridCol w:w="1046"/>
        <w:gridCol w:w="1246"/>
        <w:gridCol w:w="1296"/>
      </w:tblGrid>
      <w:tr>
        <w:tblPrEx>
          <w:tblCellMar>
            <w:top w:w="15" w:type="dxa"/>
            <w:left w:w="15" w:type="dxa"/>
            <w:bottom w:w="15" w:type="dxa"/>
            <w:right w:w="15" w:type="dxa"/>
          </w:tblCellMar>
        </w:tblPrEx>
        <w:trPr>
          <w:trHeight w:val="510" w:hRule="atLeast"/>
        </w:trPr>
        <w:tc>
          <w:tcPr>
            <w:tcW w:w="8982"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2"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6"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6"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19"/>
                <w:rFonts w:hint="default"/>
              </w:rPr>
              <w:t>一、</w:t>
            </w:r>
            <w:r>
              <w:rPr>
                <w:rStyle w:val="20"/>
                <w:rFonts w:eastAsia="宋体"/>
              </w:rPr>
              <w:t xml:space="preserve"> </w:t>
            </w:r>
            <w:r>
              <w:rPr>
                <w:rStyle w:val="19"/>
                <w:rFonts w:hint="default"/>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纪委谈话室建设资金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eastAsia="宋体" w:cs="Calibri"/>
                <w:color w:val="000000"/>
                <w:szCs w:val="21"/>
              </w:rPr>
            </w:pPr>
            <w:r>
              <w:rPr>
                <w:rFonts w:ascii="Calibri" w:hAnsi="Calibri" w:eastAsia="宋体" w:cs="Calibri"/>
                <w:color w:val="000000"/>
                <w:kern w:val="0"/>
                <w:szCs w:val="21"/>
              </w:rPr>
              <w:t>4</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监督党委责任主体，发挥监督主体作用；微腐败工作取得较大成效，辖区内政治清明，纪律严明，风清气正。</w:t>
            </w: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31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1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Style w:val="19"/>
                <w:rFonts w:hint="default"/>
              </w:rPr>
              <w:t>四、</w:t>
            </w:r>
            <w:r>
              <w:rPr>
                <w:rStyle w:val="20"/>
                <w:rFonts w:eastAsia="宋体"/>
              </w:rPr>
              <w:t xml:space="preserve"> </w:t>
            </w:r>
            <w:r>
              <w:rPr>
                <w:rStyle w:val="19"/>
                <w:rFonts w:hint="default"/>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87"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工程量完成率（%）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62"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40" w:type="dxa"/>
            <w:gridSpan w:val="2"/>
            <w:tcBorders>
              <w:top w:val="single" w:color="000000" w:sz="4" w:space="0"/>
            </w:tcBorders>
            <w:shd w:val="clear" w:color="auto" w:fill="auto"/>
            <w:vAlign w:val="center"/>
          </w:tcPr>
          <w:p>
            <w:pP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配套设施完成率（%）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仿宋_GB2312" w:hAnsi="仿宋_GB2312" w:eastAsia="仿宋_GB2312" w:cs="仿宋_GB2312"/>
                <w:sz w:val="16"/>
                <w:szCs w:val="16"/>
              </w:rPr>
              <w:t>综合事务保障率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 w:val="16"/>
                <w:szCs w:val="16"/>
              </w:rPr>
              <w:t>≥90</w:t>
            </w:r>
            <w:r>
              <w:rPr>
                <w:rStyle w:val="20"/>
                <w:rFonts w:eastAsia="宋体"/>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 w:val="16"/>
                <w:szCs w:val="16"/>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30</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受益群体满意度（%）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r>
              <w:rPr>
                <w:rStyle w:val="20"/>
                <w:rFonts w:eastAsia="宋体"/>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w:t>
            </w:r>
          </w:p>
        </w:tc>
      </w:tr>
      <w:tr>
        <w:tblPrEx>
          <w:tblCellMar>
            <w:top w:w="15" w:type="dxa"/>
            <w:left w:w="15" w:type="dxa"/>
            <w:bottom w:w="15" w:type="dxa"/>
            <w:right w:w="15" w:type="dxa"/>
          </w:tblCellMar>
        </w:tblPrEx>
        <w:trPr>
          <w:trHeight w:val="49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w:t>
            </w:r>
          </w:p>
        </w:tc>
      </w:tr>
      <w:tr>
        <w:tblPrEx>
          <w:tblCellMar>
            <w:top w:w="15" w:type="dxa"/>
            <w:left w:w="15" w:type="dxa"/>
            <w:bottom w:w="15" w:type="dxa"/>
            <w:right w:w="15" w:type="dxa"/>
          </w:tblCellMar>
        </w:tblPrEx>
        <w:trPr>
          <w:trHeight w:val="915" w:hRule="atLeast"/>
        </w:trPr>
        <w:tc>
          <w:tcPr>
            <w:tcW w:w="92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Style w:val="20"/>
                <w:rFonts w:eastAsia="宋体"/>
              </w:rPr>
              <w:t xml:space="preserve"> </w:t>
            </w:r>
            <w:r>
              <w:rPr>
                <w:rStyle w:val="19"/>
                <w:rFonts w:hint="default"/>
              </w:rPr>
              <w:t>存在问题、原因及下一步整改措施</w:t>
            </w:r>
          </w:p>
        </w:tc>
        <w:tc>
          <w:tcPr>
            <w:tcW w:w="80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Times New Roman" w:hAnsi="Times New Roman" w:eastAsia="方正仿宋_GBK"/>
          <w:sz w:val="32"/>
          <w:szCs w:val="32"/>
        </w:rPr>
        <w:t>党建工作经费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党建工作经费</w:t>
      </w:r>
      <w:r>
        <w:rPr>
          <w:rFonts w:hint="eastAsia" w:ascii="仿宋_GB2312" w:hAnsi="仿宋_GB2312" w:eastAsia="仿宋_GB2312" w:cs="仿宋_GB2312"/>
          <w:sz w:val="32"/>
          <w:szCs w:val="32"/>
        </w:rPr>
        <w:t>项目绩效自评得分为100分（绩效自评表附后）。全年预算数为1万元，执行数为1万元，完成预算的100%。项目绩效目标完成情况：监督党委责任主体，发挥监督主体作用；微腐败工作取得较大成效，辖区内政治清明，纪律严明，风清气正。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3"/>
        <w:gridCol w:w="986"/>
        <w:gridCol w:w="1047"/>
        <w:gridCol w:w="1212"/>
        <w:gridCol w:w="1226"/>
        <w:gridCol w:w="1046"/>
        <w:gridCol w:w="1246"/>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6"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22"/>
                <w:rFonts w:hint="default"/>
              </w:rPr>
              <w:t>一、</w:t>
            </w:r>
            <w:r>
              <w:rPr>
                <w:rFonts w:ascii="Calibri" w:hAnsi="Calibri" w:eastAsia="宋体" w:cs="Calibri"/>
                <w:color w:val="000000"/>
                <w:kern w:val="0"/>
                <w:sz w:val="16"/>
                <w:szCs w:val="16"/>
              </w:rPr>
              <w:t xml:space="preserve"> </w:t>
            </w:r>
            <w:r>
              <w:rPr>
                <w:rStyle w:val="22"/>
                <w:rFonts w:hint="default"/>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党建工作经费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监督党委责任主体，发挥监督主体作用；微腐败工作取得较大成效，辖区内政治清明，纪律严明，风清气正。</w:t>
            </w:r>
          </w:p>
        </w:tc>
        <w:tc>
          <w:tcPr>
            <w:tcW w:w="35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31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1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Style w:val="22"/>
                <w:rFonts w:hint="default"/>
              </w:rPr>
              <w:t>四、</w:t>
            </w:r>
            <w:r>
              <w:rPr>
                <w:rFonts w:ascii="Calibri" w:hAnsi="Calibri" w:eastAsia="宋体" w:cs="Calibri"/>
                <w:color w:val="000000"/>
                <w:kern w:val="0"/>
                <w:sz w:val="16"/>
                <w:szCs w:val="16"/>
              </w:rPr>
              <w:t xml:space="preserve"> </w:t>
            </w:r>
            <w:r>
              <w:rPr>
                <w:rStyle w:val="22"/>
                <w:rFonts w:hint="default"/>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p>
            <w:pPr>
              <w:widowControl/>
              <w:jc w:val="center"/>
              <w:textAlignment w:val="center"/>
              <w:rPr>
                <w:rFonts w:ascii="宋体" w:hAnsi="宋体" w:eastAsia="宋体" w:cs="宋体"/>
                <w:color w:val="000000"/>
                <w:kern w:val="0"/>
                <w:sz w:val="16"/>
                <w:szCs w:val="16"/>
              </w:rPr>
            </w:pPr>
          </w:p>
          <w:p>
            <w:pPr>
              <w:widowControl/>
              <w:jc w:val="center"/>
              <w:textAlignment w:val="center"/>
              <w:rPr>
                <w:rFonts w:ascii="宋体" w:hAnsi="宋体" w:eastAsia="宋体" w:cs="宋体"/>
                <w:color w:val="000000"/>
                <w:kern w:val="0"/>
                <w:sz w:val="16"/>
                <w:szCs w:val="16"/>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农村党组织换届工作完成率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r>
      <w:tr>
        <w:tblPrEx>
          <w:tblCellMar>
            <w:top w:w="15" w:type="dxa"/>
            <w:left w:w="15" w:type="dxa"/>
            <w:bottom w:w="15" w:type="dxa"/>
            <w:right w:w="15" w:type="dxa"/>
          </w:tblCellMar>
        </w:tblPrEx>
        <w:trPr>
          <w:trHeight w:val="40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非公经济组织和社会组织党的组织和工作覆盖率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8"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征订完成率</w:t>
            </w:r>
          </w:p>
        </w:tc>
        <w:tc>
          <w:tcPr>
            <w:tcW w:w="104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仿宋_GB2312" w:hAnsi="仿宋_GB2312" w:eastAsia="仿宋_GB2312" w:cs="仿宋_GB2312"/>
                <w:sz w:val="16"/>
                <w:szCs w:val="16"/>
              </w:rPr>
              <w:t>机关公务员选拔、考核、培训完成率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受益群体满意度（%）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r>
              <w:rPr>
                <w:rStyle w:val="20"/>
                <w:rFonts w:hint="eastAsia" w:ascii="宋体" w:hAnsi="宋体" w:eastAsia="宋体" w:cs="宋体"/>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100</w:t>
            </w:r>
          </w:p>
        </w:tc>
      </w:tr>
      <w:tr>
        <w:tblPrEx>
          <w:tblCellMar>
            <w:top w:w="15" w:type="dxa"/>
            <w:left w:w="15" w:type="dxa"/>
            <w:bottom w:w="15" w:type="dxa"/>
            <w:right w:w="15" w:type="dxa"/>
          </w:tblCellMar>
        </w:tblPrEx>
        <w:trPr>
          <w:trHeight w:val="915" w:hRule="atLeast"/>
        </w:trPr>
        <w:tc>
          <w:tcPr>
            <w:tcW w:w="92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Style w:val="22"/>
                <w:rFonts w:hint="default"/>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00" w:lineRule="exact"/>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（4）</w:t>
      </w:r>
      <w:r>
        <w:rPr>
          <w:rFonts w:hint="eastAsia" w:ascii="Times New Roman" w:hAnsi="Times New Roman" w:eastAsia="方正仿宋_GBK"/>
          <w:sz w:val="32"/>
          <w:szCs w:val="32"/>
        </w:rPr>
        <w:t>纪委保障机制经费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纪委保障机制经费</w:t>
      </w:r>
      <w:r>
        <w:rPr>
          <w:rFonts w:hint="eastAsia" w:ascii="仿宋_GB2312" w:hAnsi="仿宋_GB2312" w:eastAsia="仿宋_GB2312" w:cs="仿宋_GB2312"/>
          <w:sz w:val="32"/>
          <w:szCs w:val="32"/>
        </w:rPr>
        <w:t>项目绩效自评得分为100分（绩效自评表附后）。全年预算数为1.8万元，执行数为1.8万元，完成预算的100%。项目绩效目标完成情况：按要求完成案件办结比率，巡视巡查完成计划，接访处理及时，信访或举报人满意。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0" w:type="dxa"/>
        <w:tblInd w:w="0" w:type="dxa"/>
        <w:tblLayout w:type="fixed"/>
        <w:tblCellMar>
          <w:top w:w="15" w:type="dxa"/>
          <w:left w:w="15" w:type="dxa"/>
          <w:bottom w:w="15" w:type="dxa"/>
          <w:right w:w="15" w:type="dxa"/>
        </w:tblCellMar>
      </w:tblPr>
      <w:tblGrid>
        <w:gridCol w:w="922"/>
        <w:gridCol w:w="986"/>
        <w:gridCol w:w="1049"/>
        <w:gridCol w:w="1211"/>
        <w:gridCol w:w="1225"/>
        <w:gridCol w:w="1046"/>
        <w:gridCol w:w="1246"/>
        <w:gridCol w:w="1295"/>
      </w:tblGrid>
      <w:tr>
        <w:tblPrEx>
          <w:tblCellMar>
            <w:top w:w="15" w:type="dxa"/>
            <w:left w:w="15" w:type="dxa"/>
            <w:bottom w:w="15" w:type="dxa"/>
            <w:right w:w="15" w:type="dxa"/>
          </w:tblCellMar>
        </w:tblPrEx>
        <w:trPr>
          <w:trHeight w:val="510" w:hRule="atLeast"/>
        </w:trPr>
        <w:tc>
          <w:tcPr>
            <w:tcW w:w="8980"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0"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5"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纪委保障机制经费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6"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按要求完成案件办结比率，巡视巡查完成计划，接访处理及时，信访或举报人满意</w:t>
            </w:r>
          </w:p>
        </w:tc>
        <w:tc>
          <w:tcPr>
            <w:tcW w:w="3517"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312" w:hRule="atLeast"/>
        </w:trPr>
        <w:tc>
          <w:tcPr>
            <w:tcW w:w="92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6"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7"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案件办结率（%）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办理案件数（个）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≥5个</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社会效益指标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_GB2312" w:hAnsi="仿宋_GB2312" w:eastAsia="仿宋_GB2312" w:cs="仿宋_GB2312"/>
                <w:color w:val="000000"/>
                <w:sz w:val="16"/>
                <w:szCs w:val="16"/>
              </w:rPr>
            </w:pPr>
            <w:r>
              <w:rPr>
                <w:rFonts w:hint="eastAsia" w:ascii="仿宋_GB2312" w:hAnsi="仿宋_GB2312" w:eastAsia="仿宋_GB2312" w:cs="仿宋_GB2312"/>
                <w:sz w:val="16"/>
                <w:szCs w:val="16"/>
              </w:rPr>
              <w:t>综合事务保障率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 w:val="16"/>
                <w:szCs w:val="16"/>
              </w:rPr>
              <w:t>95</w:t>
            </w:r>
            <w:r>
              <w:rPr>
                <w:rFonts w:ascii="Calibri" w:hAnsi="Calibri" w:eastAsia="宋体" w:cs="Calibri"/>
                <w:color w:val="000000"/>
                <w:kern w:val="0"/>
                <w:sz w:val="16"/>
                <w:szCs w:val="16"/>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30</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信访或举报人满意度（%）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10</w:t>
            </w:r>
          </w:p>
        </w:tc>
      </w:tr>
      <w:tr>
        <w:tblPrEx>
          <w:tblCellMar>
            <w:top w:w="15" w:type="dxa"/>
            <w:left w:w="15" w:type="dxa"/>
            <w:bottom w:w="15" w:type="dxa"/>
            <w:right w:w="15" w:type="dxa"/>
          </w:tblCellMar>
        </w:tblPrEx>
        <w:trPr>
          <w:trHeight w:val="49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numPr>
          <w:ilvl w:val="0"/>
          <w:numId w:val="6"/>
        </w:numPr>
        <w:adjustRightInd w:val="0"/>
        <w:snapToGrid w:val="0"/>
        <w:spacing w:line="580" w:lineRule="exact"/>
        <w:ind w:firstLine="640" w:firstLineChars="200"/>
        <w:rPr>
          <w:rFonts w:ascii="仿宋_GB2312" w:eastAsia="仿宋_GB2312"/>
          <w:sz w:val="32"/>
          <w:szCs w:val="32"/>
        </w:rPr>
      </w:pPr>
      <w:r>
        <w:rPr>
          <w:rFonts w:hint="eastAsia" w:ascii="Times New Roman" w:hAnsi="Times New Roman" w:eastAsia="方正仿宋_GBK"/>
          <w:sz w:val="32"/>
          <w:szCs w:val="32"/>
        </w:rPr>
        <w:t>人大代表之家工作经费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人大代表之家工作经费</w:t>
      </w:r>
      <w:r>
        <w:rPr>
          <w:rFonts w:hint="eastAsia" w:ascii="仿宋_GB2312" w:hAnsi="仿宋_GB2312" w:eastAsia="仿宋_GB2312" w:cs="仿宋_GB2312"/>
          <w:sz w:val="32"/>
          <w:szCs w:val="32"/>
        </w:rPr>
        <w:t>项目绩效自评得分为100分（绩效自评表附后）。全年预算数为1万元，执行数为1万元，完成预算的100%。项目绩效目标完成情况：学习宣传培训，开展代表活动，密切联系群众，定期开展人大代表接访、走访、约访、回访等工作，接受群众监督，提出议案建议。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w:t>
      </w:r>
    </w:p>
    <w:tbl>
      <w:tblPr>
        <w:tblStyle w:val="7"/>
        <w:tblW w:w="8981" w:type="dxa"/>
        <w:tblInd w:w="0" w:type="dxa"/>
        <w:tblLayout w:type="fixed"/>
        <w:tblCellMar>
          <w:top w:w="15" w:type="dxa"/>
          <w:left w:w="15" w:type="dxa"/>
          <w:bottom w:w="15" w:type="dxa"/>
          <w:right w:w="15" w:type="dxa"/>
        </w:tblCellMar>
      </w:tblPr>
      <w:tblGrid>
        <w:gridCol w:w="923"/>
        <w:gridCol w:w="986"/>
        <w:gridCol w:w="1047"/>
        <w:gridCol w:w="1212"/>
        <w:gridCol w:w="1226"/>
        <w:gridCol w:w="1046"/>
        <w:gridCol w:w="1246"/>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6"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人大代表之家工作经费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学习宣传培训，开展代表活动，密切联系群众，定期开展人大代表接访、走访、约访、回访等工作，接受群众监督，提出议案建议。</w:t>
            </w:r>
          </w:p>
        </w:tc>
        <w:tc>
          <w:tcPr>
            <w:tcW w:w="351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31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活动完成率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代表参加活动或培训覆盖率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仿宋_GB2312" w:hAnsi="仿宋_GB2312" w:eastAsia="仿宋_GB2312" w:cs="仿宋_GB2312"/>
                <w:sz w:val="16"/>
                <w:szCs w:val="16"/>
              </w:rPr>
              <w:t>意见建议采纳率（%）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群众满意度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eastAsia="仿宋_GB2312"/>
          <w:sz w:val="32"/>
          <w:szCs w:val="32"/>
        </w:rPr>
        <w:t>（6）</w:t>
      </w:r>
      <w:r>
        <w:rPr>
          <w:rFonts w:hint="eastAsia" w:ascii="Times New Roman" w:hAnsi="Times New Roman" w:eastAsia="方正仿宋_GBK"/>
          <w:sz w:val="32"/>
          <w:szCs w:val="32"/>
        </w:rPr>
        <w:t>团委工作经费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团委工作经费</w:t>
      </w:r>
      <w:r>
        <w:rPr>
          <w:rFonts w:hint="eastAsia" w:ascii="仿宋_GB2312" w:hAnsi="仿宋_GB2312" w:eastAsia="仿宋_GB2312" w:cs="仿宋_GB2312"/>
          <w:sz w:val="32"/>
          <w:szCs w:val="32"/>
        </w:rPr>
        <w:t>项目绩效自评得分为100分（绩效自评表附后）。全年预算数为2万元，执行数为2万元，完成预算的100%。项目绩效目标完成情况：一是加强青年社团组织以及青少年活动阵地的指导和管理;二是构建团的网络新媒体工作阵地，运用新媒体全方位推进团的工作；三是利用重要节点节日、各类阵地、各种形式进行思想引导，培养青年骨干，打造适应青少年特点的文化产品。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3"/>
        <w:gridCol w:w="986"/>
        <w:gridCol w:w="1047"/>
        <w:gridCol w:w="1212"/>
        <w:gridCol w:w="1226"/>
        <w:gridCol w:w="1046"/>
        <w:gridCol w:w="1246"/>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6"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团委工作经费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加强青年社团组织以及青少年活动阵地的指导和管理。构建团的网络新媒体工作阵地，运用新媒体全方位推进团的工作；利用重要节点节日、各类阵地、各种形式进行思想引导，培养青年骨干，打造适应青少年特点的文化产品。</w:t>
            </w:r>
          </w:p>
        </w:tc>
        <w:tc>
          <w:tcPr>
            <w:tcW w:w="351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88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举办学习贯彻习近平总书记系列重要讲话精神青年读书班期数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12期及以上</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30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38"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团组织发展情况</w:t>
            </w:r>
          </w:p>
        </w:tc>
        <w:tc>
          <w:tcPr>
            <w:tcW w:w="104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县青联委员、学联代表参加活动或培训覆盖率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参加团委活动人员满意度（%）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eastAsia="仿宋_GB2312"/>
          <w:sz w:val="32"/>
          <w:szCs w:val="32"/>
        </w:rPr>
        <w:t xml:space="preserve">   （7）</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严重精神障碍患者监护人责任险项目自评综述：根据年初设定的绩效目标，严重精神障碍患者监护人责任险项目绩效自评得分为100分（绩效自评表附后）。全年预算数为2.25万元，执行数为2.25万元，完成预算的100%。项目绩效目标完成情况：做好严重精神障碍患者管控工作，为严重精神障碍患者监护人办理相关保险业，预防一旦发生严重精神障碍患者伤及人身、损坏财物事件发生。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bl>
      <w:tblPr>
        <w:tblStyle w:val="7"/>
        <w:tblW w:w="8981" w:type="dxa"/>
        <w:tblInd w:w="0" w:type="dxa"/>
        <w:tblLayout w:type="fixed"/>
        <w:tblCellMar>
          <w:top w:w="15" w:type="dxa"/>
          <w:left w:w="15" w:type="dxa"/>
          <w:bottom w:w="15" w:type="dxa"/>
          <w:right w:w="15" w:type="dxa"/>
        </w:tblCellMar>
      </w:tblPr>
      <w:tblGrid>
        <w:gridCol w:w="920"/>
        <w:gridCol w:w="984"/>
        <w:gridCol w:w="1049"/>
        <w:gridCol w:w="1208"/>
        <w:gridCol w:w="1222"/>
        <w:gridCol w:w="1058"/>
        <w:gridCol w:w="1245"/>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41"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45" w:type="dxa"/>
            <w:shd w:val="clear" w:color="auto" w:fill="auto"/>
            <w:vAlign w:val="center"/>
          </w:tcPr>
          <w:p>
            <w:pPr>
              <w:jc w:val="center"/>
              <w:rPr>
                <w:rFonts w:ascii="宋体" w:hAnsi="宋体" w:eastAsia="宋体" w:cs="宋体"/>
                <w:color w:val="000000"/>
                <w:sz w:val="16"/>
                <w:szCs w:val="16"/>
              </w:rPr>
            </w:pP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严重精神障碍患者监护人责任险</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2.25</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1"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做好严重精神障碍患者管控工作，为严重精神障碍患者监护人办理相关保险业，预防一旦发生严重精神障碍患者伤及人身、损坏财物事件发生。</w:t>
            </w:r>
          </w:p>
        </w:tc>
        <w:tc>
          <w:tcPr>
            <w:tcW w:w="352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435" w:hRule="atLeast"/>
        </w:trPr>
        <w:tc>
          <w:tcPr>
            <w:tcW w:w="92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1"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25"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0"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参保率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责任险报销及时率（%）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提高监护人保障水平</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sz w:val="16"/>
                <w:szCs w:val="16"/>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30</w:t>
            </w:r>
          </w:p>
        </w:tc>
      </w:tr>
      <w:tr>
        <w:tblPrEx>
          <w:tblCellMar>
            <w:top w:w="15" w:type="dxa"/>
            <w:left w:w="15" w:type="dxa"/>
            <w:bottom w:w="15" w:type="dxa"/>
            <w:right w:w="15" w:type="dxa"/>
          </w:tblCellMar>
        </w:tblPrEx>
        <w:trPr>
          <w:trHeight w:val="420" w:hRule="atLeast"/>
        </w:trPr>
        <w:tc>
          <w:tcPr>
            <w:tcW w:w="9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被保险人满意度（%）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0"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numPr>
          <w:ilvl w:val="0"/>
          <w:numId w:val="7"/>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方正仿宋_GBK"/>
          <w:sz w:val="32"/>
          <w:szCs w:val="32"/>
        </w:rPr>
        <w:t>综治工作经费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综治工作经费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分（绩效自评表附后）。全年预算数为13.95万元，执行数为13.95万元，完成预算的100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通过贯彻执行国家的法律法规和政策，加大依法行政的力度，维护农业农村工作的稳定；二是加强法制宣传教育、提高公民的法律意识和素质，教育农民知法、懂法和守法；三是协助司法机关打击各类刑事犯罪活动。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1"/>
        <w:gridCol w:w="985"/>
        <w:gridCol w:w="1054"/>
        <w:gridCol w:w="1209"/>
        <w:gridCol w:w="1227"/>
        <w:gridCol w:w="1045"/>
        <w:gridCol w:w="1245"/>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41"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45" w:type="dxa"/>
            <w:shd w:val="clear" w:color="auto" w:fill="auto"/>
            <w:vAlign w:val="center"/>
          </w:tcPr>
          <w:p>
            <w:pPr>
              <w:jc w:val="center"/>
              <w:rPr>
                <w:rFonts w:ascii="宋体" w:hAnsi="宋体" w:eastAsia="宋体" w:cs="宋体"/>
                <w:color w:val="000000"/>
                <w:sz w:val="16"/>
                <w:szCs w:val="16"/>
              </w:rPr>
            </w:pP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1"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综治工作经费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13.95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13.95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13.95</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13.95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13.95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13.95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通过贯彻执行国家的法律法规和政策，加大依法行政的力度，维护农业农村工作的稳定；加强法制宣传教育、提高公民的法律意识和素质，教育农民知法、懂法和守法；协助司法机关打击各类刑事犯罪活动。</w:t>
            </w:r>
          </w:p>
        </w:tc>
        <w:tc>
          <w:tcPr>
            <w:tcW w:w="3517"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735" w:hRule="atLeast"/>
        </w:trPr>
        <w:tc>
          <w:tcPr>
            <w:tcW w:w="9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8"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7"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1"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纠纷调解比率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0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机制落实计划按期完成率（%）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9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时效指标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接访处理及时性</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社会稳定程度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97%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30</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服务对象满意度（%）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Times New Roman" w:hAnsi="Times New Roman" w:eastAsia="方正仿宋_GBK"/>
          <w:sz w:val="32"/>
          <w:szCs w:val="32"/>
        </w:rPr>
        <w:t>安全生产监管工作经费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安全生产监管工作经费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分（绩效自评表附后）。全年预算数为3万元，执行数为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。项目绩效目标完成情况：一是承担</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综合监督管理责任，依法行使综合监督管理职权；二是依法开展执法检查工作，对发现的安全生产违法行为依法进行行政处罚，遏制重特大事故发生，确保</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形势稳定。发现的主要问题及原因：一是预算编制工作有待细化；二是绩效目标设立不够明确和量化；三：预算编制的</w:t>
      </w:r>
      <w:r>
        <w:rPr>
          <w:rFonts w:hint="eastAsia" w:ascii="仿宋_GB2312" w:eastAsia="仿宋_GB2312"/>
          <w:sz w:val="32"/>
          <w:szCs w:val="32"/>
        </w:rPr>
        <w:t>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3"/>
        <w:gridCol w:w="986"/>
        <w:gridCol w:w="1047"/>
        <w:gridCol w:w="1212"/>
        <w:gridCol w:w="1226"/>
        <w:gridCol w:w="1046"/>
        <w:gridCol w:w="1246"/>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40"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46" w:type="dxa"/>
            <w:shd w:val="clear" w:color="auto" w:fill="auto"/>
            <w:vAlign w:val="center"/>
          </w:tcPr>
          <w:p>
            <w:pPr>
              <w:jc w:val="center"/>
              <w:rPr>
                <w:rFonts w:ascii="宋体" w:hAnsi="宋体" w:eastAsia="宋体" w:cs="宋体"/>
                <w:color w:val="000000"/>
                <w:sz w:val="16"/>
                <w:szCs w:val="16"/>
              </w:rPr>
            </w:pP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安全生产监管工作经费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承担</w:t>
            </w:r>
            <w:r>
              <w:rPr>
                <w:rFonts w:hint="eastAsia" w:ascii="宋体" w:hAnsi="宋体" w:eastAsia="宋体" w:cs="宋体"/>
                <w:color w:val="000000"/>
                <w:kern w:val="0"/>
                <w:sz w:val="16"/>
                <w:szCs w:val="16"/>
                <w:lang w:eastAsia="zh-CN"/>
              </w:rPr>
              <w:t>安全生产</w:t>
            </w:r>
            <w:r>
              <w:rPr>
                <w:rFonts w:hint="eastAsia" w:ascii="宋体" w:hAnsi="宋体" w:eastAsia="宋体" w:cs="宋体"/>
                <w:color w:val="000000"/>
                <w:kern w:val="0"/>
                <w:sz w:val="16"/>
                <w:szCs w:val="16"/>
              </w:rPr>
              <w:t>综合监督管理责任，依法行使综合监督管理职权；依法开展执法检查工作，对发现的安全生产违法行为依法进行行政处罚，遏制重特大事故发生，确保</w:t>
            </w:r>
            <w:r>
              <w:rPr>
                <w:rFonts w:hint="eastAsia" w:ascii="宋体" w:hAnsi="宋体" w:eastAsia="宋体" w:cs="宋体"/>
                <w:color w:val="000000"/>
                <w:kern w:val="0"/>
                <w:sz w:val="16"/>
                <w:szCs w:val="16"/>
                <w:lang w:eastAsia="zh-CN"/>
              </w:rPr>
              <w:t>安全生产</w:t>
            </w:r>
            <w:r>
              <w:rPr>
                <w:rFonts w:hint="eastAsia" w:ascii="宋体" w:hAnsi="宋体" w:eastAsia="宋体" w:cs="宋体"/>
                <w:color w:val="000000"/>
                <w:kern w:val="0"/>
                <w:sz w:val="16"/>
                <w:szCs w:val="16"/>
              </w:rPr>
              <w:t>形势稳定。</w:t>
            </w:r>
          </w:p>
        </w:tc>
        <w:tc>
          <w:tcPr>
            <w:tcW w:w="351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73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质量指标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安全生产隐患排查率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数量指标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执法检查的次数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≥120次</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180次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减少安全隐患</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 w:val="16"/>
                <w:szCs w:val="16"/>
              </w:rPr>
              <w:t>≥1年</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 w:val="16"/>
                <w:szCs w:val="16"/>
              </w:rPr>
              <w:t>1年</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全镇人民群众及企业调查满意率</w:t>
            </w:r>
            <w:r>
              <w:rPr>
                <w:rStyle w:val="24"/>
                <w:rFonts w:hint="eastAsia" w:ascii="宋体" w:hAnsi="宋体" w:eastAsia="宋体" w:cs="宋体"/>
                <w:sz w:val="16"/>
                <w:szCs w:val="16"/>
              </w:rPr>
              <w:t>(</w:t>
            </w:r>
            <w:r>
              <w:rPr>
                <w:rFonts w:hint="eastAsia" w:ascii="宋体" w:hAnsi="宋体" w:eastAsia="宋体" w:cs="宋体"/>
                <w:color w:val="000000"/>
                <w:kern w:val="0"/>
                <w:sz w:val="16"/>
                <w:szCs w:val="16"/>
              </w:rPr>
              <w:t>％</w:t>
            </w:r>
            <w:r>
              <w:rPr>
                <w:rStyle w:val="24"/>
                <w:rFonts w:hint="eastAsia" w:ascii="宋体" w:hAnsi="宋体" w:eastAsia="宋体" w:cs="宋体"/>
                <w:sz w:val="16"/>
                <w:szCs w:val="16"/>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10</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Times New Roman" w:hAnsi="Times New Roman" w:eastAsia="方正仿宋_GBK"/>
          <w:sz w:val="32"/>
          <w:szCs w:val="32"/>
        </w:rPr>
        <w:t>村级组织运转经费-村干部工资</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村级组织运转经费-村干部工资</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分（绩效自评表附后）。全年预算数为234万元，执行数为191.51万元，完成预算的81.84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村级积极认真落实镇政府各项工作安排和部署，保证党的政策落实到位。提高村干部工作积极性，推进科学民主决策、确保村级工作正常运转，壮大村级经济实力。严格按照法律法规规定开展村财管工作。发现的主要问题及原因：一是预算编制工作有待细化；二是绩效目标设立不够明确和量化；三是预算编制的合理性及资金使用效</w:t>
      </w:r>
      <w:r>
        <w:rPr>
          <w:rFonts w:hint="eastAsia" w:ascii="仿宋_GB2312" w:eastAsia="仿宋_GB2312"/>
          <w:sz w:val="32"/>
          <w:szCs w:val="32"/>
        </w:rPr>
        <w:t>益需提高；四是财政资金不足，导致年度内部分项目预算不能及时支付。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2"/>
        <w:gridCol w:w="985"/>
        <w:gridCol w:w="1048"/>
        <w:gridCol w:w="1210"/>
        <w:gridCol w:w="1231"/>
        <w:gridCol w:w="1053"/>
        <w:gridCol w:w="1240"/>
        <w:gridCol w:w="1292"/>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49"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40" w:type="dxa"/>
            <w:shd w:val="clear" w:color="auto" w:fill="auto"/>
            <w:vAlign w:val="center"/>
          </w:tcPr>
          <w:p>
            <w:pPr>
              <w:jc w:val="center"/>
              <w:rPr>
                <w:rFonts w:ascii="宋体" w:hAnsi="宋体" w:eastAsia="宋体" w:cs="宋体"/>
                <w:color w:val="000000"/>
                <w:sz w:val="16"/>
                <w:szCs w:val="16"/>
              </w:rPr>
            </w:pPr>
          </w:p>
        </w:tc>
        <w:tc>
          <w:tcPr>
            <w:tcW w:w="1292"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村级组织运转经费—村干部基础职务补贴</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191.96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191.51</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81.84%</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191.96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191.51</w:t>
            </w: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3"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村级积极认真落实镇政府各项工作安排和部署，保证党的政策落实到位。提高村干部工作积极性，推进科学民主决策、确保村级工作正常运转，壮大村级经济实力。严格按照法律法规规定开展村财管工作</w:t>
            </w:r>
          </w:p>
        </w:tc>
        <w:tc>
          <w:tcPr>
            <w:tcW w:w="3524"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705" w:hRule="atLeast"/>
        </w:trPr>
        <w:tc>
          <w:tcPr>
            <w:tcW w:w="92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3"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24"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2"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8"/>
                <w:szCs w:val="18"/>
              </w:rPr>
              <w:t>支付基础职务补贴村数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28个村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28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r>
      <w:tr>
        <w:tblPrEx>
          <w:tblCellMar>
            <w:top w:w="15" w:type="dxa"/>
            <w:left w:w="15" w:type="dxa"/>
            <w:bottom w:w="15" w:type="dxa"/>
            <w:right w:w="15" w:type="dxa"/>
          </w:tblCellMar>
        </w:tblPrEx>
        <w:trPr>
          <w:trHeight w:val="40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8"/>
                <w:szCs w:val="18"/>
              </w:rPr>
              <w:t>年终镇政府对村级工作考核</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96%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经济效益指标</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村干部满意度</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10</w:t>
            </w:r>
          </w:p>
        </w:tc>
      </w:tr>
      <w:tr>
        <w:tblPrEx>
          <w:tblCellMar>
            <w:top w:w="15" w:type="dxa"/>
            <w:left w:w="15" w:type="dxa"/>
            <w:bottom w:w="15" w:type="dxa"/>
            <w:right w:w="15" w:type="dxa"/>
          </w:tblCellMar>
        </w:tblPrEx>
        <w:trPr>
          <w:trHeight w:val="49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81.84%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81.84%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四是财政资金不足，导致年度内部分项目预算不能及时支付下一步改进措施：一是细化预算编制工作，认真做好预算绩效目标的编制；二是加强单位财务管理，健全单位财务管理制度体系</w:t>
            </w:r>
          </w:p>
        </w:tc>
      </w:tr>
    </w:tbl>
    <w:p>
      <w:pPr>
        <w:adjustRightInd w:val="0"/>
        <w:snapToGrid w:val="0"/>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w:t>
      </w:r>
      <w:r>
        <w:rPr>
          <w:rFonts w:hint="eastAsia" w:ascii="Times New Roman" w:hAnsi="Times New Roman" w:eastAsia="方正仿宋_GBK"/>
          <w:sz w:val="32"/>
          <w:szCs w:val="32"/>
        </w:rPr>
        <w:t>村级组织运转经费-服务群众专项经费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村级组织运转经费-服务群众专项经费</w:t>
      </w:r>
      <w:r>
        <w:rPr>
          <w:rFonts w:hint="eastAsia" w:ascii="仿宋_GB2312" w:hAnsi="仿宋_GB2312" w:eastAsia="仿宋_GB2312" w:cs="仿宋_GB2312"/>
          <w:sz w:val="32"/>
          <w:szCs w:val="32"/>
        </w:rPr>
        <w:t>项目绩效自评得分为55分（绩效自评表附后）。全年预算数为56万元，执行数为0万元，完成预算的0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村级积极认真落实镇政府各项工作安排和部署，保证党的政策落实到位。提高村干部工作积极性，推进科学民主决策、确保村级工作正常运转，壮大村级经济实力。严格按照法律法规规定开展村财管工作。发现的主要问题及原因：一是预算编制工作有待细化；二是绩效目标设立不够明确和量化；三是预算编制的合理性及资金使用效</w:t>
      </w:r>
      <w:r>
        <w:rPr>
          <w:rFonts w:hint="eastAsia" w:ascii="仿宋_GB2312" w:eastAsia="仿宋_GB2312"/>
          <w:sz w:val="32"/>
          <w:szCs w:val="32"/>
        </w:rPr>
        <w:t>益需提高；四是财政资金不足，导致年度内部分项目预算不能及时支付。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6"/>
        <w:gridCol w:w="989"/>
        <w:gridCol w:w="1051"/>
        <w:gridCol w:w="1216"/>
        <w:gridCol w:w="1230"/>
        <w:gridCol w:w="1045"/>
        <w:gridCol w:w="1233"/>
        <w:gridCol w:w="1291"/>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90"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1"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6"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村级组织运转经费—服务群众专项经费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村级积极认真落实镇政府各项工作安排和部署，保证党的政策落实到位。提高村干部工作积极性，推进科学民主决策、确保村级工作正常运转，壮大村级经济实力。严格按照法律法规规定开展村财管工作</w:t>
            </w:r>
          </w:p>
        </w:tc>
        <w:tc>
          <w:tcPr>
            <w:tcW w:w="350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705"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0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质量指标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村级组织工作完成率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1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数量指标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村级数量</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28个村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hint="eastAsia" w:ascii="Calibri" w:hAnsi="Calibri" w:eastAsia="宋体" w:cs="Calibri"/>
                <w:color w:val="000000"/>
                <w:sz w:val="16"/>
                <w:szCs w:val="16"/>
              </w:rPr>
              <w:t>28个村</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经济效益指标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8"/>
                <w:szCs w:val="18"/>
              </w:rPr>
              <w:t>村干部满意度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85%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5</w:t>
            </w:r>
          </w:p>
        </w:tc>
      </w:tr>
      <w:tr>
        <w:tblPrEx>
          <w:tblCellMar>
            <w:top w:w="15" w:type="dxa"/>
            <w:left w:w="15" w:type="dxa"/>
            <w:bottom w:w="15" w:type="dxa"/>
            <w:right w:w="15" w:type="dxa"/>
          </w:tblCellMar>
        </w:tblPrEx>
        <w:trPr>
          <w:trHeight w:val="49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r>
      <w:tr>
        <w:tblPrEx>
          <w:tblCellMar>
            <w:top w:w="15" w:type="dxa"/>
            <w:left w:w="15" w:type="dxa"/>
            <w:bottom w:w="15" w:type="dxa"/>
            <w:right w:w="15" w:type="dxa"/>
          </w:tblCellMar>
        </w:tblPrEx>
        <w:trPr>
          <w:trHeight w:val="915" w:hRule="atLeast"/>
        </w:trPr>
        <w:tc>
          <w:tcPr>
            <w:tcW w:w="926"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四是财政资金不足，导致年度内部分项目预算不能及时支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w:t>
      </w:r>
      <w:r>
        <w:rPr>
          <w:rFonts w:hint="eastAsia" w:ascii="Times New Roman" w:hAnsi="Times New Roman" w:eastAsia="方正仿宋_GBK"/>
          <w:sz w:val="32"/>
          <w:szCs w:val="32"/>
        </w:rPr>
        <w:t>村级组织运转经费-村级组织办公经费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村级组织运转经费-村级组织办公经费</w:t>
      </w:r>
      <w:r>
        <w:rPr>
          <w:rFonts w:hint="eastAsia" w:ascii="仿宋_GB2312" w:hAnsi="仿宋_GB2312" w:eastAsia="仿宋_GB2312" w:cs="仿宋_GB2312"/>
          <w:sz w:val="32"/>
          <w:szCs w:val="32"/>
        </w:rPr>
        <w:t>项目绩效自评得分为50分（绩效自评表附后）。全年预算数为18万元，执行数为0万元，完成预算的0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村级积极认真落实镇政府各项工作安排和部署，保证党的政策落实到位。提高村干部工作积极性，推进科学民主决策、确保村级工作正常运转，壮大村级经济实力。严格按照法律法规规定开展村财管工作。发现的主要问题及原因：一是预算编制工作有待细化；二是绩效目标设立不够明确和量化；三是预算编制的合理性及资金使用效</w:t>
      </w:r>
      <w:r>
        <w:rPr>
          <w:rFonts w:hint="eastAsia" w:ascii="仿宋_GB2312" w:eastAsia="仿宋_GB2312"/>
          <w:sz w:val="32"/>
          <w:szCs w:val="32"/>
        </w:rPr>
        <w:t>益需提高；四是财政资金不足，导致年度内部分项目预算不能及时支付。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6"/>
        <w:gridCol w:w="989"/>
        <w:gridCol w:w="1051"/>
        <w:gridCol w:w="1216"/>
        <w:gridCol w:w="1230"/>
        <w:gridCol w:w="1045"/>
        <w:gridCol w:w="1233"/>
        <w:gridCol w:w="1291"/>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90"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1"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6"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村级组织运转经费—村级组织办公经费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村级积极认真落实镇政府各项工作安排和部署，保证党的政策落实到位。提高村干部工作积极性，推进科学民主决策、确保村级工作正常运转，壮大村级经济实力。严格按照法律法规规定开展村财管工作</w:t>
            </w:r>
          </w:p>
        </w:tc>
        <w:tc>
          <w:tcPr>
            <w:tcW w:w="350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705"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0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拨付办公费涉及村级组织数量</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28个村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28个村</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0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村级组织有效运转率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hint="eastAsia" w:ascii="Calibri" w:hAnsi="Calibri" w:eastAsia="宋体" w:cs="Calibri"/>
                <w:color w:val="000000"/>
                <w:kern w:val="0"/>
                <w:sz w:val="16"/>
                <w:szCs w:val="16"/>
              </w:rPr>
              <w:t>100</w:t>
            </w:r>
            <w:r>
              <w:rPr>
                <w:rFonts w:ascii="Calibri" w:hAnsi="Calibri" w:eastAsia="宋体" w:cs="Calibri"/>
                <w:color w:val="000000"/>
                <w:kern w:val="0"/>
                <w:sz w:val="16"/>
                <w:szCs w:val="16"/>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经济效益指标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村干部满意度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49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r>
      <w:tr>
        <w:tblPrEx>
          <w:tblCellMar>
            <w:top w:w="15" w:type="dxa"/>
            <w:left w:w="15" w:type="dxa"/>
            <w:bottom w:w="15" w:type="dxa"/>
            <w:right w:w="15" w:type="dxa"/>
          </w:tblCellMar>
        </w:tblPrEx>
        <w:trPr>
          <w:trHeight w:val="915" w:hRule="atLeast"/>
        </w:trPr>
        <w:tc>
          <w:tcPr>
            <w:tcW w:w="926"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四是财政资金不足，导致年度内部分项目预算不能及时支付下一步改进措施：一是细化预算编制工作，认真做好预算绩效目标的编制；二是加强单位财务管理，健全单位财务管理制度体系</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方正仿宋_GBK"/>
          <w:sz w:val="32"/>
          <w:szCs w:val="32"/>
        </w:rPr>
        <w:t>（13）防火防汛工作经费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防火防汛工作经费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分（绩效自评表附后）。全年预算数为4万元，执行数为4万元，完成预算的100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组织护林防火、生态公益林管护及野生动植物、森林、湿地资源及农业环境的保护；二是组织协调水资源管理、监测、保护、节约和防汛抗旱技术服务工作，维护农村饮水安全，组织协调农业水利基本建设和水土保持。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w:t>
      </w:r>
    </w:p>
    <w:tbl>
      <w:tblPr>
        <w:tblStyle w:val="7"/>
        <w:tblW w:w="8981" w:type="dxa"/>
        <w:tblInd w:w="0" w:type="dxa"/>
        <w:tblLayout w:type="fixed"/>
        <w:tblCellMar>
          <w:top w:w="15" w:type="dxa"/>
          <w:left w:w="15" w:type="dxa"/>
          <w:bottom w:w="15" w:type="dxa"/>
          <w:right w:w="15" w:type="dxa"/>
        </w:tblCellMar>
      </w:tblPr>
      <w:tblGrid>
        <w:gridCol w:w="923"/>
        <w:gridCol w:w="986"/>
        <w:gridCol w:w="1047"/>
        <w:gridCol w:w="1212"/>
        <w:gridCol w:w="1226"/>
        <w:gridCol w:w="1046"/>
        <w:gridCol w:w="1246"/>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6"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防火防汛工作经费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组织护林防火、生态公益林管护及野生动植物、森林、湿地资源及农业环境的保护；组织协调水资源管理、监测、保护、节约和防汛抗旱技术服务工作，维护农村饮水安全，组织协调农业水利基本建设和水土保持。</w:t>
            </w:r>
          </w:p>
        </w:tc>
        <w:tc>
          <w:tcPr>
            <w:tcW w:w="351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70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日常巡查次数(次)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0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日常巡查覆盖率(％)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森林火灾受害率(％)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&lt;0.1‰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 w:val="16"/>
                <w:szCs w:val="16"/>
              </w:rPr>
              <w:t>18</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可持续影响指标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生态环境得到保护</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1年</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1年</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30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公众满意度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（14）</w:t>
      </w:r>
      <w:r>
        <w:rPr>
          <w:rFonts w:hint="eastAsia" w:ascii="Times New Roman" w:hAnsi="Times New Roman" w:eastAsia="方正仿宋_GBK"/>
          <w:sz w:val="32"/>
          <w:szCs w:val="32"/>
        </w:rPr>
        <w:t>环境治理工作经费</w:t>
      </w:r>
      <w:r>
        <w:rPr>
          <w:rFonts w:hint="eastAsia" w:ascii="仿宋_GB2312" w:hAnsi="仿宋_GB2312" w:eastAsia="仿宋_GB2312" w:cs="仿宋_GB2312"/>
          <w:sz w:val="32"/>
          <w:szCs w:val="32"/>
        </w:rPr>
        <w:t>项目自评综述：根据年初设定的绩效目标，</w:t>
      </w:r>
      <w:r>
        <w:rPr>
          <w:rFonts w:hint="eastAsia" w:ascii="Times New Roman" w:hAnsi="Times New Roman" w:eastAsia="方正仿宋_GBK"/>
          <w:sz w:val="32"/>
          <w:szCs w:val="32"/>
        </w:rPr>
        <w:t>环境治理工作经费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分（绩效自评表附后）。全年预算数为5万元，执行数为5万元，完成预算的100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加强河道清理，达到河道通畅，河岸无杂物垃圾，底清面净；二是组织开展清洁家园为主题的环境整治活动，大力营造舒适宜居的生产生活生态环境，积极治理三废污染，净化绿化美化自然环境；三是严打散乱污，高控大气污染。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3"/>
        <w:gridCol w:w="986"/>
        <w:gridCol w:w="1047"/>
        <w:gridCol w:w="1212"/>
        <w:gridCol w:w="1226"/>
        <w:gridCol w:w="1046"/>
        <w:gridCol w:w="1246"/>
        <w:gridCol w:w="1295"/>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6"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5"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环境治理工作经费</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30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加强河道清理，达到河道通畅，河岸无杂物垃圾，底清面净；组织开展清洁家园为主题的环境整治活动，大力营造舒适宜居的生产生活生态环境，积极治理三废污染，净化绿化美化自然环境；严打散乱污，高控大气污染</w:t>
            </w:r>
          </w:p>
        </w:tc>
        <w:tc>
          <w:tcPr>
            <w:tcW w:w="351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30" w:hRule="atLeast"/>
        </w:trPr>
        <w:tc>
          <w:tcPr>
            <w:tcW w:w="92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45"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3"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重点污染治理工程数量</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10及以上</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试点、示范区域村庄污水处理率（%）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社会效益指标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提高生活质量</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公众满意度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285" w:hRule="atLeast"/>
        </w:trPr>
        <w:tc>
          <w:tcPr>
            <w:tcW w:w="923"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15" w:hRule="atLeast"/>
        </w:trPr>
        <w:tc>
          <w:tcPr>
            <w:tcW w:w="92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（15）</w:t>
      </w:r>
      <w:r>
        <w:rPr>
          <w:rFonts w:hint="eastAsia" w:ascii="仿宋_GB2312" w:hAnsi="仿宋_GB2312" w:eastAsia="仿宋_GB2312" w:cs="仿宋_GB2312"/>
          <w:color w:val="000000"/>
          <w:kern w:val="0"/>
          <w:sz w:val="32"/>
          <w:szCs w:val="32"/>
        </w:rPr>
        <w:t>关于下达2019年市县第三批新增政府债券资金的通知-大石门村农村面貌改造提升资金</w:t>
      </w:r>
      <w:r>
        <w:rPr>
          <w:rFonts w:hint="eastAsia" w:ascii="仿宋_GB2312" w:hAnsi="仿宋_GB2312" w:eastAsia="仿宋_GB2312" w:cs="仿宋_GB2312"/>
          <w:sz w:val="32"/>
          <w:szCs w:val="32"/>
        </w:rPr>
        <w:t>项目自评综述：根据年初设定的绩效目标，绩效自评得分为90分（绩效自评表附后）。全年预算数为40万元，执行数为0万元，完成预算的0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color w:val="000000"/>
          <w:kern w:val="0"/>
          <w:sz w:val="32"/>
          <w:szCs w:val="32"/>
        </w:rPr>
        <w:t>建设满族特色文化墙、公路两侧墙粉刷、河道清理、村内垃圾清理。推进村容村貌整治建设，提高人民生活条件，带动经济发展。</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6"/>
        <w:gridCol w:w="989"/>
        <w:gridCol w:w="1051"/>
        <w:gridCol w:w="1216"/>
        <w:gridCol w:w="1231"/>
        <w:gridCol w:w="1044"/>
        <w:gridCol w:w="1233"/>
        <w:gridCol w:w="1291"/>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kern w:val="0"/>
                <w:sz w:val="40"/>
                <w:szCs w:val="40"/>
              </w:rPr>
            </w:pPr>
          </w:p>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57"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33" w:type="dxa"/>
            <w:shd w:val="clear" w:color="auto" w:fill="auto"/>
            <w:vAlign w:val="center"/>
          </w:tcPr>
          <w:p>
            <w:pPr>
              <w:jc w:val="center"/>
              <w:rPr>
                <w:rFonts w:ascii="宋体" w:hAnsi="宋体" w:eastAsia="宋体" w:cs="宋体"/>
                <w:color w:val="000000"/>
                <w:sz w:val="16"/>
                <w:szCs w:val="16"/>
              </w:rPr>
            </w:pPr>
          </w:p>
        </w:tc>
        <w:tc>
          <w:tcPr>
            <w:tcW w:w="1291"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6"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关于下达2019年市县第三批新增政府债券资金的通知-大石门村农村面貌改造提升资金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建设满族特色文化墙、公路两侧墙粉刷、河道清理、村内垃圾清理。推进村容村貌整治建设，提高人民生活条件，带动经济发展。</w:t>
            </w:r>
          </w:p>
        </w:tc>
        <w:tc>
          <w:tcPr>
            <w:tcW w:w="350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30"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0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建设满族特色文化墙、粉刷旧墙完成率（%）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试点、示范区域村庄垃圾收集处理率（%）%）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仿宋_GB2312" w:hAnsi="仿宋_GB2312" w:eastAsia="仿宋_GB2312" w:cs="仿宋_GB2312"/>
                <w:color w:val="000000"/>
                <w:kern w:val="0"/>
                <w:sz w:val="16"/>
                <w:szCs w:val="16"/>
              </w:rPr>
              <w:t>提高生活质量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公众满意度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r>
      <w:tr>
        <w:tblPrEx>
          <w:tblCellMar>
            <w:top w:w="15" w:type="dxa"/>
            <w:left w:w="15" w:type="dxa"/>
            <w:bottom w:w="15" w:type="dxa"/>
            <w:right w:w="15" w:type="dxa"/>
          </w:tblCellMar>
        </w:tblPrEx>
        <w:trPr>
          <w:trHeight w:val="915" w:hRule="atLeast"/>
        </w:trPr>
        <w:tc>
          <w:tcPr>
            <w:tcW w:w="926"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numPr>
          <w:ilvl w:val="0"/>
          <w:numId w:val="8"/>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关于下达2019年市县第三批新增政府债券资金的通知-逃军山村农村面貌改造提升资金</w:t>
      </w:r>
      <w:r>
        <w:rPr>
          <w:rFonts w:hint="eastAsia" w:ascii="仿宋_GB2312" w:hAnsi="仿宋_GB2312" w:eastAsia="仿宋_GB2312" w:cs="仿宋_GB2312"/>
          <w:sz w:val="32"/>
          <w:szCs w:val="32"/>
        </w:rPr>
        <w:t>项目自评综述：根据年初设定的绩效目标，绩效自评得分为90分（绩效自评表附后）。全年预算数为125万元，执行数为0万元，完成预算的0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color w:val="000000"/>
          <w:kern w:val="0"/>
          <w:sz w:val="32"/>
          <w:szCs w:val="32"/>
        </w:rPr>
        <w:t>建设满族特色文化墙、公路两侧墙粉刷、河道清理、村内垃圾清理。推进村容村貌整治建设，提高人民生活条件，带动经济发展。</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5"/>
        <w:gridCol w:w="989"/>
        <w:gridCol w:w="1053"/>
        <w:gridCol w:w="1216"/>
        <w:gridCol w:w="1230"/>
        <w:gridCol w:w="1044"/>
        <w:gridCol w:w="1233"/>
        <w:gridCol w:w="1291"/>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57"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33" w:type="dxa"/>
            <w:shd w:val="clear" w:color="auto" w:fill="auto"/>
            <w:vAlign w:val="center"/>
          </w:tcPr>
          <w:p>
            <w:pPr>
              <w:jc w:val="center"/>
              <w:rPr>
                <w:rFonts w:ascii="宋体" w:hAnsi="宋体" w:eastAsia="宋体" w:cs="宋体"/>
                <w:color w:val="000000"/>
                <w:sz w:val="16"/>
                <w:szCs w:val="16"/>
              </w:rPr>
            </w:pPr>
          </w:p>
        </w:tc>
        <w:tc>
          <w:tcPr>
            <w:tcW w:w="1291"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660" w:hRule="atLeast"/>
        </w:trPr>
        <w:tc>
          <w:tcPr>
            <w:tcW w:w="92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关于下达2019年市县第三批新增政府债券资金的通知-逃军山村农村面貌改造提升资金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42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建设满族特色文化墙、公路两侧墙粉刷、河道清理、村内垃圾清理。推进村容村貌整治建设，提高人民生活条件，带动经济发展。</w:t>
            </w:r>
          </w:p>
        </w:tc>
        <w:tc>
          <w:tcPr>
            <w:tcW w:w="3507"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30" w:hRule="atLeast"/>
        </w:trPr>
        <w:tc>
          <w:tcPr>
            <w:tcW w:w="9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8"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07"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5"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建设满族特色文化墙、粉刷旧墙完成率（%）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试点、示范区域村庄垃圾收集处理率（%）%）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仿宋_GB2312" w:hAnsi="仿宋_GB2312" w:eastAsia="仿宋_GB2312" w:cs="仿宋_GB2312"/>
                <w:color w:val="000000"/>
                <w:kern w:val="0"/>
                <w:sz w:val="16"/>
                <w:szCs w:val="16"/>
              </w:rPr>
              <w:t>提高生活质量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30</w:t>
            </w:r>
          </w:p>
        </w:tc>
      </w:tr>
      <w:tr>
        <w:tblPrEx>
          <w:tblCellMar>
            <w:top w:w="15" w:type="dxa"/>
            <w:left w:w="15" w:type="dxa"/>
            <w:bottom w:w="15" w:type="dxa"/>
            <w:right w:w="15" w:type="dxa"/>
          </w:tblCellMar>
        </w:tblPrEx>
        <w:trPr>
          <w:trHeight w:val="420" w:hRule="atLeast"/>
        </w:trPr>
        <w:tc>
          <w:tcPr>
            <w:tcW w:w="92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公众满意度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ascii="Calibri" w:hAnsi="Calibri" w:eastAsia="宋体" w:cs="Calibri"/>
                <w:color w:val="000000"/>
                <w:kern w:val="0"/>
                <w:sz w:val="16"/>
                <w:szCs w:val="16"/>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10</w:t>
            </w:r>
          </w:p>
        </w:tc>
      </w:tr>
      <w:tr>
        <w:tblPrEx>
          <w:tblCellMar>
            <w:top w:w="15" w:type="dxa"/>
            <w:left w:w="15" w:type="dxa"/>
            <w:bottom w:w="15" w:type="dxa"/>
            <w:right w:w="15" w:type="dxa"/>
          </w:tblCellMar>
        </w:tblPrEx>
        <w:trPr>
          <w:trHeight w:val="495" w:hRule="atLeast"/>
        </w:trPr>
        <w:tc>
          <w:tcPr>
            <w:tcW w:w="92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r>
      <w:tr>
        <w:tblPrEx>
          <w:tblCellMar>
            <w:top w:w="15" w:type="dxa"/>
            <w:left w:w="15" w:type="dxa"/>
            <w:bottom w:w="15" w:type="dxa"/>
            <w:right w:w="15" w:type="dxa"/>
          </w:tblCellMar>
        </w:tblPrEx>
        <w:trPr>
          <w:trHeight w:val="285" w:hRule="atLeast"/>
        </w:trPr>
        <w:tc>
          <w:tcPr>
            <w:tcW w:w="925"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90</w:t>
            </w:r>
          </w:p>
        </w:tc>
      </w:tr>
      <w:tr>
        <w:tblPrEx>
          <w:tblCellMar>
            <w:top w:w="15" w:type="dxa"/>
            <w:left w:w="15" w:type="dxa"/>
            <w:bottom w:w="15" w:type="dxa"/>
            <w:right w:w="15" w:type="dxa"/>
          </w:tblCellMar>
        </w:tblPrEx>
        <w:trPr>
          <w:trHeight w:val="915" w:hRule="atLeast"/>
        </w:trPr>
        <w:tc>
          <w:tcPr>
            <w:tcW w:w="92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numPr>
          <w:ilvl w:val="0"/>
          <w:numId w:val="8"/>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关于下达2019年市县第三批新增政府债券资金的通知-蛇盘兔村农村面貌改造提升资金</w:t>
      </w:r>
      <w:r>
        <w:rPr>
          <w:rFonts w:hint="eastAsia" w:ascii="仿宋_GB2312" w:hAnsi="仿宋_GB2312" w:eastAsia="仿宋_GB2312" w:cs="仿宋_GB2312"/>
          <w:sz w:val="32"/>
          <w:szCs w:val="32"/>
        </w:rPr>
        <w:t>项目自评综述：根据年初设定的绩效目标，绩效自评得分为90分（绩效自评表附后）。全年预算数为44万元，执行数为0万元，完成预算的0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color w:val="000000"/>
          <w:kern w:val="0"/>
          <w:sz w:val="32"/>
          <w:szCs w:val="32"/>
        </w:rPr>
        <w:t>建设满族特色文化墙、公路两侧墙粉刷、河道清理、村内垃圾清理。推进村容村貌整治建设，提高人民生活条件，带动经济发展。</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81" w:type="dxa"/>
        <w:tblInd w:w="0" w:type="dxa"/>
        <w:tblLayout w:type="fixed"/>
        <w:tblCellMar>
          <w:top w:w="15" w:type="dxa"/>
          <w:left w:w="15" w:type="dxa"/>
          <w:bottom w:w="15" w:type="dxa"/>
          <w:right w:w="15" w:type="dxa"/>
        </w:tblCellMar>
      </w:tblPr>
      <w:tblGrid>
        <w:gridCol w:w="926"/>
        <w:gridCol w:w="989"/>
        <w:gridCol w:w="1051"/>
        <w:gridCol w:w="1216"/>
        <w:gridCol w:w="1231"/>
        <w:gridCol w:w="1044"/>
        <w:gridCol w:w="1233"/>
        <w:gridCol w:w="1291"/>
      </w:tblGrid>
      <w:tr>
        <w:tblPrEx>
          <w:tblCellMar>
            <w:top w:w="15" w:type="dxa"/>
            <w:left w:w="15" w:type="dxa"/>
            <w:bottom w:w="15" w:type="dxa"/>
            <w:right w:w="15" w:type="dxa"/>
          </w:tblCellMar>
        </w:tblPrEx>
        <w:trPr>
          <w:trHeight w:val="510" w:hRule="atLeast"/>
        </w:trPr>
        <w:tc>
          <w:tcPr>
            <w:tcW w:w="8981"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1"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57"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33" w:type="dxa"/>
            <w:shd w:val="clear" w:color="auto" w:fill="auto"/>
            <w:vAlign w:val="center"/>
          </w:tcPr>
          <w:p>
            <w:pPr>
              <w:jc w:val="center"/>
              <w:rPr>
                <w:rFonts w:ascii="宋体" w:hAnsi="宋体" w:eastAsia="宋体" w:cs="宋体"/>
                <w:color w:val="000000"/>
                <w:sz w:val="16"/>
                <w:szCs w:val="16"/>
              </w:rPr>
            </w:pPr>
          </w:p>
        </w:tc>
        <w:tc>
          <w:tcPr>
            <w:tcW w:w="1291"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6"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关于下达2019年市县第三批新增政府债券资金的通知-蛇盘兔村农村面貌改造提升资金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建设满族特色文化墙、公路两侧墙粉刷、河道清理、村内垃圾清理。推进村容村貌整治建设，提高人民生活条件，带动经济发展。</w:t>
            </w:r>
          </w:p>
        </w:tc>
        <w:tc>
          <w:tcPr>
            <w:tcW w:w="3508"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30" w:hRule="atLeast"/>
        </w:trPr>
        <w:tc>
          <w:tcPr>
            <w:tcW w:w="92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6"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08"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建设满族特色文化墙、粉刷旧墙完成率（%）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40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试点、示范区域村庄垃圾收集处理率（%）%）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仿宋_GB2312" w:hAnsi="仿宋_GB2312" w:eastAsia="仿宋_GB2312" w:cs="仿宋_GB2312"/>
                <w:color w:val="000000"/>
                <w:kern w:val="0"/>
                <w:sz w:val="16"/>
                <w:szCs w:val="16"/>
              </w:rPr>
              <w:t>提高生活质量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公众满意度</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r>
      <w:tr>
        <w:tblPrEx>
          <w:tblCellMar>
            <w:top w:w="15" w:type="dxa"/>
            <w:left w:w="15" w:type="dxa"/>
            <w:bottom w:w="15" w:type="dxa"/>
            <w:right w:w="15" w:type="dxa"/>
          </w:tblCellMar>
        </w:tblPrEx>
        <w:trPr>
          <w:trHeight w:val="915" w:hRule="atLeast"/>
        </w:trPr>
        <w:tc>
          <w:tcPr>
            <w:tcW w:w="926"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numPr>
          <w:ilvl w:val="0"/>
          <w:numId w:val="8"/>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前庄水场迁建项目建设资金项目自评综述：根据年初设定的绩效目标，绩效自评得分为99分（绩效自评表附后）。全年预算数为197.16万元，执行数为182.3万元，完成预算的92.46%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color w:val="000000"/>
          <w:kern w:val="0"/>
          <w:sz w:val="32"/>
          <w:szCs w:val="32"/>
        </w:rPr>
        <w:t>完成该项目涉及土地、道路、林木、坟头、水利灌溉设施、苗圃等建设资金补偿发工作,实现前庄水厂迁建到河南村,以优化用水资源、促进城市发展。</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w:t>
      </w:r>
      <w:r>
        <w:rPr>
          <w:rFonts w:hint="eastAsia" w:ascii="仿宋_GB2312" w:eastAsia="仿宋_GB2312"/>
          <w:sz w:val="32"/>
          <w:szCs w:val="32"/>
        </w:rPr>
        <w:t>细化预算编制工作，认真做好预算绩效目标的编制。</w:t>
      </w:r>
    </w:p>
    <w:tbl>
      <w:tblPr>
        <w:tblStyle w:val="7"/>
        <w:tblW w:w="8980" w:type="dxa"/>
        <w:tblInd w:w="0" w:type="dxa"/>
        <w:tblLayout w:type="fixed"/>
        <w:tblCellMar>
          <w:top w:w="15" w:type="dxa"/>
          <w:left w:w="15" w:type="dxa"/>
          <w:bottom w:w="15" w:type="dxa"/>
          <w:right w:w="15" w:type="dxa"/>
        </w:tblCellMar>
      </w:tblPr>
      <w:tblGrid>
        <w:gridCol w:w="921"/>
        <w:gridCol w:w="985"/>
        <w:gridCol w:w="1057"/>
        <w:gridCol w:w="1210"/>
        <w:gridCol w:w="1230"/>
        <w:gridCol w:w="1045"/>
        <w:gridCol w:w="1240"/>
        <w:gridCol w:w="1292"/>
      </w:tblGrid>
      <w:tr>
        <w:tblPrEx>
          <w:tblCellMar>
            <w:top w:w="15" w:type="dxa"/>
            <w:left w:w="15" w:type="dxa"/>
            <w:bottom w:w="15" w:type="dxa"/>
            <w:right w:w="15" w:type="dxa"/>
          </w:tblCellMar>
        </w:tblPrEx>
        <w:trPr>
          <w:trHeight w:val="510" w:hRule="atLeast"/>
        </w:trPr>
        <w:tc>
          <w:tcPr>
            <w:tcW w:w="8980"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0"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7688" w:type="dxa"/>
            <w:gridSpan w:val="7"/>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92"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1"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前庄水场迁建项目建设资金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197.16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197.16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182.3</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92.46%</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197.16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197.16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182.3</w:t>
            </w: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2"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完成该项目涉及土地、道路、林木、坟头、水利灌溉设施、苗圃等建设资金补偿发工作,实现前庄水厂迁建到河南村,以优化用水资源、促进城市发展。</w:t>
            </w:r>
          </w:p>
        </w:tc>
        <w:tc>
          <w:tcPr>
            <w:tcW w:w="351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30" w:hRule="atLeast"/>
        </w:trPr>
        <w:tc>
          <w:tcPr>
            <w:tcW w:w="9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2"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5"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1"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补偿落实完成率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时效指标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补偿金发放时间及时率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25</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提高土地使用率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社会公众满意度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宋体" w:hAnsi="宋体" w:eastAsia="宋体" w:cs="宋体"/>
                <w:color w:val="000000"/>
                <w:kern w:val="0"/>
                <w:sz w:val="16"/>
                <w:szCs w:val="16"/>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92.46%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99</w:t>
            </w:r>
          </w:p>
        </w:tc>
      </w:tr>
      <w:tr>
        <w:tblPrEx>
          <w:tblCellMar>
            <w:top w:w="15" w:type="dxa"/>
            <w:left w:w="15" w:type="dxa"/>
            <w:bottom w:w="15" w:type="dxa"/>
            <w:right w:w="15" w:type="dxa"/>
          </w:tblCellMar>
        </w:tblPrEx>
        <w:trPr>
          <w:trHeight w:val="915" w:hRule="atLeast"/>
        </w:trPr>
        <w:tc>
          <w:tcPr>
            <w:tcW w:w="92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numPr>
          <w:ilvl w:val="0"/>
          <w:numId w:val="8"/>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西城区征迁历史遗留问题补偿款前庄水场迁建项目建设资金项目自评综述：根据年初设定的绩效目标，绩效自评得分为99分（绩效自评表附后）。全年预算数为251.29万元，执行数为222.49万元，完成预算的88.54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宋体" w:hAnsi="宋体" w:eastAsia="宋体" w:cs="宋体"/>
          <w:color w:val="000000"/>
          <w:kern w:val="0"/>
          <w:sz w:val="32"/>
          <w:szCs w:val="32"/>
        </w:rPr>
        <w:t>完成西城区征地扫尾工作，解决马林祥、马立江2户拆迁补偿；解决马成林、马清华两户土地补偿和过渡期安置补偿问题，以达到群众的满意。</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w:t>
      </w:r>
      <w:r>
        <w:rPr>
          <w:rFonts w:hint="eastAsia" w:ascii="仿宋_GB2312" w:eastAsia="仿宋_GB2312"/>
          <w:sz w:val="32"/>
          <w:szCs w:val="32"/>
        </w:rPr>
        <w:t>细化预算编制工作，认真做好预算绩效目标的编制。</w:t>
      </w:r>
    </w:p>
    <w:tbl>
      <w:tblPr>
        <w:tblStyle w:val="7"/>
        <w:tblW w:w="8980" w:type="dxa"/>
        <w:tblInd w:w="0" w:type="dxa"/>
        <w:tblLayout w:type="fixed"/>
        <w:tblCellMar>
          <w:top w:w="15" w:type="dxa"/>
          <w:left w:w="15" w:type="dxa"/>
          <w:bottom w:w="15" w:type="dxa"/>
          <w:right w:w="15" w:type="dxa"/>
        </w:tblCellMar>
      </w:tblPr>
      <w:tblGrid>
        <w:gridCol w:w="921"/>
        <w:gridCol w:w="985"/>
        <w:gridCol w:w="1057"/>
        <w:gridCol w:w="1210"/>
        <w:gridCol w:w="1230"/>
        <w:gridCol w:w="1045"/>
        <w:gridCol w:w="1240"/>
        <w:gridCol w:w="1292"/>
      </w:tblGrid>
      <w:tr>
        <w:tblPrEx>
          <w:tblCellMar>
            <w:top w:w="15" w:type="dxa"/>
            <w:left w:w="15" w:type="dxa"/>
            <w:bottom w:w="15" w:type="dxa"/>
            <w:right w:w="15" w:type="dxa"/>
          </w:tblCellMar>
        </w:tblPrEx>
        <w:trPr>
          <w:trHeight w:val="510" w:hRule="atLeast"/>
        </w:trPr>
        <w:tc>
          <w:tcPr>
            <w:tcW w:w="8980"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rPr>
              <w:t>县级部门预算项目绩效自评表</w:t>
            </w:r>
          </w:p>
        </w:tc>
      </w:tr>
      <w:tr>
        <w:tblPrEx>
          <w:tblCellMar>
            <w:top w:w="15" w:type="dxa"/>
            <w:left w:w="15" w:type="dxa"/>
            <w:bottom w:w="15" w:type="dxa"/>
            <w:right w:w="15" w:type="dxa"/>
          </w:tblCellMar>
        </w:tblPrEx>
        <w:trPr>
          <w:trHeight w:val="345" w:hRule="atLeast"/>
        </w:trPr>
        <w:tc>
          <w:tcPr>
            <w:tcW w:w="8980" w:type="dxa"/>
            <w:gridSpan w:val="8"/>
            <w:shd w:val="clear" w:color="auto" w:fill="auto"/>
            <w:vAlign w:val="bottom"/>
          </w:tcPr>
          <w:p>
            <w:pPr>
              <w:widowControl/>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2019年度）</w:t>
            </w:r>
          </w:p>
        </w:tc>
      </w:tr>
      <w:tr>
        <w:tblPrEx>
          <w:tblCellMar>
            <w:top w:w="15" w:type="dxa"/>
            <w:left w:w="15" w:type="dxa"/>
            <w:bottom w:w="15" w:type="dxa"/>
            <w:right w:w="15" w:type="dxa"/>
          </w:tblCellMar>
        </w:tblPrEx>
        <w:trPr>
          <w:trHeight w:val="435" w:hRule="atLeast"/>
        </w:trPr>
        <w:tc>
          <w:tcPr>
            <w:tcW w:w="6448" w:type="dxa"/>
            <w:gridSpan w:val="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填报单位（盖章）：青龙满族自治县青龙镇人民政府</w:t>
            </w:r>
          </w:p>
        </w:tc>
        <w:tc>
          <w:tcPr>
            <w:tcW w:w="1240" w:type="dxa"/>
            <w:shd w:val="clear" w:color="auto" w:fill="auto"/>
            <w:vAlign w:val="center"/>
          </w:tcPr>
          <w:p>
            <w:pPr>
              <w:jc w:val="center"/>
              <w:rPr>
                <w:rFonts w:ascii="宋体" w:hAnsi="宋体" w:eastAsia="宋体" w:cs="宋体"/>
                <w:color w:val="000000"/>
                <w:sz w:val="16"/>
                <w:szCs w:val="16"/>
              </w:rPr>
            </w:pPr>
          </w:p>
        </w:tc>
        <w:tc>
          <w:tcPr>
            <w:tcW w:w="1292" w:type="dxa"/>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15" w:type="dxa"/>
            <w:left w:w="15" w:type="dxa"/>
            <w:bottom w:w="15" w:type="dxa"/>
            <w:right w:w="15" w:type="dxa"/>
          </w:tblCellMar>
        </w:tblPrEx>
        <w:trPr>
          <w:trHeight w:val="495" w:hRule="atLeast"/>
        </w:trPr>
        <w:tc>
          <w:tcPr>
            <w:tcW w:w="921"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基本情况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西城区征迁历史遗留问题补偿款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实施(主管）单位</w:t>
            </w:r>
          </w:p>
        </w:tc>
        <w:tc>
          <w:tcPr>
            <w:tcW w:w="3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青龙满族自治县青龙镇人民政府</w:t>
            </w:r>
          </w:p>
        </w:tc>
      </w:tr>
      <w:tr>
        <w:tblPrEx>
          <w:tblCellMar>
            <w:top w:w="15" w:type="dxa"/>
            <w:left w:w="15" w:type="dxa"/>
            <w:bottom w:w="15" w:type="dxa"/>
            <w:right w:w="15" w:type="dxa"/>
          </w:tblCellMar>
        </w:tblPrEx>
        <w:trPr>
          <w:trHeight w:val="285"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预算安排情况（调整后）</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资金到位情况</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资金执行情况</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预算执行进度</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251.29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到位数：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251.29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222.49</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88.54%</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251.29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251.29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其中：财政资金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222.49</w:t>
            </w: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Cs w:val="21"/>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45" w:hRule="atLeast"/>
        </w:trPr>
        <w:tc>
          <w:tcPr>
            <w:tcW w:w="9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r>
      <w:tr>
        <w:tblPrEx>
          <w:tblCellMar>
            <w:top w:w="15" w:type="dxa"/>
            <w:left w:w="15" w:type="dxa"/>
            <w:bottom w:w="15" w:type="dxa"/>
            <w:right w:w="15" w:type="dxa"/>
          </w:tblCellMar>
        </w:tblPrEx>
        <w:trPr>
          <w:trHeight w:val="375" w:hRule="atLeast"/>
        </w:trPr>
        <w:tc>
          <w:tcPr>
            <w:tcW w:w="9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2"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完成西城区征地扫尾工作，解决马林祥、马立江2户拆迁补偿；解决马成林、马清华两户土地补偿和过渡期安置补偿问题，以达到群众的满意。</w:t>
            </w:r>
          </w:p>
        </w:tc>
        <w:tc>
          <w:tcPr>
            <w:tcW w:w="3515"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按照时间节点，完成目标任务</w:t>
            </w:r>
          </w:p>
        </w:tc>
        <w:tc>
          <w:tcPr>
            <w:tcW w:w="12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r>
      <w:tr>
        <w:tblPrEx>
          <w:tblCellMar>
            <w:top w:w="15" w:type="dxa"/>
            <w:left w:w="15" w:type="dxa"/>
            <w:bottom w:w="15" w:type="dxa"/>
            <w:right w:w="15" w:type="dxa"/>
          </w:tblCellMar>
        </w:tblPrEx>
        <w:trPr>
          <w:trHeight w:val="930" w:hRule="atLeast"/>
        </w:trPr>
        <w:tc>
          <w:tcPr>
            <w:tcW w:w="9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252" w:type="dxa"/>
            <w:gridSpan w:val="3"/>
            <w:vMerge w:val="continue"/>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3515" w:type="dxa"/>
            <w:gridSpan w:val="3"/>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2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285" w:hRule="atLeast"/>
        </w:trPr>
        <w:tc>
          <w:tcPr>
            <w:tcW w:w="921"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年度绩效指标完成情况</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补偿落实完成率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6"/>
                <w:szCs w:val="16"/>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时效指标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补偿金发放时间及时率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25</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效益指标（30）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社会效益指标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提高土地使用率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r>
      <w:tr>
        <w:tblPrEx>
          <w:tblCellMar>
            <w:top w:w="15" w:type="dxa"/>
            <w:left w:w="15" w:type="dxa"/>
            <w:bottom w:w="15" w:type="dxa"/>
            <w:right w:w="15" w:type="dxa"/>
          </w:tblCellMar>
        </w:tblPrEx>
        <w:trPr>
          <w:trHeight w:val="420"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满意度指标（10）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满意度指标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社会公众满意度</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r>
      <w:tr>
        <w:tblPrEx>
          <w:tblCellMar>
            <w:top w:w="15" w:type="dxa"/>
            <w:left w:w="15" w:type="dxa"/>
            <w:bottom w:w="15" w:type="dxa"/>
            <w:right w:w="15" w:type="dxa"/>
          </w:tblCellMar>
        </w:tblPrEx>
        <w:trPr>
          <w:trHeight w:val="49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预算执行率（10）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预算执行率</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6"/>
                <w:szCs w:val="16"/>
              </w:rPr>
            </w:pPr>
            <w:r>
              <w:rPr>
                <w:rFonts w:hint="eastAsia" w:ascii="仿宋_GB2312" w:hAnsi="仿宋_GB2312" w:eastAsia="仿宋_GB2312" w:cs="仿宋_GB2312"/>
                <w:color w:val="000000"/>
                <w:kern w:val="0"/>
                <w:sz w:val="16"/>
                <w:szCs w:val="16"/>
              </w:rPr>
              <w:t>预算执行率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88.54%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r>
      <w:tr>
        <w:tblPrEx>
          <w:tblCellMar>
            <w:top w:w="15" w:type="dxa"/>
            <w:left w:w="15" w:type="dxa"/>
            <w:bottom w:w="15" w:type="dxa"/>
            <w:right w:w="15" w:type="dxa"/>
          </w:tblCellMar>
        </w:tblPrEx>
        <w:trPr>
          <w:trHeight w:val="285" w:hRule="atLeast"/>
        </w:trPr>
        <w:tc>
          <w:tcPr>
            <w:tcW w:w="921"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16"/>
                <w:szCs w:val="16"/>
              </w:rPr>
            </w:pPr>
          </w:p>
        </w:tc>
        <w:tc>
          <w:tcPr>
            <w:tcW w:w="6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99</w:t>
            </w:r>
          </w:p>
        </w:tc>
      </w:tr>
      <w:tr>
        <w:tblPrEx>
          <w:tblCellMar>
            <w:top w:w="15" w:type="dxa"/>
            <w:left w:w="15" w:type="dxa"/>
            <w:bottom w:w="15" w:type="dxa"/>
            <w:right w:w="15" w:type="dxa"/>
          </w:tblCellMar>
        </w:tblPrEx>
        <w:trPr>
          <w:trHeight w:val="915" w:hRule="atLeast"/>
        </w:trPr>
        <w:tc>
          <w:tcPr>
            <w:tcW w:w="92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Fonts w:ascii="Calibri" w:hAnsi="Calibri" w:eastAsia="宋体" w:cs="Calibri"/>
                <w:color w:val="000000"/>
                <w:kern w:val="0"/>
                <w:sz w:val="16"/>
                <w:szCs w:val="16"/>
              </w:rPr>
              <w:t xml:space="preserve"> </w:t>
            </w:r>
            <w:r>
              <w:rPr>
                <w:rFonts w:hint="eastAsia" w:ascii="宋体" w:hAnsi="宋体" w:eastAsia="宋体" w:cs="宋体"/>
                <w:color w:val="000000"/>
                <w:kern w:val="0"/>
                <w:sz w:val="16"/>
                <w:szCs w:val="16"/>
              </w:rPr>
              <w:t>存在问题、原因及下一步整改措施</w:t>
            </w:r>
          </w:p>
        </w:tc>
        <w:tc>
          <w:tcPr>
            <w:tcW w:w="80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320" w:firstLineChars="100"/>
        <w:rPr>
          <w:rFonts w:ascii="仿宋_GB2312" w:eastAsia="仿宋_GB2312"/>
          <w:sz w:val="32"/>
          <w:szCs w:val="32"/>
        </w:rPr>
      </w:pPr>
    </w:p>
    <w:p>
      <w:pPr>
        <w:adjustRightInd w:val="0"/>
        <w:snapToGrid w:val="0"/>
        <w:spacing w:line="580" w:lineRule="exact"/>
        <w:ind w:firstLine="320" w:firstLineChars="100"/>
        <w:rPr>
          <w:rFonts w:ascii="仿宋_GB2312" w:eastAsia="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本部门2019年度机关运行经费支出149.93万元，比2018年度增加38.48万元，增长34.52%。主要原因是上年结转资金在2019年支付。</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日，本部门共有车辆1辆，比</w:t>
      </w:r>
      <w:r>
        <w:rPr>
          <w:rFonts w:hint="eastAsia" w:ascii="仿宋_GB2312" w:eastAsia="仿宋_GB2312" w:cs="DengXian-Regular"/>
          <w:sz w:val="32"/>
          <w:szCs w:val="32"/>
        </w:rPr>
        <w:t>上年数减少1辆</w:t>
      </w:r>
      <w:r>
        <w:rPr>
          <w:rFonts w:hint="eastAsia" w:ascii="仿宋_GB2312" w:hAnsi="Times New Roman" w:eastAsia="仿宋_GB2312" w:cs="DengXian-Regular"/>
          <w:sz w:val="32"/>
          <w:szCs w:val="32"/>
        </w:rPr>
        <w:t>。其中，应急通信用车1辆。</w:t>
      </w:r>
      <w:r>
        <w:rPr>
          <w:rFonts w:ascii="仿宋_GB2312" w:hAnsi="Times New Roman" w:eastAsia="仿宋_GB2312" w:cs="DengXian-Regular"/>
          <w:sz w:val="32"/>
          <w:szCs w:val="32"/>
        </w:rPr>
        <w:t xml:space="preserve"> </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万元以上通用设备无，单位价值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1.本部门2019年度国有资本经营预算财政拨款支出决算表无收支及结转结余情况，故国有资本经营预算财政拨款支出决算表表以空表列示。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9" w:type="first"/>
          <w:footerReference r:id="rId21" w:type="first"/>
          <w:headerReference r:id="rId18" w:type="default"/>
          <w:footerReference r:id="rId20"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28"/>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2"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3"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28"/>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详见:青龙满族自治县青龙镇人民政府2019年度部门决算公开相关报表(共9张)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5" w:type="first"/>
      <w:headerReference r:id="rId24" w:type="default"/>
      <w:footerReference r:id="rId26"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Yu Gothic UI Semibold">
    <w:altName w:val="MS UI Gothic"/>
    <w:panose1 w:val="000000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ArialUnicodeMS">
    <w:altName w:val="Dotum"/>
    <w:panose1 w:val="00000000000000000000"/>
    <w:charset w:val="81"/>
    <w:family w:val="auto"/>
    <w:pitch w:val="default"/>
    <w:sig w:usb0="00000000" w:usb1="00000000" w:usb2="00000010" w:usb3="00000000" w:csb0="0008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- 42 -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- 11 -</w:t>
    </w:r>
    <w:r>
      <w:fldChar w:fldCharType="end"/>
    </w:r>
  </w:p>
  <w:p>
    <w:pPr>
      <w:pStyle w:val="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68179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68281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- 37 -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680768;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974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86912;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7936;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83840;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4864;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75648;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6672;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77696;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8720;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abstractNum w:abstractNumId="3">
    <w:nsid w:val="5F9A83A4"/>
    <w:multiLevelType w:val="singleLevel"/>
    <w:tmpl w:val="5F9A83A4"/>
    <w:lvl w:ilvl="0" w:tentative="0">
      <w:start w:val="1"/>
      <w:numFmt w:val="decimal"/>
      <w:suff w:val="nothing"/>
      <w:lvlText w:val="%1、"/>
      <w:lvlJc w:val="left"/>
    </w:lvl>
  </w:abstractNum>
  <w:abstractNum w:abstractNumId="4">
    <w:nsid w:val="5F9A848F"/>
    <w:multiLevelType w:val="singleLevel"/>
    <w:tmpl w:val="5F9A848F"/>
    <w:lvl w:ilvl="0" w:tentative="0">
      <w:start w:val="2"/>
      <w:numFmt w:val="chineseCounting"/>
      <w:suff w:val="nothing"/>
      <w:lvlText w:val="（%1）"/>
      <w:lvlJc w:val="left"/>
    </w:lvl>
  </w:abstractNum>
  <w:abstractNum w:abstractNumId="5">
    <w:nsid w:val="5FA0BFD8"/>
    <w:multiLevelType w:val="singleLevel"/>
    <w:tmpl w:val="5FA0BFD8"/>
    <w:lvl w:ilvl="0" w:tentative="0">
      <w:start w:val="5"/>
      <w:numFmt w:val="decimal"/>
      <w:suff w:val="nothing"/>
      <w:lvlText w:val="（%1）"/>
      <w:lvlJc w:val="left"/>
    </w:lvl>
  </w:abstractNum>
  <w:abstractNum w:abstractNumId="6">
    <w:nsid w:val="5FA0C166"/>
    <w:multiLevelType w:val="singleLevel"/>
    <w:tmpl w:val="5FA0C166"/>
    <w:lvl w:ilvl="0" w:tentative="0">
      <w:start w:val="8"/>
      <w:numFmt w:val="decimal"/>
      <w:suff w:val="space"/>
      <w:lvlText w:val="（%1）"/>
      <w:lvlJc w:val="left"/>
    </w:lvl>
  </w:abstractNum>
  <w:abstractNum w:abstractNumId="7">
    <w:nsid w:val="5FA0C738"/>
    <w:multiLevelType w:val="singleLevel"/>
    <w:tmpl w:val="5FA0C738"/>
    <w:lvl w:ilvl="0" w:tentative="0">
      <w:start w:val="16"/>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00746"/>
    <w:rsid w:val="00014557"/>
    <w:rsid w:val="000155D0"/>
    <w:rsid w:val="0004262D"/>
    <w:rsid w:val="0007063E"/>
    <w:rsid w:val="00073392"/>
    <w:rsid w:val="00073F4E"/>
    <w:rsid w:val="00086C89"/>
    <w:rsid w:val="000A39FB"/>
    <w:rsid w:val="00117746"/>
    <w:rsid w:val="00135C58"/>
    <w:rsid w:val="00163F95"/>
    <w:rsid w:val="00180A9A"/>
    <w:rsid w:val="001829C0"/>
    <w:rsid w:val="00182E1A"/>
    <w:rsid w:val="00184809"/>
    <w:rsid w:val="00192112"/>
    <w:rsid w:val="001A380C"/>
    <w:rsid w:val="001B0127"/>
    <w:rsid w:val="001C12D5"/>
    <w:rsid w:val="001C69F7"/>
    <w:rsid w:val="002650EC"/>
    <w:rsid w:val="00275A55"/>
    <w:rsid w:val="002A6C46"/>
    <w:rsid w:val="002C19B5"/>
    <w:rsid w:val="002D4F29"/>
    <w:rsid w:val="002E4A1F"/>
    <w:rsid w:val="00314FD8"/>
    <w:rsid w:val="003A4EE8"/>
    <w:rsid w:val="003B6005"/>
    <w:rsid w:val="00442CC2"/>
    <w:rsid w:val="00446244"/>
    <w:rsid w:val="00473C20"/>
    <w:rsid w:val="004D61CB"/>
    <w:rsid w:val="005011D6"/>
    <w:rsid w:val="00503F2E"/>
    <w:rsid w:val="00511D94"/>
    <w:rsid w:val="0052456A"/>
    <w:rsid w:val="00552226"/>
    <w:rsid w:val="00562CA3"/>
    <w:rsid w:val="00566120"/>
    <w:rsid w:val="00582E6D"/>
    <w:rsid w:val="005954D5"/>
    <w:rsid w:val="005A53FA"/>
    <w:rsid w:val="005D1293"/>
    <w:rsid w:val="00644D5F"/>
    <w:rsid w:val="006727AD"/>
    <w:rsid w:val="00691425"/>
    <w:rsid w:val="006A516E"/>
    <w:rsid w:val="006B0830"/>
    <w:rsid w:val="006B2368"/>
    <w:rsid w:val="006C0131"/>
    <w:rsid w:val="006D1B85"/>
    <w:rsid w:val="006E3630"/>
    <w:rsid w:val="00716E2B"/>
    <w:rsid w:val="00750C18"/>
    <w:rsid w:val="00770F18"/>
    <w:rsid w:val="00773B74"/>
    <w:rsid w:val="0078290C"/>
    <w:rsid w:val="007B44DE"/>
    <w:rsid w:val="007B5AB4"/>
    <w:rsid w:val="007C06CA"/>
    <w:rsid w:val="007D1780"/>
    <w:rsid w:val="007F62CE"/>
    <w:rsid w:val="008163FB"/>
    <w:rsid w:val="0082605B"/>
    <w:rsid w:val="00855C36"/>
    <w:rsid w:val="00857DBE"/>
    <w:rsid w:val="008701BC"/>
    <w:rsid w:val="00883D92"/>
    <w:rsid w:val="008A5362"/>
    <w:rsid w:val="008F21F1"/>
    <w:rsid w:val="008F221B"/>
    <w:rsid w:val="008F5A2D"/>
    <w:rsid w:val="00921602"/>
    <w:rsid w:val="00930520"/>
    <w:rsid w:val="00952B98"/>
    <w:rsid w:val="00957EA1"/>
    <w:rsid w:val="00966E5B"/>
    <w:rsid w:val="009B4EF0"/>
    <w:rsid w:val="009D271F"/>
    <w:rsid w:val="00A23C4E"/>
    <w:rsid w:val="00A668CB"/>
    <w:rsid w:val="00A929C2"/>
    <w:rsid w:val="00AB7A1B"/>
    <w:rsid w:val="00AD0892"/>
    <w:rsid w:val="00AD097F"/>
    <w:rsid w:val="00B25767"/>
    <w:rsid w:val="00B844F4"/>
    <w:rsid w:val="00BA06A1"/>
    <w:rsid w:val="00BA770A"/>
    <w:rsid w:val="00BB1579"/>
    <w:rsid w:val="00BF0E6E"/>
    <w:rsid w:val="00BF1210"/>
    <w:rsid w:val="00C054DE"/>
    <w:rsid w:val="00C679A9"/>
    <w:rsid w:val="00C7541C"/>
    <w:rsid w:val="00CC0FAA"/>
    <w:rsid w:val="00CD0736"/>
    <w:rsid w:val="00CE0EFF"/>
    <w:rsid w:val="00D1570F"/>
    <w:rsid w:val="00D32830"/>
    <w:rsid w:val="00DA2327"/>
    <w:rsid w:val="00DB7153"/>
    <w:rsid w:val="00DB7F05"/>
    <w:rsid w:val="00DF6F1A"/>
    <w:rsid w:val="00E028C3"/>
    <w:rsid w:val="00E14F77"/>
    <w:rsid w:val="00E26B73"/>
    <w:rsid w:val="00E3076B"/>
    <w:rsid w:val="00E36978"/>
    <w:rsid w:val="00E636AA"/>
    <w:rsid w:val="00E82A1E"/>
    <w:rsid w:val="00EC06F4"/>
    <w:rsid w:val="00EE098A"/>
    <w:rsid w:val="00EE4E36"/>
    <w:rsid w:val="00F665F4"/>
    <w:rsid w:val="00FD225F"/>
    <w:rsid w:val="012B2D9B"/>
    <w:rsid w:val="01A909B7"/>
    <w:rsid w:val="02232D42"/>
    <w:rsid w:val="02330B88"/>
    <w:rsid w:val="033D3C9D"/>
    <w:rsid w:val="03792657"/>
    <w:rsid w:val="038B3DBD"/>
    <w:rsid w:val="07C13F4E"/>
    <w:rsid w:val="08714CFC"/>
    <w:rsid w:val="0B763C87"/>
    <w:rsid w:val="0BF555C4"/>
    <w:rsid w:val="0C512A27"/>
    <w:rsid w:val="0E594481"/>
    <w:rsid w:val="10B00D52"/>
    <w:rsid w:val="11511A2C"/>
    <w:rsid w:val="139D37D3"/>
    <w:rsid w:val="140115C5"/>
    <w:rsid w:val="15040C03"/>
    <w:rsid w:val="1600794F"/>
    <w:rsid w:val="17C00E31"/>
    <w:rsid w:val="194810F1"/>
    <w:rsid w:val="19AC2DF1"/>
    <w:rsid w:val="19F64A40"/>
    <w:rsid w:val="1A6846EC"/>
    <w:rsid w:val="1B697295"/>
    <w:rsid w:val="1B8E5134"/>
    <w:rsid w:val="1C015362"/>
    <w:rsid w:val="1C373D16"/>
    <w:rsid w:val="1D12065C"/>
    <w:rsid w:val="1DCE0E4F"/>
    <w:rsid w:val="1E1225E9"/>
    <w:rsid w:val="1E6B64BA"/>
    <w:rsid w:val="214B4689"/>
    <w:rsid w:val="22210A4D"/>
    <w:rsid w:val="23452C58"/>
    <w:rsid w:val="2349691F"/>
    <w:rsid w:val="23EB6F45"/>
    <w:rsid w:val="24061472"/>
    <w:rsid w:val="244A4487"/>
    <w:rsid w:val="25160073"/>
    <w:rsid w:val="25CD5CEC"/>
    <w:rsid w:val="26DD71E2"/>
    <w:rsid w:val="26F332E8"/>
    <w:rsid w:val="27DC0B1C"/>
    <w:rsid w:val="289C3472"/>
    <w:rsid w:val="28A245C4"/>
    <w:rsid w:val="298F5854"/>
    <w:rsid w:val="2D9A5ACE"/>
    <w:rsid w:val="3013049E"/>
    <w:rsid w:val="3079118B"/>
    <w:rsid w:val="315A5FE1"/>
    <w:rsid w:val="31C2036A"/>
    <w:rsid w:val="320D02A5"/>
    <w:rsid w:val="321A4C8F"/>
    <w:rsid w:val="33464FEF"/>
    <w:rsid w:val="343B3B9F"/>
    <w:rsid w:val="34743E6B"/>
    <w:rsid w:val="348E566F"/>
    <w:rsid w:val="35194879"/>
    <w:rsid w:val="35C82D02"/>
    <w:rsid w:val="37D81198"/>
    <w:rsid w:val="3A226944"/>
    <w:rsid w:val="3AA11DF7"/>
    <w:rsid w:val="3AEE6A48"/>
    <w:rsid w:val="3C1620AA"/>
    <w:rsid w:val="3CC444DE"/>
    <w:rsid w:val="3D8F080F"/>
    <w:rsid w:val="3DFC23BF"/>
    <w:rsid w:val="3EB97232"/>
    <w:rsid w:val="40603420"/>
    <w:rsid w:val="41AC3C47"/>
    <w:rsid w:val="441B1DA3"/>
    <w:rsid w:val="444B6798"/>
    <w:rsid w:val="44CE1FA4"/>
    <w:rsid w:val="45581E68"/>
    <w:rsid w:val="467D29B3"/>
    <w:rsid w:val="46BE2FA5"/>
    <w:rsid w:val="47420012"/>
    <w:rsid w:val="487F73ED"/>
    <w:rsid w:val="48B83B4E"/>
    <w:rsid w:val="49B67270"/>
    <w:rsid w:val="4A347EAE"/>
    <w:rsid w:val="4AE66A74"/>
    <w:rsid w:val="4AED75C9"/>
    <w:rsid w:val="4C6444B7"/>
    <w:rsid w:val="4CD00C1E"/>
    <w:rsid w:val="4DB67E88"/>
    <w:rsid w:val="4E670C34"/>
    <w:rsid w:val="4F8008E6"/>
    <w:rsid w:val="52600405"/>
    <w:rsid w:val="529B4319"/>
    <w:rsid w:val="53B054E6"/>
    <w:rsid w:val="53C46F4A"/>
    <w:rsid w:val="54B45A63"/>
    <w:rsid w:val="554B53C7"/>
    <w:rsid w:val="559F6509"/>
    <w:rsid w:val="55F978CA"/>
    <w:rsid w:val="5717172A"/>
    <w:rsid w:val="57773DD6"/>
    <w:rsid w:val="578B79AB"/>
    <w:rsid w:val="57A55C8E"/>
    <w:rsid w:val="598562BB"/>
    <w:rsid w:val="5A3172F7"/>
    <w:rsid w:val="5AA975FC"/>
    <w:rsid w:val="5BAB4E88"/>
    <w:rsid w:val="5BDE51B4"/>
    <w:rsid w:val="5CCD3FD5"/>
    <w:rsid w:val="5CDD63F2"/>
    <w:rsid w:val="5D0F4491"/>
    <w:rsid w:val="5FE80FB8"/>
    <w:rsid w:val="60021C14"/>
    <w:rsid w:val="607F3E4D"/>
    <w:rsid w:val="6191744E"/>
    <w:rsid w:val="61FA5F9D"/>
    <w:rsid w:val="625C3231"/>
    <w:rsid w:val="62CE0E8F"/>
    <w:rsid w:val="63207B90"/>
    <w:rsid w:val="634565FF"/>
    <w:rsid w:val="64CD6910"/>
    <w:rsid w:val="65B56899"/>
    <w:rsid w:val="66BD5A21"/>
    <w:rsid w:val="67285D3E"/>
    <w:rsid w:val="6789158D"/>
    <w:rsid w:val="67D81BA4"/>
    <w:rsid w:val="683C4672"/>
    <w:rsid w:val="68AC68E4"/>
    <w:rsid w:val="68C360AA"/>
    <w:rsid w:val="68DB70FF"/>
    <w:rsid w:val="69657395"/>
    <w:rsid w:val="6A9C5983"/>
    <w:rsid w:val="6AAF1C96"/>
    <w:rsid w:val="6D4B353E"/>
    <w:rsid w:val="6D5B2BF6"/>
    <w:rsid w:val="6F8F1ADC"/>
    <w:rsid w:val="70E517F1"/>
    <w:rsid w:val="71497C80"/>
    <w:rsid w:val="7189314C"/>
    <w:rsid w:val="72E25830"/>
    <w:rsid w:val="73634B68"/>
    <w:rsid w:val="75681757"/>
    <w:rsid w:val="75A346A8"/>
    <w:rsid w:val="773A5791"/>
    <w:rsid w:val="77EF2BA7"/>
    <w:rsid w:val="78F721E3"/>
    <w:rsid w:val="79B9382C"/>
    <w:rsid w:val="7A290AAD"/>
    <w:rsid w:val="7A7F0786"/>
    <w:rsid w:val="7A9B4EDD"/>
    <w:rsid w:val="7AE70722"/>
    <w:rsid w:val="7B043B76"/>
    <w:rsid w:val="7B4C55AB"/>
    <w:rsid w:val="7C002C82"/>
    <w:rsid w:val="7C041A6A"/>
    <w:rsid w:val="7CB37C7D"/>
    <w:rsid w:val="7CF83A2D"/>
    <w:rsid w:val="7E327570"/>
    <w:rsid w:val="7EA93C65"/>
    <w:rsid w:val="7EBE5986"/>
    <w:rsid w:val="7EC37023"/>
    <w:rsid w:val="7F023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unhideWhenUsed/>
    <w:qFormat/>
    <w:uiPriority w:val="99"/>
  </w:style>
  <w:style w:type="character" w:customStyle="1" w:styleId="11">
    <w:name w:val="页眉 Char"/>
    <w:basedOn w:val="9"/>
    <w:link w:val="6"/>
    <w:qFormat/>
    <w:uiPriority w:val="99"/>
    <w:rPr>
      <w:rFonts w:asciiTheme="minorHAnsi" w:hAnsiTheme="minorHAnsi" w:eastAsiaTheme="minorEastAsia"/>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5">
    <w:name w:val="font41"/>
    <w:basedOn w:val="9"/>
    <w:qFormat/>
    <w:uiPriority w:val="0"/>
    <w:rPr>
      <w:rFonts w:hint="eastAsia" w:ascii="宋体" w:hAnsi="宋体" w:eastAsia="宋体" w:cs="宋体"/>
      <w:color w:val="000000"/>
      <w:sz w:val="16"/>
      <w:szCs w:val="16"/>
      <w:u w:val="none"/>
    </w:rPr>
  </w:style>
  <w:style w:type="character" w:customStyle="1" w:styleId="16">
    <w:name w:val="font101"/>
    <w:basedOn w:val="9"/>
    <w:qFormat/>
    <w:uiPriority w:val="0"/>
    <w:rPr>
      <w:rFonts w:ascii="Calibri" w:hAnsi="Calibri" w:cs="Calibri"/>
      <w:color w:val="000000"/>
      <w:sz w:val="16"/>
      <w:szCs w:val="16"/>
      <w:u w:val="none"/>
    </w:rPr>
  </w:style>
  <w:style w:type="character" w:customStyle="1" w:styleId="17">
    <w:name w:val="font71"/>
    <w:basedOn w:val="9"/>
    <w:qFormat/>
    <w:uiPriority w:val="0"/>
    <w:rPr>
      <w:rFonts w:ascii="Arial Unicode MS" w:hAnsi="Arial Unicode MS" w:eastAsia="Arial Unicode MS" w:cs="Arial Unicode MS"/>
      <w:color w:val="000000"/>
      <w:sz w:val="16"/>
      <w:szCs w:val="16"/>
      <w:u w:val="none"/>
    </w:rPr>
  </w:style>
  <w:style w:type="character" w:customStyle="1" w:styleId="18">
    <w:name w:val="font51"/>
    <w:basedOn w:val="9"/>
    <w:qFormat/>
    <w:uiPriority w:val="0"/>
    <w:rPr>
      <w:rFonts w:hint="default" w:ascii="Calibri" w:hAnsi="Calibri" w:cs="Calibri"/>
      <w:color w:val="000000"/>
      <w:sz w:val="21"/>
      <w:szCs w:val="21"/>
      <w:u w:val="none"/>
    </w:rPr>
  </w:style>
  <w:style w:type="character" w:customStyle="1" w:styleId="19">
    <w:name w:val="font31"/>
    <w:basedOn w:val="9"/>
    <w:qFormat/>
    <w:uiPriority w:val="0"/>
    <w:rPr>
      <w:rFonts w:hint="eastAsia" w:ascii="宋体" w:hAnsi="宋体" w:eastAsia="宋体" w:cs="宋体"/>
      <w:color w:val="000000"/>
      <w:sz w:val="16"/>
      <w:szCs w:val="16"/>
      <w:u w:val="none"/>
    </w:rPr>
  </w:style>
  <w:style w:type="character" w:customStyle="1" w:styleId="20">
    <w:name w:val="font111"/>
    <w:basedOn w:val="9"/>
    <w:qFormat/>
    <w:uiPriority w:val="0"/>
    <w:rPr>
      <w:rFonts w:ascii="Calibri" w:hAnsi="Calibri" w:cs="Calibri"/>
      <w:color w:val="000000"/>
      <w:sz w:val="16"/>
      <w:szCs w:val="16"/>
      <w:u w:val="none"/>
    </w:rPr>
  </w:style>
  <w:style w:type="character" w:customStyle="1" w:styleId="21">
    <w:name w:val="font61"/>
    <w:basedOn w:val="9"/>
    <w:qFormat/>
    <w:uiPriority w:val="0"/>
    <w:rPr>
      <w:rFonts w:ascii="Arial Unicode MS" w:hAnsi="Arial Unicode MS" w:eastAsia="Arial Unicode MS" w:cs="Arial Unicode MS"/>
      <w:color w:val="000000"/>
      <w:sz w:val="16"/>
      <w:szCs w:val="16"/>
      <w:u w:val="none"/>
    </w:rPr>
  </w:style>
  <w:style w:type="character" w:customStyle="1" w:styleId="22">
    <w:name w:val="font91"/>
    <w:basedOn w:val="9"/>
    <w:qFormat/>
    <w:uiPriority w:val="0"/>
    <w:rPr>
      <w:rFonts w:hint="eastAsia" w:ascii="宋体" w:hAnsi="宋体" w:eastAsia="宋体" w:cs="宋体"/>
      <w:color w:val="000000"/>
      <w:sz w:val="16"/>
      <w:szCs w:val="16"/>
      <w:u w:val="none"/>
    </w:rPr>
  </w:style>
  <w:style w:type="character" w:customStyle="1" w:styleId="23">
    <w:name w:val="font11"/>
    <w:basedOn w:val="9"/>
    <w:qFormat/>
    <w:uiPriority w:val="0"/>
    <w:rPr>
      <w:rFonts w:ascii="Arial Unicode MS" w:hAnsi="Arial Unicode MS" w:eastAsia="Arial Unicode MS" w:cs="Arial Unicode MS"/>
      <w:color w:val="000000"/>
      <w:sz w:val="16"/>
      <w:szCs w:val="16"/>
      <w:u w:val="none"/>
    </w:rPr>
  </w:style>
  <w:style w:type="character" w:customStyle="1" w:styleId="24">
    <w:name w:val="font2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GIF"/><Relationship Id="rId27" Type="http://schemas.openxmlformats.org/officeDocument/2006/relationships/theme" Target="theme/theme1.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B89E2-0FBD-4E8E-8DE5-3F70B4A3C235}">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http://www.windows89.com/</Company>
  <Pages>50</Pages>
  <Words>22061</Words>
  <Characters>4423</Characters>
  <Lines>36</Lines>
  <Paragraphs>52</Paragraphs>
  <TotalTime>0</TotalTime>
  <ScaleCrop>false</ScaleCrop>
  <LinksUpToDate>false</LinksUpToDate>
  <CharactersWithSpaces>26432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2020-09-08T00:16:00Z</cp:lastPrinted>
  <dcterms:modified xsi:type="dcterms:W3CDTF">2023-11-02T05:06:01Z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A7B1E4EFCFD44886BE237A4BEA22810A</vt:lpwstr>
  </property>
</Properties>
</file>