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E71A6">
      <w:pPr>
        <w:jc w:val="center"/>
        <w:rPr>
          <w:rFonts w:hint="eastAsia"/>
          <w:lang w:val="en-US" w:eastAsia="zh-CN"/>
        </w:rPr>
      </w:pPr>
      <w:r>
        <w:rPr>
          <w:rFonts w:hint="eastAsia" w:ascii="方正小标宋简体" w:hAnsi="方正小标宋简体" w:eastAsia="方正小标宋简体" w:cs="方正小标宋简体"/>
          <w:sz w:val="36"/>
          <w:szCs w:val="36"/>
          <w:lang w:val="en-US" w:eastAsia="zh-CN"/>
        </w:rPr>
        <w:t>2026年财政帮扶资金项目（产业及其他）实施计划表</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1245"/>
        <w:gridCol w:w="1016"/>
        <w:gridCol w:w="941"/>
        <w:gridCol w:w="4773"/>
        <w:gridCol w:w="872"/>
        <w:gridCol w:w="1282"/>
        <w:gridCol w:w="1064"/>
        <w:gridCol w:w="2073"/>
        <w:gridCol w:w="1010"/>
      </w:tblGrid>
      <w:tr w14:paraId="7D89B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986" w:type="dxa"/>
            <w:vAlign w:val="center"/>
          </w:tcPr>
          <w:p w14:paraId="7090C15F">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序号</w:t>
            </w:r>
          </w:p>
        </w:tc>
        <w:tc>
          <w:tcPr>
            <w:tcW w:w="1245" w:type="dxa"/>
            <w:vAlign w:val="center"/>
          </w:tcPr>
          <w:p w14:paraId="4D5EADEA">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项目</w:t>
            </w:r>
          </w:p>
          <w:p w14:paraId="51C4F758">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名称</w:t>
            </w:r>
          </w:p>
        </w:tc>
        <w:tc>
          <w:tcPr>
            <w:tcW w:w="1016" w:type="dxa"/>
            <w:vAlign w:val="center"/>
          </w:tcPr>
          <w:p w14:paraId="074D56D7">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实施</w:t>
            </w:r>
          </w:p>
          <w:p w14:paraId="690F5386">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地点</w:t>
            </w:r>
          </w:p>
        </w:tc>
        <w:tc>
          <w:tcPr>
            <w:tcW w:w="941" w:type="dxa"/>
            <w:vAlign w:val="center"/>
          </w:tcPr>
          <w:p w14:paraId="28A0274E">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实施</w:t>
            </w:r>
          </w:p>
          <w:p w14:paraId="5429DD99">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期限</w:t>
            </w:r>
          </w:p>
        </w:tc>
        <w:tc>
          <w:tcPr>
            <w:tcW w:w="4773" w:type="dxa"/>
            <w:vAlign w:val="center"/>
          </w:tcPr>
          <w:p w14:paraId="6EF173BD">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主要内容和</w:t>
            </w:r>
          </w:p>
          <w:p w14:paraId="230BCC1E">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补助标准</w:t>
            </w:r>
          </w:p>
        </w:tc>
        <w:tc>
          <w:tcPr>
            <w:tcW w:w="872" w:type="dxa"/>
            <w:vAlign w:val="center"/>
          </w:tcPr>
          <w:p w14:paraId="0772EF8F">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项目主</w:t>
            </w:r>
          </w:p>
          <w:p w14:paraId="0A2FA0A9">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管部门</w:t>
            </w:r>
          </w:p>
        </w:tc>
        <w:tc>
          <w:tcPr>
            <w:tcW w:w="1282" w:type="dxa"/>
            <w:vAlign w:val="center"/>
          </w:tcPr>
          <w:p w14:paraId="6E830880">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项目实施单位及负责人</w:t>
            </w:r>
          </w:p>
        </w:tc>
        <w:tc>
          <w:tcPr>
            <w:tcW w:w="1064" w:type="dxa"/>
            <w:vAlign w:val="center"/>
          </w:tcPr>
          <w:p w14:paraId="3D99780C">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资金来源</w:t>
            </w:r>
          </w:p>
          <w:p w14:paraId="49A54DF5">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及规模</w:t>
            </w:r>
          </w:p>
        </w:tc>
        <w:tc>
          <w:tcPr>
            <w:tcW w:w="2073" w:type="dxa"/>
            <w:vAlign w:val="center"/>
          </w:tcPr>
          <w:p w14:paraId="4A26C45C">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绩效目标</w:t>
            </w:r>
          </w:p>
        </w:tc>
        <w:tc>
          <w:tcPr>
            <w:tcW w:w="1010" w:type="dxa"/>
            <w:vAlign w:val="center"/>
          </w:tcPr>
          <w:p w14:paraId="411CF93C">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利益联</w:t>
            </w:r>
          </w:p>
          <w:p w14:paraId="74C72A37">
            <w:pPr>
              <w:jc w:val="center"/>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结机制</w:t>
            </w:r>
          </w:p>
        </w:tc>
      </w:tr>
      <w:tr w14:paraId="025F1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3" w:hRule="atLeast"/>
        </w:trPr>
        <w:tc>
          <w:tcPr>
            <w:tcW w:w="986" w:type="dxa"/>
            <w:vAlign w:val="center"/>
          </w:tcPr>
          <w:p w14:paraId="419816DC">
            <w:pPr>
              <w:widowControl/>
              <w:spacing w:line="220" w:lineRule="exact"/>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lang w:val="en-US" w:eastAsia="zh-CN" w:bidi="ar"/>
              </w:rPr>
              <w:t>1</w:t>
            </w:r>
          </w:p>
        </w:tc>
        <w:tc>
          <w:tcPr>
            <w:tcW w:w="1245" w:type="dxa"/>
            <w:vAlign w:val="center"/>
          </w:tcPr>
          <w:p w14:paraId="46ED34F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大汇河杂粮主食生产车间项目（一期）</w:t>
            </w:r>
          </w:p>
        </w:tc>
        <w:tc>
          <w:tcPr>
            <w:tcW w:w="1016" w:type="dxa"/>
            <w:vAlign w:val="center"/>
          </w:tcPr>
          <w:p w14:paraId="212DD0B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双山子镇大汇河村</w:t>
            </w:r>
          </w:p>
        </w:tc>
        <w:tc>
          <w:tcPr>
            <w:tcW w:w="941" w:type="dxa"/>
            <w:vAlign w:val="center"/>
          </w:tcPr>
          <w:p w14:paraId="5C10D22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2026年</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12月</w:t>
            </w:r>
          </w:p>
        </w:tc>
        <w:tc>
          <w:tcPr>
            <w:tcW w:w="4773" w:type="dxa"/>
            <w:vAlign w:val="center"/>
          </w:tcPr>
          <w:p w14:paraId="3672A936">
            <w:pPr>
              <w:keepNext w:val="0"/>
              <w:keepLines w:val="0"/>
              <w:widowControl/>
              <w:suppressLineNumbers w:val="0"/>
              <w:jc w:val="left"/>
              <w:textAlignment w:val="center"/>
              <w:rPr>
                <w:rStyle w:val="15"/>
                <w:rFonts w:hint="eastAsia" w:ascii="仿宋" w:hAnsi="仿宋" w:eastAsia="仿宋" w:cs="仿宋"/>
                <w:color w:val="auto"/>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依托秦皇岛市在旗食品有限公司实施大汇河杂粮主食生产车间项目（一期），配套购置安装自研老面工艺杂粮主食（黄馍馍、黄米馒头、老面杂粮豆包等产品）生产车间设施设备共计109台（套）。项目计划按照投入帮扶资金的6%形成资产收益金，由县级统筹安排，用于巩固拓展脱贫攻坚成果和乡村振兴，所形成的固定资产产权归村集体。项目通过资产收益、务工就业、产业带动等联农带农方式提升农业综合效益，预计受益农户7000户以上</w:t>
            </w:r>
          </w:p>
        </w:tc>
        <w:tc>
          <w:tcPr>
            <w:tcW w:w="872" w:type="dxa"/>
            <w:vAlign w:val="center"/>
          </w:tcPr>
          <w:p w14:paraId="670F37A6">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农业农村局</w:t>
            </w:r>
          </w:p>
        </w:tc>
        <w:tc>
          <w:tcPr>
            <w:tcW w:w="1282" w:type="dxa"/>
            <w:vAlign w:val="center"/>
          </w:tcPr>
          <w:p w14:paraId="7E33C05E">
            <w:pPr>
              <w:keepNext w:val="0"/>
              <w:keepLines w:val="0"/>
              <w:widowControl/>
              <w:suppressLineNumbers w:val="0"/>
              <w:jc w:val="center"/>
              <w:textAlignment w:val="center"/>
              <w:rPr>
                <w:rStyle w:val="15"/>
                <w:rFonts w:hint="eastAsia" w:ascii="仿宋" w:hAnsi="仿宋" w:eastAsia="仿宋" w:cs="仿宋"/>
                <w:color w:val="auto"/>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秦皇岛市在旗食品有限公司/张明菁</w:t>
            </w:r>
          </w:p>
        </w:tc>
        <w:tc>
          <w:tcPr>
            <w:tcW w:w="1064" w:type="dxa"/>
            <w:vAlign w:val="center"/>
          </w:tcPr>
          <w:p w14:paraId="1C188295">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2026年财政帮扶资金5000万元</w:t>
            </w:r>
          </w:p>
        </w:tc>
        <w:tc>
          <w:tcPr>
            <w:tcW w:w="2073" w:type="dxa"/>
            <w:vAlign w:val="center"/>
          </w:tcPr>
          <w:p w14:paraId="3728554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项目运行投产后，预计年可为市场提供1.4万吨老面工艺杂粮主食，年实现销售收入16800万元。通过资产收益、务工就业、产业带动等促进农户增加收入，受益农户7000户以上</w:t>
            </w:r>
          </w:p>
        </w:tc>
        <w:tc>
          <w:tcPr>
            <w:tcW w:w="1010" w:type="dxa"/>
            <w:vAlign w:val="center"/>
          </w:tcPr>
          <w:p w14:paraId="619BD662">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资产收益、务工就业、产业带动等</w:t>
            </w:r>
          </w:p>
        </w:tc>
      </w:tr>
      <w:tr w14:paraId="5F9AD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4" w:hRule="atLeast"/>
        </w:trPr>
        <w:tc>
          <w:tcPr>
            <w:tcW w:w="986" w:type="dxa"/>
            <w:vAlign w:val="center"/>
          </w:tcPr>
          <w:p w14:paraId="7ACE2B7E">
            <w:pPr>
              <w:keepNext w:val="0"/>
              <w:keepLines w:val="0"/>
              <w:widowControl/>
              <w:suppressLineNumbers w:val="0"/>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i w:val="0"/>
                <w:iCs w:val="0"/>
                <w:color w:val="auto"/>
                <w:kern w:val="0"/>
                <w:sz w:val="21"/>
                <w:szCs w:val="21"/>
                <w:u w:val="none"/>
                <w:lang w:val="en-US" w:eastAsia="zh-CN" w:bidi="ar"/>
              </w:rPr>
              <w:t>2</w:t>
            </w:r>
          </w:p>
        </w:tc>
        <w:tc>
          <w:tcPr>
            <w:tcW w:w="1245" w:type="dxa"/>
            <w:vAlign w:val="center"/>
          </w:tcPr>
          <w:p w14:paraId="2C1BCCF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农产品加工及收储项目（二期）</w:t>
            </w:r>
          </w:p>
        </w:tc>
        <w:tc>
          <w:tcPr>
            <w:tcW w:w="1016" w:type="dxa"/>
            <w:vAlign w:val="center"/>
          </w:tcPr>
          <w:p w14:paraId="5D7CE25B">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祖山镇</w:t>
            </w:r>
          </w:p>
          <w:p w14:paraId="5AAFBC7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牛心山村</w:t>
            </w:r>
          </w:p>
        </w:tc>
        <w:tc>
          <w:tcPr>
            <w:tcW w:w="941" w:type="dxa"/>
            <w:vAlign w:val="center"/>
          </w:tcPr>
          <w:p w14:paraId="5C58503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2026年</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12月</w:t>
            </w:r>
          </w:p>
        </w:tc>
        <w:tc>
          <w:tcPr>
            <w:tcW w:w="4773" w:type="dxa"/>
            <w:vAlign w:val="center"/>
          </w:tcPr>
          <w:p w14:paraId="0266CD98">
            <w:pPr>
              <w:keepNext w:val="0"/>
              <w:keepLines w:val="0"/>
              <w:widowControl/>
              <w:suppressLineNumbers w:val="0"/>
              <w:jc w:val="left"/>
              <w:textAlignment w:val="center"/>
              <w:rPr>
                <w:rStyle w:val="15"/>
                <w:rFonts w:hint="eastAsia" w:ascii="仿宋" w:hAnsi="仿宋" w:eastAsia="仿宋" w:cs="仿宋"/>
                <w:color w:val="auto"/>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依托秦皇岛乾广农业科技有限公司实施农产品加工及收储项目（二期），新建农产品加工车间10000㎡、冷库、冷藏库、仓库10000m³，购置安装相关设施设备35（台/套），配套室外硬化、围墙、大门、变电室、消防水池、污水处理等设施设备和管网接入等。项目计划按照投入帮扶资金的6%形成资产收益金，由县级统筹安排，用于巩固拓展脱贫攻坚成果和乡村振兴，所形成的固定资产产权归村集体。项目通过资产收益、务工就业、产业带动等联农带农方式提升农业综合效益，预计受益农户2700户以上。</w:t>
            </w:r>
          </w:p>
        </w:tc>
        <w:tc>
          <w:tcPr>
            <w:tcW w:w="872" w:type="dxa"/>
            <w:vAlign w:val="center"/>
          </w:tcPr>
          <w:p w14:paraId="74720B87">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农业农村局</w:t>
            </w:r>
          </w:p>
        </w:tc>
        <w:tc>
          <w:tcPr>
            <w:tcW w:w="1282" w:type="dxa"/>
            <w:vAlign w:val="center"/>
          </w:tcPr>
          <w:p w14:paraId="3A0E7333">
            <w:pPr>
              <w:keepNext w:val="0"/>
              <w:keepLines w:val="0"/>
              <w:widowControl/>
              <w:suppressLineNumbers w:val="0"/>
              <w:jc w:val="center"/>
              <w:textAlignment w:val="center"/>
              <w:rPr>
                <w:rStyle w:val="15"/>
                <w:rFonts w:hint="eastAsia" w:ascii="仿宋" w:hAnsi="仿宋" w:eastAsia="仿宋" w:cs="仿宋"/>
                <w:color w:val="auto"/>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秦皇岛乾广农业科技有限公司/杨超</w:t>
            </w:r>
          </w:p>
        </w:tc>
        <w:tc>
          <w:tcPr>
            <w:tcW w:w="1064" w:type="dxa"/>
            <w:vAlign w:val="center"/>
          </w:tcPr>
          <w:p w14:paraId="7BC94E90">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2026年财政帮扶资2000万元</w:t>
            </w:r>
          </w:p>
        </w:tc>
        <w:tc>
          <w:tcPr>
            <w:tcW w:w="2073" w:type="dxa"/>
            <w:vAlign w:val="center"/>
          </w:tcPr>
          <w:p w14:paraId="1854FD2E">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项目建成投产后，年可加工收储板栗、山楂、玉米、南瓜、红薯等4000吨以上，年销售收入达8000万元以上，通过资产收益、务工就业、产业带动等促进农户增加收入，受益农户2700户以上。</w:t>
            </w:r>
          </w:p>
        </w:tc>
        <w:tc>
          <w:tcPr>
            <w:tcW w:w="1010" w:type="dxa"/>
            <w:vAlign w:val="center"/>
          </w:tcPr>
          <w:p w14:paraId="00E45599">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资产收益、务工就业、产业带动等</w:t>
            </w:r>
          </w:p>
        </w:tc>
      </w:tr>
      <w:tr w14:paraId="3DEEE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1" w:hRule="atLeast"/>
        </w:trPr>
        <w:tc>
          <w:tcPr>
            <w:tcW w:w="986" w:type="dxa"/>
            <w:vAlign w:val="center"/>
          </w:tcPr>
          <w:p w14:paraId="13273E10">
            <w:pPr>
              <w:widowControl/>
              <w:spacing w:line="220" w:lineRule="exact"/>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lang w:val="en-US" w:eastAsia="zh-CN" w:bidi="ar"/>
              </w:rPr>
              <w:t>3</w:t>
            </w:r>
          </w:p>
        </w:tc>
        <w:tc>
          <w:tcPr>
            <w:tcW w:w="1245" w:type="dxa"/>
            <w:vAlign w:val="center"/>
          </w:tcPr>
          <w:p w14:paraId="5856B82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农产品冷藏保鲜及加工项目</w:t>
            </w:r>
          </w:p>
        </w:tc>
        <w:tc>
          <w:tcPr>
            <w:tcW w:w="1016" w:type="dxa"/>
            <w:vAlign w:val="center"/>
          </w:tcPr>
          <w:p w14:paraId="65F3B34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隔河头镇</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土胡同村</w:t>
            </w:r>
          </w:p>
        </w:tc>
        <w:tc>
          <w:tcPr>
            <w:tcW w:w="941" w:type="dxa"/>
            <w:vAlign w:val="center"/>
          </w:tcPr>
          <w:p w14:paraId="4FAFC22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2026年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4773" w:type="dxa"/>
            <w:vAlign w:val="center"/>
          </w:tcPr>
          <w:p w14:paraId="4B50B672">
            <w:pPr>
              <w:keepNext w:val="0"/>
              <w:keepLines w:val="0"/>
              <w:widowControl/>
              <w:suppressLineNumbers w:val="0"/>
              <w:jc w:val="left"/>
              <w:textAlignment w:val="center"/>
              <w:rPr>
                <w:rStyle w:val="15"/>
                <w:rFonts w:hint="eastAsia" w:ascii="仿宋" w:hAnsi="仿宋" w:eastAsia="仿宋" w:cs="仿宋"/>
                <w:color w:val="auto"/>
                <w:sz w:val="21"/>
                <w:szCs w:val="21"/>
                <w:lang w:val="en-US" w:eastAsia="zh-CN" w:bidi="ar"/>
              </w:rPr>
            </w:pPr>
            <w:r>
              <w:rPr>
                <w:rFonts w:hint="eastAsia" w:ascii="仿宋" w:hAnsi="仿宋" w:eastAsia="仿宋" w:cs="仿宋"/>
                <w:i w:val="0"/>
                <w:iCs w:val="0"/>
                <w:color w:val="auto"/>
                <w:kern w:val="0"/>
                <w:sz w:val="21"/>
                <w:szCs w:val="21"/>
                <w:u w:val="none"/>
                <w:lang w:val="en-US" w:eastAsia="zh-CN" w:bidi="ar"/>
              </w:rPr>
              <w:t>依托青龙满族自治县万隆贸易有限责任公司实施农产品冷藏保鲜及加工项目，新建3000吨农产品冷藏保鲜库1座、15吨速冻库1座、板栗高温缓化车间200平方米、板栗小包装生产车间300平方米、板栗生产车间500平方米，建设外包装库、周转库200平方米，购置安装相关设施设备及给排水、消防等配套设施设备。项目计划按照投入帮扶资金的6%形成资产收益金，由县级统筹安排，用于巩固拓展脱贫攻坚成果和乡村振兴，所形成的固定资产产权归村集体。项目通过资产收益、务工就业、产业带动等联农带农方式提升农业综合效益，预计受益农户2000户以上.</w:t>
            </w:r>
          </w:p>
        </w:tc>
        <w:tc>
          <w:tcPr>
            <w:tcW w:w="872" w:type="dxa"/>
            <w:vAlign w:val="center"/>
          </w:tcPr>
          <w:p w14:paraId="31585DA3">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农业农村局</w:t>
            </w:r>
          </w:p>
        </w:tc>
        <w:tc>
          <w:tcPr>
            <w:tcW w:w="1282" w:type="dxa"/>
            <w:vAlign w:val="center"/>
          </w:tcPr>
          <w:p w14:paraId="4F982748">
            <w:pPr>
              <w:keepNext w:val="0"/>
              <w:keepLines w:val="0"/>
              <w:widowControl/>
              <w:suppressLineNumbers w:val="0"/>
              <w:jc w:val="center"/>
              <w:textAlignment w:val="center"/>
              <w:rPr>
                <w:rStyle w:val="15"/>
                <w:rFonts w:hint="eastAsia" w:ascii="仿宋" w:hAnsi="仿宋" w:eastAsia="仿宋" w:cs="仿宋"/>
                <w:color w:val="auto"/>
                <w:sz w:val="21"/>
                <w:szCs w:val="21"/>
                <w:lang w:val="en-US" w:eastAsia="zh-CN" w:bidi="ar"/>
              </w:rPr>
            </w:pPr>
            <w:r>
              <w:rPr>
                <w:rFonts w:hint="eastAsia" w:ascii="仿宋" w:hAnsi="仿宋" w:eastAsia="仿宋" w:cs="仿宋"/>
                <w:i w:val="0"/>
                <w:iCs w:val="0"/>
                <w:color w:val="auto"/>
                <w:kern w:val="0"/>
                <w:sz w:val="21"/>
                <w:szCs w:val="21"/>
                <w:u w:val="none"/>
                <w:lang w:val="en-US" w:eastAsia="zh-CN" w:bidi="ar"/>
              </w:rPr>
              <w:t>青龙满族自治县万隆贸易有限责任公司/刘万誉</w:t>
            </w:r>
          </w:p>
        </w:tc>
        <w:tc>
          <w:tcPr>
            <w:tcW w:w="1064" w:type="dxa"/>
            <w:vAlign w:val="center"/>
          </w:tcPr>
          <w:p w14:paraId="2FE5EE68">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2026年财政帮扶资金1200万元</w:t>
            </w:r>
          </w:p>
        </w:tc>
        <w:tc>
          <w:tcPr>
            <w:tcW w:w="2073" w:type="dxa"/>
            <w:vAlign w:val="center"/>
          </w:tcPr>
          <w:p w14:paraId="49E89A6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项目建成后，年可收购加工板栗、山楂、苹果、梨、南瓜等农产品能力5000吨，加工农产品4000吨。增加仓储能力2500吨，实现销售收入8000万元通过资产收益、务工就业、产业带动等促进农户增收，受益农户2000户以上。</w:t>
            </w:r>
          </w:p>
        </w:tc>
        <w:tc>
          <w:tcPr>
            <w:tcW w:w="1010" w:type="dxa"/>
            <w:vAlign w:val="center"/>
          </w:tcPr>
          <w:p w14:paraId="73A6EE02">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 xml:space="preserve">资产收益、务工就业、产业带动等 </w:t>
            </w:r>
          </w:p>
        </w:tc>
      </w:tr>
      <w:tr w14:paraId="52134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0" w:hRule="atLeast"/>
        </w:trPr>
        <w:tc>
          <w:tcPr>
            <w:tcW w:w="986" w:type="dxa"/>
            <w:vAlign w:val="center"/>
          </w:tcPr>
          <w:p w14:paraId="09418589">
            <w:pPr>
              <w:keepNext w:val="0"/>
              <w:keepLines w:val="0"/>
              <w:widowControl/>
              <w:suppressLineNumbers w:val="0"/>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i w:val="0"/>
                <w:iCs w:val="0"/>
                <w:color w:val="auto"/>
                <w:kern w:val="0"/>
                <w:sz w:val="21"/>
                <w:szCs w:val="21"/>
                <w:u w:val="none"/>
                <w:lang w:val="en-US" w:eastAsia="zh-CN" w:bidi="ar"/>
              </w:rPr>
              <w:t>4</w:t>
            </w:r>
          </w:p>
        </w:tc>
        <w:tc>
          <w:tcPr>
            <w:tcW w:w="1245" w:type="dxa"/>
            <w:vAlign w:val="center"/>
          </w:tcPr>
          <w:p w14:paraId="0BECFA6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香菇四季出菇棚一期项目</w:t>
            </w:r>
          </w:p>
        </w:tc>
        <w:tc>
          <w:tcPr>
            <w:tcW w:w="1016" w:type="dxa"/>
            <w:vAlign w:val="center"/>
          </w:tcPr>
          <w:p w14:paraId="76A3775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青龙镇</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大营子村</w:t>
            </w:r>
          </w:p>
        </w:tc>
        <w:tc>
          <w:tcPr>
            <w:tcW w:w="941" w:type="dxa"/>
            <w:vAlign w:val="center"/>
          </w:tcPr>
          <w:p w14:paraId="745B97F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2026年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4773" w:type="dxa"/>
            <w:vAlign w:val="center"/>
          </w:tcPr>
          <w:p w14:paraId="375D262E">
            <w:pPr>
              <w:keepNext w:val="0"/>
              <w:keepLines w:val="0"/>
              <w:widowControl/>
              <w:suppressLineNumbers w:val="0"/>
              <w:jc w:val="left"/>
              <w:textAlignment w:val="center"/>
              <w:rPr>
                <w:rStyle w:val="15"/>
                <w:rFonts w:hint="eastAsia" w:ascii="仿宋" w:hAnsi="仿宋" w:eastAsia="仿宋" w:cs="仿宋"/>
                <w:color w:val="auto"/>
                <w:sz w:val="21"/>
                <w:szCs w:val="21"/>
                <w:lang w:val="en-US" w:eastAsia="zh-CN" w:bidi="ar"/>
              </w:rPr>
            </w:pPr>
            <w:r>
              <w:rPr>
                <w:rFonts w:hint="eastAsia" w:ascii="仿宋" w:hAnsi="仿宋" w:eastAsia="仿宋" w:cs="仿宋"/>
                <w:i w:val="0"/>
                <w:iCs w:val="0"/>
                <w:color w:val="auto"/>
                <w:kern w:val="0"/>
                <w:sz w:val="21"/>
                <w:szCs w:val="21"/>
                <w:u w:val="none"/>
                <w:lang w:val="en-US" w:eastAsia="zh-CN" w:bidi="ar"/>
              </w:rPr>
              <w:t>依托秦皇岛木兰菌业股份有限公司实施香菇四季出菇棚一期项目，新建高标准四季出菇棚（椭圆管结构）41座（18450平方米）、标准化烘干房 1座（1000平方米）、保鲜库 1座（500平方米）、生活区 1处（1000平方米），配套水、电、路、机械等设施设备。项目计划按照投入帮扶资金的6%形成资产收益金，由县级统筹安排，用于巩固拓展脱贫攻坚成果和乡村振兴，所形成的固定资产产权归村集体。项目通过资产收益、务工就业、产业带动等联农带农方式提升农业综合效益，预计受益农户1700户以上。</w:t>
            </w:r>
          </w:p>
        </w:tc>
        <w:tc>
          <w:tcPr>
            <w:tcW w:w="872" w:type="dxa"/>
            <w:vAlign w:val="center"/>
          </w:tcPr>
          <w:p w14:paraId="2DE8E684">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农业农村局</w:t>
            </w:r>
          </w:p>
        </w:tc>
        <w:tc>
          <w:tcPr>
            <w:tcW w:w="1282" w:type="dxa"/>
            <w:vAlign w:val="center"/>
          </w:tcPr>
          <w:p w14:paraId="2D200683">
            <w:pPr>
              <w:keepNext w:val="0"/>
              <w:keepLines w:val="0"/>
              <w:widowControl/>
              <w:suppressLineNumbers w:val="0"/>
              <w:jc w:val="center"/>
              <w:textAlignment w:val="center"/>
              <w:rPr>
                <w:rStyle w:val="15"/>
                <w:rFonts w:hint="eastAsia" w:ascii="仿宋" w:hAnsi="仿宋" w:eastAsia="仿宋" w:cs="仿宋"/>
                <w:color w:val="auto"/>
                <w:sz w:val="21"/>
                <w:szCs w:val="21"/>
                <w:lang w:val="en-US" w:eastAsia="zh-CN" w:bidi="ar"/>
              </w:rPr>
            </w:pPr>
            <w:r>
              <w:rPr>
                <w:rFonts w:hint="eastAsia" w:ascii="仿宋" w:hAnsi="仿宋" w:eastAsia="仿宋" w:cs="仿宋"/>
                <w:i w:val="0"/>
                <w:iCs w:val="0"/>
                <w:color w:val="auto"/>
                <w:kern w:val="0"/>
                <w:sz w:val="21"/>
                <w:szCs w:val="21"/>
                <w:u w:val="none"/>
                <w:lang w:val="en-US" w:eastAsia="zh-CN" w:bidi="ar"/>
              </w:rPr>
              <w:t>秦皇岛木兰菌业股份有限公司/刘明磊</w:t>
            </w:r>
          </w:p>
        </w:tc>
        <w:tc>
          <w:tcPr>
            <w:tcW w:w="1064" w:type="dxa"/>
            <w:vAlign w:val="center"/>
          </w:tcPr>
          <w:p w14:paraId="472E3A03">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2026年财政帮扶资1200万元</w:t>
            </w:r>
          </w:p>
        </w:tc>
        <w:tc>
          <w:tcPr>
            <w:tcW w:w="2073" w:type="dxa"/>
            <w:vAlign w:val="center"/>
          </w:tcPr>
          <w:p w14:paraId="75A0598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项目运行投产后，年可生产优质香菇 950 吨，预计实现销售收入 5000 万元。通过资产收益、务工就业等带动农户增加收入，受益农户1800户以上。</w:t>
            </w:r>
          </w:p>
        </w:tc>
        <w:tc>
          <w:tcPr>
            <w:tcW w:w="1010" w:type="dxa"/>
            <w:vAlign w:val="center"/>
          </w:tcPr>
          <w:p w14:paraId="72D6614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资产收益、务工就业、订单协作等</w:t>
            </w:r>
          </w:p>
        </w:tc>
      </w:tr>
      <w:tr w14:paraId="50F98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8" w:hRule="atLeast"/>
        </w:trPr>
        <w:tc>
          <w:tcPr>
            <w:tcW w:w="986" w:type="dxa"/>
            <w:vAlign w:val="center"/>
          </w:tcPr>
          <w:p w14:paraId="6D4CFEBE">
            <w:pPr>
              <w:widowControl/>
              <w:spacing w:line="220" w:lineRule="exact"/>
              <w:jc w:val="center"/>
              <w:textAlignment w:val="center"/>
              <w:rPr>
                <w:rFonts w:hint="eastAsia" w:ascii="仿宋" w:hAnsi="仿宋" w:eastAsia="仿宋" w:cs="仿宋"/>
                <w:color w:val="auto"/>
                <w:sz w:val="21"/>
                <w:szCs w:val="21"/>
                <w:highlight w:val="none"/>
                <w:lang w:bidi="ar"/>
              </w:rPr>
            </w:pPr>
            <w:r>
              <w:rPr>
                <w:rFonts w:hint="eastAsia" w:ascii="仿宋" w:hAnsi="仿宋" w:eastAsia="仿宋" w:cs="仿宋"/>
                <w:color w:val="auto"/>
                <w:sz w:val="21"/>
                <w:szCs w:val="21"/>
                <w:lang w:bidi="ar"/>
              </w:rPr>
              <w:t>5</w:t>
            </w:r>
          </w:p>
        </w:tc>
        <w:tc>
          <w:tcPr>
            <w:tcW w:w="1245" w:type="dxa"/>
            <w:vAlign w:val="center"/>
          </w:tcPr>
          <w:p w14:paraId="266313C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豆制品加工二期扩建项目</w:t>
            </w:r>
          </w:p>
        </w:tc>
        <w:tc>
          <w:tcPr>
            <w:tcW w:w="1016" w:type="dxa"/>
            <w:vAlign w:val="center"/>
          </w:tcPr>
          <w:p w14:paraId="0965852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三拨子乡</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二拨子村</w:t>
            </w:r>
          </w:p>
        </w:tc>
        <w:tc>
          <w:tcPr>
            <w:tcW w:w="941" w:type="dxa"/>
            <w:vAlign w:val="center"/>
          </w:tcPr>
          <w:p w14:paraId="79A2550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2026年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4773" w:type="dxa"/>
            <w:vAlign w:val="center"/>
          </w:tcPr>
          <w:p w14:paraId="11C4E038">
            <w:pPr>
              <w:keepNext w:val="0"/>
              <w:keepLines w:val="0"/>
              <w:widowControl/>
              <w:suppressLineNumbers w:val="0"/>
              <w:jc w:val="left"/>
              <w:textAlignment w:val="center"/>
              <w:rPr>
                <w:rStyle w:val="15"/>
                <w:rFonts w:hint="eastAsia" w:ascii="仿宋" w:hAnsi="仿宋" w:eastAsia="仿宋" w:cs="仿宋"/>
                <w:color w:val="auto"/>
                <w:sz w:val="21"/>
                <w:szCs w:val="21"/>
                <w:lang w:val="en-US" w:eastAsia="zh-CN" w:bidi="ar"/>
              </w:rPr>
            </w:pPr>
            <w:r>
              <w:rPr>
                <w:rFonts w:hint="eastAsia" w:ascii="仿宋" w:hAnsi="仿宋" w:eastAsia="仿宋" w:cs="仿宋"/>
                <w:i w:val="0"/>
                <w:iCs w:val="0"/>
                <w:color w:val="auto"/>
                <w:kern w:val="0"/>
                <w:sz w:val="21"/>
                <w:szCs w:val="21"/>
                <w:u w:val="none"/>
                <w:lang w:val="en-US" w:eastAsia="zh-CN" w:bidi="ar"/>
              </w:rPr>
              <w:t>依托河北廊天中铭农业开发有限公司实施豆制品加工二期扩建项目，建9000㎡三层钢结构加工车间一栋（含冷库），1000吨黄豆仓库周转囤一套，污水处理板框压滤机一台，配套给水、厂区硬化等相关设施设备。项目计划按照投入帮扶资金的6%形成资产收益金，由县级统筹安排，用于巩固拓展脱贫攻坚成果和乡村振兴，所形成的固定资产产权归村集体。项目通过资产收益、务工就业、产业带动等联农带农方式提升农业综合效益，预计受益农户1700户以上。</w:t>
            </w:r>
          </w:p>
        </w:tc>
        <w:tc>
          <w:tcPr>
            <w:tcW w:w="872" w:type="dxa"/>
            <w:vAlign w:val="center"/>
          </w:tcPr>
          <w:p w14:paraId="1AD24533">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农业农村局</w:t>
            </w:r>
          </w:p>
        </w:tc>
        <w:tc>
          <w:tcPr>
            <w:tcW w:w="1282" w:type="dxa"/>
            <w:vAlign w:val="center"/>
          </w:tcPr>
          <w:p w14:paraId="043CE9B8">
            <w:pPr>
              <w:keepNext w:val="0"/>
              <w:keepLines w:val="0"/>
              <w:widowControl/>
              <w:suppressLineNumbers w:val="0"/>
              <w:jc w:val="center"/>
              <w:textAlignment w:val="center"/>
              <w:rPr>
                <w:rStyle w:val="15"/>
                <w:rFonts w:hint="eastAsia" w:ascii="仿宋" w:hAnsi="仿宋" w:eastAsia="仿宋" w:cs="仿宋"/>
                <w:color w:val="auto"/>
                <w:sz w:val="21"/>
                <w:szCs w:val="21"/>
                <w:lang w:val="en-US" w:eastAsia="zh-CN" w:bidi="ar"/>
              </w:rPr>
            </w:pPr>
            <w:r>
              <w:rPr>
                <w:rFonts w:hint="eastAsia" w:ascii="仿宋" w:hAnsi="仿宋" w:eastAsia="仿宋" w:cs="仿宋"/>
                <w:i w:val="0"/>
                <w:iCs w:val="0"/>
                <w:color w:val="auto"/>
                <w:kern w:val="0"/>
                <w:sz w:val="21"/>
                <w:szCs w:val="21"/>
                <w:u w:val="none"/>
                <w:lang w:val="en-US" w:eastAsia="zh-CN" w:bidi="ar"/>
              </w:rPr>
              <w:t>河北廊天中铭农业开发有限公司/韩永生</w:t>
            </w:r>
          </w:p>
        </w:tc>
        <w:tc>
          <w:tcPr>
            <w:tcW w:w="1064" w:type="dxa"/>
            <w:vAlign w:val="center"/>
          </w:tcPr>
          <w:p w14:paraId="0C318EE9">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2026年财政帮扶资金1000万元</w:t>
            </w:r>
          </w:p>
        </w:tc>
        <w:tc>
          <w:tcPr>
            <w:tcW w:w="2073" w:type="dxa"/>
            <w:vAlign w:val="center"/>
          </w:tcPr>
          <w:p w14:paraId="6DC508A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项目投产达效后，满负荷生产可收购加工黄豆10000吨，实现年销售额7000万元；通过资产收益、务工就业等带动农户增加收入，受益农户1700户以上。</w:t>
            </w:r>
          </w:p>
        </w:tc>
        <w:tc>
          <w:tcPr>
            <w:tcW w:w="1010" w:type="dxa"/>
            <w:vAlign w:val="center"/>
          </w:tcPr>
          <w:p w14:paraId="374AAFE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资产收益、务工就业等</w:t>
            </w:r>
          </w:p>
        </w:tc>
      </w:tr>
      <w:tr w14:paraId="64224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1" w:hRule="atLeast"/>
        </w:trPr>
        <w:tc>
          <w:tcPr>
            <w:tcW w:w="986" w:type="dxa"/>
            <w:vAlign w:val="center"/>
          </w:tcPr>
          <w:p w14:paraId="113ABE64">
            <w:pPr>
              <w:widowControl/>
              <w:spacing w:line="220" w:lineRule="exact"/>
              <w:jc w:val="center"/>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val="en-US" w:eastAsia="zh-CN" w:bidi="ar"/>
              </w:rPr>
              <w:t>6</w:t>
            </w:r>
          </w:p>
        </w:tc>
        <w:tc>
          <w:tcPr>
            <w:tcW w:w="1245" w:type="dxa"/>
            <w:vAlign w:val="center"/>
          </w:tcPr>
          <w:p w14:paraId="5A532CB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青龙电商产业园项目一期（仓库）</w:t>
            </w:r>
          </w:p>
        </w:tc>
        <w:tc>
          <w:tcPr>
            <w:tcW w:w="1016" w:type="dxa"/>
            <w:vAlign w:val="center"/>
          </w:tcPr>
          <w:p w14:paraId="41BA814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肖营子镇五指山村</w:t>
            </w:r>
          </w:p>
        </w:tc>
        <w:tc>
          <w:tcPr>
            <w:tcW w:w="941" w:type="dxa"/>
            <w:vAlign w:val="center"/>
          </w:tcPr>
          <w:p w14:paraId="2581F25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2026年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4773" w:type="dxa"/>
            <w:vAlign w:val="center"/>
          </w:tcPr>
          <w:p w14:paraId="69749B9D">
            <w:pPr>
              <w:keepNext w:val="0"/>
              <w:keepLines w:val="0"/>
              <w:widowControl/>
              <w:suppressLineNumbers w:val="0"/>
              <w:jc w:val="left"/>
              <w:textAlignment w:val="center"/>
              <w:rPr>
                <w:rStyle w:val="15"/>
                <w:rFonts w:hint="eastAsia" w:ascii="仿宋" w:hAnsi="仿宋" w:eastAsia="仿宋" w:cs="仿宋"/>
                <w:color w:val="auto"/>
                <w:sz w:val="21"/>
                <w:szCs w:val="21"/>
                <w:lang w:val="en-US" w:eastAsia="zh-CN" w:bidi="ar"/>
              </w:rPr>
            </w:pPr>
            <w:r>
              <w:rPr>
                <w:rStyle w:val="15"/>
                <w:rFonts w:hint="eastAsia" w:ascii="仿宋" w:hAnsi="仿宋" w:eastAsia="仿宋" w:cs="仿宋"/>
                <w:color w:val="auto"/>
                <w:sz w:val="21"/>
                <w:szCs w:val="21"/>
                <w:lang w:val="en-US" w:eastAsia="zh-CN" w:bidi="ar"/>
              </w:rPr>
              <w:t>依托青龙满族自治县百峰贸易有限公司实施</w:t>
            </w:r>
            <w:r>
              <w:rPr>
                <w:rFonts w:hint="eastAsia" w:ascii="仿宋" w:hAnsi="仿宋" w:eastAsia="仿宋" w:cs="仿宋"/>
                <w:i w:val="0"/>
                <w:iCs w:val="0"/>
                <w:color w:val="auto"/>
                <w:kern w:val="0"/>
                <w:sz w:val="21"/>
                <w:szCs w:val="21"/>
                <w:u w:val="none"/>
                <w:lang w:val="en-US" w:eastAsia="zh-CN" w:bidi="ar"/>
              </w:rPr>
              <w:t>青龙电商产业园项目一期（仓库）</w:t>
            </w:r>
            <w:r>
              <w:rPr>
                <w:rStyle w:val="15"/>
                <w:rFonts w:hint="eastAsia" w:ascii="仿宋" w:hAnsi="仿宋" w:eastAsia="仿宋" w:cs="仿宋"/>
                <w:color w:val="auto"/>
                <w:sz w:val="21"/>
                <w:szCs w:val="21"/>
                <w:lang w:val="en-US" w:eastAsia="zh-CN" w:bidi="ar"/>
              </w:rPr>
              <w:t>，新建农产品仓储库1370㎡，购置安装智能挑选机、冰栗生产和蒸烤设备、巧固架等设施设备。项目计划按照投入帮扶资金的6%形成资产收益金，由县级统筹安排，用于巩固拓展脱贫攻坚成果和乡村振兴，所形成的固定资产产权归村集体。项目通过资产收益、务工就业、产业带动等联农带农方式提升农业综合效益，预计受益农户1500户以上</w:t>
            </w:r>
          </w:p>
        </w:tc>
        <w:tc>
          <w:tcPr>
            <w:tcW w:w="872" w:type="dxa"/>
            <w:vAlign w:val="center"/>
          </w:tcPr>
          <w:p w14:paraId="055D7B4C">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农业农村局</w:t>
            </w:r>
          </w:p>
        </w:tc>
        <w:tc>
          <w:tcPr>
            <w:tcW w:w="1282" w:type="dxa"/>
            <w:vAlign w:val="center"/>
          </w:tcPr>
          <w:p w14:paraId="46D08B38">
            <w:pPr>
              <w:keepNext w:val="0"/>
              <w:keepLines w:val="0"/>
              <w:widowControl/>
              <w:suppressLineNumbers w:val="0"/>
              <w:jc w:val="center"/>
              <w:textAlignment w:val="center"/>
              <w:rPr>
                <w:rStyle w:val="15"/>
                <w:rFonts w:hint="eastAsia" w:ascii="仿宋" w:hAnsi="仿宋" w:eastAsia="仿宋" w:cs="仿宋"/>
                <w:color w:val="auto"/>
                <w:sz w:val="21"/>
                <w:szCs w:val="21"/>
                <w:lang w:val="en-US" w:eastAsia="zh-CN" w:bidi="ar"/>
              </w:rPr>
            </w:pPr>
            <w:r>
              <w:rPr>
                <w:rStyle w:val="15"/>
                <w:rFonts w:hint="eastAsia" w:ascii="仿宋" w:hAnsi="仿宋" w:eastAsia="仿宋" w:cs="仿宋"/>
                <w:color w:val="auto"/>
                <w:sz w:val="21"/>
                <w:szCs w:val="21"/>
                <w:lang w:val="en-US" w:eastAsia="zh-CN" w:bidi="ar"/>
              </w:rPr>
              <w:t>青龙满族自治县百峰贸易有限公司/张玉成</w:t>
            </w:r>
          </w:p>
        </w:tc>
        <w:tc>
          <w:tcPr>
            <w:tcW w:w="1064" w:type="dxa"/>
            <w:vAlign w:val="center"/>
          </w:tcPr>
          <w:p w14:paraId="30814DF2">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2026年财政帮扶资金1000万元</w:t>
            </w:r>
          </w:p>
        </w:tc>
        <w:tc>
          <w:tcPr>
            <w:tcW w:w="2073" w:type="dxa"/>
            <w:vAlign w:val="center"/>
          </w:tcPr>
          <w:p w14:paraId="4B67ED5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项目运行投产后，可大幅提升企业加工、仓储、配送能力，年可新增营业收入500万元以上；通过资产收益、务工就业、产业带动等促进农户增收，受益农户达1500户以上</w:t>
            </w:r>
          </w:p>
        </w:tc>
        <w:tc>
          <w:tcPr>
            <w:tcW w:w="1010" w:type="dxa"/>
            <w:vAlign w:val="center"/>
          </w:tcPr>
          <w:p w14:paraId="1BAA376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资产收益、务工就业、产业带动</w:t>
            </w:r>
          </w:p>
        </w:tc>
      </w:tr>
      <w:tr w14:paraId="2878F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6" w:hRule="atLeast"/>
        </w:trPr>
        <w:tc>
          <w:tcPr>
            <w:tcW w:w="986" w:type="dxa"/>
            <w:vAlign w:val="center"/>
          </w:tcPr>
          <w:p w14:paraId="76812B0C">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7</w:t>
            </w:r>
          </w:p>
        </w:tc>
        <w:tc>
          <w:tcPr>
            <w:tcW w:w="1245" w:type="dxa"/>
            <w:vAlign w:val="center"/>
          </w:tcPr>
          <w:p w14:paraId="6AE88A7B">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中药材及农副产品加工车间建设项目（易地扶贫搬迁后续扶持）</w:t>
            </w:r>
          </w:p>
        </w:tc>
        <w:tc>
          <w:tcPr>
            <w:tcW w:w="1016" w:type="dxa"/>
            <w:vAlign w:val="center"/>
          </w:tcPr>
          <w:p w14:paraId="6E9874E8">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三星口乡</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西转城号村</w:t>
            </w:r>
          </w:p>
        </w:tc>
        <w:tc>
          <w:tcPr>
            <w:tcW w:w="941" w:type="dxa"/>
            <w:vAlign w:val="center"/>
          </w:tcPr>
          <w:p w14:paraId="118DC4DE">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2026年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4773" w:type="dxa"/>
            <w:vAlign w:val="center"/>
          </w:tcPr>
          <w:p w14:paraId="76DB3100">
            <w:pPr>
              <w:keepNext w:val="0"/>
              <w:keepLines w:val="0"/>
              <w:widowControl/>
              <w:suppressLineNumbers w:val="0"/>
              <w:jc w:val="left"/>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依托秦皇岛满药本草生物科技有限公司实施中药材加工车间建设项目，新建中药材加工车间3000㎡，建设山野菜加工车间、自动化包装车间1000㎡，配套供电、消防、给排水等相关设施设备。项目计划按照投入帮扶资金的6%形成资产收益金，由县级统筹安排，用于巩固拓展脱贫攻坚成果和乡村振兴，所形成的固定资产产权归村集体。项目通过资产收益、务工就业、产业带动等联农带农方式提升农业综合效益，预计受益农户达700户以上。</w:t>
            </w:r>
          </w:p>
        </w:tc>
        <w:tc>
          <w:tcPr>
            <w:tcW w:w="872" w:type="dxa"/>
            <w:vAlign w:val="center"/>
          </w:tcPr>
          <w:p w14:paraId="4250ACDF">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农业农村局</w:t>
            </w:r>
          </w:p>
        </w:tc>
        <w:tc>
          <w:tcPr>
            <w:tcW w:w="1282" w:type="dxa"/>
            <w:vAlign w:val="center"/>
          </w:tcPr>
          <w:p w14:paraId="3CF80D4D">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秦皇岛满药本草生物科技有限公司/于志国</w:t>
            </w:r>
          </w:p>
        </w:tc>
        <w:tc>
          <w:tcPr>
            <w:tcW w:w="1064" w:type="dxa"/>
            <w:vAlign w:val="center"/>
          </w:tcPr>
          <w:p w14:paraId="73840223">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2026年财政帮扶资金500万元</w:t>
            </w:r>
          </w:p>
        </w:tc>
        <w:tc>
          <w:tcPr>
            <w:tcW w:w="2073" w:type="dxa"/>
            <w:vAlign w:val="center"/>
          </w:tcPr>
          <w:p w14:paraId="3113A553">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项目建成投产后，项目建成后，年生产能力可达250吨，年营业收入4000万元以上。通过资产收益、务工就业、产业带动等促进农户增收，受益农户达700户以上</w:t>
            </w:r>
          </w:p>
        </w:tc>
        <w:tc>
          <w:tcPr>
            <w:tcW w:w="1010" w:type="dxa"/>
            <w:vAlign w:val="center"/>
          </w:tcPr>
          <w:p w14:paraId="17799692">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资产收益、务工就业等</w:t>
            </w:r>
          </w:p>
        </w:tc>
      </w:tr>
      <w:tr w14:paraId="2B16F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4" w:hRule="atLeast"/>
        </w:trPr>
        <w:tc>
          <w:tcPr>
            <w:tcW w:w="986" w:type="dxa"/>
            <w:vAlign w:val="center"/>
          </w:tcPr>
          <w:p w14:paraId="2BCC492D">
            <w:pPr>
              <w:widowControl/>
              <w:spacing w:line="220" w:lineRule="exact"/>
              <w:jc w:val="center"/>
              <w:textAlignment w:val="center"/>
              <w:rPr>
                <w:rFonts w:hint="eastAsia" w:ascii="仿宋" w:hAnsi="仿宋" w:eastAsia="仿宋" w:cs="仿宋"/>
                <w:color w:val="auto"/>
                <w:sz w:val="21"/>
                <w:szCs w:val="21"/>
                <w:highlight w:val="none"/>
                <w:lang w:eastAsia="zh-CN" w:bidi="ar"/>
              </w:rPr>
            </w:pPr>
            <w:r>
              <w:rPr>
                <w:rFonts w:hint="eastAsia" w:ascii="仿宋" w:hAnsi="仿宋" w:eastAsia="仿宋" w:cs="仿宋"/>
                <w:color w:val="auto"/>
                <w:sz w:val="21"/>
                <w:szCs w:val="21"/>
                <w:highlight w:val="none"/>
                <w:lang w:val="en-US" w:eastAsia="zh-CN" w:bidi="ar"/>
              </w:rPr>
              <w:t>8</w:t>
            </w:r>
          </w:p>
        </w:tc>
        <w:tc>
          <w:tcPr>
            <w:tcW w:w="1245" w:type="dxa"/>
            <w:vAlign w:val="center"/>
          </w:tcPr>
          <w:p w14:paraId="5124460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山楂休闲制品精深加工项目</w:t>
            </w:r>
          </w:p>
        </w:tc>
        <w:tc>
          <w:tcPr>
            <w:tcW w:w="1016" w:type="dxa"/>
            <w:vAlign w:val="center"/>
          </w:tcPr>
          <w:p w14:paraId="6FAA81F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青龙镇</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响水沟村</w:t>
            </w:r>
          </w:p>
        </w:tc>
        <w:tc>
          <w:tcPr>
            <w:tcW w:w="941" w:type="dxa"/>
            <w:vAlign w:val="center"/>
          </w:tcPr>
          <w:p w14:paraId="0A98A38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2026年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4773" w:type="dxa"/>
            <w:vAlign w:val="center"/>
          </w:tcPr>
          <w:p w14:paraId="6B7F26EF">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依托秦皇岛市八旗龙保健饮品有限公司实施山楂休闲制品精深加工项目，建设生产车间1200m2，建冷库2000m3；建设休闲制品加工生产线3条（山楂果脯生产线1条、卡通山楂（山楂条）制品生产线1条、建山楂罐头生产线1条）；购置1000ml钻石包果汁饮料灌装机1台。项目计划按照投入帮扶资金的6%形成资产收益金，由县级统筹安排，用于巩固拓展脱贫攻坚成果和乡村振兴，所形成的固定资产产权归村集体。项目通过资产收益、务工就业、产业带动等联农带农方式提升农业综合效益，预计受益农户700户以上。</w:t>
            </w:r>
          </w:p>
        </w:tc>
        <w:tc>
          <w:tcPr>
            <w:tcW w:w="872" w:type="dxa"/>
            <w:vAlign w:val="center"/>
          </w:tcPr>
          <w:p w14:paraId="3683FBD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vertAlign w:val="baseline"/>
                <w:lang w:val="en-US" w:eastAsia="zh-CN"/>
              </w:rPr>
              <w:t>农业农村局</w:t>
            </w:r>
          </w:p>
        </w:tc>
        <w:tc>
          <w:tcPr>
            <w:tcW w:w="1282" w:type="dxa"/>
            <w:vAlign w:val="center"/>
          </w:tcPr>
          <w:p w14:paraId="6113275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秦皇岛市八旗龙保健饮品有限公司/闫海群</w:t>
            </w:r>
          </w:p>
        </w:tc>
        <w:tc>
          <w:tcPr>
            <w:tcW w:w="1064" w:type="dxa"/>
            <w:vAlign w:val="center"/>
          </w:tcPr>
          <w:p w14:paraId="3D484F5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vertAlign w:val="baseline"/>
                <w:lang w:val="en-US" w:eastAsia="zh-CN"/>
              </w:rPr>
              <w:t>2026年财政帮扶资金500万元</w:t>
            </w:r>
          </w:p>
        </w:tc>
        <w:tc>
          <w:tcPr>
            <w:tcW w:w="2073" w:type="dxa"/>
            <w:vAlign w:val="center"/>
          </w:tcPr>
          <w:p w14:paraId="71BC1A7D">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项目运营投产后，年可生产加工山楂休闲制品1500吨，实现销售收入2000万元，利润310万元。通过资产收益、务工就业、产业带动等促进农户增收，受益农户700户以上</w:t>
            </w:r>
          </w:p>
        </w:tc>
        <w:tc>
          <w:tcPr>
            <w:tcW w:w="1010" w:type="dxa"/>
            <w:vAlign w:val="center"/>
          </w:tcPr>
          <w:p w14:paraId="00CD2B72">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资产收益、务工就业、产业带动</w:t>
            </w:r>
          </w:p>
        </w:tc>
      </w:tr>
      <w:tr w14:paraId="23A47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9" w:hRule="atLeast"/>
        </w:trPr>
        <w:tc>
          <w:tcPr>
            <w:tcW w:w="986" w:type="dxa"/>
            <w:vAlign w:val="center"/>
          </w:tcPr>
          <w:p w14:paraId="73464CCF">
            <w:pPr>
              <w:keepNext w:val="0"/>
              <w:keepLines w:val="0"/>
              <w:widowControl/>
              <w:suppressLineNumbers w:val="0"/>
              <w:jc w:val="center"/>
              <w:textAlignment w:val="center"/>
              <w:rPr>
                <w:rFonts w:hint="eastAsia" w:ascii="仿宋" w:hAnsi="仿宋" w:eastAsia="仿宋" w:cs="仿宋"/>
                <w:color w:val="auto"/>
                <w:sz w:val="21"/>
                <w:szCs w:val="21"/>
                <w:highlight w:val="none"/>
                <w:lang w:val="en-US" w:bidi="ar"/>
              </w:rPr>
            </w:pPr>
            <w:r>
              <w:rPr>
                <w:rFonts w:hint="eastAsia" w:ascii="仿宋" w:hAnsi="仿宋" w:eastAsia="仿宋" w:cs="仿宋"/>
                <w:i w:val="0"/>
                <w:iCs w:val="0"/>
                <w:color w:val="auto"/>
                <w:kern w:val="0"/>
                <w:sz w:val="21"/>
                <w:szCs w:val="21"/>
                <w:u w:val="none"/>
                <w:lang w:val="en-US" w:eastAsia="zh-CN" w:bidi="ar"/>
              </w:rPr>
              <w:t>9</w:t>
            </w:r>
          </w:p>
        </w:tc>
        <w:tc>
          <w:tcPr>
            <w:tcW w:w="1245" w:type="dxa"/>
            <w:vAlign w:val="center"/>
          </w:tcPr>
          <w:p w14:paraId="695FBAE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海浪花洞藏酒庄原料（板栗、高粱）收储及三产融合项目（二期）</w:t>
            </w:r>
          </w:p>
        </w:tc>
        <w:tc>
          <w:tcPr>
            <w:tcW w:w="1016" w:type="dxa"/>
            <w:vAlign w:val="center"/>
          </w:tcPr>
          <w:p w14:paraId="53B1C06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马圈子镇</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三十六磙子村</w:t>
            </w:r>
          </w:p>
        </w:tc>
        <w:tc>
          <w:tcPr>
            <w:tcW w:w="941" w:type="dxa"/>
            <w:vAlign w:val="center"/>
          </w:tcPr>
          <w:p w14:paraId="4155E91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2026年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4773" w:type="dxa"/>
            <w:vAlign w:val="center"/>
          </w:tcPr>
          <w:p w14:paraId="0772A3E1">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依托青龙满族自治县甘醴洞酒业有限公司实施海浪花洞藏酒庄原料（板栗、高粱）收储及三产融合项目（二期），建设原料（板栗、高粱）仓储库1500㎡、储酒库100㎡，购置全自动贴标机、酒坛雕刻机、全自动打包机等设备7套（组、个），配套水、电、暖、排污、水处理、消防等设施设备。项目计划按照投入帮扶资金的6%形成资产收益金，由县级统筹安排，用于巩固拓展脱贫攻坚成果和乡村振兴，所形成的固定资产产权归村集体。项目通过资产收益、务工就业、产业带动等联农带农方式提升农业综合效益，预计受益农户400户以上。</w:t>
            </w:r>
          </w:p>
        </w:tc>
        <w:tc>
          <w:tcPr>
            <w:tcW w:w="872" w:type="dxa"/>
            <w:vAlign w:val="center"/>
          </w:tcPr>
          <w:p w14:paraId="4E63BAC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vertAlign w:val="baseline"/>
                <w:lang w:val="en-US" w:eastAsia="zh-CN"/>
              </w:rPr>
              <w:t>农业农村局</w:t>
            </w:r>
          </w:p>
        </w:tc>
        <w:tc>
          <w:tcPr>
            <w:tcW w:w="1282" w:type="dxa"/>
            <w:vAlign w:val="center"/>
          </w:tcPr>
          <w:p w14:paraId="017A8B8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青龙满族自治县甘醴洞酒业有限公司/孙士来</w:t>
            </w:r>
          </w:p>
        </w:tc>
        <w:tc>
          <w:tcPr>
            <w:tcW w:w="1064" w:type="dxa"/>
            <w:vAlign w:val="center"/>
          </w:tcPr>
          <w:p w14:paraId="5653C87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vertAlign w:val="baseline"/>
                <w:lang w:val="en-US" w:eastAsia="zh-CN"/>
              </w:rPr>
              <w:t>2026年财政帮扶资250万元</w:t>
            </w:r>
          </w:p>
        </w:tc>
        <w:tc>
          <w:tcPr>
            <w:tcW w:w="2073" w:type="dxa"/>
            <w:vAlign w:val="center"/>
          </w:tcPr>
          <w:p w14:paraId="00EC1FB4">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项目投产后，年可收储板栗、高粱等农产品1000吨，生产白酒500吨，实现销售收入2000万元；通过资产收益、务工就业等带动农户增加收入，受益农户400户以上。</w:t>
            </w:r>
          </w:p>
        </w:tc>
        <w:tc>
          <w:tcPr>
            <w:tcW w:w="1010" w:type="dxa"/>
            <w:vAlign w:val="center"/>
          </w:tcPr>
          <w:p w14:paraId="03CE2703">
            <w:pPr>
              <w:keepNext w:val="0"/>
              <w:keepLines w:val="0"/>
              <w:widowControl/>
              <w:suppressLineNumbers w:val="0"/>
              <w:jc w:val="left"/>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 xml:space="preserve">资产收益、务工就业、产业带动等 </w:t>
            </w:r>
          </w:p>
        </w:tc>
      </w:tr>
      <w:tr w14:paraId="1BC67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3" w:hRule="atLeast"/>
        </w:trPr>
        <w:tc>
          <w:tcPr>
            <w:tcW w:w="986" w:type="dxa"/>
            <w:vAlign w:val="center"/>
          </w:tcPr>
          <w:p w14:paraId="1120F29A">
            <w:pPr>
              <w:keepNext w:val="0"/>
              <w:keepLines w:val="0"/>
              <w:widowControl/>
              <w:suppressLineNumbers w:val="0"/>
              <w:jc w:val="center"/>
              <w:textAlignment w:val="center"/>
              <w:rPr>
                <w:rFonts w:hint="eastAsia" w:ascii="仿宋" w:hAnsi="仿宋" w:eastAsia="仿宋" w:cs="仿宋"/>
                <w:color w:val="auto"/>
                <w:sz w:val="21"/>
                <w:szCs w:val="21"/>
                <w:lang w:val="en-US" w:bidi="ar"/>
              </w:rPr>
            </w:pPr>
            <w:r>
              <w:rPr>
                <w:rFonts w:hint="eastAsia" w:ascii="仿宋" w:hAnsi="仿宋" w:eastAsia="仿宋" w:cs="仿宋"/>
                <w:i w:val="0"/>
                <w:iCs w:val="0"/>
                <w:color w:val="auto"/>
                <w:kern w:val="0"/>
                <w:sz w:val="21"/>
                <w:szCs w:val="21"/>
                <w:u w:val="none"/>
                <w:lang w:val="en-US" w:eastAsia="zh-CN" w:bidi="ar"/>
              </w:rPr>
              <w:t>10</w:t>
            </w:r>
          </w:p>
        </w:tc>
        <w:tc>
          <w:tcPr>
            <w:tcW w:w="1245" w:type="dxa"/>
            <w:vAlign w:val="center"/>
          </w:tcPr>
          <w:p w14:paraId="1D60025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药食同源植物饮品精深加工示范项目</w:t>
            </w:r>
          </w:p>
        </w:tc>
        <w:tc>
          <w:tcPr>
            <w:tcW w:w="1016" w:type="dxa"/>
            <w:vAlign w:val="center"/>
          </w:tcPr>
          <w:p w14:paraId="56512FB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茨榆山镇</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杨台子村</w:t>
            </w:r>
          </w:p>
        </w:tc>
        <w:tc>
          <w:tcPr>
            <w:tcW w:w="941" w:type="dxa"/>
            <w:vAlign w:val="center"/>
          </w:tcPr>
          <w:p w14:paraId="72FE269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2026年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4773" w:type="dxa"/>
            <w:vAlign w:val="center"/>
          </w:tcPr>
          <w:p w14:paraId="29F3DD12">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依托秦皇岛市禾采农业科技开发有限公司实施功能性助眠饮品智能生产线项目，建设500㎡标准的药食同源植物饮品加工中心洁净车间1座（500㎡），智能植物饮品加工生产线1条。项目计划按照投入帮扶资金的6%形成资产收益金，由县级统筹安排，用于巩固拓展脱贫攻坚成果和乡村振兴，所形成的固定资产产权归村集体项目通过资产收益、务工就业、产业带动等联农带农方式提升农业综合效益，预计受益农户350户以上。</w:t>
            </w:r>
          </w:p>
        </w:tc>
        <w:tc>
          <w:tcPr>
            <w:tcW w:w="872" w:type="dxa"/>
            <w:vAlign w:val="center"/>
          </w:tcPr>
          <w:p w14:paraId="1DF5097C">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农业农村局</w:t>
            </w:r>
          </w:p>
        </w:tc>
        <w:tc>
          <w:tcPr>
            <w:tcW w:w="1282" w:type="dxa"/>
            <w:vAlign w:val="center"/>
          </w:tcPr>
          <w:p w14:paraId="6BCD484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秦皇岛市禾采农业科技开发有限公/张景红</w:t>
            </w:r>
          </w:p>
        </w:tc>
        <w:tc>
          <w:tcPr>
            <w:tcW w:w="1064" w:type="dxa"/>
            <w:vAlign w:val="center"/>
          </w:tcPr>
          <w:p w14:paraId="0371C3B7">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2026年财政帮扶资250万元</w:t>
            </w:r>
          </w:p>
        </w:tc>
        <w:tc>
          <w:tcPr>
            <w:tcW w:w="2073" w:type="dxa"/>
            <w:vAlign w:val="center"/>
          </w:tcPr>
          <w:p w14:paraId="256BA84D">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项项目运营投产后，年可生产2000吨特膳食饮，实现销售收入8000万元。通过资产收益、务工就业、订单协作等促进农户发展增收产业，实现稳定增收，受益农户350户以上</w:t>
            </w:r>
          </w:p>
        </w:tc>
        <w:tc>
          <w:tcPr>
            <w:tcW w:w="1010" w:type="dxa"/>
            <w:vAlign w:val="center"/>
          </w:tcPr>
          <w:p w14:paraId="5D3DF948">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资产收益、务工就业、产业带动</w:t>
            </w:r>
          </w:p>
        </w:tc>
      </w:tr>
      <w:tr w14:paraId="0FF20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3" w:hRule="atLeast"/>
        </w:trPr>
        <w:tc>
          <w:tcPr>
            <w:tcW w:w="986" w:type="dxa"/>
            <w:vAlign w:val="center"/>
          </w:tcPr>
          <w:p w14:paraId="20A3F185">
            <w:pPr>
              <w:widowControl/>
              <w:spacing w:line="220" w:lineRule="exact"/>
              <w:jc w:val="center"/>
              <w:textAlignment w:val="center"/>
              <w:rPr>
                <w:rFonts w:hint="eastAsia" w:ascii="仿宋" w:hAnsi="仿宋" w:eastAsia="仿宋" w:cs="仿宋"/>
                <w:color w:val="auto"/>
                <w:sz w:val="21"/>
                <w:szCs w:val="21"/>
                <w:highlight w:val="none"/>
                <w:lang w:val="en-US" w:eastAsia="zh-CN" w:bidi="ar"/>
              </w:rPr>
            </w:pPr>
            <w:r>
              <w:rPr>
                <w:rFonts w:hint="eastAsia" w:ascii="仿宋" w:hAnsi="仿宋" w:eastAsia="仿宋" w:cs="仿宋"/>
                <w:color w:val="auto"/>
                <w:sz w:val="21"/>
                <w:szCs w:val="21"/>
                <w:lang w:val="en-US" w:eastAsia="zh-CN" w:bidi="ar"/>
              </w:rPr>
              <w:t>11</w:t>
            </w:r>
          </w:p>
        </w:tc>
        <w:tc>
          <w:tcPr>
            <w:tcW w:w="1245" w:type="dxa"/>
            <w:vAlign w:val="center"/>
          </w:tcPr>
          <w:p w14:paraId="57ED6BC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农产品仓储资产收益项目</w:t>
            </w:r>
          </w:p>
        </w:tc>
        <w:tc>
          <w:tcPr>
            <w:tcW w:w="1016" w:type="dxa"/>
            <w:vAlign w:val="center"/>
          </w:tcPr>
          <w:p w14:paraId="5B2E55C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龙王庙镇</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北干树村</w:t>
            </w:r>
          </w:p>
        </w:tc>
        <w:tc>
          <w:tcPr>
            <w:tcW w:w="941" w:type="dxa"/>
            <w:vAlign w:val="center"/>
          </w:tcPr>
          <w:p w14:paraId="2CEF56F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2026年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4773" w:type="dxa"/>
            <w:vAlign w:val="center"/>
          </w:tcPr>
          <w:p w14:paraId="7202D73F">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依托青龙满族自治县众大农业有限公司实施农产品仓储资产收益项目，新建仓储库房3000平米（包括冷库1000平米），配套冷库、仓储库房设施设备56台（套），变压器、监控设备等2台（套）。项目计划按照投入帮扶资金的6%形成资产收益金，由县级统筹安排，用于巩固拓展脱贫攻坚成果和乡村振兴，所形成的固定资产产权归村集体。项目通过资产收益、务工就业、产业带动等联农带农方式提升农业综合效益，预计受益农户300户以上。</w:t>
            </w:r>
          </w:p>
        </w:tc>
        <w:tc>
          <w:tcPr>
            <w:tcW w:w="872" w:type="dxa"/>
            <w:vAlign w:val="center"/>
          </w:tcPr>
          <w:p w14:paraId="2E3557C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vertAlign w:val="baseline"/>
                <w:lang w:val="en-US" w:eastAsia="zh-CN"/>
              </w:rPr>
              <w:t>农业农村局</w:t>
            </w:r>
          </w:p>
        </w:tc>
        <w:tc>
          <w:tcPr>
            <w:tcW w:w="1282" w:type="dxa"/>
            <w:vAlign w:val="center"/>
          </w:tcPr>
          <w:p w14:paraId="61A5D7D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青龙满族自治县众大农业有限公司/谢德印</w:t>
            </w:r>
          </w:p>
        </w:tc>
        <w:tc>
          <w:tcPr>
            <w:tcW w:w="1064" w:type="dxa"/>
            <w:vAlign w:val="center"/>
          </w:tcPr>
          <w:p w14:paraId="4DC1400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vertAlign w:val="baseline"/>
                <w:lang w:val="en-US" w:eastAsia="zh-CN"/>
              </w:rPr>
              <w:t>2026年财政帮扶资金200万元</w:t>
            </w:r>
          </w:p>
        </w:tc>
        <w:tc>
          <w:tcPr>
            <w:tcW w:w="2073" w:type="dxa"/>
            <w:vAlign w:val="center"/>
          </w:tcPr>
          <w:p w14:paraId="13503F67">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项目运营投产后，年可增加农产品存储600吨，实现增收200万元；通过资产收益、务工就业等带动农户增加收入，受益农户300户以上。</w:t>
            </w:r>
          </w:p>
        </w:tc>
        <w:tc>
          <w:tcPr>
            <w:tcW w:w="1010" w:type="dxa"/>
            <w:vAlign w:val="center"/>
          </w:tcPr>
          <w:p w14:paraId="150B8496">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资产收益、务工就业等</w:t>
            </w:r>
          </w:p>
        </w:tc>
      </w:tr>
      <w:tr w14:paraId="1A6E0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5" w:hRule="atLeast"/>
        </w:trPr>
        <w:tc>
          <w:tcPr>
            <w:tcW w:w="986" w:type="dxa"/>
            <w:vAlign w:val="center"/>
          </w:tcPr>
          <w:p w14:paraId="1279260C">
            <w:pPr>
              <w:widowControl/>
              <w:spacing w:line="220" w:lineRule="exact"/>
              <w:jc w:val="center"/>
              <w:textAlignment w:val="center"/>
              <w:rPr>
                <w:rFonts w:hint="eastAsia" w:ascii="仿宋" w:hAnsi="仿宋" w:eastAsia="仿宋" w:cs="仿宋"/>
                <w:color w:val="auto"/>
                <w:sz w:val="21"/>
                <w:szCs w:val="21"/>
                <w:highlight w:val="none"/>
                <w:lang w:val="en-US" w:eastAsia="zh-CN" w:bidi="ar"/>
              </w:rPr>
            </w:pPr>
            <w:r>
              <w:rPr>
                <w:rFonts w:hint="eastAsia" w:ascii="仿宋" w:hAnsi="仿宋" w:eastAsia="仿宋" w:cs="仿宋"/>
                <w:color w:val="auto"/>
                <w:sz w:val="21"/>
                <w:szCs w:val="21"/>
                <w:lang w:val="en-US" w:eastAsia="zh-CN" w:bidi="ar"/>
              </w:rPr>
              <w:t>12</w:t>
            </w:r>
          </w:p>
        </w:tc>
        <w:tc>
          <w:tcPr>
            <w:tcW w:w="1245" w:type="dxa"/>
            <w:vAlign w:val="center"/>
          </w:tcPr>
          <w:p w14:paraId="23A0139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笼养蛋鸡养殖场项目（二期）</w:t>
            </w:r>
          </w:p>
        </w:tc>
        <w:tc>
          <w:tcPr>
            <w:tcW w:w="1016" w:type="dxa"/>
            <w:vAlign w:val="center"/>
          </w:tcPr>
          <w:p w14:paraId="16C073B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娄杖子镇</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前擦岭村</w:t>
            </w:r>
          </w:p>
        </w:tc>
        <w:tc>
          <w:tcPr>
            <w:tcW w:w="941" w:type="dxa"/>
            <w:vAlign w:val="center"/>
          </w:tcPr>
          <w:p w14:paraId="46A1986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2026年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4773" w:type="dxa"/>
            <w:vAlign w:val="center"/>
          </w:tcPr>
          <w:p w14:paraId="75D496B1">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依托青龙满族自治县佳羽禽业有限公司实施笼养蛋鸡养殖场项目（二期），新建高标准密闭式蛋鸡舍（钢结构）1栋1500㎡，配套构购置安装相关设施设备10套。项目计划按照投入帮扶资金的6%形成资产收益金，由县级统筹安排，用于巩固拓展脱贫攻坚成果和乡村振兴，所形成的固定资产产权归村集体。项目通过资产收益、务工就业、产业带动等联农带农方式提升农业综合效益，预计受益农户300户以上。</w:t>
            </w:r>
          </w:p>
        </w:tc>
        <w:tc>
          <w:tcPr>
            <w:tcW w:w="872" w:type="dxa"/>
            <w:vAlign w:val="center"/>
          </w:tcPr>
          <w:p w14:paraId="53D7A6D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vertAlign w:val="baseline"/>
                <w:lang w:val="en-US" w:eastAsia="zh-CN"/>
              </w:rPr>
              <w:t>农业农村局</w:t>
            </w:r>
          </w:p>
        </w:tc>
        <w:tc>
          <w:tcPr>
            <w:tcW w:w="1282" w:type="dxa"/>
            <w:vAlign w:val="center"/>
          </w:tcPr>
          <w:p w14:paraId="1FD01F5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青龙满族自治县佳羽禽业有限公司/胡建涛</w:t>
            </w:r>
          </w:p>
        </w:tc>
        <w:tc>
          <w:tcPr>
            <w:tcW w:w="1064" w:type="dxa"/>
            <w:vAlign w:val="center"/>
          </w:tcPr>
          <w:p w14:paraId="01CDE82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vertAlign w:val="baseline"/>
                <w:lang w:val="en-US" w:eastAsia="zh-CN"/>
              </w:rPr>
              <w:t>2026年财政帮扶资金200万元</w:t>
            </w:r>
          </w:p>
        </w:tc>
        <w:tc>
          <w:tcPr>
            <w:tcW w:w="2073" w:type="dxa"/>
            <w:vAlign w:val="center"/>
          </w:tcPr>
          <w:p w14:paraId="55D1C182">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项目运行投产后，年可生产优质鲜蛋可达数1500吨，实现销售收入1000万元；通过资产收益、务工就业等带动农户增加收入，受益农户300户以上</w:t>
            </w:r>
          </w:p>
        </w:tc>
        <w:tc>
          <w:tcPr>
            <w:tcW w:w="1010" w:type="dxa"/>
            <w:vAlign w:val="center"/>
          </w:tcPr>
          <w:p w14:paraId="7C07359E">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资产收益、务工就业、订单协作等</w:t>
            </w:r>
          </w:p>
        </w:tc>
      </w:tr>
      <w:tr w14:paraId="7B484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9" w:hRule="atLeast"/>
        </w:trPr>
        <w:tc>
          <w:tcPr>
            <w:tcW w:w="986" w:type="dxa"/>
            <w:vAlign w:val="center"/>
          </w:tcPr>
          <w:p w14:paraId="5299EA5B">
            <w:pPr>
              <w:keepNext w:val="0"/>
              <w:keepLines w:val="0"/>
              <w:widowControl/>
              <w:suppressLineNumbers w:val="0"/>
              <w:jc w:val="center"/>
              <w:textAlignment w:val="center"/>
              <w:rPr>
                <w:rFonts w:hint="eastAsia" w:ascii="仿宋" w:hAnsi="仿宋" w:eastAsia="仿宋" w:cs="仿宋"/>
                <w:color w:val="auto"/>
                <w:sz w:val="21"/>
                <w:szCs w:val="21"/>
                <w:highlight w:val="none"/>
                <w:lang w:val="en-US" w:bidi="ar"/>
              </w:rPr>
            </w:pPr>
            <w:r>
              <w:rPr>
                <w:rFonts w:hint="eastAsia" w:ascii="仿宋" w:hAnsi="仿宋" w:eastAsia="仿宋" w:cs="仿宋"/>
                <w:i w:val="0"/>
                <w:iCs w:val="0"/>
                <w:color w:val="auto"/>
                <w:kern w:val="0"/>
                <w:sz w:val="21"/>
                <w:szCs w:val="21"/>
                <w:u w:val="none"/>
                <w:lang w:val="en-US" w:eastAsia="zh-CN" w:bidi="ar"/>
              </w:rPr>
              <w:t>13</w:t>
            </w:r>
          </w:p>
        </w:tc>
        <w:tc>
          <w:tcPr>
            <w:tcW w:w="1245" w:type="dxa"/>
            <w:vAlign w:val="center"/>
          </w:tcPr>
          <w:p w14:paraId="07362DB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板栗、猪肉肠类制品加工及仓储项目</w:t>
            </w:r>
          </w:p>
        </w:tc>
        <w:tc>
          <w:tcPr>
            <w:tcW w:w="1016" w:type="dxa"/>
            <w:vAlign w:val="center"/>
          </w:tcPr>
          <w:p w14:paraId="5BED116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土门子镇</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水泉村</w:t>
            </w:r>
          </w:p>
        </w:tc>
        <w:tc>
          <w:tcPr>
            <w:tcW w:w="941" w:type="dxa"/>
            <w:vAlign w:val="center"/>
          </w:tcPr>
          <w:p w14:paraId="200B7F8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2026年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4773" w:type="dxa"/>
            <w:vAlign w:val="center"/>
          </w:tcPr>
          <w:p w14:paraId="589E342D">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依托秦皇岛雨泽食品有限公司实施板栗、猪肉肠类制品加工及仓储项目，新建食品加工车间550平方米（内设原料处理区、配料搅拌区、灌装成型区、蒸煮烘烤区、冷却包装区、成品冷库等），购置安装生产车间设施设备26台（套），配套厂区道路、围墙及水、电、消防等附属设施设备，项目计划按照投入帮扶资金的6%形成资产收益金，由县级统筹安排，用于巩固拓展脱贫攻坚成果和乡村振兴，所形成的固定资产产权归村集体。项目通过资产收益、务工就业、产业带动等联农带农方式提升农业综合效益，预计受益农户200户以上。</w:t>
            </w:r>
          </w:p>
        </w:tc>
        <w:tc>
          <w:tcPr>
            <w:tcW w:w="872" w:type="dxa"/>
            <w:vAlign w:val="center"/>
          </w:tcPr>
          <w:p w14:paraId="1C04B70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vertAlign w:val="baseline"/>
                <w:lang w:val="en-US" w:eastAsia="zh-CN"/>
              </w:rPr>
              <w:t>农业农村局</w:t>
            </w:r>
          </w:p>
        </w:tc>
        <w:tc>
          <w:tcPr>
            <w:tcW w:w="1282" w:type="dxa"/>
            <w:vAlign w:val="center"/>
          </w:tcPr>
          <w:p w14:paraId="147A0C9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秦皇岛雨泽食品有限公司/韩国儒</w:t>
            </w:r>
          </w:p>
        </w:tc>
        <w:tc>
          <w:tcPr>
            <w:tcW w:w="1064" w:type="dxa"/>
            <w:vAlign w:val="center"/>
          </w:tcPr>
          <w:p w14:paraId="4B8037C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vertAlign w:val="baseline"/>
                <w:lang w:val="en-US" w:eastAsia="zh-CN"/>
              </w:rPr>
              <w:t>2026年财政帮扶资100万元</w:t>
            </w:r>
          </w:p>
        </w:tc>
        <w:tc>
          <w:tcPr>
            <w:tcW w:w="2073" w:type="dxa"/>
            <w:vAlign w:val="center"/>
          </w:tcPr>
          <w:p w14:paraId="4260066C">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项目投产后，年可生产板栗、猪肉肠 400吨，实现销售收入1500万元.通过资产收益、务工就业等带动农户增收，受益农户200户以上。</w:t>
            </w:r>
          </w:p>
        </w:tc>
        <w:tc>
          <w:tcPr>
            <w:tcW w:w="1010" w:type="dxa"/>
            <w:vAlign w:val="center"/>
          </w:tcPr>
          <w:p w14:paraId="1A33FA94">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资产收益、务工就业等</w:t>
            </w:r>
          </w:p>
        </w:tc>
      </w:tr>
      <w:tr w14:paraId="1A739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3" w:hRule="atLeast"/>
        </w:trPr>
        <w:tc>
          <w:tcPr>
            <w:tcW w:w="986" w:type="dxa"/>
            <w:vAlign w:val="center"/>
          </w:tcPr>
          <w:p w14:paraId="2D269583">
            <w:pPr>
              <w:keepNext w:val="0"/>
              <w:keepLines w:val="0"/>
              <w:widowControl/>
              <w:suppressLineNumbers w:val="0"/>
              <w:jc w:val="center"/>
              <w:textAlignment w:val="center"/>
              <w:rPr>
                <w:rFonts w:hint="eastAsia" w:ascii="仿宋" w:hAnsi="仿宋" w:eastAsia="仿宋" w:cs="仿宋"/>
                <w:color w:val="auto"/>
                <w:sz w:val="21"/>
                <w:szCs w:val="21"/>
                <w:highlight w:val="none"/>
                <w:lang w:val="en-US" w:bidi="ar"/>
              </w:rPr>
            </w:pPr>
            <w:bookmarkStart w:id="0" w:name="_GoBack" w:colFirst="7" w:colLast="7"/>
            <w:r>
              <w:rPr>
                <w:rFonts w:hint="eastAsia" w:ascii="仿宋" w:hAnsi="仿宋" w:eastAsia="仿宋" w:cs="仿宋"/>
                <w:i w:val="0"/>
                <w:iCs w:val="0"/>
                <w:color w:val="auto"/>
                <w:kern w:val="0"/>
                <w:sz w:val="21"/>
                <w:szCs w:val="21"/>
                <w:u w:val="none"/>
                <w:lang w:val="en-US" w:eastAsia="zh-CN" w:bidi="ar"/>
              </w:rPr>
              <w:t>14</w:t>
            </w:r>
          </w:p>
        </w:tc>
        <w:tc>
          <w:tcPr>
            <w:tcW w:w="1245" w:type="dxa"/>
            <w:vAlign w:val="center"/>
          </w:tcPr>
          <w:p w14:paraId="53EA265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香菇产业基地建设项目</w:t>
            </w:r>
          </w:p>
        </w:tc>
        <w:tc>
          <w:tcPr>
            <w:tcW w:w="1016" w:type="dxa"/>
            <w:vAlign w:val="center"/>
          </w:tcPr>
          <w:p w14:paraId="4B3004B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全县</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24个乡镇</w:t>
            </w:r>
          </w:p>
        </w:tc>
        <w:tc>
          <w:tcPr>
            <w:tcW w:w="941" w:type="dxa"/>
            <w:vAlign w:val="center"/>
          </w:tcPr>
          <w:p w14:paraId="22505B9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2026年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4773" w:type="dxa"/>
            <w:vAlign w:val="center"/>
          </w:tcPr>
          <w:p w14:paraId="3B8E975A">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对县域内香菇生产经营主体、大户购置县域内发好菌的优良品种成品菌棒1万棒以上的，按照每棒1元的标准给予资金补贴。项目计划按照投入帮扶资金的6%提取收益金（提取2年），收益金由受益主体所在乡镇实行差异化分配,统筹用于帮扶脱贫户及监测户。项目通过产业带动、收益带动、务工就业等联农带农方式提升农业综合效益，预计受益农户400</w:t>
            </w:r>
            <w:r>
              <w:rPr>
                <w:rFonts w:hint="eastAsia" w:ascii="仿宋" w:hAnsi="仿宋" w:eastAsia="仿宋" w:cs="仿宋"/>
                <w:i w:val="0"/>
                <w:iCs w:val="0"/>
                <w:color w:val="auto"/>
                <w:kern w:val="0"/>
                <w:sz w:val="21"/>
                <w:szCs w:val="21"/>
                <w:u w:val="none"/>
                <w:lang w:val="en-US" w:eastAsia="zh-CN" w:bidi="ar"/>
              </w:rPr>
              <w:t>户以上。</w:t>
            </w:r>
          </w:p>
        </w:tc>
        <w:tc>
          <w:tcPr>
            <w:tcW w:w="872" w:type="dxa"/>
            <w:vAlign w:val="center"/>
          </w:tcPr>
          <w:p w14:paraId="2FECA01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vertAlign w:val="baseline"/>
                <w:lang w:val="en-US" w:eastAsia="zh-CN"/>
              </w:rPr>
              <w:t>农业农村局</w:t>
            </w:r>
          </w:p>
        </w:tc>
        <w:tc>
          <w:tcPr>
            <w:tcW w:w="1282" w:type="dxa"/>
            <w:vAlign w:val="center"/>
          </w:tcPr>
          <w:p w14:paraId="2406C1D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农业农村局/朱彩华</w:t>
            </w:r>
          </w:p>
        </w:tc>
        <w:tc>
          <w:tcPr>
            <w:tcW w:w="1064" w:type="dxa"/>
            <w:vAlign w:val="center"/>
          </w:tcPr>
          <w:p w14:paraId="72250DB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vertAlign w:val="baseline"/>
                <w:lang w:val="en-US" w:eastAsia="zh-CN"/>
              </w:rPr>
              <w:t>2026年财政帮扶资500万元</w:t>
            </w:r>
          </w:p>
        </w:tc>
        <w:tc>
          <w:tcPr>
            <w:tcW w:w="2073" w:type="dxa"/>
            <w:vAlign w:val="center"/>
          </w:tcPr>
          <w:p w14:paraId="04CDA6E2">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培育壮大香菇产业基地，促进全县香菇产业健康持续发展。项目通过务工就业、产业带动促进农户增加收入，受益农户400户以上</w:t>
            </w:r>
          </w:p>
        </w:tc>
        <w:tc>
          <w:tcPr>
            <w:tcW w:w="1010" w:type="dxa"/>
            <w:vAlign w:val="center"/>
          </w:tcPr>
          <w:p w14:paraId="143DB25F">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产业带动、收益带动、务工就业、产业补助</w:t>
            </w:r>
          </w:p>
        </w:tc>
      </w:tr>
      <w:bookmarkEnd w:id="0"/>
      <w:tr w14:paraId="3C180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trPr>
        <w:tc>
          <w:tcPr>
            <w:tcW w:w="986" w:type="dxa"/>
            <w:vAlign w:val="center"/>
          </w:tcPr>
          <w:p w14:paraId="2B679F1D">
            <w:pPr>
              <w:keepNext w:val="0"/>
              <w:keepLines w:val="0"/>
              <w:widowControl/>
              <w:suppressLineNumbers w:val="0"/>
              <w:jc w:val="center"/>
              <w:textAlignment w:val="center"/>
              <w:rPr>
                <w:rFonts w:hint="eastAsia" w:ascii="仿宋" w:hAnsi="仿宋" w:eastAsia="仿宋" w:cs="仿宋"/>
                <w:color w:val="auto"/>
                <w:sz w:val="21"/>
                <w:szCs w:val="21"/>
                <w:highlight w:val="none"/>
                <w:lang w:val="en-US" w:bidi="ar"/>
              </w:rPr>
            </w:pPr>
            <w:r>
              <w:rPr>
                <w:rFonts w:hint="eastAsia" w:ascii="仿宋" w:hAnsi="仿宋" w:eastAsia="仿宋" w:cs="仿宋"/>
                <w:i w:val="0"/>
                <w:iCs w:val="0"/>
                <w:color w:val="auto"/>
                <w:kern w:val="0"/>
                <w:sz w:val="21"/>
                <w:szCs w:val="21"/>
                <w:u w:val="none"/>
                <w:lang w:val="en-US" w:eastAsia="zh-CN" w:bidi="ar"/>
              </w:rPr>
              <w:t>15</w:t>
            </w:r>
          </w:p>
        </w:tc>
        <w:tc>
          <w:tcPr>
            <w:tcW w:w="1245" w:type="dxa"/>
            <w:vAlign w:val="center"/>
          </w:tcPr>
          <w:p w14:paraId="34477F5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肉鸡养殖基地建设项目</w:t>
            </w:r>
          </w:p>
        </w:tc>
        <w:tc>
          <w:tcPr>
            <w:tcW w:w="1016" w:type="dxa"/>
            <w:vAlign w:val="center"/>
          </w:tcPr>
          <w:p w14:paraId="6938E20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全县</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24个乡镇</w:t>
            </w:r>
          </w:p>
        </w:tc>
        <w:tc>
          <w:tcPr>
            <w:tcW w:w="941" w:type="dxa"/>
            <w:vAlign w:val="center"/>
          </w:tcPr>
          <w:p w14:paraId="53EE5AA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2026年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4773" w:type="dxa"/>
            <w:vAlign w:val="center"/>
          </w:tcPr>
          <w:p w14:paraId="1D262DAA">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对新建4栋3万只以上笼养三层标准的棚舍给于补助，补助标准为243元/平方米，项目计划按照投入帮扶资金的6%提取收益金（提取2年），收益金由受益主体所在乡镇实行差异化分配,统筹用于帮扶脱贫户及监测户。项目通过产业带动、收益带动、务工就业等联农带农方式提升农业综合效益，预计受益农户40</w:t>
            </w:r>
            <w:r>
              <w:rPr>
                <w:rFonts w:hint="eastAsia" w:ascii="仿宋" w:hAnsi="仿宋" w:eastAsia="仿宋" w:cs="仿宋"/>
                <w:i w:val="0"/>
                <w:iCs w:val="0"/>
                <w:color w:val="auto"/>
                <w:kern w:val="0"/>
                <w:sz w:val="21"/>
                <w:szCs w:val="21"/>
                <w:u w:val="none"/>
                <w:lang w:val="en-US" w:eastAsia="zh-CN" w:bidi="ar"/>
              </w:rPr>
              <w:t>户以上。</w:t>
            </w:r>
          </w:p>
        </w:tc>
        <w:tc>
          <w:tcPr>
            <w:tcW w:w="872" w:type="dxa"/>
            <w:vAlign w:val="center"/>
          </w:tcPr>
          <w:p w14:paraId="5F341FB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vertAlign w:val="baseline"/>
                <w:lang w:val="en-US" w:eastAsia="zh-CN"/>
              </w:rPr>
              <w:t>农业农村局</w:t>
            </w:r>
          </w:p>
        </w:tc>
        <w:tc>
          <w:tcPr>
            <w:tcW w:w="1282" w:type="dxa"/>
            <w:vAlign w:val="center"/>
          </w:tcPr>
          <w:p w14:paraId="2CCD479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农业农村局/刘玉阁</w:t>
            </w:r>
          </w:p>
        </w:tc>
        <w:tc>
          <w:tcPr>
            <w:tcW w:w="1064" w:type="dxa"/>
            <w:vAlign w:val="center"/>
          </w:tcPr>
          <w:p w14:paraId="5885C2B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vertAlign w:val="baseline"/>
                <w:lang w:val="en-US" w:eastAsia="zh-CN"/>
              </w:rPr>
              <w:t>2026年财政帮扶资120万元</w:t>
            </w:r>
          </w:p>
        </w:tc>
        <w:tc>
          <w:tcPr>
            <w:tcW w:w="2073" w:type="dxa"/>
            <w:vAlign w:val="center"/>
          </w:tcPr>
          <w:p w14:paraId="49C37130">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项目建成后，肉鸡饲养规模增加60万只，年可增加收入100万元.通过产业带动、收益带动、务工就业等提升农业综合效益，受益农户40户</w:t>
            </w:r>
            <w:r>
              <w:rPr>
                <w:rFonts w:hint="eastAsia" w:ascii="仿宋" w:hAnsi="仿宋" w:eastAsia="仿宋" w:cs="仿宋"/>
                <w:i w:val="0"/>
                <w:iCs w:val="0"/>
                <w:color w:val="auto"/>
                <w:kern w:val="0"/>
                <w:sz w:val="21"/>
                <w:szCs w:val="21"/>
                <w:u w:val="none"/>
                <w:lang w:val="en-US" w:eastAsia="zh-CN" w:bidi="ar"/>
              </w:rPr>
              <w:t>以上。</w:t>
            </w:r>
          </w:p>
        </w:tc>
        <w:tc>
          <w:tcPr>
            <w:tcW w:w="1010" w:type="dxa"/>
            <w:vAlign w:val="center"/>
          </w:tcPr>
          <w:p w14:paraId="3FF9FA1A">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产业带动、收益带动、务工就业、产业补助</w:t>
            </w:r>
          </w:p>
        </w:tc>
      </w:tr>
      <w:tr w14:paraId="5FA92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2" w:hRule="atLeast"/>
        </w:trPr>
        <w:tc>
          <w:tcPr>
            <w:tcW w:w="986" w:type="dxa"/>
            <w:vAlign w:val="center"/>
          </w:tcPr>
          <w:p w14:paraId="7C145727">
            <w:pPr>
              <w:keepNext w:val="0"/>
              <w:keepLines w:val="0"/>
              <w:widowControl/>
              <w:suppressLineNumbers w:val="0"/>
              <w:jc w:val="center"/>
              <w:textAlignment w:val="center"/>
              <w:rPr>
                <w:rFonts w:hint="eastAsia" w:ascii="仿宋" w:hAnsi="仿宋" w:eastAsia="仿宋" w:cs="仿宋"/>
                <w:color w:val="auto"/>
                <w:sz w:val="21"/>
                <w:szCs w:val="21"/>
                <w:highlight w:val="none"/>
                <w:lang w:val="en-US" w:bidi="ar"/>
              </w:rPr>
            </w:pPr>
            <w:r>
              <w:rPr>
                <w:rFonts w:hint="eastAsia" w:ascii="仿宋" w:hAnsi="仿宋" w:eastAsia="仿宋" w:cs="仿宋"/>
                <w:i w:val="0"/>
                <w:iCs w:val="0"/>
                <w:color w:val="auto"/>
                <w:kern w:val="0"/>
                <w:sz w:val="21"/>
                <w:szCs w:val="21"/>
                <w:u w:val="none"/>
                <w:lang w:val="en-US" w:eastAsia="zh-CN" w:bidi="ar"/>
              </w:rPr>
              <w:t>16</w:t>
            </w:r>
          </w:p>
        </w:tc>
        <w:tc>
          <w:tcPr>
            <w:tcW w:w="1245" w:type="dxa"/>
            <w:vAlign w:val="center"/>
          </w:tcPr>
          <w:p w14:paraId="4365DBD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畜禽粪污设备设施改造提升项目</w:t>
            </w:r>
          </w:p>
        </w:tc>
        <w:tc>
          <w:tcPr>
            <w:tcW w:w="1016" w:type="dxa"/>
            <w:vAlign w:val="center"/>
          </w:tcPr>
          <w:p w14:paraId="3A1A04D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全县</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24个乡镇</w:t>
            </w:r>
          </w:p>
        </w:tc>
        <w:tc>
          <w:tcPr>
            <w:tcW w:w="941" w:type="dxa"/>
            <w:vAlign w:val="center"/>
          </w:tcPr>
          <w:p w14:paraId="224669A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2026年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4773" w:type="dxa"/>
            <w:vAlign w:val="center"/>
          </w:tcPr>
          <w:p w14:paraId="753AF16E">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在牛场试点建立雨污分离防雨棚和运动场围墙及排水沟，以及清粪车或储粪池建设。项目计划按照投入帮扶资金的6%提取收益金（提取2年），收益金由受益主体所在乡镇实行差异化分配,统筹用于帮扶脱贫户及监测户。项目通过产业带动、收益带动、务工就业等联农带农方式提升农业综合效益，预计受益农户220户以上。</w:t>
            </w:r>
          </w:p>
        </w:tc>
        <w:tc>
          <w:tcPr>
            <w:tcW w:w="872" w:type="dxa"/>
            <w:vAlign w:val="center"/>
          </w:tcPr>
          <w:p w14:paraId="5A0E197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vertAlign w:val="baseline"/>
                <w:lang w:val="en-US" w:eastAsia="zh-CN"/>
              </w:rPr>
              <w:t>农业农村局</w:t>
            </w:r>
          </w:p>
        </w:tc>
        <w:tc>
          <w:tcPr>
            <w:tcW w:w="1282" w:type="dxa"/>
            <w:vAlign w:val="center"/>
          </w:tcPr>
          <w:p w14:paraId="13FC921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农业农村局/刘玉阁</w:t>
            </w:r>
          </w:p>
        </w:tc>
        <w:tc>
          <w:tcPr>
            <w:tcW w:w="1064" w:type="dxa"/>
            <w:vAlign w:val="center"/>
          </w:tcPr>
          <w:p w14:paraId="70813B6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vertAlign w:val="baseline"/>
                <w:lang w:val="en-US" w:eastAsia="zh-CN"/>
              </w:rPr>
              <w:t>2026年财政帮扶资42万元</w:t>
            </w:r>
          </w:p>
        </w:tc>
        <w:tc>
          <w:tcPr>
            <w:tcW w:w="2073" w:type="dxa"/>
            <w:vAlign w:val="center"/>
          </w:tcPr>
          <w:p w14:paraId="6581D501">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通过项目实施，达到雨污分离和防渗漏、防污染目的，提升社会效益和生态效益。通过产业带动、收益带动等提升农业综合效益，预计受益农户220户以上。</w:t>
            </w:r>
          </w:p>
        </w:tc>
        <w:tc>
          <w:tcPr>
            <w:tcW w:w="1010" w:type="dxa"/>
            <w:vAlign w:val="center"/>
          </w:tcPr>
          <w:p w14:paraId="34BA3EAF">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产业带动、收益带动、务工就业等</w:t>
            </w:r>
          </w:p>
        </w:tc>
      </w:tr>
      <w:tr w14:paraId="253F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5" w:hRule="atLeast"/>
        </w:trPr>
        <w:tc>
          <w:tcPr>
            <w:tcW w:w="986" w:type="dxa"/>
            <w:vAlign w:val="center"/>
          </w:tcPr>
          <w:p w14:paraId="77FCF4E2">
            <w:pPr>
              <w:keepNext w:val="0"/>
              <w:keepLines w:val="0"/>
              <w:widowControl/>
              <w:suppressLineNumbers w:val="0"/>
              <w:jc w:val="center"/>
              <w:textAlignment w:val="center"/>
              <w:rPr>
                <w:rFonts w:hint="eastAsia" w:ascii="仿宋" w:hAnsi="仿宋" w:eastAsia="仿宋" w:cs="仿宋"/>
                <w:color w:val="auto"/>
                <w:sz w:val="21"/>
                <w:szCs w:val="21"/>
                <w:highlight w:val="none"/>
                <w:lang w:val="en-US" w:bidi="ar"/>
              </w:rPr>
            </w:pPr>
            <w:r>
              <w:rPr>
                <w:rFonts w:hint="eastAsia" w:ascii="仿宋" w:hAnsi="仿宋" w:eastAsia="仿宋" w:cs="仿宋"/>
                <w:i w:val="0"/>
                <w:iCs w:val="0"/>
                <w:color w:val="auto"/>
                <w:kern w:val="0"/>
                <w:sz w:val="21"/>
                <w:szCs w:val="21"/>
                <w:u w:val="none"/>
                <w:lang w:val="en-US" w:eastAsia="zh-CN" w:bidi="ar"/>
              </w:rPr>
              <w:t>17</w:t>
            </w:r>
          </w:p>
        </w:tc>
        <w:tc>
          <w:tcPr>
            <w:tcW w:w="1245" w:type="dxa"/>
            <w:vAlign w:val="center"/>
          </w:tcPr>
          <w:p w14:paraId="2D79CB6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农业品牌宣传与产销对接项目</w:t>
            </w:r>
          </w:p>
        </w:tc>
        <w:tc>
          <w:tcPr>
            <w:tcW w:w="1016" w:type="dxa"/>
            <w:vAlign w:val="center"/>
          </w:tcPr>
          <w:p w14:paraId="363B2B4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全县</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24个乡镇</w:t>
            </w:r>
          </w:p>
        </w:tc>
        <w:tc>
          <w:tcPr>
            <w:tcW w:w="941" w:type="dxa"/>
            <w:vAlign w:val="center"/>
          </w:tcPr>
          <w:p w14:paraId="0F2FA33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2026年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4773" w:type="dxa"/>
            <w:vAlign w:val="center"/>
          </w:tcPr>
          <w:p w14:paraId="425E21A7">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组织举办及参加中国农民丰收节、苹果产业推介会、各类展会、校企对接、农产品交易会、电商博览会、产销对接会、电商直播节、品牌推荐会、特色美食荟节等产销对接活动；开展区域公用品牌宣传、线上线下全渠道广告投放、话题内容策划制作、矩阵传播、品牌农产品直播带货销售活动等；开展“青龙板栗”区域公用品牌提升工作；区域公用品牌相关宣传物料制作、文创产品开发；对重点品牌企业开展战略盘点及发展支持；对中小型潜力企业开展农业品牌孵化扶持计划；开展地理标志商标及普通商标注册、知识产权保护等商标服务业务；农业品牌创新争优荣誉委托申报。提升农产品品质、品牌效应，扩大农产品品牌影响力和产品知名度。项目通过品牌带动、产业带动等联农带农方式提升农业综合效益，预计受益农户28000户以上。</w:t>
            </w:r>
          </w:p>
        </w:tc>
        <w:tc>
          <w:tcPr>
            <w:tcW w:w="872" w:type="dxa"/>
            <w:vAlign w:val="center"/>
          </w:tcPr>
          <w:p w14:paraId="177D47D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vertAlign w:val="baseline"/>
                <w:lang w:val="en-US" w:eastAsia="zh-CN"/>
              </w:rPr>
              <w:t>农业农村局</w:t>
            </w:r>
          </w:p>
        </w:tc>
        <w:tc>
          <w:tcPr>
            <w:tcW w:w="1282" w:type="dxa"/>
            <w:vAlign w:val="center"/>
          </w:tcPr>
          <w:p w14:paraId="7D176BF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农业农村局/李一浡</w:t>
            </w:r>
          </w:p>
        </w:tc>
        <w:tc>
          <w:tcPr>
            <w:tcW w:w="1064" w:type="dxa"/>
            <w:vAlign w:val="center"/>
          </w:tcPr>
          <w:p w14:paraId="79200E8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vertAlign w:val="baseline"/>
                <w:lang w:val="en-US" w:eastAsia="zh-CN"/>
              </w:rPr>
              <w:t>2026年财政帮扶资260万元</w:t>
            </w:r>
          </w:p>
        </w:tc>
        <w:tc>
          <w:tcPr>
            <w:tcW w:w="2073" w:type="dxa"/>
            <w:vAlign w:val="center"/>
          </w:tcPr>
          <w:p w14:paraId="5A66B5D8">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提升农产品品质、品牌效应，扩大农产品品牌影响力和产品知名度。项目通过品牌带动、产业带动等联农带农方式提升农业综合效益，预计受益农户28000户以上。</w:t>
            </w:r>
          </w:p>
        </w:tc>
        <w:tc>
          <w:tcPr>
            <w:tcW w:w="1010" w:type="dxa"/>
            <w:vAlign w:val="center"/>
          </w:tcPr>
          <w:p w14:paraId="3F0CC36F">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品牌带动、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产业带动</w:t>
            </w:r>
          </w:p>
        </w:tc>
      </w:tr>
      <w:tr w14:paraId="391E3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4" w:hRule="atLeast"/>
        </w:trPr>
        <w:tc>
          <w:tcPr>
            <w:tcW w:w="986" w:type="dxa"/>
            <w:vAlign w:val="center"/>
          </w:tcPr>
          <w:p w14:paraId="2C372CB4">
            <w:pPr>
              <w:keepNext w:val="0"/>
              <w:keepLines w:val="0"/>
              <w:widowControl/>
              <w:suppressLineNumbers w:val="0"/>
              <w:jc w:val="center"/>
              <w:textAlignment w:val="center"/>
              <w:rPr>
                <w:rFonts w:hint="eastAsia" w:ascii="仿宋" w:hAnsi="仿宋" w:eastAsia="仿宋" w:cs="仿宋"/>
                <w:color w:val="auto"/>
                <w:sz w:val="21"/>
                <w:szCs w:val="21"/>
                <w:highlight w:val="none"/>
                <w:lang w:val="en-US" w:bidi="ar"/>
              </w:rPr>
            </w:pPr>
            <w:r>
              <w:rPr>
                <w:rFonts w:hint="eastAsia" w:ascii="仿宋" w:hAnsi="仿宋" w:eastAsia="仿宋" w:cs="仿宋"/>
                <w:i w:val="0"/>
                <w:iCs w:val="0"/>
                <w:color w:val="auto"/>
                <w:kern w:val="0"/>
                <w:sz w:val="21"/>
                <w:szCs w:val="21"/>
                <w:u w:val="none"/>
                <w:lang w:val="en-US" w:eastAsia="zh-CN" w:bidi="ar"/>
              </w:rPr>
              <w:t>18</w:t>
            </w:r>
          </w:p>
        </w:tc>
        <w:tc>
          <w:tcPr>
            <w:tcW w:w="1245" w:type="dxa"/>
            <w:vAlign w:val="center"/>
          </w:tcPr>
          <w:p w14:paraId="16FEA96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农业品牌企业产销对接及认证补贴项目</w:t>
            </w:r>
          </w:p>
        </w:tc>
        <w:tc>
          <w:tcPr>
            <w:tcW w:w="1016" w:type="dxa"/>
            <w:vAlign w:val="center"/>
          </w:tcPr>
          <w:p w14:paraId="5002EDD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全县</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24个乡镇</w:t>
            </w:r>
          </w:p>
        </w:tc>
        <w:tc>
          <w:tcPr>
            <w:tcW w:w="941" w:type="dxa"/>
            <w:vAlign w:val="center"/>
          </w:tcPr>
          <w:p w14:paraId="5F691AE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2026年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4773" w:type="dxa"/>
            <w:vAlign w:val="center"/>
          </w:tcPr>
          <w:p w14:paraId="6613EB03">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对全国各大城市开设或改造青龙板栗品牌专营店进行补贴；对农业企业参加国内外产销对接活动进行补贴；对农业企业开展农业相关认证进行补贴。农业品牌创新争优荣誉委托申报。提升农产品品质、品牌效应，扩大农产品品牌影响力和产品知名度。项目通过品牌带动、产业带动等联农带农方式提升农业综合效益，预计受益农户25000户以上。</w:t>
            </w:r>
          </w:p>
        </w:tc>
        <w:tc>
          <w:tcPr>
            <w:tcW w:w="872" w:type="dxa"/>
            <w:vAlign w:val="center"/>
          </w:tcPr>
          <w:p w14:paraId="762DCFD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vertAlign w:val="baseline"/>
                <w:lang w:val="en-US" w:eastAsia="zh-CN"/>
              </w:rPr>
              <w:t>农业农村局</w:t>
            </w:r>
          </w:p>
        </w:tc>
        <w:tc>
          <w:tcPr>
            <w:tcW w:w="1282" w:type="dxa"/>
            <w:vAlign w:val="center"/>
          </w:tcPr>
          <w:p w14:paraId="201B558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农业农村局/李一浡</w:t>
            </w:r>
          </w:p>
        </w:tc>
        <w:tc>
          <w:tcPr>
            <w:tcW w:w="1064" w:type="dxa"/>
            <w:vAlign w:val="center"/>
          </w:tcPr>
          <w:p w14:paraId="261F2A7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vertAlign w:val="baseline"/>
                <w:lang w:val="en-US" w:eastAsia="zh-CN"/>
              </w:rPr>
              <w:t>2026年财政帮扶资240万元</w:t>
            </w:r>
          </w:p>
        </w:tc>
        <w:tc>
          <w:tcPr>
            <w:tcW w:w="2073" w:type="dxa"/>
            <w:vAlign w:val="center"/>
          </w:tcPr>
          <w:p w14:paraId="12346FEC">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提升农产品品质、品牌效应，扩大农产品品牌影响力和产品知名度。通过品牌带动、产业带动等提升农业综合效益，受益农户25000户以上</w:t>
            </w:r>
          </w:p>
        </w:tc>
        <w:tc>
          <w:tcPr>
            <w:tcW w:w="1010" w:type="dxa"/>
            <w:vAlign w:val="center"/>
          </w:tcPr>
          <w:p w14:paraId="337442CE">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品牌带动、</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产业带动</w:t>
            </w:r>
          </w:p>
        </w:tc>
      </w:tr>
      <w:tr w14:paraId="1C373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986" w:type="dxa"/>
            <w:vAlign w:val="center"/>
          </w:tcPr>
          <w:p w14:paraId="4BE220C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19</w:t>
            </w:r>
          </w:p>
        </w:tc>
        <w:tc>
          <w:tcPr>
            <w:tcW w:w="1245" w:type="dxa"/>
            <w:vAlign w:val="center"/>
          </w:tcPr>
          <w:p w14:paraId="49B6AB0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燕山绒山羊良种补贴项目</w:t>
            </w:r>
          </w:p>
        </w:tc>
        <w:tc>
          <w:tcPr>
            <w:tcW w:w="1016" w:type="dxa"/>
            <w:vAlign w:val="center"/>
          </w:tcPr>
          <w:p w14:paraId="1FB78C1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24个乡镇396个村</w:t>
            </w:r>
          </w:p>
        </w:tc>
        <w:tc>
          <w:tcPr>
            <w:tcW w:w="941" w:type="dxa"/>
            <w:vAlign w:val="center"/>
          </w:tcPr>
          <w:p w14:paraId="4B6A99D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2026年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4773" w:type="dxa"/>
            <w:vAlign w:val="center"/>
          </w:tcPr>
          <w:p w14:paraId="1F93783A">
            <w:pPr>
              <w:keepNext w:val="0"/>
              <w:keepLines w:val="0"/>
              <w:widowControl/>
              <w:suppressLineNumbers w:val="0"/>
              <w:jc w:val="left"/>
              <w:textAlignment w:val="center"/>
              <w:rPr>
                <w:rStyle w:val="12"/>
                <w:rFonts w:hint="eastAsia" w:ascii="仿宋" w:hAnsi="仿宋" w:eastAsia="仿宋" w:cs="仿宋"/>
                <w:color w:val="auto"/>
                <w:sz w:val="21"/>
                <w:szCs w:val="21"/>
                <w:lang w:val="en-US" w:eastAsia="zh-CN" w:bidi="ar"/>
              </w:rPr>
            </w:pPr>
            <w:r>
              <w:rPr>
                <w:rFonts w:hint="eastAsia" w:ascii="仿宋" w:hAnsi="仿宋" w:eastAsia="仿宋" w:cs="仿宋"/>
                <w:i w:val="0"/>
                <w:iCs w:val="0"/>
                <w:color w:val="auto"/>
                <w:kern w:val="0"/>
                <w:sz w:val="21"/>
                <w:szCs w:val="21"/>
                <w:u w:val="none"/>
                <w:lang w:val="en-US" w:eastAsia="zh-CN" w:bidi="ar"/>
              </w:rPr>
              <w:t>引进优质燕山绒山羊种公羊400只，改良燕山绒山羊0.8万只，补助标准不超过项目资金总额的50%。项目通过产业带动、收益带动、务工就业等联农带农方式提升农业综合效益，预计受益农户100户以上。</w:t>
            </w:r>
          </w:p>
        </w:tc>
        <w:tc>
          <w:tcPr>
            <w:tcW w:w="872" w:type="dxa"/>
            <w:vAlign w:val="center"/>
          </w:tcPr>
          <w:p w14:paraId="0DBC9FB2">
            <w:pPr>
              <w:keepNext w:val="0"/>
              <w:keepLines w:val="0"/>
              <w:widowControl/>
              <w:suppressLineNumbers w:val="0"/>
              <w:jc w:val="center"/>
              <w:textAlignment w:val="center"/>
              <w:rPr>
                <w:rFonts w:hint="eastAsia" w:ascii="仿宋" w:hAnsi="仿宋" w:eastAsia="仿宋" w:cs="仿宋"/>
                <w:color w:val="auto"/>
                <w:sz w:val="21"/>
                <w:szCs w:val="21"/>
                <w:lang w:eastAsia="zh-CN" w:bidi="ar"/>
              </w:rPr>
            </w:pPr>
            <w:r>
              <w:rPr>
                <w:rFonts w:hint="eastAsia" w:ascii="仿宋" w:hAnsi="仿宋" w:eastAsia="仿宋" w:cs="仿宋"/>
                <w:color w:val="auto"/>
                <w:sz w:val="21"/>
                <w:szCs w:val="21"/>
                <w:vertAlign w:val="baseline"/>
                <w:lang w:val="en-US" w:eastAsia="zh-CN"/>
              </w:rPr>
              <w:t>农业农村局</w:t>
            </w:r>
          </w:p>
        </w:tc>
        <w:tc>
          <w:tcPr>
            <w:tcW w:w="1282" w:type="dxa"/>
            <w:vAlign w:val="center"/>
          </w:tcPr>
          <w:p w14:paraId="105F3EA5">
            <w:pPr>
              <w:keepNext w:val="0"/>
              <w:keepLines w:val="0"/>
              <w:widowControl/>
              <w:suppressLineNumbers w:val="0"/>
              <w:jc w:val="center"/>
              <w:textAlignment w:val="center"/>
              <w:rPr>
                <w:rStyle w:val="12"/>
                <w:rFonts w:hint="eastAsia" w:ascii="仿宋" w:hAnsi="仿宋" w:eastAsia="仿宋" w:cs="仿宋"/>
                <w:color w:val="auto"/>
                <w:sz w:val="21"/>
                <w:szCs w:val="21"/>
                <w:lang w:val="en-US" w:eastAsia="zh-CN" w:bidi="ar"/>
              </w:rPr>
            </w:pPr>
            <w:r>
              <w:rPr>
                <w:rFonts w:hint="eastAsia" w:ascii="仿宋" w:hAnsi="仿宋" w:eastAsia="仿宋" w:cs="仿宋"/>
                <w:i w:val="0"/>
                <w:iCs w:val="0"/>
                <w:color w:val="auto"/>
                <w:kern w:val="0"/>
                <w:sz w:val="21"/>
                <w:szCs w:val="21"/>
                <w:u w:val="none"/>
                <w:lang w:val="en-US" w:eastAsia="zh-CN" w:bidi="ar"/>
              </w:rPr>
              <w:t>农业农村局/刘玉阁</w:t>
            </w:r>
          </w:p>
        </w:tc>
        <w:tc>
          <w:tcPr>
            <w:tcW w:w="1064" w:type="dxa"/>
            <w:vAlign w:val="center"/>
          </w:tcPr>
          <w:p w14:paraId="488B6D1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vertAlign w:val="baseline"/>
                <w:lang w:val="en-US" w:eastAsia="zh-CN"/>
              </w:rPr>
              <w:t>2026年财政帮扶资100万元</w:t>
            </w:r>
          </w:p>
        </w:tc>
        <w:tc>
          <w:tcPr>
            <w:tcW w:w="2073" w:type="dxa"/>
            <w:vAlign w:val="center"/>
          </w:tcPr>
          <w:p w14:paraId="0C6C701A">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auto"/>
                <w:kern w:val="0"/>
                <w:sz w:val="21"/>
                <w:szCs w:val="21"/>
                <w:u w:val="none"/>
                <w:lang w:val="en-US" w:eastAsia="zh-CN" w:bidi="ar"/>
              </w:rPr>
              <w:t>项目建成后，改良燕山绒山羊0.8万只，年可增加收入100万元，受益人口350人以上。</w:t>
            </w:r>
          </w:p>
        </w:tc>
        <w:tc>
          <w:tcPr>
            <w:tcW w:w="1010" w:type="dxa"/>
            <w:vAlign w:val="center"/>
          </w:tcPr>
          <w:p w14:paraId="02BEAD8F">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产业带动、收益带动、务工就业等</w:t>
            </w:r>
          </w:p>
        </w:tc>
      </w:tr>
      <w:tr w14:paraId="40FBF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986" w:type="dxa"/>
            <w:vAlign w:val="center"/>
          </w:tcPr>
          <w:p w14:paraId="21D8E7A9">
            <w:pPr>
              <w:keepNext w:val="0"/>
              <w:keepLines w:val="0"/>
              <w:widowControl/>
              <w:suppressLineNumbers w:val="0"/>
              <w:jc w:val="center"/>
              <w:textAlignment w:val="center"/>
              <w:rPr>
                <w:rFonts w:hint="eastAsia" w:ascii="仿宋" w:hAnsi="仿宋" w:eastAsia="仿宋" w:cs="仿宋"/>
                <w:color w:val="auto"/>
                <w:sz w:val="21"/>
                <w:szCs w:val="21"/>
                <w:highlight w:val="none"/>
                <w:lang w:val="en-US" w:bidi="ar"/>
              </w:rPr>
            </w:pPr>
            <w:r>
              <w:rPr>
                <w:rFonts w:hint="eastAsia" w:ascii="仿宋" w:hAnsi="仿宋" w:eastAsia="仿宋" w:cs="仿宋"/>
                <w:i w:val="0"/>
                <w:iCs w:val="0"/>
                <w:color w:val="auto"/>
                <w:kern w:val="0"/>
                <w:sz w:val="21"/>
                <w:szCs w:val="21"/>
                <w:u w:val="none"/>
                <w:lang w:val="en-US" w:eastAsia="zh-CN" w:bidi="ar"/>
              </w:rPr>
              <w:t>20</w:t>
            </w:r>
          </w:p>
        </w:tc>
        <w:tc>
          <w:tcPr>
            <w:tcW w:w="1245" w:type="dxa"/>
            <w:vAlign w:val="center"/>
          </w:tcPr>
          <w:p w14:paraId="4FA813A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农产品质量提升项目</w:t>
            </w:r>
          </w:p>
        </w:tc>
        <w:tc>
          <w:tcPr>
            <w:tcW w:w="1016" w:type="dxa"/>
            <w:vAlign w:val="center"/>
          </w:tcPr>
          <w:p w14:paraId="7C2A214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24个乡镇396个村</w:t>
            </w:r>
          </w:p>
        </w:tc>
        <w:tc>
          <w:tcPr>
            <w:tcW w:w="941" w:type="dxa"/>
            <w:vAlign w:val="center"/>
          </w:tcPr>
          <w:p w14:paraId="53A7F07D">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2026年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4773" w:type="dxa"/>
            <w:vAlign w:val="center"/>
          </w:tcPr>
          <w:p w14:paraId="145482FC">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开展农产品定量检测900批次，精准速测600批次，为服务站配备必要的检测设备设施耗材。项目通过品牌带动、产业带动等联农带农方式促进农产品质量提升，提高农业综合效益，预计受益农户100户以上。</w:t>
            </w:r>
          </w:p>
        </w:tc>
        <w:tc>
          <w:tcPr>
            <w:tcW w:w="872" w:type="dxa"/>
            <w:vAlign w:val="center"/>
          </w:tcPr>
          <w:p w14:paraId="7EBB182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vertAlign w:val="baseline"/>
                <w:lang w:val="en-US" w:eastAsia="zh-CN"/>
              </w:rPr>
              <w:t>农业农村局</w:t>
            </w:r>
          </w:p>
        </w:tc>
        <w:tc>
          <w:tcPr>
            <w:tcW w:w="1282" w:type="dxa"/>
            <w:vAlign w:val="center"/>
          </w:tcPr>
          <w:p w14:paraId="58E64AA7">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农业农村局/张一</w:t>
            </w:r>
          </w:p>
        </w:tc>
        <w:tc>
          <w:tcPr>
            <w:tcW w:w="1064" w:type="dxa"/>
            <w:vAlign w:val="center"/>
          </w:tcPr>
          <w:p w14:paraId="29B51E70">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vertAlign w:val="baseline"/>
                <w:lang w:val="en-US" w:eastAsia="zh-CN"/>
              </w:rPr>
              <w:t>2026年财政帮扶资85万元</w:t>
            </w:r>
          </w:p>
        </w:tc>
        <w:tc>
          <w:tcPr>
            <w:tcW w:w="2073" w:type="dxa"/>
            <w:vAlign w:val="center"/>
          </w:tcPr>
          <w:p w14:paraId="6022C3E4">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提升农产品品质、品牌效应，扩大农产品品牌影响力和产品知名度，受益农户100户以上</w:t>
            </w:r>
          </w:p>
        </w:tc>
        <w:tc>
          <w:tcPr>
            <w:tcW w:w="1010" w:type="dxa"/>
            <w:vAlign w:val="center"/>
          </w:tcPr>
          <w:p w14:paraId="74C7AFF5">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品牌带动、产业带动</w:t>
            </w:r>
          </w:p>
        </w:tc>
      </w:tr>
      <w:tr w14:paraId="41D2B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8" w:hRule="atLeast"/>
        </w:trPr>
        <w:tc>
          <w:tcPr>
            <w:tcW w:w="986" w:type="dxa"/>
            <w:vAlign w:val="center"/>
          </w:tcPr>
          <w:p w14:paraId="5211F2AD">
            <w:pPr>
              <w:keepNext w:val="0"/>
              <w:keepLines w:val="0"/>
              <w:widowControl/>
              <w:suppressLineNumbers w:val="0"/>
              <w:jc w:val="center"/>
              <w:textAlignment w:val="center"/>
              <w:rPr>
                <w:rFonts w:hint="eastAsia" w:ascii="仿宋" w:hAnsi="仿宋" w:eastAsia="仿宋" w:cs="仿宋"/>
                <w:color w:val="auto"/>
                <w:sz w:val="21"/>
                <w:szCs w:val="21"/>
                <w:highlight w:val="none"/>
                <w:lang w:val="en-US" w:bidi="ar"/>
              </w:rPr>
            </w:pPr>
            <w:r>
              <w:rPr>
                <w:rFonts w:hint="eastAsia" w:ascii="仿宋" w:hAnsi="仿宋" w:eastAsia="仿宋" w:cs="仿宋"/>
                <w:i w:val="0"/>
                <w:iCs w:val="0"/>
                <w:color w:val="auto"/>
                <w:kern w:val="0"/>
                <w:sz w:val="21"/>
                <w:szCs w:val="21"/>
                <w:u w:val="none"/>
                <w:lang w:val="en-US" w:eastAsia="zh-CN" w:bidi="ar"/>
              </w:rPr>
              <w:t>21</w:t>
            </w:r>
          </w:p>
        </w:tc>
        <w:tc>
          <w:tcPr>
            <w:tcW w:w="1245" w:type="dxa"/>
            <w:vAlign w:val="center"/>
          </w:tcPr>
          <w:p w14:paraId="49D1196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新型农村集体经济发展项目（农林产品深加工及综合利用）</w:t>
            </w:r>
          </w:p>
        </w:tc>
        <w:tc>
          <w:tcPr>
            <w:tcW w:w="1016" w:type="dxa"/>
            <w:vAlign w:val="center"/>
          </w:tcPr>
          <w:p w14:paraId="07348DA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祖山镇</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牛心山村</w:t>
            </w:r>
          </w:p>
        </w:tc>
        <w:tc>
          <w:tcPr>
            <w:tcW w:w="941" w:type="dxa"/>
            <w:vAlign w:val="center"/>
          </w:tcPr>
          <w:p w14:paraId="779F716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2026年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4773" w:type="dxa"/>
            <w:vAlign w:val="center"/>
          </w:tcPr>
          <w:p w14:paraId="13A5E1C2">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依托河北满韵木业有限公司实施新型农村集体经济项目，安装4条生产线，新建宽幅面皮旋切生产线、板芯旋切生产线、资源综合利用生物质颗粒生产线、菌棒加工生产线各1条及配套设施设备。项目形成资产所有权归村集体，以租赁方式出租给实施主体，前五年租金支付比例为租赁资产的6%，第六年开始为租赁资产的4%.收益金可用于产业发展、扶贫救困、公益事业等支出，项目通过收益带动、务工就业、产业带动等联农带农方式提升农业综合效益，预计受益农户3872户。</w:t>
            </w:r>
          </w:p>
        </w:tc>
        <w:tc>
          <w:tcPr>
            <w:tcW w:w="872" w:type="dxa"/>
            <w:vAlign w:val="center"/>
          </w:tcPr>
          <w:p w14:paraId="694168E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vertAlign w:val="baseline"/>
                <w:lang w:val="en-US" w:eastAsia="zh-CN"/>
              </w:rPr>
              <w:t>农业农村局</w:t>
            </w:r>
          </w:p>
        </w:tc>
        <w:tc>
          <w:tcPr>
            <w:tcW w:w="1282" w:type="dxa"/>
            <w:vAlign w:val="center"/>
          </w:tcPr>
          <w:p w14:paraId="22168E5B">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农业农村局/董万金</w:t>
            </w:r>
          </w:p>
        </w:tc>
        <w:tc>
          <w:tcPr>
            <w:tcW w:w="1064" w:type="dxa"/>
            <w:vAlign w:val="center"/>
          </w:tcPr>
          <w:p w14:paraId="3662659E">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vertAlign w:val="baseline"/>
                <w:lang w:val="en-US" w:eastAsia="zh-CN"/>
              </w:rPr>
              <w:t>2026年财政帮扶资700万元</w:t>
            </w:r>
          </w:p>
        </w:tc>
        <w:tc>
          <w:tcPr>
            <w:tcW w:w="2073" w:type="dxa"/>
            <w:vAlign w:val="center"/>
          </w:tcPr>
          <w:p w14:paraId="2732F24C">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项目运行投产后，可促进新型村集体经济发展，受益村集体40个。受益村集体前五年每年实现增收3万元，第六年开始每年实现增收2万元，受益农户10829户</w:t>
            </w:r>
          </w:p>
        </w:tc>
        <w:tc>
          <w:tcPr>
            <w:tcW w:w="1010" w:type="dxa"/>
            <w:vAlign w:val="center"/>
          </w:tcPr>
          <w:p w14:paraId="02E6E8F8">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收益带动、务工就业、产业带动</w:t>
            </w:r>
          </w:p>
        </w:tc>
      </w:tr>
      <w:tr w14:paraId="0413A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trPr>
        <w:tc>
          <w:tcPr>
            <w:tcW w:w="986" w:type="dxa"/>
            <w:vAlign w:val="center"/>
          </w:tcPr>
          <w:p w14:paraId="7E3EB825">
            <w:pPr>
              <w:keepNext w:val="0"/>
              <w:keepLines w:val="0"/>
              <w:widowControl/>
              <w:suppressLineNumbers w:val="0"/>
              <w:jc w:val="center"/>
              <w:textAlignment w:val="center"/>
              <w:rPr>
                <w:rFonts w:hint="eastAsia" w:ascii="仿宋" w:hAnsi="仿宋" w:eastAsia="仿宋" w:cs="仿宋"/>
                <w:color w:val="auto"/>
                <w:sz w:val="21"/>
                <w:szCs w:val="21"/>
                <w:highlight w:val="none"/>
                <w:lang w:val="en-US" w:eastAsia="zh-CN" w:bidi="ar"/>
              </w:rPr>
            </w:pPr>
            <w:r>
              <w:rPr>
                <w:rFonts w:hint="eastAsia" w:ascii="仿宋" w:hAnsi="仿宋" w:eastAsia="仿宋" w:cs="仿宋"/>
                <w:color w:val="auto"/>
                <w:sz w:val="21"/>
                <w:szCs w:val="21"/>
                <w:highlight w:val="none"/>
                <w:lang w:val="en-US" w:eastAsia="zh-CN" w:bidi="ar"/>
              </w:rPr>
              <w:t>22</w:t>
            </w:r>
          </w:p>
        </w:tc>
        <w:tc>
          <w:tcPr>
            <w:tcW w:w="1245" w:type="dxa"/>
            <w:vAlign w:val="center"/>
          </w:tcPr>
          <w:p w14:paraId="30DB55E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特色产业提质增效补贴项目</w:t>
            </w:r>
          </w:p>
        </w:tc>
        <w:tc>
          <w:tcPr>
            <w:tcW w:w="1016" w:type="dxa"/>
            <w:vAlign w:val="center"/>
          </w:tcPr>
          <w:p w14:paraId="6DF8C1D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全县</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24个乡镇</w:t>
            </w:r>
          </w:p>
        </w:tc>
        <w:tc>
          <w:tcPr>
            <w:tcW w:w="941" w:type="dxa"/>
            <w:vAlign w:val="center"/>
          </w:tcPr>
          <w:p w14:paraId="07AED48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2026年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4773" w:type="dxa"/>
            <w:vAlign w:val="center"/>
          </w:tcPr>
          <w:p w14:paraId="5691A1FC">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对特色产业(林果、中药材、蔬菜）使用有机肥、沼液补贴，补助标准不超过项目资金总额的50%，有机肥每吨不超过400元，沼液每立方不超过100元。通过科技服务、收益带动、产业带动等联农带农方式提升提升农业综合效益，预计受益农户300户以上。</w:t>
            </w:r>
          </w:p>
        </w:tc>
        <w:tc>
          <w:tcPr>
            <w:tcW w:w="872" w:type="dxa"/>
            <w:vAlign w:val="center"/>
          </w:tcPr>
          <w:p w14:paraId="5F5D674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vertAlign w:val="baseline"/>
                <w:lang w:val="en-US" w:eastAsia="zh-CN"/>
              </w:rPr>
              <w:t>农业农村局</w:t>
            </w:r>
          </w:p>
        </w:tc>
        <w:tc>
          <w:tcPr>
            <w:tcW w:w="1282" w:type="dxa"/>
            <w:vAlign w:val="center"/>
          </w:tcPr>
          <w:p w14:paraId="53511C1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农业农村局/李义民</w:t>
            </w:r>
          </w:p>
        </w:tc>
        <w:tc>
          <w:tcPr>
            <w:tcW w:w="1064" w:type="dxa"/>
            <w:vAlign w:val="center"/>
          </w:tcPr>
          <w:p w14:paraId="6861087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vertAlign w:val="baseline"/>
                <w:lang w:val="en-US" w:eastAsia="zh-CN"/>
              </w:rPr>
              <w:t>2026年财政帮扶资200万元</w:t>
            </w:r>
          </w:p>
        </w:tc>
        <w:tc>
          <w:tcPr>
            <w:tcW w:w="2073" w:type="dxa"/>
            <w:vAlign w:val="center"/>
          </w:tcPr>
          <w:p w14:paraId="690D86B3">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通过扶持促进特色产业品质提升项目，提升农产品品质与产量，降低种植成本、改善土壤环境，推动绿色循环农业。</w:t>
            </w:r>
          </w:p>
        </w:tc>
        <w:tc>
          <w:tcPr>
            <w:tcW w:w="1010" w:type="dxa"/>
            <w:vAlign w:val="center"/>
          </w:tcPr>
          <w:p w14:paraId="55E3950E">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科技服务、收益带动、产业带动</w:t>
            </w:r>
          </w:p>
        </w:tc>
      </w:tr>
      <w:tr w14:paraId="3EF30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5" w:hRule="atLeast"/>
        </w:trPr>
        <w:tc>
          <w:tcPr>
            <w:tcW w:w="986" w:type="dxa"/>
            <w:vAlign w:val="center"/>
          </w:tcPr>
          <w:p w14:paraId="25FC292D">
            <w:pPr>
              <w:keepNext w:val="0"/>
              <w:keepLines w:val="0"/>
              <w:widowControl/>
              <w:suppressLineNumbers w:val="0"/>
              <w:jc w:val="center"/>
              <w:textAlignment w:val="center"/>
              <w:rPr>
                <w:rFonts w:hint="eastAsia" w:ascii="仿宋" w:hAnsi="仿宋" w:eastAsia="仿宋" w:cs="仿宋"/>
                <w:color w:val="auto"/>
                <w:sz w:val="21"/>
                <w:szCs w:val="21"/>
                <w:highlight w:val="none"/>
                <w:lang w:val="en-US" w:eastAsia="zh-CN" w:bidi="ar"/>
              </w:rPr>
            </w:pPr>
            <w:r>
              <w:rPr>
                <w:rFonts w:hint="eastAsia" w:ascii="仿宋" w:hAnsi="仿宋" w:eastAsia="仿宋" w:cs="仿宋"/>
                <w:color w:val="auto"/>
                <w:sz w:val="21"/>
                <w:szCs w:val="21"/>
                <w:highlight w:val="none"/>
                <w:lang w:val="en-US" w:eastAsia="zh-CN" w:bidi="ar"/>
              </w:rPr>
              <w:t>23</w:t>
            </w:r>
          </w:p>
        </w:tc>
        <w:tc>
          <w:tcPr>
            <w:tcW w:w="1245" w:type="dxa"/>
            <w:vAlign w:val="center"/>
          </w:tcPr>
          <w:p w14:paraId="5C7AB41A">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生产经营和劳动技能培训</w:t>
            </w:r>
          </w:p>
        </w:tc>
        <w:tc>
          <w:tcPr>
            <w:tcW w:w="1016" w:type="dxa"/>
            <w:vAlign w:val="center"/>
          </w:tcPr>
          <w:p w14:paraId="0F07852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24个乡镇396个村</w:t>
            </w:r>
          </w:p>
        </w:tc>
        <w:tc>
          <w:tcPr>
            <w:tcW w:w="941" w:type="dxa"/>
            <w:vAlign w:val="center"/>
          </w:tcPr>
          <w:p w14:paraId="507202C9">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2026年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4773" w:type="dxa"/>
            <w:vAlign w:val="center"/>
          </w:tcPr>
          <w:p w14:paraId="0EBF71DB">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依托县农业农村局农业广播电视学校、特色产业技术指导中心、畜牧兽医股（畜牧）等局属股站室实施生产经营和劳动技能培训项目，建设内容为开展禽粪污资源化利用及板栗、水果、中药材、食用菌、猪、牛、羊等种养殖生产经营和劳动技能培训。项目通过科技服务、务工就业、产业带动等联农带农方式提升农业综合效益，预计受益农户达500人次以上。</w:t>
            </w:r>
          </w:p>
        </w:tc>
        <w:tc>
          <w:tcPr>
            <w:tcW w:w="872" w:type="dxa"/>
            <w:vAlign w:val="center"/>
          </w:tcPr>
          <w:p w14:paraId="0009E4C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vertAlign w:val="baseline"/>
                <w:lang w:val="en-US" w:eastAsia="zh-CN"/>
              </w:rPr>
              <w:t>农业农村局</w:t>
            </w:r>
          </w:p>
        </w:tc>
        <w:tc>
          <w:tcPr>
            <w:tcW w:w="1282" w:type="dxa"/>
            <w:vAlign w:val="center"/>
          </w:tcPr>
          <w:p w14:paraId="529C334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农业农村局/朱彩华、刘玉阁</w:t>
            </w:r>
          </w:p>
        </w:tc>
        <w:tc>
          <w:tcPr>
            <w:tcW w:w="1064" w:type="dxa"/>
            <w:vAlign w:val="center"/>
          </w:tcPr>
          <w:p w14:paraId="54E5E30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vertAlign w:val="baseline"/>
                <w:lang w:val="en-US" w:eastAsia="zh-CN"/>
              </w:rPr>
              <w:t>2026年财政帮扶资20万元</w:t>
            </w:r>
          </w:p>
        </w:tc>
        <w:tc>
          <w:tcPr>
            <w:tcW w:w="2073" w:type="dxa"/>
            <w:vAlign w:val="center"/>
          </w:tcPr>
          <w:p w14:paraId="3B80B54E">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通过开展生产经营和劳动技能培训，持续提升农户上产经营水平和劳动技能，持续提升农户发展增收产业内生动力，受益农户500人次以上</w:t>
            </w:r>
          </w:p>
        </w:tc>
        <w:tc>
          <w:tcPr>
            <w:tcW w:w="1010" w:type="dxa"/>
            <w:vAlign w:val="center"/>
          </w:tcPr>
          <w:p w14:paraId="7B79C956">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群众参与、科技</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i w:val="0"/>
                <w:iCs w:val="0"/>
                <w:color w:val="000000"/>
                <w:kern w:val="0"/>
                <w:sz w:val="21"/>
                <w:szCs w:val="21"/>
                <w:u w:val="none"/>
                <w:lang w:val="en-US" w:eastAsia="zh-CN" w:bidi="ar"/>
              </w:rPr>
              <w:t>服务</w:t>
            </w:r>
          </w:p>
        </w:tc>
      </w:tr>
      <w:tr w14:paraId="3BF6C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986" w:type="dxa"/>
            <w:vAlign w:val="center"/>
          </w:tcPr>
          <w:p w14:paraId="7CE01B4E">
            <w:pPr>
              <w:keepNext w:val="0"/>
              <w:keepLines w:val="0"/>
              <w:widowControl/>
              <w:suppressLineNumbers w:val="0"/>
              <w:jc w:val="center"/>
              <w:textAlignment w:val="center"/>
              <w:rPr>
                <w:rFonts w:hint="eastAsia" w:ascii="仿宋" w:hAnsi="仿宋" w:eastAsia="仿宋" w:cs="仿宋"/>
                <w:color w:val="auto"/>
                <w:sz w:val="21"/>
                <w:szCs w:val="21"/>
                <w:highlight w:val="none"/>
                <w:lang w:val="en-US" w:bidi="ar"/>
              </w:rPr>
            </w:pPr>
            <w:r>
              <w:rPr>
                <w:rFonts w:hint="eastAsia" w:ascii="仿宋" w:hAnsi="仿宋" w:eastAsia="仿宋" w:cs="仿宋"/>
                <w:i w:val="0"/>
                <w:iCs w:val="0"/>
                <w:color w:val="auto"/>
                <w:kern w:val="0"/>
                <w:sz w:val="21"/>
                <w:szCs w:val="21"/>
                <w:u w:val="none"/>
                <w:lang w:val="en-US" w:eastAsia="zh-CN" w:bidi="ar"/>
              </w:rPr>
              <w:t>24</w:t>
            </w:r>
          </w:p>
        </w:tc>
        <w:tc>
          <w:tcPr>
            <w:tcW w:w="1245" w:type="dxa"/>
            <w:vAlign w:val="center"/>
          </w:tcPr>
          <w:p w14:paraId="0B1FFE0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农业废弃物循环利用项目</w:t>
            </w:r>
          </w:p>
        </w:tc>
        <w:tc>
          <w:tcPr>
            <w:tcW w:w="1016" w:type="dxa"/>
            <w:vAlign w:val="center"/>
          </w:tcPr>
          <w:p w14:paraId="3750BDF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全县</w:t>
            </w:r>
          </w:p>
        </w:tc>
        <w:tc>
          <w:tcPr>
            <w:tcW w:w="941" w:type="dxa"/>
            <w:vAlign w:val="center"/>
          </w:tcPr>
          <w:p w14:paraId="697EEB05">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2026年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4773" w:type="dxa"/>
            <w:vAlign w:val="center"/>
          </w:tcPr>
          <w:p w14:paraId="142978B2">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开展农药包装废弃物回收和转运处理，通过群众参与、费用补助等方式有效解决农药包装废弃物对人类健康和农业农村生态环境的污染，有效提升农业废弃物服务化水平，预计受益农户150000户以上。</w:t>
            </w:r>
          </w:p>
        </w:tc>
        <w:tc>
          <w:tcPr>
            <w:tcW w:w="872" w:type="dxa"/>
            <w:vAlign w:val="center"/>
          </w:tcPr>
          <w:p w14:paraId="0B8C9D54">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vertAlign w:val="baseline"/>
                <w:lang w:val="en-US" w:eastAsia="zh-CN"/>
              </w:rPr>
              <w:t>农业农村局</w:t>
            </w:r>
          </w:p>
        </w:tc>
        <w:tc>
          <w:tcPr>
            <w:tcW w:w="1282" w:type="dxa"/>
            <w:vAlign w:val="center"/>
          </w:tcPr>
          <w:p w14:paraId="0B212F86">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农业农村局/李义民</w:t>
            </w:r>
          </w:p>
        </w:tc>
        <w:tc>
          <w:tcPr>
            <w:tcW w:w="1064" w:type="dxa"/>
            <w:vAlign w:val="center"/>
          </w:tcPr>
          <w:p w14:paraId="325C3A4C">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vertAlign w:val="baseline"/>
                <w:lang w:val="en-US" w:eastAsia="zh-CN"/>
              </w:rPr>
              <w:t>2026年财政帮扶资14万元</w:t>
            </w:r>
          </w:p>
        </w:tc>
        <w:tc>
          <w:tcPr>
            <w:tcW w:w="2073" w:type="dxa"/>
            <w:vAlign w:val="center"/>
          </w:tcPr>
          <w:p w14:paraId="6021A392">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有效解决农药包装废弃物对人类健康和农业农村生态环境的污染，提升农业废弃物服务化水平，受益农户,150000户以上</w:t>
            </w:r>
          </w:p>
        </w:tc>
        <w:tc>
          <w:tcPr>
            <w:tcW w:w="1010" w:type="dxa"/>
            <w:vAlign w:val="center"/>
          </w:tcPr>
          <w:p w14:paraId="4F54ACF9">
            <w:pPr>
              <w:keepNext w:val="0"/>
              <w:keepLines w:val="0"/>
              <w:widowControl/>
              <w:suppressLineNumbers w:val="0"/>
              <w:jc w:val="center"/>
              <w:textAlignment w:val="center"/>
              <w:rPr>
                <w:rFonts w:hint="eastAsia" w:ascii="仿宋" w:hAnsi="仿宋" w:eastAsia="仿宋" w:cs="仿宋"/>
                <w:color w:val="auto"/>
                <w:sz w:val="21"/>
                <w:szCs w:val="21"/>
                <w:vertAlign w:val="baseline"/>
                <w:lang w:val="en-US" w:eastAsia="zh-CN"/>
              </w:rPr>
            </w:pPr>
            <w:r>
              <w:rPr>
                <w:rFonts w:hint="eastAsia" w:ascii="仿宋" w:hAnsi="仿宋" w:eastAsia="仿宋" w:cs="仿宋"/>
                <w:i w:val="0"/>
                <w:iCs w:val="0"/>
                <w:color w:val="000000"/>
                <w:kern w:val="0"/>
                <w:sz w:val="21"/>
                <w:szCs w:val="21"/>
                <w:u w:val="none"/>
                <w:lang w:val="en-US" w:eastAsia="zh-CN" w:bidi="ar"/>
              </w:rPr>
              <w:t>群众参与、费用补助</w:t>
            </w:r>
          </w:p>
        </w:tc>
      </w:tr>
      <w:tr w14:paraId="2D86C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1" w:hRule="atLeast"/>
        </w:trPr>
        <w:tc>
          <w:tcPr>
            <w:tcW w:w="986" w:type="dxa"/>
            <w:vAlign w:val="center"/>
          </w:tcPr>
          <w:p w14:paraId="681DE7D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25</w:t>
            </w:r>
          </w:p>
        </w:tc>
        <w:tc>
          <w:tcPr>
            <w:tcW w:w="1245" w:type="dxa"/>
            <w:vAlign w:val="center"/>
          </w:tcPr>
          <w:p w14:paraId="6FBB3E63">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雨露计划项目</w:t>
            </w:r>
          </w:p>
        </w:tc>
        <w:tc>
          <w:tcPr>
            <w:tcW w:w="1016" w:type="dxa"/>
            <w:vAlign w:val="center"/>
          </w:tcPr>
          <w:p w14:paraId="50D71A08">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全县</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24个乡镇</w:t>
            </w:r>
          </w:p>
        </w:tc>
        <w:tc>
          <w:tcPr>
            <w:tcW w:w="941" w:type="dxa"/>
            <w:vAlign w:val="center"/>
          </w:tcPr>
          <w:p w14:paraId="0F2DFC32">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2026年</w:t>
            </w:r>
            <w:r>
              <w:rPr>
                <w:rFonts w:hint="eastAsia" w:ascii="仿宋" w:hAnsi="仿宋" w:eastAsia="仿宋" w:cs="仿宋"/>
                <w:i w:val="0"/>
                <w:iCs w:val="0"/>
                <w:color w:val="auto"/>
                <w:kern w:val="0"/>
                <w:sz w:val="21"/>
                <w:szCs w:val="21"/>
                <w:u w:val="none"/>
                <w:lang w:val="en-US" w:eastAsia="zh-CN" w:bidi="ar"/>
              </w:rPr>
              <w:br w:type="textWrapping"/>
            </w:r>
            <w:r>
              <w:rPr>
                <w:rFonts w:hint="eastAsia" w:ascii="仿宋" w:hAnsi="仿宋" w:eastAsia="仿宋" w:cs="仿宋"/>
                <w:i w:val="0"/>
                <w:iCs w:val="0"/>
                <w:color w:val="auto"/>
                <w:kern w:val="0"/>
                <w:sz w:val="21"/>
                <w:szCs w:val="21"/>
                <w:u w:val="none"/>
                <w:lang w:val="en-US" w:eastAsia="zh-CN" w:bidi="ar"/>
              </w:rPr>
              <w:t>12月</w:t>
            </w:r>
          </w:p>
        </w:tc>
        <w:tc>
          <w:tcPr>
            <w:tcW w:w="4773" w:type="dxa"/>
            <w:shd w:val="clear" w:color="auto" w:fill="auto"/>
            <w:vAlign w:val="center"/>
          </w:tcPr>
          <w:p w14:paraId="08205843">
            <w:pPr>
              <w:keepNext w:val="0"/>
              <w:keepLines w:val="0"/>
              <w:widowControl/>
              <w:suppressLineNumbers w:val="0"/>
              <w:jc w:val="left"/>
              <w:textAlignment w:val="center"/>
              <w:rPr>
                <w:rFonts w:hint="eastAsia" w:ascii="仿宋" w:hAnsi="仿宋" w:eastAsia="仿宋" w:cs="仿宋"/>
                <w:color w:val="auto"/>
                <w:kern w:val="2"/>
                <w:sz w:val="21"/>
                <w:szCs w:val="21"/>
                <w:lang w:val="en-US" w:eastAsia="zh-CN" w:bidi="ar"/>
              </w:rPr>
            </w:pPr>
            <w:r>
              <w:rPr>
                <w:rFonts w:hint="eastAsia" w:ascii="仿宋" w:hAnsi="仿宋" w:eastAsia="仿宋" w:cs="仿宋"/>
                <w:i w:val="0"/>
                <w:iCs w:val="0"/>
                <w:color w:val="auto"/>
                <w:kern w:val="0"/>
                <w:sz w:val="21"/>
                <w:szCs w:val="21"/>
                <w:u w:val="none"/>
                <w:lang w:val="en-US" w:eastAsia="zh-CN" w:bidi="ar"/>
              </w:rPr>
              <w:t>对符合条件的脱贫人口和防贫监测对象提供每人每学期1500元补助。项目通过发放教育补助，减轻脱贫人口和监测对象教育费用负担，预计收益脱贫人口和防贫监测对象3888人次。</w:t>
            </w:r>
          </w:p>
        </w:tc>
        <w:tc>
          <w:tcPr>
            <w:tcW w:w="872" w:type="dxa"/>
            <w:vAlign w:val="center"/>
          </w:tcPr>
          <w:p w14:paraId="61A7226D">
            <w:pPr>
              <w:keepNext w:val="0"/>
              <w:keepLines w:val="0"/>
              <w:widowControl/>
              <w:suppressLineNumbers w:val="0"/>
              <w:jc w:val="center"/>
              <w:textAlignment w:val="center"/>
              <w:rPr>
                <w:rFonts w:hint="eastAsia" w:ascii="仿宋" w:hAnsi="仿宋" w:eastAsia="仿宋" w:cs="仿宋"/>
                <w:color w:val="auto"/>
                <w:sz w:val="21"/>
                <w:szCs w:val="21"/>
                <w:lang w:eastAsia="zh-CN" w:bidi="ar"/>
              </w:rPr>
            </w:pPr>
            <w:r>
              <w:rPr>
                <w:rFonts w:hint="eastAsia" w:ascii="仿宋" w:hAnsi="仿宋" w:eastAsia="仿宋" w:cs="仿宋"/>
                <w:color w:val="auto"/>
                <w:sz w:val="21"/>
                <w:szCs w:val="21"/>
                <w:vertAlign w:val="baseline"/>
                <w:lang w:val="en-US" w:eastAsia="zh-CN"/>
              </w:rPr>
              <w:t>农业农村局</w:t>
            </w:r>
          </w:p>
        </w:tc>
        <w:tc>
          <w:tcPr>
            <w:tcW w:w="1282" w:type="dxa"/>
            <w:vAlign w:val="center"/>
          </w:tcPr>
          <w:p w14:paraId="504DD5BF">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农业农村局/于多</w:t>
            </w:r>
          </w:p>
        </w:tc>
        <w:tc>
          <w:tcPr>
            <w:tcW w:w="1064" w:type="dxa"/>
            <w:vAlign w:val="center"/>
          </w:tcPr>
          <w:p w14:paraId="1DE8D401">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color w:val="auto"/>
                <w:sz w:val="21"/>
                <w:szCs w:val="21"/>
                <w:vertAlign w:val="baseline"/>
                <w:lang w:val="en-US" w:eastAsia="zh-CN"/>
              </w:rPr>
              <w:t>2026年财政帮扶资583.2万元</w:t>
            </w:r>
          </w:p>
        </w:tc>
        <w:tc>
          <w:tcPr>
            <w:tcW w:w="2073" w:type="dxa"/>
            <w:vAlign w:val="center"/>
          </w:tcPr>
          <w:p w14:paraId="3E12BB33">
            <w:pPr>
              <w:keepNext w:val="0"/>
              <w:keepLines w:val="0"/>
              <w:pageBreakBefore w:val="0"/>
              <w:kinsoku/>
              <w:wordWrap/>
              <w:overflowPunct/>
              <w:topLinePunct w:val="0"/>
              <w:autoSpaceDE/>
              <w:autoSpaceDN/>
              <w:bidi w:val="0"/>
              <w:adjustRightInd/>
              <w:snapToGrid/>
              <w:spacing w:line="240" w:lineRule="exact"/>
              <w:jc w:val="center"/>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kern w:val="0"/>
                <w:sz w:val="21"/>
                <w:szCs w:val="21"/>
                <w:u w:val="none"/>
                <w:lang w:val="en-US" w:eastAsia="zh-CN" w:bidi="ar"/>
              </w:rPr>
              <w:t>项目通过发放教育补助，减轻脱贫人口和监测对象教育费用负担，预计收益脱贫人口和防贫监测对象3888人次。</w:t>
            </w:r>
          </w:p>
        </w:tc>
        <w:tc>
          <w:tcPr>
            <w:tcW w:w="1010" w:type="dxa"/>
            <w:vAlign w:val="center"/>
          </w:tcPr>
          <w:p w14:paraId="66A7AC85">
            <w:pPr>
              <w:keepNext w:val="0"/>
              <w:keepLines w:val="0"/>
              <w:pageBreakBefore w:val="0"/>
              <w:kinsoku/>
              <w:wordWrap/>
              <w:overflowPunct/>
              <w:topLinePunct w:val="0"/>
              <w:autoSpaceDE/>
              <w:autoSpaceDN/>
              <w:bidi w:val="0"/>
              <w:adjustRightInd/>
              <w:snapToGrid/>
              <w:spacing w:line="240" w:lineRule="exact"/>
              <w:jc w:val="both"/>
              <w:rPr>
                <w:rFonts w:hint="eastAsia" w:ascii="仿宋" w:hAnsi="仿宋" w:eastAsia="仿宋" w:cs="仿宋"/>
                <w:i w:val="0"/>
                <w:iCs w:val="0"/>
                <w:color w:val="auto"/>
                <w:kern w:val="0"/>
                <w:sz w:val="21"/>
                <w:szCs w:val="21"/>
                <w:u w:val="none"/>
                <w:lang w:val="en-US" w:eastAsia="zh-CN" w:bidi="ar"/>
              </w:rPr>
            </w:pPr>
            <w:r>
              <w:rPr>
                <w:rFonts w:hint="eastAsia" w:ascii="仿宋" w:hAnsi="仿宋" w:eastAsia="仿宋" w:cs="仿宋"/>
                <w:i w:val="0"/>
                <w:iCs w:val="0"/>
                <w:color w:val="auto"/>
                <w:sz w:val="21"/>
                <w:szCs w:val="21"/>
                <w:u w:val="none"/>
                <w:lang w:val="en-US" w:eastAsia="zh-CN"/>
              </w:rPr>
              <w:t>群众参与、教育补助</w:t>
            </w:r>
          </w:p>
        </w:tc>
      </w:tr>
    </w:tbl>
    <w:p w14:paraId="752B3598">
      <w:pPr>
        <w:tabs>
          <w:tab w:val="left" w:pos="13980"/>
        </w:tabs>
        <w:bidi w:val="0"/>
        <w:jc w:val="left"/>
        <w:rPr>
          <w:rFonts w:hint="eastAsia"/>
          <w:lang w:val="en-US" w:eastAsia="zh-CN"/>
        </w:rPr>
      </w:pPr>
    </w:p>
    <w:sectPr>
      <w:footerReference r:id="rId3" w:type="default"/>
      <w:pgSz w:w="16838" w:h="11906" w:orient="landscape"/>
      <w:pgMar w:top="1440" w:right="896" w:bottom="1270" w:left="896"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71F2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E8ED69">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E8ED69">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641F34"/>
    <w:rsid w:val="015E0632"/>
    <w:rsid w:val="01C46BC7"/>
    <w:rsid w:val="054D733B"/>
    <w:rsid w:val="06AD62E4"/>
    <w:rsid w:val="07C05BA3"/>
    <w:rsid w:val="08843074"/>
    <w:rsid w:val="09540C99"/>
    <w:rsid w:val="0ABA0FCF"/>
    <w:rsid w:val="0B5C25D4"/>
    <w:rsid w:val="0BE61950"/>
    <w:rsid w:val="0DE3083D"/>
    <w:rsid w:val="0F3B6457"/>
    <w:rsid w:val="0FEA5F30"/>
    <w:rsid w:val="10233173"/>
    <w:rsid w:val="10E01064"/>
    <w:rsid w:val="11072A94"/>
    <w:rsid w:val="11360C84"/>
    <w:rsid w:val="11596CD0"/>
    <w:rsid w:val="11BB7DC5"/>
    <w:rsid w:val="12665599"/>
    <w:rsid w:val="12955E7E"/>
    <w:rsid w:val="12AB56A1"/>
    <w:rsid w:val="12DB7D35"/>
    <w:rsid w:val="12F47048"/>
    <w:rsid w:val="1324792E"/>
    <w:rsid w:val="14411E19"/>
    <w:rsid w:val="1598015F"/>
    <w:rsid w:val="15A420DF"/>
    <w:rsid w:val="17033CFE"/>
    <w:rsid w:val="17343EB7"/>
    <w:rsid w:val="17A0154D"/>
    <w:rsid w:val="18381785"/>
    <w:rsid w:val="195901B3"/>
    <w:rsid w:val="1A077661"/>
    <w:rsid w:val="1AC35C7E"/>
    <w:rsid w:val="1AE259D8"/>
    <w:rsid w:val="1AF44089"/>
    <w:rsid w:val="1B4B17D0"/>
    <w:rsid w:val="1BA01B1B"/>
    <w:rsid w:val="1BA535D6"/>
    <w:rsid w:val="1C76287C"/>
    <w:rsid w:val="1E1E31CB"/>
    <w:rsid w:val="1E674B72"/>
    <w:rsid w:val="1FAA740D"/>
    <w:rsid w:val="200D1749"/>
    <w:rsid w:val="20937EA1"/>
    <w:rsid w:val="20BE47F2"/>
    <w:rsid w:val="21FA5CFD"/>
    <w:rsid w:val="222D60D3"/>
    <w:rsid w:val="22353229"/>
    <w:rsid w:val="25853B30"/>
    <w:rsid w:val="27252BF1"/>
    <w:rsid w:val="280876EF"/>
    <w:rsid w:val="280D678A"/>
    <w:rsid w:val="28B46C06"/>
    <w:rsid w:val="28E868B0"/>
    <w:rsid w:val="29233D8C"/>
    <w:rsid w:val="29E76B67"/>
    <w:rsid w:val="2A3A313B"/>
    <w:rsid w:val="2B641F34"/>
    <w:rsid w:val="2B9351F9"/>
    <w:rsid w:val="2BB46F1D"/>
    <w:rsid w:val="2BD563FD"/>
    <w:rsid w:val="2CA567FD"/>
    <w:rsid w:val="2D60221A"/>
    <w:rsid w:val="2D6706EB"/>
    <w:rsid w:val="2DB17BB8"/>
    <w:rsid w:val="2E45732B"/>
    <w:rsid w:val="2E745E99"/>
    <w:rsid w:val="2F882B9B"/>
    <w:rsid w:val="324F3FC7"/>
    <w:rsid w:val="3306614E"/>
    <w:rsid w:val="33DE547F"/>
    <w:rsid w:val="343B642D"/>
    <w:rsid w:val="34F627BD"/>
    <w:rsid w:val="358856A2"/>
    <w:rsid w:val="35C366DA"/>
    <w:rsid w:val="36034D29"/>
    <w:rsid w:val="36D87F64"/>
    <w:rsid w:val="37FF3FF2"/>
    <w:rsid w:val="38D26C34"/>
    <w:rsid w:val="39A6259B"/>
    <w:rsid w:val="3D8250CD"/>
    <w:rsid w:val="3E55633E"/>
    <w:rsid w:val="3FBC2D85"/>
    <w:rsid w:val="3FBD23EC"/>
    <w:rsid w:val="40384169"/>
    <w:rsid w:val="40D23C76"/>
    <w:rsid w:val="41C14740"/>
    <w:rsid w:val="429A4C67"/>
    <w:rsid w:val="43010842"/>
    <w:rsid w:val="43452E25"/>
    <w:rsid w:val="4387343D"/>
    <w:rsid w:val="43D47D05"/>
    <w:rsid w:val="44526E56"/>
    <w:rsid w:val="44F46F3B"/>
    <w:rsid w:val="46162856"/>
    <w:rsid w:val="463B667A"/>
    <w:rsid w:val="46722A57"/>
    <w:rsid w:val="46F72688"/>
    <w:rsid w:val="4707219F"/>
    <w:rsid w:val="47833F1C"/>
    <w:rsid w:val="47BC11DC"/>
    <w:rsid w:val="48853CC3"/>
    <w:rsid w:val="48EF0DD0"/>
    <w:rsid w:val="49512FEC"/>
    <w:rsid w:val="4A113A61"/>
    <w:rsid w:val="4A205A52"/>
    <w:rsid w:val="4B38326F"/>
    <w:rsid w:val="4B5C653F"/>
    <w:rsid w:val="4B6D2F19"/>
    <w:rsid w:val="4BBC17AA"/>
    <w:rsid w:val="4C350D30"/>
    <w:rsid w:val="4C72455F"/>
    <w:rsid w:val="4C8F5111"/>
    <w:rsid w:val="4D6B3488"/>
    <w:rsid w:val="4DB50BA7"/>
    <w:rsid w:val="4E6A1991"/>
    <w:rsid w:val="512322CB"/>
    <w:rsid w:val="513A1AEF"/>
    <w:rsid w:val="51894824"/>
    <w:rsid w:val="51A0391C"/>
    <w:rsid w:val="534D3630"/>
    <w:rsid w:val="54324CFF"/>
    <w:rsid w:val="54D20290"/>
    <w:rsid w:val="55191A1B"/>
    <w:rsid w:val="5583781B"/>
    <w:rsid w:val="56813D1C"/>
    <w:rsid w:val="57B819BF"/>
    <w:rsid w:val="57DD1426"/>
    <w:rsid w:val="596A4F3B"/>
    <w:rsid w:val="5AF07D07"/>
    <w:rsid w:val="5B527A35"/>
    <w:rsid w:val="5CF54B1C"/>
    <w:rsid w:val="6122434D"/>
    <w:rsid w:val="62C531E2"/>
    <w:rsid w:val="63F0428F"/>
    <w:rsid w:val="63FA3360"/>
    <w:rsid w:val="64AD3F2E"/>
    <w:rsid w:val="668D5EA9"/>
    <w:rsid w:val="67F56318"/>
    <w:rsid w:val="686C39D6"/>
    <w:rsid w:val="692549DB"/>
    <w:rsid w:val="6942733B"/>
    <w:rsid w:val="69BD6663"/>
    <w:rsid w:val="6A5C61DA"/>
    <w:rsid w:val="6AFA59F3"/>
    <w:rsid w:val="6D437B25"/>
    <w:rsid w:val="6E930639"/>
    <w:rsid w:val="6EB34837"/>
    <w:rsid w:val="6F2A2D4B"/>
    <w:rsid w:val="6F975F07"/>
    <w:rsid w:val="6FA128E1"/>
    <w:rsid w:val="70567B70"/>
    <w:rsid w:val="70AB7EBB"/>
    <w:rsid w:val="716040B5"/>
    <w:rsid w:val="73724CC1"/>
    <w:rsid w:val="73F41B79"/>
    <w:rsid w:val="759A12EB"/>
    <w:rsid w:val="76513328"/>
    <w:rsid w:val="7702635B"/>
    <w:rsid w:val="7706409E"/>
    <w:rsid w:val="771C566F"/>
    <w:rsid w:val="78680440"/>
    <w:rsid w:val="787104C6"/>
    <w:rsid w:val="789E20B4"/>
    <w:rsid w:val="78B10039"/>
    <w:rsid w:val="79062C77"/>
    <w:rsid w:val="79766B8D"/>
    <w:rsid w:val="7A1C7734"/>
    <w:rsid w:val="7BD77DB7"/>
    <w:rsid w:val="7C5331B5"/>
    <w:rsid w:val="7C924D09"/>
    <w:rsid w:val="7CFD1A9F"/>
    <w:rsid w:val="7D1961AD"/>
    <w:rsid w:val="7F6F6558"/>
    <w:rsid w:val="7FA97C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rFonts w:ascii="Times New Roman" w:hAnsi="Times New Roman" w:eastAsia="宋体" w:cs="Times New Roman"/>
      <w:b/>
      <w:bCs/>
      <w:sz w:val="44"/>
    </w:rPr>
  </w:style>
  <w:style w:type="paragraph" w:styleId="3">
    <w:name w:val="footer"/>
    <w:basedOn w:val="1"/>
    <w:next w:val="1"/>
    <w:unhideWhenUsed/>
    <w:qFormat/>
    <w:uiPriority w:val="0"/>
    <w:pPr>
      <w:tabs>
        <w:tab w:val="center" w:pos="4153"/>
        <w:tab w:val="right" w:pos="8306"/>
      </w:tabs>
      <w:snapToGrid w:val="0"/>
      <w:jc w:val="left"/>
    </w:pPr>
    <w:rPr>
      <w:sz w:val="18"/>
    </w:rPr>
  </w:style>
  <w:style w:type="paragraph" w:styleId="4">
    <w:name w:val="Body Text Indent"/>
    <w:basedOn w:val="1"/>
    <w:unhideWhenUsed/>
    <w:qFormat/>
    <w:uiPriority w:val="99"/>
    <w:pPr>
      <w:spacing w:after="120" w:afterLines="0" w:afterAutospacing="0"/>
      <w:ind w:left="420" w:leftChars="200"/>
    </w:p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4"/>
    <w:unhideWhenUsed/>
    <w:qFormat/>
    <w:uiPriority w:val="99"/>
    <w:pPr>
      <w:ind w:firstLine="420" w:firstLine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12"/>
    <w:basedOn w:val="9"/>
    <w:qFormat/>
    <w:uiPriority w:val="0"/>
    <w:rPr>
      <w:rFonts w:hint="eastAsia" w:ascii="宋体" w:hAnsi="宋体" w:eastAsia="宋体" w:cs="宋体"/>
      <w:color w:val="000000"/>
      <w:sz w:val="20"/>
      <w:szCs w:val="20"/>
      <w:u w:val="none"/>
    </w:rPr>
  </w:style>
  <w:style w:type="character" w:customStyle="1" w:styleId="11">
    <w:name w:val="font91"/>
    <w:basedOn w:val="9"/>
    <w:qFormat/>
    <w:uiPriority w:val="0"/>
    <w:rPr>
      <w:rFonts w:hint="eastAsia" w:ascii="宋体" w:hAnsi="宋体" w:eastAsia="宋体" w:cs="宋体"/>
      <w:color w:val="FF0000"/>
      <w:sz w:val="20"/>
      <w:szCs w:val="20"/>
      <w:u w:val="none"/>
    </w:rPr>
  </w:style>
  <w:style w:type="character" w:customStyle="1" w:styleId="12">
    <w:name w:val="font31"/>
    <w:basedOn w:val="9"/>
    <w:qFormat/>
    <w:uiPriority w:val="0"/>
    <w:rPr>
      <w:rFonts w:hint="eastAsia" w:ascii="宋体" w:hAnsi="宋体" w:eastAsia="宋体" w:cs="宋体"/>
      <w:color w:val="000000"/>
      <w:sz w:val="20"/>
      <w:szCs w:val="20"/>
      <w:u w:val="none"/>
    </w:rPr>
  </w:style>
  <w:style w:type="character" w:customStyle="1" w:styleId="13">
    <w:name w:val="font21"/>
    <w:basedOn w:val="9"/>
    <w:qFormat/>
    <w:uiPriority w:val="0"/>
    <w:rPr>
      <w:rFonts w:hint="eastAsia" w:ascii="宋体" w:hAnsi="宋体" w:eastAsia="宋体" w:cs="宋体"/>
      <w:color w:val="000000"/>
      <w:sz w:val="18"/>
      <w:szCs w:val="18"/>
      <w:u w:val="none"/>
    </w:rPr>
  </w:style>
  <w:style w:type="character" w:customStyle="1" w:styleId="14">
    <w:name w:val="font111"/>
    <w:basedOn w:val="9"/>
    <w:qFormat/>
    <w:uiPriority w:val="0"/>
    <w:rPr>
      <w:rFonts w:hint="eastAsia" w:ascii="宋体" w:hAnsi="宋体" w:eastAsia="宋体" w:cs="宋体"/>
      <w:color w:val="FF0000"/>
      <w:sz w:val="18"/>
      <w:szCs w:val="18"/>
      <w:u w:val="none"/>
    </w:rPr>
  </w:style>
  <w:style w:type="character" w:customStyle="1" w:styleId="15">
    <w:name w:val="font11"/>
    <w:basedOn w:val="9"/>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7780</Words>
  <Characters>8392</Characters>
  <Lines>0</Lines>
  <Paragraphs>0</Paragraphs>
  <TotalTime>0</TotalTime>
  <ScaleCrop>false</ScaleCrop>
  <LinksUpToDate>false</LinksUpToDate>
  <CharactersWithSpaces>8402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2025-04-18T07:14:00Z</dcterms:created>
  <dc:creator>Administrator</dc:creator>
  <cp:lastModifiedBy>涛声依旧</cp:lastModifiedBy>
  <dcterms:modified xsi:type="dcterms:W3CDTF">2026-05-01T02:16:18Z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8D66025D5CAD445293D3CFE64D27594F_11</vt:lpwstr>
  </property>
  <property fmtid="{D5CDD505-2E9C-101B-9397-08002B2CF9AE}" pid="4" name="KSOTemplateDocerSaveRecord">
    <vt:lpwstr>eyJoZGlkIjoiNjBkNGIyYTIyY2VmYjcwZGVmZjcwNGUzOTc1MTg0MDkiLCJ1c2VySWQiOiIyOTQ3MTMzMTEifQ==</vt:lpwstr>
  </property>
</Properties>
</file>