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20" w:lineRule="exact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青人社字[202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 xml:space="preserve">]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 xml:space="preserve">号 </w:t>
      </w:r>
      <w:r>
        <w:rPr>
          <w:rFonts w:ascii="仿宋" w:hAnsi="仿宋" w:eastAsia="仿宋"/>
          <w:sz w:val="32"/>
          <w:szCs w:val="32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签发人：肖国林</w:t>
      </w:r>
    </w:p>
    <w:p>
      <w:pPr>
        <w:pStyle w:val="2"/>
        <w:rPr>
          <w:rFonts w:hint="eastAsia"/>
        </w:rPr>
      </w:pPr>
    </w:p>
    <w:p>
      <w:pPr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80" w:lineRule="exact"/>
        <w:ind w:firstLine="440" w:firstLineChars="10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青龙满族自治县人力资源和社会保障局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年“双随机、一公开”监管工作实施方案》的通知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局机关各股室、局属各事业单位：</w:t>
      </w:r>
    </w:p>
    <w:p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现将《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年“双随机、一公开”监管工作实施方案》印发给你们，请结合本单位实际，认真贯彻落实。</w:t>
      </w:r>
    </w:p>
    <w:p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青龙满族自治县人力资源和社会保障局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20" w:lineRule="exact"/>
        <w:jc w:val="both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青龙满族自治县人力资源和社会保障局</w:t>
      </w:r>
    </w:p>
    <w:p>
      <w:pPr>
        <w:spacing w:line="520" w:lineRule="exact"/>
        <w:ind w:left="440" w:hanging="440" w:hangingChars="100"/>
        <w:jc w:val="center"/>
        <w:rPr>
          <w:rFonts w:hint="eastAsia" w:ascii="方正小标宋简体" w:hAnsi="方正小标宋_GBK" w:eastAsia="方正小标宋简体" w:cs="方正小标宋_GBK"/>
          <w:color w:val="000000"/>
          <w:kern w:val="6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方正小标宋_GBK" w:eastAsia="方正小标宋简体" w:cs="方正小标宋_GBK"/>
          <w:color w:val="000000"/>
          <w:kern w:val="60"/>
          <w:sz w:val="44"/>
          <w:szCs w:val="44"/>
        </w:rPr>
        <w:t>“双随机、一公开”监管工作</w:t>
      </w:r>
    </w:p>
    <w:p>
      <w:pPr>
        <w:spacing w:line="520" w:lineRule="exact"/>
        <w:ind w:left="440" w:hanging="440" w:hangingChars="10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kern w:val="60"/>
          <w:sz w:val="44"/>
          <w:szCs w:val="44"/>
        </w:rPr>
        <w:t>实施方案</w:t>
      </w:r>
    </w:p>
    <w:p>
      <w:pPr>
        <w:adjustRightInd w:val="0"/>
        <w:snapToGrid w:val="0"/>
        <w:spacing w:line="560" w:lineRule="exact"/>
        <w:jc w:val="both"/>
        <w:rPr>
          <w:rFonts w:hint="eastAsia" w:ascii="方正小标宋_GBK" w:hAnsi="方正小标宋_GBK" w:eastAsia="方正小标宋_GBK" w:cs="方正小标宋_GBK"/>
          <w:snapToGrid w:val="0"/>
          <w:color w:val="000000"/>
          <w:kern w:val="60"/>
          <w:sz w:val="44"/>
          <w:szCs w:val="44"/>
        </w:rPr>
      </w:pPr>
    </w:p>
    <w:p>
      <w:pPr>
        <w:widowControl/>
        <w:ind w:firstLine="620" w:firstLineChars="200"/>
        <w:jc w:val="both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为深入贯彻落实国务院、省、市政府关于深化“放管服”改革优化营商环境部署要求，深入推进“双随机、一公开”监管，进一步健全完善事中事后监管机制，提升市场监管效能，震慑违法违规行为，助力全县经济高质量发展，根据《国务院关于在市场监管领域全面推行部门联合“双随机、一公开”监管的意见》（国发〔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2019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〕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号）、《河北省人民政府关于在市场监管领域全面推行部门联合“双随机、一公开”监管的实施意见》（冀政字〔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2019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〕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号）、《河北省人民政府办公厅关于印发河北省“双随机、一公开”监管与企业信用风险分级分类相结合实施方案的通知》（冀政办字〔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2020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〕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144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号）等文件要求，制定本方案。</w:t>
      </w:r>
    </w:p>
    <w:p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kern w:val="6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60"/>
          <w:sz w:val="32"/>
          <w:szCs w:val="32"/>
        </w:rPr>
        <w:t>一、工作思路及目标</w:t>
      </w:r>
    </w:p>
    <w:p>
      <w:pPr>
        <w:widowControl/>
        <w:ind w:firstLine="62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（一）以河北省双随机监管工作平台升级改造为契机，进一步完善组织架构和“一单两库”等建设，动态调整随机抽查事项清单、检查对象名录库和执法检查人员名录库，持续推进对检查对象和执法检查人员的分类标注，确保抽查顺利进行。</w:t>
      </w:r>
    </w:p>
    <w:p>
      <w:pPr>
        <w:widowControl/>
        <w:ind w:firstLine="62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（二）以部门联合抽查为重点，不断扩大部门联合随机抽查的覆盖面、占比率，使部门联合抽查成为本局部门间协同监管的主要方式。统一工作标准和流程，确保部门联合抽查规范有序开展。</w:t>
      </w:r>
    </w:p>
    <w:p>
      <w:pPr>
        <w:widowControl/>
        <w:ind w:firstLine="62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（三）以提高随机抽查的精准性为目标，不断完善企业信用风险差异化随机抽查机制，推进企业信用风险分类管理与“双随机、一公开”监管深度融合，提升随机抽查的靶向性、精准性，努力实现既“无事不扰”又“无处不在”。加大在相关监管领域非现场检查方式的探索，不断提升监管资源的利用效能。</w:t>
      </w:r>
    </w:p>
    <w:p>
      <w:pPr>
        <w:widowControl/>
        <w:ind w:firstLine="62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（四）以规范化建设为基础，深入贯彻落实《随机抽查工作规范-河北省地方标准》，加强“双随机、一公开”监管业务培训和舆论宣传力度，不断提高“双随机、一公开”监管规范化水平，确保监管执法公平、公正、公开。</w:t>
      </w:r>
    </w:p>
    <w:p>
      <w:pPr>
        <w:widowControl/>
        <w:ind w:firstLine="640" w:firstLineChars="200"/>
        <w:jc w:val="both"/>
      </w:pPr>
      <w:r>
        <w:rPr>
          <w:rFonts w:hint="eastAsia" w:ascii="仿宋" w:hAnsi="仿宋" w:eastAsia="仿宋" w:cs="楷体_GB2312"/>
          <w:color w:val="000000"/>
          <w:kern w:val="60"/>
          <w:sz w:val="32"/>
          <w:szCs w:val="32"/>
        </w:rPr>
        <w:t>（五）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制定 202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年度随机抽查工作计划时，在确保本地年度随机抽查企业占比不低于总数 3%的前提下，运用企业信用风险分级分类开展的抽查占比不低于 80%（未在河北省企业信用风险分级分类管理系统中分类的行业领域除外），提高随机抽查的精准性和震慑力。 </w:t>
      </w:r>
    </w:p>
    <w:p>
      <w:pPr>
        <w:widowControl/>
        <w:ind w:firstLine="620" w:firstLineChars="200"/>
        <w:jc w:val="both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要实现部门联合随机抽查次数占比达到本地抽查总次数的20%以上，联合抽查检查的主体数量占比达到本地抽查检查主体总数的 10%以上，大幅度减少对企业（单位）正常生产经营 的干扰，充分释放出“放管服”改革和优化营商环境的红利，增强市场主体的获得感和满意度。</w:t>
      </w:r>
    </w:p>
    <w:p>
      <w:pPr>
        <w:spacing w:line="600" w:lineRule="exact"/>
        <w:ind w:firstLine="64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二、主要任务</w:t>
      </w:r>
    </w:p>
    <w:p>
      <w:pPr>
        <w:spacing w:line="600" w:lineRule="exact"/>
        <w:ind w:firstLine="320" w:firstLineChars="100"/>
        <w:jc w:val="both"/>
        <w:rPr>
          <w:rFonts w:hint="eastAsia" w:ascii="仿宋" w:hAnsi="仿宋" w:eastAsia="仿宋" w:cs="楷体_GB2312"/>
          <w:color w:val="000000"/>
          <w:kern w:val="6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60"/>
          <w:sz w:val="32"/>
          <w:szCs w:val="32"/>
        </w:rPr>
        <w:t>（一）完善工作平台。</w:t>
      </w:r>
      <w:r>
        <w:rPr>
          <w:rFonts w:hint="eastAsia" w:ascii="仿宋" w:hAnsi="仿宋" w:eastAsia="仿宋" w:cs="仿宋_GB2312"/>
          <w:snapToGrid w:val="0"/>
          <w:sz w:val="32"/>
          <w:szCs w:val="32"/>
        </w:rPr>
        <w:t>根据法律法规规章立改废释和省、市、县部门调整更新，及时动态调整本部门随机抽查事项清单，确保实现随机事项全覆盖，要结合监管重点，合理确定一般检查事项、重点检查事项及其抽查比例；</w:t>
      </w:r>
      <w:r>
        <w:rPr>
          <w:rFonts w:hint="eastAsia" w:ascii="仿宋" w:hAnsi="仿宋" w:eastAsia="仿宋"/>
          <w:sz w:val="32"/>
          <w:szCs w:val="32"/>
        </w:rPr>
        <w:t>动态调整各检查对象名录库和执法检</w:t>
      </w:r>
      <w:r>
        <w:rPr>
          <w:rFonts w:hint="eastAsia" w:ascii="仿宋" w:hAnsi="仿宋" w:eastAsia="仿宋" w:cs="仿宋_GB2312"/>
          <w:snapToGrid w:val="0"/>
          <w:sz w:val="32"/>
          <w:szCs w:val="32"/>
        </w:rPr>
        <w:t>查人员名录库，确保本部门检查对象和执法人员“应纳尽纳”；利用标签库完成对检查对象和执法检查人员的分类标注，实现对检查对象的精准抽取、对执法人员的精准匹配，提升监管效能。</w:t>
      </w:r>
      <w:r>
        <w:rPr>
          <w:rFonts w:hint="eastAsia" w:ascii="仿宋" w:hAnsi="仿宋" w:eastAsia="仿宋" w:cs="楷体_GB2312"/>
          <w:color w:val="000000"/>
          <w:kern w:val="60"/>
          <w:sz w:val="32"/>
          <w:szCs w:val="32"/>
        </w:rPr>
        <w:t>（责任单位：</w:t>
      </w:r>
      <w:r>
        <w:rPr>
          <w:rFonts w:hint="eastAsia" w:ascii="仿宋" w:hAnsi="仿宋" w:eastAsia="仿宋" w:cs="仿宋_GB2312"/>
          <w:color w:val="000000"/>
          <w:kern w:val="60"/>
          <w:sz w:val="32"/>
          <w:szCs w:val="32"/>
          <w:lang w:val="en-US" w:eastAsia="zh-CN"/>
        </w:rPr>
        <w:t>调解仲裁和劳动保障监察股</w:t>
      </w:r>
      <w:r>
        <w:rPr>
          <w:rFonts w:hint="eastAsia" w:ascii="仿宋" w:hAnsi="仿宋" w:eastAsia="仿宋" w:cs="楷体_GB2312"/>
          <w:color w:val="000000"/>
          <w:kern w:val="60"/>
          <w:sz w:val="32"/>
          <w:szCs w:val="32"/>
        </w:rPr>
        <w:t>、就业促进股、基金管理股、工资福利保险股、就业服务中心、社会保险管理处，完成时限：全年）</w:t>
      </w:r>
    </w:p>
    <w:p>
      <w:pPr>
        <w:spacing w:line="600" w:lineRule="exact"/>
        <w:ind w:firstLine="320" w:firstLineChars="100"/>
        <w:jc w:val="both"/>
        <w:rPr>
          <w:rFonts w:hint="eastAsia" w:ascii="仿宋" w:hAnsi="仿宋" w:eastAsia="仿宋" w:cs="楷体_GB2312"/>
          <w:color w:val="000000"/>
          <w:kern w:val="6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60"/>
          <w:sz w:val="32"/>
          <w:szCs w:val="32"/>
        </w:rPr>
        <w:t>（二）大力推进联合抽查</w:t>
      </w:r>
      <w:r>
        <w:rPr>
          <w:rFonts w:hint="eastAsia" w:ascii="仿宋" w:hAnsi="仿宋" w:eastAsia="仿宋" w:cs="楷体_GB2312"/>
          <w:b w:val="0"/>
          <w:bCs/>
          <w:color w:val="000000"/>
          <w:kern w:val="60"/>
          <w:sz w:val="32"/>
          <w:szCs w:val="32"/>
        </w:rPr>
        <w:t>。</w:t>
      </w:r>
      <w:r>
        <w:rPr>
          <w:rFonts w:hint="eastAsia" w:ascii="仿宋" w:hAnsi="仿宋" w:eastAsia="仿宋" w:cs="楷体_GB2312"/>
          <w:color w:val="000000"/>
          <w:kern w:val="60"/>
          <w:sz w:val="32"/>
          <w:szCs w:val="32"/>
        </w:rPr>
        <w:t>要</w:t>
      </w:r>
      <w:r>
        <w:rPr>
          <w:rFonts w:hint="eastAsia" w:ascii="仿宋" w:hAnsi="仿宋" w:eastAsia="仿宋" w:cs="仿宋_GB2312"/>
          <w:snapToGrid w:val="0"/>
          <w:sz w:val="32"/>
          <w:szCs w:val="32"/>
        </w:rPr>
        <w:t>进一步健全完善各有关股室内部联合随机抽查工作机制，以制定年度随机抽查计划为抓手，确保“能联尽联、应联必联”。以县双随机办制定年度本部门联合抽查事项清单，结合监管实际，</w:t>
      </w:r>
      <w:r>
        <w:rPr>
          <w:rFonts w:hint="eastAsia" w:ascii="仿宋" w:hAnsi="仿宋" w:eastAsia="仿宋" w:cs="仿宋_GB2312"/>
          <w:color w:val="000000"/>
          <w:kern w:val="60"/>
          <w:sz w:val="32"/>
          <w:szCs w:val="32"/>
        </w:rPr>
        <w:t>积极参与，形成部门联合抽查的工作气氛，</w:t>
      </w:r>
      <w:r>
        <w:rPr>
          <w:rFonts w:hint="eastAsia" w:ascii="仿宋" w:hAnsi="仿宋" w:eastAsia="仿宋" w:cs="仿宋_GB2312"/>
          <w:snapToGrid w:val="0"/>
          <w:sz w:val="32"/>
          <w:szCs w:val="32"/>
        </w:rPr>
        <w:t>使部门联合抽查成为本地区部门间日常协同监管的主要方式</w:t>
      </w:r>
      <w:r>
        <w:rPr>
          <w:rFonts w:hint="eastAsia" w:ascii="仿宋" w:hAnsi="仿宋" w:eastAsia="仿宋" w:cs="仿宋_GB2312"/>
          <w:color w:val="000000"/>
          <w:kern w:val="60"/>
          <w:sz w:val="32"/>
          <w:szCs w:val="32"/>
        </w:rPr>
        <w:t>。</w:t>
      </w:r>
      <w:r>
        <w:rPr>
          <w:rFonts w:hint="eastAsia" w:ascii="仿宋" w:hAnsi="仿宋" w:eastAsia="仿宋" w:cs="楷体_GB2312"/>
          <w:color w:val="000000"/>
          <w:kern w:val="60"/>
          <w:sz w:val="32"/>
          <w:szCs w:val="32"/>
        </w:rPr>
        <w:t>（责任单位：</w:t>
      </w:r>
      <w:r>
        <w:rPr>
          <w:rFonts w:hint="eastAsia" w:ascii="仿宋" w:hAnsi="仿宋" w:eastAsia="仿宋" w:cs="仿宋_GB2312"/>
          <w:color w:val="000000"/>
          <w:kern w:val="60"/>
          <w:sz w:val="32"/>
          <w:szCs w:val="32"/>
          <w:lang w:val="en-US" w:eastAsia="zh-CN"/>
        </w:rPr>
        <w:t>调解仲裁和劳动保障监察股</w:t>
      </w:r>
      <w:r>
        <w:rPr>
          <w:rFonts w:hint="eastAsia" w:ascii="仿宋" w:hAnsi="仿宋" w:eastAsia="仿宋" w:cs="楷体_GB2312"/>
          <w:color w:val="000000"/>
          <w:kern w:val="60"/>
          <w:sz w:val="32"/>
          <w:szCs w:val="32"/>
        </w:rPr>
        <w:t>、就业促进股、基金管理股、工资福利保险股、就业服务中心、社会保险管理处，完成时限：全年）</w:t>
      </w:r>
    </w:p>
    <w:p>
      <w:pPr>
        <w:spacing w:line="600" w:lineRule="exact"/>
        <w:ind w:firstLine="320" w:firstLineChars="100"/>
        <w:jc w:val="both"/>
        <w:rPr>
          <w:rFonts w:hint="eastAsia" w:ascii="楷体_GB2312" w:hAnsi="楷体_GB2312" w:eastAsia="楷体_GB2312" w:cs="楷体_GB2312"/>
          <w:b/>
          <w:color w:val="000000"/>
          <w:kern w:val="6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60"/>
          <w:sz w:val="32"/>
          <w:szCs w:val="32"/>
        </w:rPr>
        <w:t>（三）提升监管质量和效率。</w:t>
      </w:r>
      <w:r>
        <w:rPr>
          <w:rFonts w:hint="eastAsia" w:ascii="仿宋" w:hAnsi="仿宋" w:eastAsia="仿宋" w:cs="楷体_GB2312"/>
          <w:color w:val="000000"/>
          <w:kern w:val="60"/>
          <w:sz w:val="32"/>
          <w:szCs w:val="32"/>
        </w:rPr>
        <w:t>各相关股室要认真落实《河北省人民政府办公厅关于印发河北省“双随机、一公开”监管与企业信用风险分级分类相结合实施方案的通知》（冀政办字〔2020〕144号），建立健全与企业信用风险分级分类相适应的随机抽查机制，深入推进企业信用风险差异化随机抽查，实现“双随机、一公开”监管与企业信用风险分级分类结合常态化、全覆盖，运用信用风险分级分类开展的抽查数量占比要达到本地总抽查数的80%以上。要强化“双随机、一公开”监管与重点领域监管的深度融合，对重点检查事项、重要监管领域及高风险主体要通过加大比例和频次等监管措施，守住安全底线。要充分利用信息化手段，加大对抽查检查结果的公示与运用，运用基于信用风险指数变化的预警功能，积极探索“双随机、一公开”监管与智慧监管的结合。（责任单位：</w:t>
      </w:r>
      <w:r>
        <w:rPr>
          <w:rFonts w:hint="eastAsia" w:ascii="仿宋" w:hAnsi="仿宋" w:eastAsia="仿宋" w:cs="仿宋_GB2312"/>
          <w:color w:val="000000"/>
          <w:kern w:val="60"/>
          <w:sz w:val="32"/>
          <w:szCs w:val="32"/>
          <w:lang w:val="en-US" w:eastAsia="zh-CN"/>
        </w:rPr>
        <w:t>调解仲裁和劳动保障监察股</w:t>
      </w:r>
      <w:r>
        <w:rPr>
          <w:rFonts w:hint="eastAsia" w:ascii="仿宋" w:hAnsi="仿宋" w:eastAsia="仿宋" w:cs="楷体_GB2312"/>
          <w:color w:val="000000"/>
          <w:kern w:val="60"/>
          <w:sz w:val="32"/>
          <w:szCs w:val="32"/>
        </w:rPr>
        <w:t>、就业促进股、基金管理股、工资福利保险股、就业服务中心、社会保险管理处，完成时限：长期推进）</w:t>
      </w:r>
    </w:p>
    <w:p>
      <w:pPr>
        <w:spacing w:line="600" w:lineRule="exact"/>
        <w:ind w:firstLine="320" w:firstLineChars="100"/>
        <w:jc w:val="both"/>
        <w:rPr>
          <w:rFonts w:hint="eastAsia" w:ascii="仿宋" w:hAnsi="仿宋" w:eastAsia="仿宋" w:cs="楷体_GB2312"/>
          <w:color w:val="000000"/>
          <w:kern w:val="6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60"/>
          <w:sz w:val="32"/>
          <w:szCs w:val="32"/>
        </w:rPr>
        <w:t>（四）规范随机抽查工作程序</w:t>
      </w:r>
      <w:r>
        <w:rPr>
          <w:rFonts w:hint="eastAsia" w:ascii="仿宋" w:hAnsi="仿宋" w:eastAsia="仿宋" w:cs="楷体_GB2312"/>
          <w:b w:val="0"/>
          <w:bCs/>
          <w:color w:val="000000"/>
          <w:kern w:val="60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kern w:val="60"/>
          <w:sz w:val="32"/>
          <w:szCs w:val="32"/>
        </w:rPr>
        <w:t>各有关股室要大力组织学习宣传《随机抽查工作规范-河北省地方标准》，严格规范随机抽查工作程序，不断提高“双随机、一公开”监管规范化水平。严格按照本部门年度随机抽查计划开展抽查，制定的年度计划、实施方案及抽查结果及时向社会公开。调整年度抽查计划应严格履行相关工作程序，调整后的年度抽查计划要及时向社会公开。不断完善抽查后续处置机制，规范问题线索的转办、移送等工作，涉嫌犯罪的及时移送司法机关，实现监管闭环。加大对抽查发现的违法失信行为的信用惩戒力度，将其纳入市场主体的信用记录，实施联合惩戒，强化信用监管的基础性地位和市场主体诚信守法经营自律意识，提升随机抽查效能和震慑力。（责任单位：</w:t>
      </w:r>
      <w:bookmarkStart w:id="0" w:name="OLE_LINK1"/>
      <w:r>
        <w:rPr>
          <w:rFonts w:hint="eastAsia" w:ascii="仿宋" w:hAnsi="仿宋" w:eastAsia="仿宋" w:cs="仿宋_GB2312"/>
          <w:color w:val="000000"/>
          <w:kern w:val="60"/>
          <w:sz w:val="32"/>
          <w:szCs w:val="32"/>
          <w:lang w:val="en-US" w:eastAsia="zh-CN"/>
        </w:rPr>
        <w:t>调解仲裁和劳动保障监察股</w:t>
      </w:r>
      <w:bookmarkEnd w:id="0"/>
      <w:r>
        <w:rPr>
          <w:rFonts w:hint="eastAsia" w:ascii="仿宋" w:hAnsi="仿宋" w:eastAsia="仿宋" w:cs="仿宋_GB2312"/>
          <w:color w:val="000000"/>
          <w:kern w:val="60"/>
          <w:sz w:val="32"/>
          <w:szCs w:val="32"/>
        </w:rPr>
        <w:t>、就业促进股、</w:t>
      </w:r>
      <w:r>
        <w:rPr>
          <w:rFonts w:hint="eastAsia" w:ascii="仿宋" w:hAnsi="仿宋" w:eastAsia="仿宋" w:cs="楷体_GB2312"/>
          <w:color w:val="000000"/>
          <w:kern w:val="60"/>
          <w:sz w:val="32"/>
          <w:szCs w:val="32"/>
        </w:rPr>
        <w:t>基金管理股、工资福利保险股、就业服务中心、社会保险管理处，完成时限：长期推进）</w:t>
      </w:r>
    </w:p>
    <w:p>
      <w:pPr>
        <w:spacing w:line="600" w:lineRule="exact"/>
        <w:ind w:firstLine="320" w:firstLineChars="100"/>
        <w:jc w:val="both"/>
        <w:rPr>
          <w:rFonts w:hint="eastAsia" w:ascii="仿宋" w:hAnsi="仿宋" w:eastAsia="仿宋" w:cs="楷体_GB2312"/>
          <w:color w:val="000000"/>
          <w:kern w:val="6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60"/>
          <w:sz w:val="32"/>
          <w:szCs w:val="32"/>
        </w:rPr>
        <w:t>（五）加大宣传培训力度</w:t>
      </w:r>
      <w:r>
        <w:rPr>
          <w:rFonts w:hint="eastAsia" w:ascii="仿宋" w:hAnsi="仿宋" w:eastAsia="仿宋" w:cs="楷体_GB2312"/>
          <w:b w:val="0"/>
          <w:bCs/>
          <w:color w:val="000000"/>
          <w:kern w:val="60"/>
          <w:sz w:val="32"/>
          <w:szCs w:val="32"/>
        </w:rPr>
        <w:t>。</w:t>
      </w:r>
      <w:r>
        <w:rPr>
          <w:rFonts w:hint="eastAsia" w:ascii="仿宋" w:hAnsi="仿宋" w:eastAsia="仿宋" w:cs="仿宋_GB2312"/>
          <w:snapToGrid w:val="0"/>
          <w:sz w:val="32"/>
          <w:szCs w:val="32"/>
        </w:rPr>
        <w:t>各有关股室要突出抓好随机抽查工作的宣传报道，不仅要加大在新闻媒体、官方网站等的报道力度，还要育服务于监管之中，在实地检查中宣讲政策、答疑解惑，不断增强企业、社会对双随机抽查监管方式的认知度，增强其对监管部门工作的理解配合，营造浓厚的社会监督氛围，提高社会共治水平。各有关股室要积极探索创新，将好经验、好做法固化为制度机制，不断提升全县“双随机、一公开”监管整体水平。</w:t>
      </w:r>
      <w:r>
        <w:rPr>
          <w:rFonts w:hint="eastAsia" w:ascii="仿宋" w:hAnsi="仿宋" w:eastAsia="仿宋" w:cs="仿宋_GB2312"/>
          <w:color w:val="000000"/>
          <w:kern w:val="60"/>
          <w:sz w:val="32"/>
          <w:szCs w:val="32"/>
        </w:rPr>
        <w:t>要常态化开展随机抽查工作培训，提高基层执法人员能力素质，实现抽查工作规范有序、抽查结果认定统一。</w:t>
      </w:r>
      <w:r>
        <w:rPr>
          <w:rFonts w:hint="eastAsia" w:ascii="仿宋" w:hAnsi="仿宋" w:eastAsia="仿宋" w:cs="楷体_GB2312"/>
          <w:color w:val="000000"/>
          <w:kern w:val="60"/>
          <w:sz w:val="32"/>
          <w:szCs w:val="32"/>
        </w:rPr>
        <w:t>（责任单位：</w:t>
      </w:r>
      <w:r>
        <w:rPr>
          <w:rFonts w:hint="eastAsia" w:ascii="仿宋" w:hAnsi="仿宋" w:eastAsia="仿宋" w:cs="仿宋_GB2312"/>
          <w:color w:val="000000"/>
          <w:kern w:val="60"/>
          <w:sz w:val="32"/>
          <w:szCs w:val="32"/>
          <w:lang w:val="en-US" w:eastAsia="zh-CN"/>
        </w:rPr>
        <w:t>调解仲裁和劳动保障监察股</w:t>
      </w:r>
      <w:r>
        <w:rPr>
          <w:rFonts w:hint="eastAsia" w:ascii="仿宋" w:hAnsi="仿宋" w:eastAsia="仿宋" w:cs="楷体_GB2312"/>
          <w:color w:val="000000"/>
          <w:kern w:val="60"/>
          <w:sz w:val="32"/>
          <w:szCs w:val="32"/>
        </w:rPr>
        <w:t>、就业促进股、基金管理股、工资福利保险股、就业服务中心、社会保险管理处，完成时限：长期推进）</w:t>
      </w:r>
    </w:p>
    <w:p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kern w:val="6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60"/>
          <w:sz w:val="32"/>
          <w:szCs w:val="32"/>
        </w:rPr>
        <w:t>三、工作要求</w:t>
      </w:r>
    </w:p>
    <w:p>
      <w:pPr>
        <w:spacing w:line="600" w:lineRule="exact"/>
        <w:ind w:firstLine="320" w:firstLineChars="100"/>
        <w:jc w:val="both"/>
        <w:rPr>
          <w:rFonts w:hint="eastAsia" w:ascii="仿宋" w:hAnsi="仿宋" w:eastAsia="仿宋" w:cs="仿宋_GB2312"/>
          <w:color w:val="000000"/>
          <w:spacing w:val="-6"/>
          <w:kern w:val="6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60"/>
          <w:sz w:val="32"/>
          <w:szCs w:val="32"/>
        </w:rPr>
        <w:t>（一）提高政治站位，加强组织领导</w:t>
      </w:r>
      <w:r>
        <w:rPr>
          <w:rFonts w:hint="eastAsia" w:ascii="仿宋" w:hAnsi="仿宋" w:eastAsia="仿宋" w:cs="楷体_GB2312"/>
          <w:b w:val="0"/>
          <w:bCs/>
          <w:color w:val="000000"/>
          <w:kern w:val="60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kern w:val="60"/>
          <w:sz w:val="32"/>
          <w:szCs w:val="32"/>
        </w:rPr>
        <w:t>党中央、国务院高度重视“双随机、一公开”监管工作,同时，省、市、县政府每年都安排专项督查问效。局属各相关股室要深刻认识做好这项工作的重要性和紧迫性，进一步加强组织领导和统筹协调，完善工作制度和运行机制，细化工作目标和推进举措，确保全年各项工作任务落到实处、取得实效，为</w:t>
      </w:r>
      <w:r>
        <w:rPr>
          <w:rFonts w:hint="eastAsia" w:ascii="仿宋" w:hAnsi="仿宋" w:eastAsia="仿宋" w:cs="仿宋_GB2312"/>
          <w:color w:val="000000"/>
          <w:spacing w:val="-6"/>
          <w:kern w:val="60"/>
          <w:sz w:val="32"/>
          <w:szCs w:val="32"/>
        </w:rPr>
        <w:t>深化“放管服”改革、优化营商环境做出积极贡献。</w:t>
      </w:r>
    </w:p>
    <w:p>
      <w:pPr>
        <w:spacing w:line="600" w:lineRule="exact"/>
        <w:ind w:firstLine="320" w:firstLineChars="100"/>
        <w:jc w:val="both"/>
        <w:rPr>
          <w:rFonts w:hint="eastAsia" w:ascii="仿宋" w:hAnsi="仿宋" w:eastAsia="仿宋" w:cs="仿宋_GB2312"/>
          <w:color w:val="000000"/>
          <w:kern w:val="6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60"/>
          <w:sz w:val="32"/>
          <w:szCs w:val="32"/>
        </w:rPr>
        <w:t>（二）认真履行职责，积极协调配合</w:t>
      </w:r>
      <w:r>
        <w:rPr>
          <w:rFonts w:hint="eastAsia" w:ascii="仿宋" w:hAnsi="仿宋" w:eastAsia="仿宋" w:cs="楷体_GB2312"/>
          <w:b w:val="0"/>
          <w:bCs/>
          <w:color w:val="000000"/>
          <w:kern w:val="60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kern w:val="60"/>
          <w:sz w:val="32"/>
          <w:szCs w:val="32"/>
        </w:rPr>
        <w:t>各相关股室要认真落实主体责任，按照县双随办的工作要求，积极主动开展工作，部门之间要加强沟通，主动配合，密切协作，形成工作合力。</w:t>
      </w:r>
    </w:p>
    <w:p>
      <w:pPr>
        <w:spacing w:line="600" w:lineRule="exact"/>
        <w:ind w:firstLine="320" w:firstLineChars="100"/>
        <w:jc w:val="both"/>
        <w:rPr>
          <w:rFonts w:hint="eastAsia" w:ascii="仿宋" w:hAnsi="仿宋" w:eastAsia="仿宋" w:cs="仿宋_GB2312"/>
          <w:color w:val="000000"/>
          <w:kern w:val="6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60"/>
          <w:sz w:val="32"/>
          <w:szCs w:val="32"/>
        </w:rPr>
        <w:t>（三）强化跟踪问效，加大督查力度</w:t>
      </w:r>
      <w:r>
        <w:rPr>
          <w:rFonts w:hint="eastAsia" w:ascii="仿宋" w:hAnsi="仿宋" w:eastAsia="仿宋" w:cs="楷体_GB2312"/>
          <w:b w:val="0"/>
          <w:bCs/>
          <w:color w:val="000000"/>
          <w:kern w:val="60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kern w:val="60"/>
          <w:sz w:val="32"/>
          <w:szCs w:val="32"/>
        </w:rPr>
        <w:t>各有关股室要提高随机抽查的工作效能，提高随机抽查中的问题发现率，体现出随机抽查的震慑力。加强对本单位“双随机、一公开”监管工作的督导检查，以查促发现问题、以查促整改落实。重点强化抽查计划的制定与落实、按时限完成结果录入、发现问题的后续处理等环节的督查，坚决克服方案制定不认真、检查检查走过场、纸上填报、结果录入审核把关不严等不认真履行职责的现象。</w:t>
      </w:r>
    </w:p>
    <w:p>
      <w:pPr>
        <w:spacing w:line="600" w:lineRule="exact"/>
        <w:jc w:val="both"/>
        <w:rPr>
          <w:rFonts w:hint="eastAsia" w:ascii="楷体" w:hAnsi="楷体" w:eastAsia="楷体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_GB2312"/>
          <w:color w:val="000000"/>
          <w:kern w:val="60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附件： 青龙满族自治县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人力资源和社会保障局</w:t>
      </w:r>
      <w:r>
        <w:rPr>
          <w:rFonts w:hint="eastAsia" w:ascii="楷体" w:hAnsi="楷体" w:eastAsia="楷体"/>
          <w:sz w:val="32"/>
          <w:szCs w:val="32"/>
        </w:rPr>
        <w:t>202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/>
          <w:sz w:val="32"/>
          <w:szCs w:val="32"/>
        </w:rPr>
        <w:t>年抽查工作计划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61E8B"/>
    <w:rsid w:val="174F3600"/>
    <w:rsid w:val="306435B8"/>
    <w:rsid w:val="41C0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2026-04-01T02:12:00Z</dcterms:created>
  <dc:creator>Administrator</dc:creator>
  <cp:lastModifiedBy>语无伦次</cp:lastModifiedBy>
  <cp:lastPrinted>2026-04-01T03:28:40Z</cp:lastPrinted>
  <dcterms:modified xsi:type="dcterms:W3CDTF">2026-04-01T03:29:18Z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364D4AE7B6EE460E83B17F0CA6C9CF8C</vt:lpwstr>
  </property>
</Properties>
</file>