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C892">
      <w:pPr>
        <w:jc w:val="center"/>
        <w:rPr>
          <w:b/>
        </w:rPr>
      </w:pPr>
      <w:r>
        <w:rPr>
          <w:b/>
          <w:bCs w:val="0"/>
          <w:sz w:val="36"/>
          <w:szCs w:val="36"/>
        </w:rPr>
        <w:t>青龙满族自治县娄杖子镇国土空间总体规划</w:t>
      </w:r>
      <w:r>
        <w:rPr>
          <w:rFonts w:hint="eastAsia"/>
          <w:b/>
          <w:bCs w:val="0"/>
          <w:sz w:val="36"/>
          <w:szCs w:val="36"/>
        </w:rPr>
        <w:t>（2</w:t>
      </w:r>
      <w:r>
        <w:rPr>
          <w:b/>
          <w:bCs w:val="0"/>
          <w:sz w:val="36"/>
          <w:szCs w:val="36"/>
        </w:rPr>
        <w:t>021-2035年</w:t>
      </w:r>
      <w:r>
        <w:rPr>
          <w:rFonts w:hint="eastAsia"/>
          <w:b/>
          <w:bCs w:val="0"/>
          <w:sz w:val="36"/>
          <w:szCs w:val="36"/>
        </w:rPr>
        <w:t>）批后公告</w:t>
      </w:r>
    </w:p>
    <w:p w14:paraId="32DAD75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>
        <w:rPr>
          <w:sz w:val="32"/>
          <w:szCs w:val="32"/>
        </w:rPr>
        <w:t>青龙满族自治县娄杖子镇国土空间总体规划</w:t>
      </w:r>
      <w:r>
        <w:rPr>
          <w:rFonts w:hint="eastAsia"/>
          <w:sz w:val="32"/>
          <w:szCs w:val="32"/>
        </w:rPr>
        <w:t>（2</w:t>
      </w:r>
      <w:r>
        <w:rPr>
          <w:sz w:val="32"/>
          <w:szCs w:val="32"/>
        </w:rPr>
        <w:t>021-2035年</w:t>
      </w:r>
      <w:r>
        <w:rPr>
          <w:rFonts w:hint="eastAsia"/>
          <w:sz w:val="32"/>
          <w:szCs w:val="32"/>
        </w:rPr>
        <w:t>）》已经青龙满族自治县人民政府批复，现将有关内容公告如下：</w:t>
      </w:r>
    </w:p>
    <w:p w14:paraId="20B42564">
      <w:pPr>
        <w:ind w:firstLine="643" w:firstLineChars="200"/>
        <w:rPr>
          <w:b/>
          <w:sz w:val="32"/>
          <w:szCs w:val="32"/>
        </w:rPr>
      </w:pPr>
      <w:r>
        <w:rPr>
          <w:b/>
          <w:sz w:val="32"/>
          <w:szCs w:val="32"/>
        </w:rPr>
        <w:t>一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规划范围</w:t>
      </w:r>
    </w:p>
    <w:p w14:paraId="74E5492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规划范围包括镇域和镇政府驻地两个层次。镇域规划范围为娄杖子镇行政辖区范围，包含15个行政村。镇政府驻地规划范围为镇政府所在地城镇开发边界划定范围，包含娄杖子村、朴杖子村、狮子坪村城镇开发边界范围，面积为142.14公顷。</w:t>
      </w:r>
    </w:p>
    <w:p w14:paraId="432BA976">
      <w:pPr>
        <w:ind w:firstLine="643" w:firstLineChars="200"/>
        <w:rPr>
          <w:b/>
          <w:sz w:val="32"/>
          <w:szCs w:val="32"/>
        </w:rPr>
      </w:pPr>
      <w:r>
        <w:rPr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规划期限</w:t>
      </w:r>
    </w:p>
    <w:p w14:paraId="176E56D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规划基期为2020年，规划期限为2021-2035年，近期到2025年，远景展望到2050年。</w:t>
      </w:r>
    </w:p>
    <w:p w14:paraId="1569450C">
      <w:pPr>
        <w:ind w:firstLine="643" w:firstLineChars="200"/>
        <w:rPr>
          <w:b/>
          <w:sz w:val="32"/>
          <w:szCs w:val="32"/>
        </w:rPr>
      </w:pPr>
      <w:r>
        <w:rPr>
          <w:b/>
          <w:sz w:val="32"/>
          <w:szCs w:val="32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功能定位</w:t>
      </w:r>
    </w:p>
    <w:p w14:paraId="19B2FEBF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现代农业、温泉康养、生态旅游融合发展的宜居资源生态型城镇。</w:t>
      </w:r>
    </w:p>
    <w:p w14:paraId="5AFBCBD8">
      <w:pPr>
        <w:ind w:firstLine="643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四、规划目标</w:t>
      </w:r>
    </w:p>
    <w:p w14:paraId="11B9BA7A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到</w:t>
      </w:r>
      <w:r>
        <w:rPr>
          <w:sz w:val="32"/>
          <w:szCs w:val="32"/>
        </w:rPr>
        <w:t>2035</w:t>
      </w:r>
      <w:r>
        <w:rPr>
          <w:rFonts w:hint="eastAsia"/>
          <w:sz w:val="32"/>
          <w:szCs w:val="32"/>
        </w:rPr>
        <w:t>年，基础设施支撑能力明显提升，公共服务体系更加健全；全域旅游发展格局取得显著成效，城乡居民生活品质快速提高。</w:t>
      </w:r>
    </w:p>
    <w:p w14:paraId="5EE315DB"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五、统筹落实三条控制线</w:t>
      </w:r>
    </w:p>
    <w:p w14:paraId="02491F5B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落实上级下达的耕地和永久基本农田保护任务，到2035年，耕地保有量不低于701.01公顷（1.05万亩），永久基本农田保护任务不低于649.47公顷（0.97万亩），划定永久基本农田保护面积671.47公顷（1.01万亩），划定生态保护红线面积</w:t>
      </w:r>
      <w:r>
        <w:rPr>
          <w:sz w:val="32"/>
          <w:szCs w:val="32"/>
        </w:rPr>
        <w:t>585.98</w:t>
      </w:r>
      <w:r>
        <w:rPr>
          <w:rFonts w:hint="eastAsia"/>
          <w:sz w:val="32"/>
          <w:szCs w:val="32"/>
        </w:rPr>
        <w:t>公顷，</w:t>
      </w:r>
      <w:r>
        <w:rPr>
          <w:sz w:val="32"/>
          <w:szCs w:val="32"/>
        </w:rPr>
        <w:t>划定城镇开发边界面积142.14</w:t>
      </w:r>
      <w:r>
        <w:rPr>
          <w:rFonts w:hint="eastAsia"/>
          <w:sz w:val="32"/>
          <w:szCs w:val="32"/>
        </w:rPr>
        <w:t>公顷，扩展倍数为1</w:t>
      </w:r>
      <w:r>
        <w:rPr>
          <w:sz w:val="32"/>
          <w:szCs w:val="32"/>
        </w:rPr>
        <w:t>.54</w:t>
      </w:r>
      <w:r>
        <w:rPr>
          <w:rFonts w:hint="eastAsia"/>
          <w:sz w:val="32"/>
          <w:szCs w:val="32"/>
        </w:rPr>
        <w:t>倍。</w:t>
      </w:r>
    </w:p>
    <w:p w14:paraId="1512DD62">
      <w:pPr>
        <w:ind w:firstLine="643" w:firstLineChars="200"/>
        <w:rPr>
          <w:b/>
          <w:sz w:val="32"/>
          <w:szCs w:val="32"/>
        </w:rPr>
      </w:pPr>
      <w:r>
        <w:rPr>
          <w:b/>
          <w:sz w:val="32"/>
          <w:szCs w:val="32"/>
        </w:rPr>
        <w:t>六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落实细化主体功能分区</w:t>
      </w:r>
    </w:p>
    <w:p w14:paraId="34A8802C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落实青龙满族自治县国土空间总体规划的乡镇级主体功能区定位，娄杖子镇为重点生态功能区。落实相关要求，全面实施乡村振兴战略，探索绿色高效安全的资源开发模式，做大做强特色优势产业，修复生态环境，推动绿色创新发展，增强内生发展动力。</w:t>
      </w:r>
    </w:p>
    <w:p w14:paraId="48094EE1">
      <w:pPr>
        <w:ind w:firstLine="643" w:firstLineChars="200"/>
        <w:rPr>
          <w:b/>
          <w:sz w:val="32"/>
          <w:szCs w:val="32"/>
        </w:rPr>
      </w:pPr>
      <w:r>
        <w:rPr>
          <w:b/>
          <w:sz w:val="32"/>
          <w:szCs w:val="32"/>
        </w:rPr>
        <w:t>七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构建国土空间开发保护总体格局</w:t>
      </w:r>
    </w:p>
    <w:p w14:paraId="09413F4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构建“一心、多轴、两节点”总体格局。一心：以规划的娄杖子镇区作为镇域综合服务中心。通过镇区功能的提升，逐步完善公共服务设施和基础设施服务水平，拓展农副产品加工、温泉康养等相关产业，加强镇区吸引力。多轴：以高速连接线为主要发展轴线；以镇域内的多条道路为发展次轴。两节点：确定前擦岭村和丁杖子村为镇域南北方向的两个中心村。</w:t>
      </w:r>
    </w:p>
    <w:p w14:paraId="7CC1208E">
      <w:pPr>
        <w:ind w:firstLine="643" w:firstLineChars="200"/>
        <w:rPr>
          <w:b/>
          <w:sz w:val="32"/>
          <w:szCs w:val="32"/>
        </w:rPr>
      </w:pPr>
      <w:r>
        <w:rPr>
          <w:b/>
          <w:sz w:val="32"/>
          <w:szCs w:val="32"/>
        </w:rPr>
        <w:t>八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加强农业空间保护</w:t>
      </w:r>
    </w:p>
    <w:p w14:paraId="37ED3AA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实施耕地“三位一体”保护，依法落实耕地利用优先序，耕地主要用于粮食和棉、油、糖、蔬菜等农产品及饲草饲料生产，永久基本农田重点用于粮食生产，高标准农田原则上全部用于粮食生产。构建三大农业产业板块：北部设施农业板块、南部生态养殖板块、临山林果产业板块。</w:t>
      </w:r>
    </w:p>
    <w:p w14:paraId="27750271">
      <w:pPr>
        <w:ind w:firstLine="643" w:firstLineChars="200"/>
        <w:rPr>
          <w:b/>
          <w:sz w:val="32"/>
          <w:szCs w:val="32"/>
        </w:rPr>
      </w:pPr>
      <w:r>
        <w:rPr>
          <w:b/>
          <w:sz w:val="32"/>
          <w:szCs w:val="32"/>
        </w:rPr>
        <w:t>九</w:t>
      </w:r>
      <w:r>
        <w:rPr>
          <w:rFonts w:hint="eastAsia"/>
          <w:b/>
          <w:sz w:val="32"/>
          <w:szCs w:val="32"/>
        </w:rPr>
        <w:t>、维持生态空间稳定</w:t>
      </w:r>
    </w:p>
    <w:p w14:paraId="0067A656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以燕山山林为重点区域加强生物多样性的就地保护。通过推进天然林保护、水源涵养林、防护林的保护，加强动植物的就地保护。</w:t>
      </w:r>
    </w:p>
    <w:p w14:paraId="58E0E3DA"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十、强化城乡空间集约</w:t>
      </w:r>
    </w:p>
    <w:p w14:paraId="41357CF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构建“镇政府驻地—中心村—基层村”三级镇村等级结构，突出比较优势和功能互补，统筹资源要素，推动乡村振兴。到2035年，镇域共划定村庄建设边界387.11公顷。预留不超过5%的规划新增村庄用地作为机动指标，用于村民居住、农村公共公益设施、零星分散的乡村文旅设施及农村新产业新业态等用地。合理确定工业用地规模，工业项目选址原则上向镇政府驻地和县级以上工业园区集中，对利用本地资源、不侵占永久基本农田、不破坏自然资源和历史风貌的乡村旅游、农村电商、农产品分拣、冷链、初加工等农村产业业态可根据实际条件就近布局。</w:t>
      </w:r>
    </w:p>
    <w:p w14:paraId="5C36DA1D"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十一、优化镇政府驻地空间布局</w:t>
      </w:r>
    </w:p>
    <w:p w14:paraId="51DDAD4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到2035年，镇政府驻地常住人口约为</w:t>
      </w:r>
      <w:r>
        <w:rPr>
          <w:sz w:val="32"/>
          <w:szCs w:val="32"/>
        </w:rPr>
        <w:t>0.68</w:t>
      </w:r>
      <w:r>
        <w:rPr>
          <w:rFonts w:hint="eastAsia"/>
          <w:sz w:val="32"/>
          <w:szCs w:val="32"/>
        </w:rPr>
        <w:t>万人。构建“一心一带两轴八组团”的空间结构，优化镇政府驻地空间布局和用地结构，加强土地资源节约集约利用。构建“一屏两廊，两园多点”的蓝绿空间结构。完善公共服务与交通体系，提升城市空间品质。</w:t>
      </w:r>
    </w:p>
    <w:p w14:paraId="6A46B07E">
      <w:pPr>
        <w:ind w:firstLine="643" w:firstLineChars="2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十二、完善基础设施体系</w:t>
      </w:r>
    </w:p>
    <w:p w14:paraId="52DF3DB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落实县级国土空间总体规划确定的重大交通基础设施，加强镇域既有交通基础设施提质升级和对外交通网络建设，推进镇政府驻地与干线交通的衔接，构建层次清晰、功能明确、分工协作的综合交通体系。镇域形成县道八马线、乡道三沙线、后三线与承秦高速连接线共同构建镇域路网骨架格局。镇政府驻地形成“三横两纵”的干路网结构。积极、稳步推进“平急两用”公共基础设施建设，优化防灾减灾救灾设施布局，提高国土空间安全韧性。统筹保障给水、排水、能源、供热、燃气、供电、通讯、环卫等基础设施空间，构建集约高效、智能绿色、安全可靠的现代化基础设施体系。</w:t>
      </w:r>
    </w:p>
    <w:p w14:paraId="6D8302E9">
      <w:pPr>
        <w:ind w:firstLine="643" w:firstLineChars="2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十三、规划实施保障</w:t>
      </w:r>
    </w:p>
    <w:p w14:paraId="00BC261A">
      <w:pPr>
        <w:ind w:firstLine="640" w:firstLineChars="200"/>
        <w:rPr>
          <w:rFonts w:hint="eastAsia"/>
        </w:rPr>
      </w:pPr>
      <w:r>
        <w:rPr>
          <w:rFonts w:hint="eastAsia"/>
          <w:sz w:val="32"/>
          <w:szCs w:val="32"/>
        </w:rPr>
        <w:t>落实总体规划的传导，加强对详细规划和村庄规划的传导。依托市级国土空间基础信息平台，完善国土空间规划“一张图”实施监督信息系统。</w:t>
      </w:r>
    </w:p>
    <w:p w14:paraId="20E60CF8">
      <w:pPr>
        <w:ind w:firstLine="643" w:firstLineChars="200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  <w:r>
        <w:rPr>
          <w:b/>
          <w:bCs/>
          <w:sz w:val="32"/>
          <w:szCs w:val="32"/>
        </w:rPr>
        <w:t>青龙满族自治县娄杖子镇国土空间总体规划</w:t>
      </w:r>
      <w:r>
        <w:rPr>
          <w:rFonts w:hint="eastAsia"/>
          <w:b/>
          <w:bCs/>
          <w:sz w:val="32"/>
          <w:szCs w:val="32"/>
          <w:lang w:val="en-US" w:eastAsia="zh-CN"/>
        </w:rPr>
        <w:t>图纸</w:t>
      </w:r>
      <w:bookmarkStart w:id="0" w:name="_GoBack"/>
      <w:bookmarkEnd w:id="0"/>
    </w:p>
    <w:p w14:paraId="4A012D21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3479165"/>
            <wp:effectExtent l="0" t="0" r="0" b="6985"/>
            <wp:docPr id="1" name="图片 1" descr="130321110娄杖子镇03国土空间控制线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0321110娄杖子镇03国土空间控制线规划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3FF1A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3479165"/>
            <wp:effectExtent l="0" t="0" r="635" b="6985"/>
            <wp:docPr id="2" name="图片 2" descr="130321110娄杖子镇15国土空间规划分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0321110娄杖子镇15国土空间规划分区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E3B0F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3479165"/>
            <wp:effectExtent l="0" t="0" r="635" b="6985"/>
            <wp:docPr id="3" name="图片 3" descr="130321110娄杖子镇16国土空间用地布局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0321110娄杖子镇16国土空间用地布局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CB3E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447915"/>
            <wp:effectExtent l="0" t="0" r="15240" b="635"/>
            <wp:docPr id="4" name="图片 4" descr="130321110娄杖子镇26城镇开发边界范围国土空间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0321110娄杖子镇26城镇开发边界范围国土空间用地规划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7B"/>
    <w:rsid w:val="000A66C0"/>
    <w:rsid w:val="001324A4"/>
    <w:rsid w:val="00231F9E"/>
    <w:rsid w:val="004A0E1D"/>
    <w:rsid w:val="00624286"/>
    <w:rsid w:val="00662884"/>
    <w:rsid w:val="00896BD3"/>
    <w:rsid w:val="008A4F48"/>
    <w:rsid w:val="008D557B"/>
    <w:rsid w:val="00A863BA"/>
    <w:rsid w:val="00B73307"/>
    <w:rsid w:val="00BA13C6"/>
    <w:rsid w:val="00BC14B3"/>
    <w:rsid w:val="00C529CC"/>
    <w:rsid w:val="00C97F94"/>
    <w:rsid w:val="00D22542"/>
    <w:rsid w:val="00D460C1"/>
    <w:rsid w:val="00E30828"/>
    <w:rsid w:val="00FE1DB3"/>
    <w:rsid w:val="0F55739C"/>
    <w:rsid w:val="154047C7"/>
    <w:rsid w:val="1D542177"/>
    <w:rsid w:val="36201D7F"/>
    <w:rsid w:val="3B693FD7"/>
    <w:rsid w:val="4B18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秦皇岛正文"/>
    <w:basedOn w:val="1"/>
    <w:link w:val="6"/>
    <w:qFormat/>
    <w:uiPriority w:val="0"/>
    <w:pPr>
      <w:spacing w:line="600" w:lineRule="exact"/>
      <w:ind w:firstLine="640" w:firstLineChars="200"/>
    </w:pPr>
    <w:rPr>
      <w:rFonts w:ascii="Times New Roman" w:hAnsi="Times New Roman" w:eastAsia="仿宋_GB2312" w:cs="Times New Roman"/>
      <w:sz w:val="32"/>
      <w:szCs w:val="32"/>
      <w14:ligatures w14:val="standardContextual"/>
    </w:rPr>
  </w:style>
  <w:style w:type="character" w:customStyle="1" w:styleId="6">
    <w:name w:val="秦皇岛正文 Char"/>
    <w:basedOn w:val="3"/>
    <w:link w:val="5"/>
    <w:qFormat/>
    <w:uiPriority w:val="0"/>
    <w:rPr>
      <w:rFonts w:ascii="Times New Roman" w:hAnsi="Times New Roman" w:eastAsia="仿宋_GB2312" w:cs="Times New Roman"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1694</Words>
  <Characters>1791</Characters>
  <Lines>12</Lines>
  <Paragraphs>3</Paragraphs>
  <TotalTime>5</TotalTime>
  <ScaleCrop>false</ScaleCrop>
  <LinksUpToDate>false</LinksUpToDate>
  <CharactersWithSpaces>1791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2026-02-27T07:55:00Z</dcterms:created>
  <dc:creator>admin</dc:creator>
  <cp:lastModifiedBy>人生如梦</cp:lastModifiedBy>
  <dcterms:modified xsi:type="dcterms:W3CDTF">2026-03-02T01:50:19Z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eyJoZGlkIjoiNGZlN2Q3YzI5MDExM2RiODY4NjQzYzFhMjQ0OTdhOTgiLCJ1c2VySWQiOiIyNTk1NDMzNjcifQ==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E291D642B77943BBBB23DCB67002FD67_12</vt:lpwstr>
  </property>
</Properties>
</file>