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rPr>
          <w:rFonts w:hint="eastAsia"/>
          <w:lang w:val="en-US" w:eastAsia="zh-CN"/>
        </w:rPr>
        <w:t>5</w:t>
      </w:r>
      <w:r>
        <w:t>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5</w:t>
      </w:r>
      <w:r>
        <w:t>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5</w:t>
      </w:r>
      <w:r>
        <w:t>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5</w:t>
      </w:r>
      <w:r>
        <w:t>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911土门子镇</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1016.34</w:t>
            </w:r>
          </w:p>
        </w:tc>
        <w:tc>
          <w:tcPr>
            <w:tcW w:w="4535" w:type="dxa"/>
            <w:vAlign w:val="center"/>
          </w:tcPr>
          <w:p>
            <w:pPr>
              <w:pStyle w:val="13"/>
            </w:pPr>
            <w:r>
              <w:t>一、一般公共服务支出</w:t>
            </w:r>
          </w:p>
        </w:tc>
        <w:tc>
          <w:tcPr>
            <w:tcW w:w="2126" w:type="dxa"/>
            <w:vAlign w:val="center"/>
          </w:tcPr>
          <w:p>
            <w:pPr>
              <w:pStyle w:val="12"/>
            </w:pPr>
            <w:r>
              <w:t>741.90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1016.34</w:t>
            </w:r>
          </w:p>
        </w:tc>
        <w:tc>
          <w:tcPr>
            <w:tcW w:w="4535" w:type="dxa"/>
            <w:vAlign w:val="center"/>
          </w:tcPr>
          <w:p>
            <w:pPr>
              <w:pStyle w:val="15"/>
            </w:pPr>
            <w:r>
              <w:t>本年支出合计</w:t>
            </w:r>
          </w:p>
        </w:tc>
        <w:tc>
          <w:tcPr>
            <w:tcW w:w="2126" w:type="dxa"/>
            <w:vAlign w:val="center"/>
          </w:tcPr>
          <w:p>
            <w:pPr>
              <w:pStyle w:val="16"/>
            </w:pPr>
            <w:r>
              <w:t>1404.73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388.40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1404.73</w:t>
            </w:r>
          </w:p>
        </w:tc>
        <w:tc>
          <w:tcPr>
            <w:tcW w:w="4535" w:type="dxa"/>
            <w:vAlign w:val="center"/>
          </w:tcPr>
          <w:p>
            <w:pPr>
              <w:pStyle w:val="15"/>
            </w:pPr>
            <w:r>
              <w:t>支出总计</w:t>
            </w:r>
          </w:p>
        </w:tc>
        <w:tc>
          <w:tcPr>
            <w:tcW w:w="2126" w:type="dxa"/>
            <w:vAlign w:val="center"/>
          </w:tcPr>
          <w:p>
            <w:pPr>
              <w:pStyle w:val="16"/>
            </w:pPr>
            <w:r>
              <w:t>1404.73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911土门子镇</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1404.73</w:t>
            </w:r>
          </w:p>
        </w:tc>
        <w:tc>
          <w:tcPr>
            <w:tcW w:w="1134" w:type="dxa"/>
            <w:vAlign w:val="center"/>
          </w:tcPr>
          <w:p>
            <w:pPr>
              <w:pStyle w:val="16"/>
            </w:pPr>
            <w:r>
              <w:t>1016.34</w:t>
            </w:r>
          </w:p>
        </w:tc>
        <w:tc>
          <w:tcPr>
            <w:tcW w:w="1134" w:type="dxa"/>
            <w:vAlign w:val="center"/>
          </w:tcPr>
          <w:p>
            <w:pPr>
              <w:pStyle w:val="16"/>
            </w:pPr>
            <w:r>
              <w:t>1016.34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388.40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741.90</w:t>
            </w:r>
          </w:p>
        </w:tc>
        <w:tc>
          <w:tcPr>
            <w:tcW w:w="1134" w:type="dxa"/>
            <w:vAlign w:val="center"/>
          </w:tcPr>
          <w:p>
            <w:pPr>
              <w:pStyle w:val="12"/>
            </w:pPr>
            <w:r>
              <w:t>730.54</w:t>
            </w:r>
          </w:p>
        </w:tc>
        <w:tc>
          <w:tcPr>
            <w:tcW w:w="1134" w:type="dxa"/>
            <w:vAlign w:val="center"/>
          </w:tcPr>
          <w:p>
            <w:pPr>
              <w:pStyle w:val="12"/>
            </w:pPr>
            <w:r>
              <w:t>730.54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731.90</w:t>
            </w:r>
          </w:p>
        </w:tc>
        <w:tc>
          <w:tcPr>
            <w:tcW w:w="1134" w:type="dxa"/>
            <w:vAlign w:val="center"/>
          </w:tcPr>
          <w:p>
            <w:pPr>
              <w:pStyle w:val="12"/>
            </w:pPr>
            <w:r>
              <w:t>720.54</w:t>
            </w:r>
          </w:p>
        </w:tc>
        <w:tc>
          <w:tcPr>
            <w:tcW w:w="1134" w:type="dxa"/>
            <w:vAlign w:val="center"/>
          </w:tcPr>
          <w:p>
            <w:pPr>
              <w:pStyle w:val="12"/>
            </w:pPr>
            <w:r>
              <w:t>720.54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337.26</w:t>
            </w:r>
          </w:p>
        </w:tc>
        <w:tc>
          <w:tcPr>
            <w:tcW w:w="1134" w:type="dxa"/>
            <w:vAlign w:val="center"/>
          </w:tcPr>
          <w:p>
            <w:pPr>
              <w:pStyle w:val="12"/>
            </w:pPr>
            <w:r>
              <w:t>325.89</w:t>
            </w:r>
          </w:p>
        </w:tc>
        <w:tc>
          <w:tcPr>
            <w:tcW w:w="1134" w:type="dxa"/>
            <w:vAlign w:val="center"/>
          </w:tcPr>
          <w:p>
            <w:pPr>
              <w:pStyle w:val="12"/>
            </w:pPr>
            <w:r>
              <w:t>325.89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391.64</w:t>
            </w:r>
          </w:p>
        </w:tc>
        <w:tc>
          <w:tcPr>
            <w:tcW w:w="1134" w:type="dxa"/>
            <w:vAlign w:val="center"/>
          </w:tcPr>
          <w:p>
            <w:pPr>
              <w:pStyle w:val="12"/>
            </w:pPr>
            <w:r>
              <w:t>391.64</w:t>
            </w:r>
          </w:p>
        </w:tc>
        <w:tc>
          <w:tcPr>
            <w:tcW w:w="1134" w:type="dxa"/>
            <w:vAlign w:val="center"/>
          </w:tcPr>
          <w:p>
            <w:pPr>
              <w:pStyle w:val="12"/>
            </w:pPr>
            <w:r>
              <w:t>391.64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139.50</w:t>
            </w:r>
          </w:p>
        </w:tc>
        <w:tc>
          <w:tcPr>
            <w:tcW w:w="1134" w:type="dxa"/>
            <w:vAlign w:val="center"/>
          </w:tcPr>
          <w:p>
            <w:pPr>
              <w:pStyle w:val="12"/>
            </w:pPr>
            <w:r>
              <w:t>138.02</w:t>
            </w:r>
          </w:p>
        </w:tc>
        <w:tc>
          <w:tcPr>
            <w:tcW w:w="1134" w:type="dxa"/>
            <w:vAlign w:val="center"/>
          </w:tcPr>
          <w:p>
            <w:pPr>
              <w:pStyle w:val="12"/>
            </w:pPr>
            <w:r>
              <w:t>138.02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125.94</w:t>
            </w:r>
          </w:p>
        </w:tc>
        <w:tc>
          <w:tcPr>
            <w:tcW w:w="1134" w:type="dxa"/>
            <w:vAlign w:val="center"/>
          </w:tcPr>
          <w:p>
            <w:pPr>
              <w:pStyle w:val="12"/>
            </w:pPr>
            <w:r>
              <w:t>124.62</w:t>
            </w:r>
          </w:p>
        </w:tc>
        <w:tc>
          <w:tcPr>
            <w:tcW w:w="1134" w:type="dxa"/>
            <w:vAlign w:val="center"/>
          </w:tcPr>
          <w:p>
            <w:pPr>
              <w:pStyle w:val="12"/>
            </w:pPr>
            <w:r>
              <w:t>124.62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27.84</w:t>
            </w:r>
          </w:p>
        </w:tc>
        <w:tc>
          <w:tcPr>
            <w:tcW w:w="1134" w:type="dxa"/>
            <w:vAlign w:val="center"/>
          </w:tcPr>
          <w:p>
            <w:pPr>
              <w:pStyle w:val="12"/>
            </w:pPr>
            <w:r>
              <w:t>26.52</w:t>
            </w:r>
          </w:p>
        </w:tc>
        <w:tc>
          <w:tcPr>
            <w:tcW w:w="1134" w:type="dxa"/>
            <w:vAlign w:val="center"/>
          </w:tcPr>
          <w:p>
            <w:pPr>
              <w:pStyle w:val="12"/>
            </w:pPr>
            <w:r>
              <w:t>26.52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3.44</w:t>
            </w:r>
          </w:p>
        </w:tc>
        <w:tc>
          <w:tcPr>
            <w:tcW w:w="1134" w:type="dxa"/>
            <w:vAlign w:val="center"/>
          </w:tcPr>
          <w:p>
            <w:pPr>
              <w:pStyle w:val="12"/>
            </w:pPr>
            <w:r>
              <w:t>3.44</w:t>
            </w:r>
          </w:p>
        </w:tc>
        <w:tc>
          <w:tcPr>
            <w:tcW w:w="1134" w:type="dxa"/>
            <w:vAlign w:val="center"/>
          </w:tcPr>
          <w:p>
            <w:pPr>
              <w:pStyle w:val="12"/>
            </w:pPr>
            <w:r>
              <w:t>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94.66</w:t>
            </w:r>
          </w:p>
        </w:tc>
        <w:tc>
          <w:tcPr>
            <w:tcW w:w="1134" w:type="dxa"/>
            <w:vAlign w:val="center"/>
          </w:tcPr>
          <w:p>
            <w:pPr>
              <w:pStyle w:val="12"/>
            </w:pPr>
            <w:r>
              <w:t>94.66</w:t>
            </w:r>
          </w:p>
        </w:tc>
        <w:tc>
          <w:tcPr>
            <w:tcW w:w="1134" w:type="dxa"/>
            <w:vAlign w:val="center"/>
          </w:tcPr>
          <w:p>
            <w:pPr>
              <w:pStyle w:val="12"/>
            </w:pPr>
            <w:r>
              <w:t>94.66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13.56</w:t>
            </w:r>
          </w:p>
        </w:tc>
        <w:tc>
          <w:tcPr>
            <w:tcW w:w="1134" w:type="dxa"/>
            <w:vAlign w:val="center"/>
          </w:tcPr>
          <w:p>
            <w:pPr>
              <w:pStyle w:val="12"/>
            </w:pPr>
            <w:r>
              <w:t>13.41</w:t>
            </w:r>
          </w:p>
        </w:tc>
        <w:tc>
          <w:tcPr>
            <w:tcW w:w="1134" w:type="dxa"/>
            <w:vAlign w:val="center"/>
          </w:tcPr>
          <w:p>
            <w:pPr>
              <w:pStyle w:val="12"/>
            </w:pPr>
            <w:r>
              <w:t>13.41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13.56</w:t>
            </w:r>
          </w:p>
        </w:tc>
        <w:tc>
          <w:tcPr>
            <w:tcW w:w="1134" w:type="dxa"/>
            <w:vAlign w:val="center"/>
          </w:tcPr>
          <w:p>
            <w:pPr>
              <w:pStyle w:val="12"/>
            </w:pPr>
            <w:r>
              <w:t>13.41</w:t>
            </w:r>
          </w:p>
        </w:tc>
        <w:tc>
          <w:tcPr>
            <w:tcW w:w="1134" w:type="dxa"/>
            <w:vAlign w:val="center"/>
          </w:tcPr>
          <w:p>
            <w:pPr>
              <w:pStyle w:val="12"/>
            </w:pPr>
            <w:r>
              <w:t>13.41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50.01</w:t>
            </w:r>
          </w:p>
        </w:tc>
        <w:tc>
          <w:tcPr>
            <w:tcW w:w="1134" w:type="dxa"/>
            <w:vAlign w:val="center"/>
          </w:tcPr>
          <w:p>
            <w:pPr>
              <w:pStyle w:val="12"/>
            </w:pPr>
            <w:r>
              <w:t>50.01</w:t>
            </w:r>
          </w:p>
        </w:tc>
        <w:tc>
          <w:tcPr>
            <w:tcW w:w="1134" w:type="dxa"/>
            <w:vAlign w:val="center"/>
          </w:tcPr>
          <w:p>
            <w:pPr>
              <w:pStyle w:val="12"/>
            </w:pPr>
            <w:r>
              <w:t>50.01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48.68</w:t>
            </w:r>
          </w:p>
        </w:tc>
        <w:tc>
          <w:tcPr>
            <w:tcW w:w="1134" w:type="dxa"/>
            <w:vAlign w:val="center"/>
          </w:tcPr>
          <w:p>
            <w:pPr>
              <w:pStyle w:val="12"/>
            </w:pPr>
            <w:r>
              <w:t>48.68</w:t>
            </w:r>
          </w:p>
        </w:tc>
        <w:tc>
          <w:tcPr>
            <w:tcW w:w="1134" w:type="dxa"/>
            <w:vAlign w:val="center"/>
          </w:tcPr>
          <w:p>
            <w:pPr>
              <w:pStyle w:val="12"/>
            </w:pPr>
            <w:r>
              <w:t>48.68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18.71</w:t>
            </w:r>
          </w:p>
        </w:tc>
        <w:tc>
          <w:tcPr>
            <w:tcW w:w="1134" w:type="dxa"/>
            <w:vAlign w:val="center"/>
          </w:tcPr>
          <w:p>
            <w:pPr>
              <w:pStyle w:val="12"/>
            </w:pPr>
            <w:r>
              <w:t>18.71</w:t>
            </w:r>
          </w:p>
        </w:tc>
        <w:tc>
          <w:tcPr>
            <w:tcW w:w="1134" w:type="dxa"/>
            <w:vAlign w:val="center"/>
          </w:tcPr>
          <w:p>
            <w:pPr>
              <w:pStyle w:val="12"/>
            </w:pPr>
            <w:r>
              <w:t>18.71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29.97</w:t>
            </w:r>
          </w:p>
        </w:tc>
        <w:tc>
          <w:tcPr>
            <w:tcW w:w="1134" w:type="dxa"/>
            <w:vAlign w:val="center"/>
          </w:tcPr>
          <w:p>
            <w:pPr>
              <w:pStyle w:val="12"/>
            </w:pPr>
            <w:r>
              <w:t>29.97</w:t>
            </w:r>
          </w:p>
        </w:tc>
        <w:tc>
          <w:tcPr>
            <w:tcW w:w="1134" w:type="dxa"/>
            <w:vAlign w:val="center"/>
          </w:tcPr>
          <w:p>
            <w:pPr>
              <w:pStyle w:val="12"/>
            </w:pPr>
            <w:r>
              <w:t>29.97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62.50</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52.50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52.50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284.05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155.10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155.10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128.95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100.95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22005</w:t>
            </w:r>
          </w:p>
        </w:tc>
        <w:tc>
          <w:tcPr>
            <w:tcW w:w="1559" w:type="dxa"/>
            <w:vAlign w:val="center"/>
          </w:tcPr>
          <w:p>
            <w:pPr>
              <w:pStyle w:val="13"/>
            </w:pPr>
            <w:r>
              <w:t>气象事务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2200509</w:t>
            </w:r>
          </w:p>
        </w:tc>
        <w:tc>
          <w:tcPr>
            <w:tcW w:w="1559" w:type="dxa"/>
            <w:vAlign w:val="center"/>
          </w:tcPr>
          <w:p>
            <w:pPr>
              <w:pStyle w:val="13"/>
            </w:pPr>
            <w:r>
              <w:t>气象服务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48.77</w:t>
            </w:r>
          </w:p>
        </w:tc>
        <w:tc>
          <w:tcPr>
            <w:tcW w:w="1134" w:type="dxa"/>
            <w:vAlign w:val="center"/>
          </w:tcPr>
          <w:p>
            <w:pPr>
              <w:pStyle w:val="12"/>
            </w:pPr>
            <w:r>
              <w:t>48.77</w:t>
            </w:r>
          </w:p>
        </w:tc>
        <w:tc>
          <w:tcPr>
            <w:tcW w:w="1134" w:type="dxa"/>
            <w:vAlign w:val="center"/>
          </w:tcPr>
          <w:p>
            <w:pPr>
              <w:pStyle w:val="12"/>
            </w:pPr>
            <w:r>
              <w:t>48.77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48.77</w:t>
            </w:r>
          </w:p>
        </w:tc>
        <w:tc>
          <w:tcPr>
            <w:tcW w:w="1134" w:type="dxa"/>
            <w:vAlign w:val="center"/>
          </w:tcPr>
          <w:p>
            <w:pPr>
              <w:pStyle w:val="12"/>
            </w:pPr>
            <w:r>
              <w:t>48.77</w:t>
            </w:r>
          </w:p>
        </w:tc>
        <w:tc>
          <w:tcPr>
            <w:tcW w:w="1134" w:type="dxa"/>
            <w:vAlign w:val="center"/>
          </w:tcPr>
          <w:p>
            <w:pPr>
              <w:pStyle w:val="12"/>
            </w:pPr>
            <w:r>
              <w:t>48.77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48.77</w:t>
            </w:r>
          </w:p>
        </w:tc>
        <w:tc>
          <w:tcPr>
            <w:tcW w:w="1134" w:type="dxa"/>
            <w:vAlign w:val="center"/>
          </w:tcPr>
          <w:p>
            <w:pPr>
              <w:pStyle w:val="12"/>
            </w:pPr>
            <w:r>
              <w:t>48.77</w:t>
            </w:r>
          </w:p>
        </w:tc>
        <w:tc>
          <w:tcPr>
            <w:tcW w:w="1134" w:type="dxa"/>
            <w:vAlign w:val="center"/>
          </w:tcPr>
          <w:p>
            <w:pPr>
              <w:pStyle w:val="12"/>
            </w:pPr>
            <w:r>
              <w:t>48.77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74.00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74.00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74.00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74.00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1404.73</w:t>
            </w:r>
          </w:p>
        </w:tc>
        <w:tc>
          <w:tcPr>
            <w:tcW w:w="1361" w:type="dxa"/>
            <w:vAlign w:val="center"/>
          </w:tcPr>
          <w:p>
            <w:pPr>
              <w:pStyle w:val="16"/>
            </w:pPr>
            <w:r>
              <w:t>965.85</w:t>
            </w:r>
          </w:p>
        </w:tc>
        <w:tc>
          <w:tcPr>
            <w:tcW w:w="1361" w:type="dxa"/>
            <w:vAlign w:val="center"/>
          </w:tcPr>
          <w:p>
            <w:pPr>
              <w:pStyle w:val="16"/>
            </w:pPr>
            <w:r>
              <w:t>438.88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741.90</w:t>
            </w:r>
          </w:p>
        </w:tc>
        <w:tc>
          <w:tcPr>
            <w:tcW w:w="1361" w:type="dxa"/>
            <w:vAlign w:val="center"/>
          </w:tcPr>
          <w:p>
            <w:pPr>
              <w:pStyle w:val="12"/>
            </w:pPr>
            <w:r>
              <w:t>728.90</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731.90</w:t>
            </w:r>
          </w:p>
        </w:tc>
        <w:tc>
          <w:tcPr>
            <w:tcW w:w="1361" w:type="dxa"/>
            <w:vAlign w:val="center"/>
          </w:tcPr>
          <w:p>
            <w:pPr>
              <w:pStyle w:val="12"/>
            </w:pPr>
            <w:r>
              <w:t>728.90</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337.26</w:t>
            </w:r>
          </w:p>
        </w:tc>
        <w:tc>
          <w:tcPr>
            <w:tcW w:w="1361" w:type="dxa"/>
            <w:vAlign w:val="center"/>
          </w:tcPr>
          <w:p>
            <w:pPr>
              <w:pStyle w:val="12"/>
            </w:pPr>
            <w:r>
              <w:t>337.26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391.64</w:t>
            </w:r>
          </w:p>
        </w:tc>
        <w:tc>
          <w:tcPr>
            <w:tcW w:w="1361" w:type="dxa"/>
            <w:vAlign w:val="center"/>
          </w:tcPr>
          <w:p>
            <w:pPr>
              <w:pStyle w:val="12"/>
            </w:pPr>
            <w:r>
              <w:t>391.64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139.50</w:t>
            </w:r>
          </w:p>
        </w:tc>
        <w:tc>
          <w:tcPr>
            <w:tcW w:w="1361" w:type="dxa"/>
            <w:vAlign w:val="center"/>
          </w:tcPr>
          <w:p>
            <w:pPr>
              <w:pStyle w:val="12"/>
            </w:pPr>
            <w:r>
              <w:t>139.50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125.94</w:t>
            </w:r>
          </w:p>
        </w:tc>
        <w:tc>
          <w:tcPr>
            <w:tcW w:w="1361" w:type="dxa"/>
            <w:vAlign w:val="center"/>
          </w:tcPr>
          <w:p>
            <w:pPr>
              <w:pStyle w:val="12"/>
            </w:pPr>
            <w:r>
              <w:t>125.94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27.84</w:t>
            </w:r>
          </w:p>
        </w:tc>
        <w:tc>
          <w:tcPr>
            <w:tcW w:w="1361" w:type="dxa"/>
            <w:vAlign w:val="center"/>
          </w:tcPr>
          <w:p>
            <w:pPr>
              <w:pStyle w:val="12"/>
            </w:pPr>
            <w:r>
              <w:t>27.84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3.44</w:t>
            </w:r>
          </w:p>
        </w:tc>
        <w:tc>
          <w:tcPr>
            <w:tcW w:w="1361" w:type="dxa"/>
            <w:vAlign w:val="center"/>
          </w:tcPr>
          <w:p>
            <w:pPr>
              <w:pStyle w:val="12"/>
            </w:pPr>
            <w:r>
              <w:t>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94.66</w:t>
            </w:r>
          </w:p>
        </w:tc>
        <w:tc>
          <w:tcPr>
            <w:tcW w:w="1361" w:type="dxa"/>
            <w:vAlign w:val="center"/>
          </w:tcPr>
          <w:p>
            <w:pPr>
              <w:pStyle w:val="12"/>
            </w:pPr>
            <w:r>
              <w:t>94.66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13.56</w:t>
            </w:r>
          </w:p>
        </w:tc>
        <w:tc>
          <w:tcPr>
            <w:tcW w:w="1361" w:type="dxa"/>
            <w:vAlign w:val="center"/>
          </w:tcPr>
          <w:p>
            <w:pPr>
              <w:pStyle w:val="12"/>
            </w:pPr>
            <w:r>
              <w:t>13.56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13.56</w:t>
            </w:r>
          </w:p>
        </w:tc>
        <w:tc>
          <w:tcPr>
            <w:tcW w:w="1361" w:type="dxa"/>
            <w:vAlign w:val="center"/>
          </w:tcPr>
          <w:p>
            <w:pPr>
              <w:pStyle w:val="12"/>
            </w:pPr>
            <w:r>
              <w:t>13.56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50.01</w:t>
            </w:r>
          </w:p>
        </w:tc>
        <w:tc>
          <w:tcPr>
            <w:tcW w:w="1361" w:type="dxa"/>
            <w:vAlign w:val="center"/>
          </w:tcPr>
          <w:p>
            <w:pPr>
              <w:pStyle w:val="12"/>
            </w:pPr>
            <w:r>
              <w:t>48.68</w:t>
            </w: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48.68</w:t>
            </w:r>
          </w:p>
        </w:tc>
        <w:tc>
          <w:tcPr>
            <w:tcW w:w="1361" w:type="dxa"/>
            <w:vAlign w:val="center"/>
          </w:tcPr>
          <w:p>
            <w:pPr>
              <w:pStyle w:val="12"/>
            </w:pPr>
            <w:r>
              <w:t>48.68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18.71</w:t>
            </w:r>
          </w:p>
        </w:tc>
        <w:tc>
          <w:tcPr>
            <w:tcW w:w="1361" w:type="dxa"/>
            <w:vAlign w:val="center"/>
          </w:tcPr>
          <w:p>
            <w:pPr>
              <w:pStyle w:val="12"/>
            </w:pPr>
            <w:r>
              <w:t>18.71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29.97</w:t>
            </w:r>
          </w:p>
        </w:tc>
        <w:tc>
          <w:tcPr>
            <w:tcW w:w="1361" w:type="dxa"/>
            <w:vAlign w:val="center"/>
          </w:tcPr>
          <w:p>
            <w:pPr>
              <w:pStyle w:val="12"/>
            </w:pPr>
            <w:r>
              <w:t>29.97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62.50</w:t>
            </w:r>
          </w:p>
        </w:tc>
        <w:tc>
          <w:tcPr>
            <w:tcW w:w="1361" w:type="dxa"/>
            <w:vAlign w:val="center"/>
          </w:tcPr>
          <w:p>
            <w:pPr>
              <w:pStyle w:val="12"/>
            </w:pPr>
          </w:p>
        </w:tc>
        <w:tc>
          <w:tcPr>
            <w:tcW w:w="1361" w:type="dxa"/>
            <w:vAlign w:val="center"/>
          </w:tcPr>
          <w:p>
            <w:pPr>
              <w:pStyle w:val="12"/>
            </w:pPr>
            <w:r>
              <w:t>62.50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52.50</w:t>
            </w:r>
          </w:p>
        </w:tc>
        <w:tc>
          <w:tcPr>
            <w:tcW w:w="1361" w:type="dxa"/>
            <w:vAlign w:val="center"/>
          </w:tcPr>
          <w:p>
            <w:pPr>
              <w:pStyle w:val="12"/>
            </w:pPr>
          </w:p>
        </w:tc>
        <w:tc>
          <w:tcPr>
            <w:tcW w:w="1361" w:type="dxa"/>
            <w:vAlign w:val="center"/>
          </w:tcPr>
          <w:p>
            <w:pPr>
              <w:pStyle w:val="12"/>
            </w:pPr>
            <w:r>
              <w:t>52.50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52.50</w:t>
            </w:r>
          </w:p>
        </w:tc>
        <w:tc>
          <w:tcPr>
            <w:tcW w:w="1361" w:type="dxa"/>
            <w:vAlign w:val="center"/>
          </w:tcPr>
          <w:p>
            <w:pPr>
              <w:pStyle w:val="12"/>
            </w:pPr>
          </w:p>
        </w:tc>
        <w:tc>
          <w:tcPr>
            <w:tcW w:w="1361" w:type="dxa"/>
            <w:vAlign w:val="center"/>
          </w:tcPr>
          <w:p>
            <w:pPr>
              <w:pStyle w:val="12"/>
            </w:pPr>
            <w:r>
              <w:t>52.50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284.05</w:t>
            </w:r>
          </w:p>
        </w:tc>
        <w:tc>
          <w:tcPr>
            <w:tcW w:w="1361" w:type="dxa"/>
            <w:vAlign w:val="center"/>
          </w:tcPr>
          <w:p>
            <w:pPr>
              <w:pStyle w:val="12"/>
            </w:pPr>
          </w:p>
        </w:tc>
        <w:tc>
          <w:tcPr>
            <w:tcW w:w="1361" w:type="dxa"/>
            <w:vAlign w:val="center"/>
          </w:tcPr>
          <w:p>
            <w:pPr>
              <w:pStyle w:val="12"/>
            </w:pPr>
            <w:r>
              <w:t>284.05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155.10</w:t>
            </w:r>
          </w:p>
        </w:tc>
        <w:tc>
          <w:tcPr>
            <w:tcW w:w="1361" w:type="dxa"/>
            <w:vAlign w:val="center"/>
          </w:tcPr>
          <w:p>
            <w:pPr>
              <w:pStyle w:val="12"/>
            </w:pPr>
          </w:p>
        </w:tc>
        <w:tc>
          <w:tcPr>
            <w:tcW w:w="1361" w:type="dxa"/>
            <w:vAlign w:val="center"/>
          </w:tcPr>
          <w:p>
            <w:pPr>
              <w:pStyle w:val="12"/>
            </w:pPr>
            <w:r>
              <w:t>155.10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155.10</w:t>
            </w:r>
          </w:p>
        </w:tc>
        <w:tc>
          <w:tcPr>
            <w:tcW w:w="1361" w:type="dxa"/>
            <w:vAlign w:val="center"/>
          </w:tcPr>
          <w:p>
            <w:pPr>
              <w:pStyle w:val="12"/>
            </w:pPr>
          </w:p>
        </w:tc>
        <w:tc>
          <w:tcPr>
            <w:tcW w:w="1361" w:type="dxa"/>
            <w:vAlign w:val="center"/>
          </w:tcPr>
          <w:p>
            <w:pPr>
              <w:pStyle w:val="12"/>
            </w:pPr>
            <w:r>
              <w:t>155.10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128.95</w:t>
            </w:r>
          </w:p>
        </w:tc>
        <w:tc>
          <w:tcPr>
            <w:tcW w:w="1361" w:type="dxa"/>
            <w:vAlign w:val="center"/>
          </w:tcPr>
          <w:p>
            <w:pPr>
              <w:pStyle w:val="12"/>
            </w:pPr>
          </w:p>
        </w:tc>
        <w:tc>
          <w:tcPr>
            <w:tcW w:w="1361" w:type="dxa"/>
            <w:vAlign w:val="center"/>
          </w:tcPr>
          <w:p>
            <w:pPr>
              <w:pStyle w:val="12"/>
            </w:pPr>
            <w:r>
              <w:t>128.95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100.95</w:t>
            </w:r>
          </w:p>
        </w:tc>
        <w:tc>
          <w:tcPr>
            <w:tcW w:w="1361" w:type="dxa"/>
            <w:vAlign w:val="center"/>
          </w:tcPr>
          <w:p>
            <w:pPr>
              <w:pStyle w:val="12"/>
            </w:pPr>
          </w:p>
        </w:tc>
        <w:tc>
          <w:tcPr>
            <w:tcW w:w="1361" w:type="dxa"/>
            <w:vAlign w:val="center"/>
          </w:tcPr>
          <w:p>
            <w:pPr>
              <w:pStyle w:val="12"/>
            </w:pPr>
            <w:r>
              <w:t>100.95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22005</w:t>
            </w:r>
          </w:p>
        </w:tc>
        <w:tc>
          <w:tcPr>
            <w:tcW w:w="4535" w:type="dxa"/>
            <w:vAlign w:val="center"/>
          </w:tcPr>
          <w:p>
            <w:pPr>
              <w:pStyle w:val="13"/>
            </w:pPr>
            <w:r>
              <w:t>气象事务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2200509</w:t>
            </w:r>
          </w:p>
        </w:tc>
        <w:tc>
          <w:tcPr>
            <w:tcW w:w="4535" w:type="dxa"/>
            <w:vAlign w:val="center"/>
          </w:tcPr>
          <w:p>
            <w:pPr>
              <w:pStyle w:val="13"/>
            </w:pPr>
            <w:r>
              <w:t>气象服务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48.77</w:t>
            </w:r>
          </w:p>
        </w:tc>
        <w:tc>
          <w:tcPr>
            <w:tcW w:w="1361" w:type="dxa"/>
            <w:vAlign w:val="center"/>
          </w:tcPr>
          <w:p>
            <w:pPr>
              <w:pStyle w:val="12"/>
            </w:pPr>
            <w:r>
              <w:t>48.77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48.77</w:t>
            </w:r>
          </w:p>
        </w:tc>
        <w:tc>
          <w:tcPr>
            <w:tcW w:w="1361" w:type="dxa"/>
            <w:vAlign w:val="center"/>
          </w:tcPr>
          <w:p>
            <w:pPr>
              <w:pStyle w:val="12"/>
            </w:pPr>
            <w:r>
              <w:t>48.77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48.77</w:t>
            </w:r>
          </w:p>
        </w:tc>
        <w:tc>
          <w:tcPr>
            <w:tcW w:w="1361" w:type="dxa"/>
            <w:vAlign w:val="center"/>
          </w:tcPr>
          <w:p>
            <w:pPr>
              <w:pStyle w:val="12"/>
            </w:pPr>
            <w:r>
              <w:t>48.77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74.00</w:t>
            </w:r>
          </w:p>
        </w:tc>
        <w:tc>
          <w:tcPr>
            <w:tcW w:w="1361" w:type="dxa"/>
            <w:vAlign w:val="center"/>
          </w:tcPr>
          <w:p>
            <w:pPr>
              <w:pStyle w:val="12"/>
            </w:pPr>
          </w:p>
        </w:tc>
        <w:tc>
          <w:tcPr>
            <w:tcW w:w="1361" w:type="dxa"/>
            <w:vAlign w:val="center"/>
          </w:tcPr>
          <w:p>
            <w:pPr>
              <w:pStyle w:val="12"/>
            </w:pPr>
            <w:r>
              <w:t>74.00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74.00</w:t>
            </w:r>
          </w:p>
        </w:tc>
        <w:tc>
          <w:tcPr>
            <w:tcW w:w="1361" w:type="dxa"/>
            <w:vAlign w:val="center"/>
          </w:tcPr>
          <w:p>
            <w:pPr>
              <w:pStyle w:val="12"/>
            </w:pPr>
          </w:p>
        </w:tc>
        <w:tc>
          <w:tcPr>
            <w:tcW w:w="1361" w:type="dxa"/>
            <w:vAlign w:val="center"/>
          </w:tcPr>
          <w:p>
            <w:pPr>
              <w:pStyle w:val="12"/>
            </w:pPr>
            <w:r>
              <w:t>74.00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74.00</w:t>
            </w:r>
          </w:p>
        </w:tc>
        <w:tc>
          <w:tcPr>
            <w:tcW w:w="1361" w:type="dxa"/>
            <w:vAlign w:val="center"/>
          </w:tcPr>
          <w:p>
            <w:pPr>
              <w:pStyle w:val="12"/>
            </w:pPr>
          </w:p>
        </w:tc>
        <w:tc>
          <w:tcPr>
            <w:tcW w:w="1361" w:type="dxa"/>
            <w:vAlign w:val="center"/>
          </w:tcPr>
          <w:p>
            <w:pPr>
              <w:pStyle w:val="12"/>
            </w:pPr>
            <w:r>
              <w:t>74.00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1016.34</w:t>
            </w:r>
          </w:p>
        </w:tc>
        <w:tc>
          <w:tcPr>
            <w:tcW w:w="3402" w:type="dxa"/>
            <w:vAlign w:val="center"/>
          </w:tcPr>
          <w:p>
            <w:pPr>
              <w:pStyle w:val="13"/>
            </w:pPr>
            <w:r>
              <w:t>一、一般公共服务支出</w:t>
            </w:r>
          </w:p>
        </w:tc>
        <w:tc>
          <w:tcPr>
            <w:tcW w:w="1474" w:type="dxa"/>
            <w:vAlign w:val="center"/>
          </w:tcPr>
          <w:p>
            <w:pPr>
              <w:pStyle w:val="12"/>
            </w:pPr>
            <w:r>
              <w:t>741.90</w:t>
            </w:r>
          </w:p>
        </w:tc>
        <w:tc>
          <w:tcPr>
            <w:tcW w:w="1474" w:type="dxa"/>
            <w:vAlign w:val="center"/>
          </w:tcPr>
          <w:p>
            <w:pPr>
              <w:pStyle w:val="12"/>
            </w:pPr>
            <w:r>
              <w:t>741.90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139.50</w:t>
            </w:r>
          </w:p>
        </w:tc>
        <w:tc>
          <w:tcPr>
            <w:tcW w:w="1474" w:type="dxa"/>
            <w:vAlign w:val="center"/>
          </w:tcPr>
          <w:p>
            <w:pPr>
              <w:pStyle w:val="12"/>
            </w:pPr>
            <w:r>
              <w:t>139.50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50.01</w:t>
            </w:r>
          </w:p>
        </w:tc>
        <w:tc>
          <w:tcPr>
            <w:tcW w:w="1474" w:type="dxa"/>
            <w:vAlign w:val="center"/>
          </w:tcPr>
          <w:p>
            <w:pPr>
              <w:pStyle w:val="12"/>
            </w:pPr>
            <w:r>
              <w:t>50.01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62.50</w:t>
            </w:r>
          </w:p>
        </w:tc>
        <w:tc>
          <w:tcPr>
            <w:tcW w:w="1474" w:type="dxa"/>
            <w:vAlign w:val="center"/>
          </w:tcPr>
          <w:p>
            <w:pPr>
              <w:pStyle w:val="12"/>
            </w:pPr>
            <w:r>
              <w:t>62.50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284.05</w:t>
            </w:r>
          </w:p>
        </w:tc>
        <w:tc>
          <w:tcPr>
            <w:tcW w:w="1474" w:type="dxa"/>
            <w:vAlign w:val="center"/>
          </w:tcPr>
          <w:p>
            <w:pPr>
              <w:pStyle w:val="12"/>
            </w:pPr>
            <w:r>
              <w:t>284.05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3.00</w:t>
            </w:r>
          </w:p>
        </w:tc>
        <w:tc>
          <w:tcPr>
            <w:tcW w:w="1474" w:type="dxa"/>
            <w:vAlign w:val="center"/>
          </w:tcPr>
          <w:p>
            <w:pPr>
              <w:pStyle w:val="12"/>
            </w:pPr>
            <w:r>
              <w:t>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48.77</w:t>
            </w:r>
          </w:p>
        </w:tc>
        <w:tc>
          <w:tcPr>
            <w:tcW w:w="1474" w:type="dxa"/>
            <w:vAlign w:val="center"/>
          </w:tcPr>
          <w:p>
            <w:pPr>
              <w:pStyle w:val="12"/>
            </w:pPr>
            <w:r>
              <w:t>48.77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74.00</w:t>
            </w:r>
          </w:p>
        </w:tc>
        <w:tc>
          <w:tcPr>
            <w:tcW w:w="1474" w:type="dxa"/>
            <w:vAlign w:val="center"/>
          </w:tcPr>
          <w:p>
            <w:pPr>
              <w:pStyle w:val="12"/>
            </w:pPr>
          </w:p>
        </w:tc>
        <w:tc>
          <w:tcPr>
            <w:tcW w:w="1474" w:type="dxa"/>
            <w:vAlign w:val="center"/>
          </w:tcPr>
          <w:p>
            <w:pPr>
              <w:pStyle w:val="12"/>
            </w:pPr>
            <w:r>
              <w:t>74.00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1016.34</w:t>
            </w:r>
          </w:p>
        </w:tc>
        <w:tc>
          <w:tcPr>
            <w:tcW w:w="3402" w:type="dxa"/>
            <w:vAlign w:val="center"/>
          </w:tcPr>
          <w:p>
            <w:pPr>
              <w:pStyle w:val="15"/>
            </w:pPr>
            <w:r>
              <w:t>本年支出合计</w:t>
            </w:r>
          </w:p>
        </w:tc>
        <w:tc>
          <w:tcPr>
            <w:tcW w:w="1474" w:type="dxa"/>
            <w:vAlign w:val="center"/>
          </w:tcPr>
          <w:p>
            <w:pPr>
              <w:pStyle w:val="16"/>
            </w:pPr>
            <w:r>
              <w:t>1404.73</w:t>
            </w:r>
          </w:p>
        </w:tc>
        <w:tc>
          <w:tcPr>
            <w:tcW w:w="1474" w:type="dxa"/>
            <w:vAlign w:val="center"/>
          </w:tcPr>
          <w:p>
            <w:pPr>
              <w:pStyle w:val="16"/>
            </w:pPr>
            <w:r>
              <w:t>1330.73</w:t>
            </w:r>
          </w:p>
        </w:tc>
        <w:tc>
          <w:tcPr>
            <w:tcW w:w="1474" w:type="dxa"/>
            <w:vAlign w:val="center"/>
          </w:tcPr>
          <w:p>
            <w:pPr>
              <w:pStyle w:val="16"/>
            </w:pPr>
            <w:r>
              <w:t>74.00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388.40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314.40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74.00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1404.73</w:t>
            </w:r>
          </w:p>
        </w:tc>
        <w:tc>
          <w:tcPr>
            <w:tcW w:w="3402" w:type="dxa"/>
            <w:vAlign w:val="center"/>
          </w:tcPr>
          <w:p>
            <w:pPr>
              <w:pStyle w:val="15"/>
            </w:pPr>
            <w:r>
              <w:t>支出总计</w:t>
            </w:r>
          </w:p>
        </w:tc>
        <w:tc>
          <w:tcPr>
            <w:tcW w:w="1474" w:type="dxa"/>
            <w:vAlign w:val="center"/>
          </w:tcPr>
          <w:p>
            <w:pPr>
              <w:pStyle w:val="16"/>
            </w:pPr>
            <w:r>
              <w:t>1404.73</w:t>
            </w:r>
          </w:p>
        </w:tc>
        <w:tc>
          <w:tcPr>
            <w:tcW w:w="1474" w:type="dxa"/>
            <w:vAlign w:val="center"/>
          </w:tcPr>
          <w:p>
            <w:pPr>
              <w:pStyle w:val="16"/>
            </w:pPr>
            <w:r>
              <w:t>1330.73</w:t>
            </w:r>
          </w:p>
        </w:tc>
        <w:tc>
          <w:tcPr>
            <w:tcW w:w="1474" w:type="dxa"/>
            <w:vAlign w:val="center"/>
          </w:tcPr>
          <w:p>
            <w:pPr>
              <w:pStyle w:val="16"/>
            </w:pPr>
            <w:r>
              <w:t>74.00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1330.73</w:t>
            </w:r>
          </w:p>
        </w:tc>
        <w:tc>
          <w:tcPr>
            <w:tcW w:w="2551" w:type="dxa"/>
            <w:vAlign w:val="center"/>
          </w:tcPr>
          <w:p>
            <w:pPr>
              <w:pStyle w:val="16"/>
            </w:pPr>
            <w:r>
              <w:t>965.85</w:t>
            </w:r>
          </w:p>
        </w:tc>
        <w:tc>
          <w:tcPr>
            <w:tcW w:w="2551" w:type="dxa"/>
            <w:vAlign w:val="center"/>
          </w:tcPr>
          <w:p>
            <w:pPr>
              <w:pStyle w:val="16"/>
            </w:pPr>
            <w:r>
              <w:t>364.88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741.90</w:t>
            </w:r>
          </w:p>
        </w:tc>
        <w:tc>
          <w:tcPr>
            <w:tcW w:w="2551" w:type="dxa"/>
            <w:vAlign w:val="center"/>
          </w:tcPr>
          <w:p>
            <w:pPr>
              <w:pStyle w:val="12"/>
            </w:pPr>
            <w:r>
              <w:t>728.90</w:t>
            </w: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731.90</w:t>
            </w:r>
          </w:p>
        </w:tc>
        <w:tc>
          <w:tcPr>
            <w:tcW w:w="2551" w:type="dxa"/>
            <w:vAlign w:val="center"/>
          </w:tcPr>
          <w:p>
            <w:pPr>
              <w:pStyle w:val="12"/>
            </w:pPr>
            <w:r>
              <w:t>728.90</w:t>
            </w: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337.26</w:t>
            </w:r>
          </w:p>
        </w:tc>
        <w:tc>
          <w:tcPr>
            <w:tcW w:w="2551" w:type="dxa"/>
            <w:vAlign w:val="center"/>
          </w:tcPr>
          <w:p>
            <w:pPr>
              <w:pStyle w:val="12"/>
            </w:pPr>
            <w:r>
              <w:t>337.26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391.64</w:t>
            </w:r>
          </w:p>
        </w:tc>
        <w:tc>
          <w:tcPr>
            <w:tcW w:w="2551" w:type="dxa"/>
            <w:vAlign w:val="center"/>
          </w:tcPr>
          <w:p>
            <w:pPr>
              <w:pStyle w:val="12"/>
            </w:pPr>
            <w:r>
              <w:t>391.64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139.50</w:t>
            </w:r>
          </w:p>
        </w:tc>
        <w:tc>
          <w:tcPr>
            <w:tcW w:w="2551" w:type="dxa"/>
            <w:vAlign w:val="center"/>
          </w:tcPr>
          <w:p>
            <w:pPr>
              <w:pStyle w:val="12"/>
            </w:pPr>
            <w:r>
              <w:t>139.50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125.94</w:t>
            </w:r>
          </w:p>
        </w:tc>
        <w:tc>
          <w:tcPr>
            <w:tcW w:w="2551" w:type="dxa"/>
            <w:vAlign w:val="center"/>
          </w:tcPr>
          <w:p>
            <w:pPr>
              <w:pStyle w:val="12"/>
            </w:pPr>
            <w:r>
              <w:t>125.94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27.84</w:t>
            </w:r>
          </w:p>
        </w:tc>
        <w:tc>
          <w:tcPr>
            <w:tcW w:w="2551" w:type="dxa"/>
            <w:vAlign w:val="center"/>
          </w:tcPr>
          <w:p>
            <w:pPr>
              <w:pStyle w:val="12"/>
            </w:pPr>
            <w:r>
              <w:t>27.84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3.44</w:t>
            </w:r>
          </w:p>
        </w:tc>
        <w:tc>
          <w:tcPr>
            <w:tcW w:w="2551" w:type="dxa"/>
            <w:vAlign w:val="center"/>
          </w:tcPr>
          <w:p>
            <w:pPr>
              <w:pStyle w:val="12"/>
            </w:pPr>
            <w:r>
              <w:t>3.44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94.66</w:t>
            </w:r>
          </w:p>
        </w:tc>
        <w:tc>
          <w:tcPr>
            <w:tcW w:w="2551" w:type="dxa"/>
            <w:vAlign w:val="center"/>
          </w:tcPr>
          <w:p>
            <w:pPr>
              <w:pStyle w:val="12"/>
            </w:pPr>
            <w:r>
              <w:t>94.66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13.56</w:t>
            </w:r>
          </w:p>
        </w:tc>
        <w:tc>
          <w:tcPr>
            <w:tcW w:w="2551" w:type="dxa"/>
            <w:vAlign w:val="center"/>
          </w:tcPr>
          <w:p>
            <w:pPr>
              <w:pStyle w:val="12"/>
            </w:pPr>
            <w:r>
              <w:t>13.56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13.56</w:t>
            </w:r>
          </w:p>
        </w:tc>
        <w:tc>
          <w:tcPr>
            <w:tcW w:w="2551" w:type="dxa"/>
            <w:vAlign w:val="center"/>
          </w:tcPr>
          <w:p>
            <w:pPr>
              <w:pStyle w:val="12"/>
            </w:pPr>
            <w:r>
              <w:t>13.56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50.01</w:t>
            </w:r>
          </w:p>
        </w:tc>
        <w:tc>
          <w:tcPr>
            <w:tcW w:w="2551" w:type="dxa"/>
            <w:vAlign w:val="center"/>
          </w:tcPr>
          <w:p>
            <w:pPr>
              <w:pStyle w:val="12"/>
            </w:pPr>
            <w:r>
              <w:t>48.68</w:t>
            </w:r>
          </w:p>
        </w:tc>
        <w:tc>
          <w:tcPr>
            <w:tcW w:w="2551" w:type="dxa"/>
            <w:vAlign w:val="center"/>
          </w:tcPr>
          <w:p>
            <w:pPr>
              <w:pStyle w:val="12"/>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1.33</w:t>
            </w:r>
          </w:p>
        </w:tc>
        <w:tc>
          <w:tcPr>
            <w:tcW w:w="2551" w:type="dxa"/>
            <w:vAlign w:val="center"/>
          </w:tcPr>
          <w:p>
            <w:pPr>
              <w:pStyle w:val="12"/>
            </w:pPr>
          </w:p>
        </w:tc>
        <w:tc>
          <w:tcPr>
            <w:tcW w:w="2551" w:type="dxa"/>
            <w:vAlign w:val="center"/>
          </w:tcPr>
          <w:p>
            <w:pPr>
              <w:pStyle w:val="12"/>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1.33</w:t>
            </w:r>
          </w:p>
        </w:tc>
        <w:tc>
          <w:tcPr>
            <w:tcW w:w="2551" w:type="dxa"/>
            <w:vAlign w:val="center"/>
          </w:tcPr>
          <w:p>
            <w:pPr>
              <w:pStyle w:val="12"/>
            </w:pPr>
          </w:p>
        </w:tc>
        <w:tc>
          <w:tcPr>
            <w:tcW w:w="2551" w:type="dxa"/>
            <w:vAlign w:val="center"/>
          </w:tcPr>
          <w:p>
            <w:pPr>
              <w:pStyle w:val="12"/>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48.68</w:t>
            </w:r>
          </w:p>
        </w:tc>
        <w:tc>
          <w:tcPr>
            <w:tcW w:w="2551" w:type="dxa"/>
            <w:vAlign w:val="center"/>
          </w:tcPr>
          <w:p>
            <w:pPr>
              <w:pStyle w:val="12"/>
            </w:pPr>
            <w:r>
              <w:t>48.68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18.71</w:t>
            </w:r>
          </w:p>
        </w:tc>
        <w:tc>
          <w:tcPr>
            <w:tcW w:w="2551" w:type="dxa"/>
            <w:vAlign w:val="center"/>
          </w:tcPr>
          <w:p>
            <w:pPr>
              <w:pStyle w:val="12"/>
            </w:pPr>
            <w:r>
              <w:t>18.71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29.97</w:t>
            </w:r>
          </w:p>
        </w:tc>
        <w:tc>
          <w:tcPr>
            <w:tcW w:w="2551" w:type="dxa"/>
            <w:vAlign w:val="center"/>
          </w:tcPr>
          <w:p>
            <w:pPr>
              <w:pStyle w:val="12"/>
            </w:pPr>
            <w:r>
              <w:t>29.97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62.50</w:t>
            </w:r>
          </w:p>
        </w:tc>
        <w:tc>
          <w:tcPr>
            <w:tcW w:w="2551" w:type="dxa"/>
            <w:vAlign w:val="center"/>
          </w:tcPr>
          <w:p>
            <w:pPr>
              <w:pStyle w:val="12"/>
            </w:pPr>
          </w:p>
        </w:tc>
        <w:tc>
          <w:tcPr>
            <w:tcW w:w="2551" w:type="dxa"/>
            <w:vAlign w:val="center"/>
          </w:tcPr>
          <w:p>
            <w:pPr>
              <w:pStyle w:val="12"/>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52.50</w:t>
            </w:r>
          </w:p>
        </w:tc>
        <w:tc>
          <w:tcPr>
            <w:tcW w:w="2551" w:type="dxa"/>
            <w:vAlign w:val="center"/>
          </w:tcPr>
          <w:p>
            <w:pPr>
              <w:pStyle w:val="12"/>
            </w:pPr>
          </w:p>
        </w:tc>
        <w:tc>
          <w:tcPr>
            <w:tcW w:w="2551" w:type="dxa"/>
            <w:vAlign w:val="center"/>
          </w:tcPr>
          <w:p>
            <w:pPr>
              <w:pStyle w:val="12"/>
            </w:pPr>
            <w:r>
              <w:t>52.50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52.50</w:t>
            </w:r>
          </w:p>
        </w:tc>
        <w:tc>
          <w:tcPr>
            <w:tcW w:w="2551" w:type="dxa"/>
            <w:vAlign w:val="center"/>
          </w:tcPr>
          <w:p>
            <w:pPr>
              <w:pStyle w:val="12"/>
            </w:pPr>
          </w:p>
        </w:tc>
        <w:tc>
          <w:tcPr>
            <w:tcW w:w="2551" w:type="dxa"/>
            <w:vAlign w:val="center"/>
          </w:tcPr>
          <w:p>
            <w:pPr>
              <w:pStyle w:val="12"/>
            </w:pPr>
            <w:r>
              <w:t>52.50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284.05</w:t>
            </w:r>
          </w:p>
        </w:tc>
        <w:tc>
          <w:tcPr>
            <w:tcW w:w="2551" w:type="dxa"/>
            <w:vAlign w:val="center"/>
          </w:tcPr>
          <w:p>
            <w:pPr>
              <w:pStyle w:val="12"/>
            </w:pPr>
          </w:p>
        </w:tc>
        <w:tc>
          <w:tcPr>
            <w:tcW w:w="2551" w:type="dxa"/>
            <w:vAlign w:val="center"/>
          </w:tcPr>
          <w:p>
            <w:pPr>
              <w:pStyle w:val="12"/>
            </w:pPr>
            <w:r>
              <w:t>284.05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155.10</w:t>
            </w:r>
          </w:p>
        </w:tc>
        <w:tc>
          <w:tcPr>
            <w:tcW w:w="2551" w:type="dxa"/>
            <w:vAlign w:val="center"/>
          </w:tcPr>
          <w:p>
            <w:pPr>
              <w:pStyle w:val="12"/>
            </w:pPr>
          </w:p>
        </w:tc>
        <w:tc>
          <w:tcPr>
            <w:tcW w:w="2551" w:type="dxa"/>
            <w:vAlign w:val="center"/>
          </w:tcPr>
          <w:p>
            <w:pPr>
              <w:pStyle w:val="12"/>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155.10</w:t>
            </w:r>
          </w:p>
        </w:tc>
        <w:tc>
          <w:tcPr>
            <w:tcW w:w="2551" w:type="dxa"/>
            <w:vAlign w:val="center"/>
          </w:tcPr>
          <w:p>
            <w:pPr>
              <w:pStyle w:val="12"/>
            </w:pPr>
          </w:p>
        </w:tc>
        <w:tc>
          <w:tcPr>
            <w:tcW w:w="2551" w:type="dxa"/>
            <w:vAlign w:val="center"/>
          </w:tcPr>
          <w:p>
            <w:pPr>
              <w:pStyle w:val="12"/>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128.95</w:t>
            </w:r>
          </w:p>
        </w:tc>
        <w:tc>
          <w:tcPr>
            <w:tcW w:w="2551" w:type="dxa"/>
            <w:vAlign w:val="center"/>
          </w:tcPr>
          <w:p>
            <w:pPr>
              <w:pStyle w:val="12"/>
            </w:pPr>
          </w:p>
        </w:tc>
        <w:tc>
          <w:tcPr>
            <w:tcW w:w="2551" w:type="dxa"/>
            <w:vAlign w:val="center"/>
          </w:tcPr>
          <w:p>
            <w:pPr>
              <w:pStyle w:val="12"/>
            </w:pPr>
            <w:r>
              <w:t>128.95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100.95</w:t>
            </w:r>
          </w:p>
        </w:tc>
        <w:tc>
          <w:tcPr>
            <w:tcW w:w="2551" w:type="dxa"/>
            <w:vAlign w:val="center"/>
          </w:tcPr>
          <w:p>
            <w:pPr>
              <w:pStyle w:val="12"/>
            </w:pPr>
          </w:p>
        </w:tc>
        <w:tc>
          <w:tcPr>
            <w:tcW w:w="2551" w:type="dxa"/>
            <w:vAlign w:val="center"/>
          </w:tcPr>
          <w:p>
            <w:pPr>
              <w:pStyle w:val="12"/>
            </w:pPr>
            <w:r>
              <w:t>100.95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22005</w:t>
            </w:r>
          </w:p>
        </w:tc>
        <w:tc>
          <w:tcPr>
            <w:tcW w:w="4535" w:type="dxa"/>
            <w:vAlign w:val="center"/>
          </w:tcPr>
          <w:p>
            <w:pPr>
              <w:pStyle w:val="13"/>
            </w:pPr>
            <w:r>
              <w:t>气象事务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2200509</w:t>
            </w:r>
          </w:p>
        </w:tc>
        <w:tc>
          <w:tcPr>
            <w:tcW w:w="4535" w:type="dxa"/>
            <w:vAlign w:val="center"/>
          </w:tcPr>
          <w:p>
            <w:pPr>
              <w:pStyle w:val="13"/>
            </w:pPr>
            <w:r>
              <w:t>气象服务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48.77</w:t>
            </w:r>
          </w:p>
        </w:tc>
        <w:tc>
          <w:tcPr>
            <w:tcW w:w="2551" w:type="dxa"/>
            <w:vAlign w:val="center"/>
          </w:tcPr>
          <w:p>
            <w:pPr>
              <w:pStyle w:val="12"/>
            </w:pPr>
            <w:r>
              <w:t>48.77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48.77</w:t>
            </w:r>
          </w:p>
        </w:tc>
        <w:tc>
          <w:tcPr>
            <w:tcW w:w="2551" w:type="dxa"/>
            <w:vAlign w:val="center"/>
          </w:tcPr>
          <w:p>
            <w:pPr>
              <w:pStyle w:val="12"/>
            </w:pPr>
            <w:r>
              <w:t>48.77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48.77</w:t>
            </w:r>
          </w:p>
        </w:tc>
        <w:tc>
          <w:tcPr>
            <w:tcW w:w="2551" w:type="dxa"/>
            <w:vAlign w:val="center"/>
          </w:tcPr>
          <w:p>
            <w:pPr>
              <w:pStyle w:val="12"/>
            </w:pPr>
            <w:r>
              <w:t>48.77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965.85</w:t>
            </w:r>
          </w:p>
        </w:tc>
        <w:tc>
          <w:tcPr>
            <w:tcW w:w="2551" w:type="dxa"/>
            <w:vAlign w:val="center"/>
          </w:tcPr>
          <w:p>
            <w:pPr>
              <w:pStyle w:val="16"/>
            </w:pPr>
            <w:r>
              <w:t>860.51</w:t>
            </w:r>
          </w:p>
        </w:tc>
        <w:tc>
          <w:tcPr>
            <w:tcW w:w="2551" w:type="dxa"/>
            <w:vAlign w:val="center"/>
          </w:tcPr>
          <w:p>
            <w:pPr>
              <w:pStyle w:val="16"/>
            </w:pPr>
            <w:r>
              <w:t>105.34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815.67</w:t>
            </w:r>
          </w:p>
        </w:tc>
        <w:tc>
          <w:tcPr>
            <w:tcW w:w="2551" w:type="dxa"/>
            <w:vAlign w:val="center"/>
          </w:tcPr>
          <w:p>
            <w:pPr>
              <w:pStyle w:val="12"/>
            </w:pPr>
            <w:r>
              <w:t>815.67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331.07</w:t>
            </w:r>
          </w:p>
        </w:tc>
        <w:tc>
          <w:tcPr>
            <w:tcW w:w="2551" w:type="dxa"/>
            <w:vAlign w:val="center"/>
          </w:tcPr>
          <w:p>
            <w:pPr>
              <w:pStyle w:val="12"/>
            </w:pPr>
            <w:r>
              <w:t>331.07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134.46</w:t>
            </w:r>
          </w:p>
        </w:tc>
        <w:tc>
          <w:tcPr>
            <w:tcW w:w="2551" w:type="dxa"/>
            <w:vAlign w:val="center"/>
          </w:tcPr>
          <w:p>
            <w:pPr>
              <w:pStyle w:val="12"/>
            </w:pPr>
            <w:r>
              <w:t>134.46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28.80</w:t>
            </w:r>
          </w:p>
        </w:tc>
        <w:tc>
          <w:tcPr>
            <w:tcW w:w="2551" w:type="dxa"/>
            <w:vAlign w:val="center"/>
          </w:tcPr>
          <w:p>
            <w:pPr>
              <w:pStyle w:val="12"/>
            </w:pPr>
            <w:r>
              <w:t>28.80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125.77</w:t>
            </w:r>
          </w:p>
        </w:tc>
        <w:tc>
          <w:tcPr>
            <w:tcW w:w="2551" w:type="dxa"/>
            <w:vAlign w:val="center"/>
          </w:tcPr>
          <w:p>
            <w:pPr>
              <w:pStyle w:val="12"/>
            </w:pPr>
            <w:r>
              <w:t>125.77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94.66</w:t>
            </w:r>
          </w:p>
        </w:tc>
        <w:tc>
          <w:tcPr>
            <w:tcW w:w="2551" w:type="dxa"/>
            <w:vAlign w:val="center"/>
          </w:tcPr>
          <w:p>
            <w:pPr>
              <w:pStyle w:val="12"/>
            </w:pPr>
            <w:r>
              <w:t>94.66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48.68</w:t>
            </w:r>
          </w:p>
        </w:tc>
        <w:tc>
          <w:tcPr>
            <w:tcW w:w="2551" w:type="dxa"/>
            <w:vAlign w:val="center"/>
          </w:tcPr>
          <w:p>
            <w:pPr>
              <w:pStyle w:val="12"/>
            </w:pPr>
            <w:r>
              <w:t>48.68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2.96</w:t>
            </w:r>
          </w:p>
        </w:tc>
        <w:tc>
          <w:tcPr>
            <w:tcW w:w="2551" w:type="dxa"/>
            <w:vAlign w:val="center"/>
          </w:tcPr>
          <w:p>
            <w:pPr>
              <w:pStyle w:val="12"/>
            </w:pPr>
            <w:r>
              <w:t>2.96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48.77</w:t>
            </w:r>
          </w:p>
        </w:tc>
        <w:tc>
          <w:tcPr>
            <w:tcW w:w="2551" w:type="dxa"/>
            <w:vAlign w:val="center"/>
          </w:tcPr>
          <w:p>
            <w:pPr>
              <w:pStyle w:val="12"/>
            </w:pPr>
            <w:r>
              <w:t>48.77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102.34</w:t>
            </w:r>
          </w:p>
        </w:tc>
        <w:tc>
          <w:tcPr>
            <w:tcW w:w="2551" w:type="dxa"/>
            <w:vAlign w:val="center"/>
          </w:tcPr>
          <w:p>
            <w:pPr>
              <w:pStyle w:val="12"/>
            </w:pPr>
          </w:p>
        </w:tc>
        <w:tc>
          <w:tcPr>
            <w:tcW w:w="2551" w:type="dxa"/>
            <w:vAlign w:val="center"/>
          </w:tcPr>
          <w:p>
            <w:pPr>
              <w:pStyle w:val="12"/>
            </w:pPr>
            <w:r>
              <w:t>102.34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40.60</w:t>
            </w:r>
          </w:p>
        </w:tc>
        <w:tc>
          <w:tcPr>
            <w:tcW w:w="2551" w:type="dxa"/>
            <w:vAlign w:val="center"/>
          </w:tcPr>
          <w:p>
            <w:pPr>
              <w:pStyle w:val="12"/>
            </w:pPr>
          </w:p>
        </w:tc>
        <w:tc>
          <w:tcPr>
            <w:tcW w:w="2551" w:type="dxa"/>
            <w:vAlign w:val="center"/>
          </w:tcPr>
          <w:p>
            <w:pPr>
              <w:pStyle w:val="12"/>
            </w:pPr>
            <w:r>
              <w:t>40.60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13.39</w:t>
            </w:r>
          </w:p>
        </w:tc>
        <w:tc>
          <w:tcPr>
            <w:tcW w:w="2551" w:type="dxa"/>
            <w:vAlign w:val="center"/>
          </w:tcPr>
          <w:p>
            <w:pPr>
              <w:pStyle w:val="12"/>
            </w:pPr>
          </w:p>
        </w:tc>
        <w:tc>
          <w:tcPr>
            <w:tcW w:w="2551" w:type="dxa"/>
            <w:vAlign w:val="center"/>
          </w:tcPr>
          <w:p>
            <w:pPr>
              <w:pStyle w:val="12"/>
            </w:pPr>
            <w:r>
              <w:t>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31.09</w:t>
            </w:r>
          </w:p>
        </w:tc>
        <w:tc>
          <w:tcPr>
            <w:tcW w:w="2551" w:type="dxa"/>
            <w:vAlign w:val="center"/>
          </w:tcPr>
          <w:p>
            <w:pPr>
              <w:pStyle w:val="12"/>
            </w:pPr>
          </w:p>
        </w:tc>
        <w:tc>
          <w:tcPr>
            <w:tcW w:w="2551" w:type="dxa"/>
            <w:vAlign w:val="center"/>
          </w:tcPr>
          <w:p>
            <w:pPr>
              <w:pStyle w:val="12"/>
            </w:pPr>
            <w:r>
              <w:t>31.09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44.84</w:t>
            </w:r>
          </w:p>
        </w:tc>
        <w:tc>
          <w:tcPr>
            <w:tcW w:w="2551" w:type="dxa"/>
            <w:vAlign w:val="center"/>
          </w:tcPr>
          <w:p>
            <w:pPr>
              <w:pStyle w:val="12"/>
            </w:pPr>
            <w:r>
              <w:t>44.84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1.32</w:t>
            </w:r>
          </w:p>
        </w:tc>
        <w:tc>
          <w:tcPr>
            <w:tcW w:w="2551" w:type="dxa"/>
            <w:vAlign w:val="center"/>
          </w:tcPr>
          <w:p>
            <w:pPr>
              <w:pStyle w:val="12"/>
            </w:pPr>
            <w:r>
              <w:t>1.32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29.96</w:t>
            </w:r>
          </w:p>
        </w:tc>
        <w:tc>
          <w:tcPr>
            <w:tcW w:w="2551" w:type="dxa"/>
            <w:vAlign w:val="center"/>
          </w:tcPr>
          <w:p>
            <w:pPr>
              <w:pStyle w:val="12"/>
            </w:pPr>
            <w:r>
              <w:t>29.96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13.56</w:t>
            </w:r>
          </w:p>
        </w:tc>
        <w:tc>
          <w:tcPr>
            <w:tcW w:w="2551" w:type="dxa"/>
            <w:vAlign w:val="center"/>
          </w:tcPr>
          <w:p>
            <w:pPr>
              <w:pStyle w:val="12"/>
            </w:pPr>
            <w:r>
              <w:t>13.56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74.00</w:t>
            </w:r>
          </w:p>
        </w:tc>
        <w:tc>
          <w:tcPr>
            <w:tcW w:w="2551" w:type="dxa"/>
            <w:vAlign w:val="center"/>
          </w:tcPr>
          <w:p>
            <w:pPr>
              <w:pStyle w:val="16"/>
            </w:pPr>
          </w:p>
        </w:tc>
        <w:tc>
          <w:tcPr>
            <w:tcW w:w="2551" w:type="dxa"/>
            <w:vAlign w:val="center"/>
          </w:tcPr>
          <w:p>
            <w:pPr>
              <w:pStyle w:val="16"/>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74.00</w:t>
            </w:r>
          </w:p>
        </w:tc>
        <w:tc>
          <w:tcPr>
            <w:tcW w:w="2551" w:type="dxa"/>
            <w:vAlign w:val="center"/>
          </w:tcPr>
          <w:p>
            <w:pPr>
              <w:pStyle w:val="12"/>
            </w:pPr>
          </w:p>
        </w:tc>
        <w:tc>
          <w:tcPr>
            <w:tcW w:w="2551" w:type="dxa"/>
            <w:vAlign w:val="center"/>
          </w:tcPr>
          <w:p>
            <w:pPr>
              <w:pStyle w:val="12"/>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74.00</w:t>
            </w:r>
          </w:p>
        </w:tc>
        <w:tc>
          <w:tcPr>
            <w:tcW w:w="2551" w:type="dxa"/>
            <w:vAlign w:val="center"/>
          </w:tcPr>
          <w:p>
            <w:pPr>
              <w:pStyle w:val="12"/>
            </w:pPr>
          </w:p>
        </w:tc>
        <w:tc>
          <w:tcPr>
            <w:tcW w:w="2551" w:type="dxa"/>
            <w:vAlign w:val="center"/>
          </w:tcPr>
          <w:p>
            <w:pPr>
              <w:pStyle w:val="12"/>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74.00</w:t>
            </w:r>
          </w:p>
        </w:tc>
        <w:tc>
          <w:tcPr>
            <w:tcW w:w="2551" w:type="dxa"/>
            <w:vAlign w:val="center"/>
          </w:tcPr>
          <w:p>
            <w:pPr>
              <w:pStyle w:val="12"/>
            </w:pPr>
          </w:p>
        </w:tc>
        <w:tc>
          <w:tcPr>
            <w:tcW w:w="2551" w:type="dxa"/>
            <w:vAlign w:val="center"/>
          </w:tcPr>
          <w:p>
            <w:pPr>
              <w:pStyle w:val="12"/>
            </w:pPr>
            <w:r>
              <w:t>74.00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0.30</w:t>
            </w:r>
          </w:p>
        </w:tc>
        <w:tc>
          <w:tcPr>
            <w:tcW w:w="2381" w:type="dxa"/>
            <w:vAlign w:val="center"/>
          </w:tcPr>
          <w:p>
            <w:pPr>
              <w:pStyle w:val="16"/>
            </w:pPr>
            <w:r>
              <w:t>0.30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土门子镇2026年部门预算信息公开情况说明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土门子镇2026年部门预算信息公开情况说明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按照《中华人民共和国预算法》、《地方预决算公开操作规程》和《关于进一步推进预算公开工作的实施意见》规定，现将土门子镇2026年部门预算公开如下：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土门子镇人民政府本级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按照预算管理有关规定，目前部门预算的编制实行综合预算管理，即全部收入和支出都反映在预算中。土门子镇机关及所属事业单位的收支包含在部门预算中。</w:t>
      </w:r>
    </w:p>
    <w:p>
      <w:pPr>
        <w:pStyle w:val="19"/>
      </w:pPr>
      <w:r>
        <w:t>1、收入说明</w:t>
      </w:r>
    </w:p>
    <w:p>
      <w:pPr>
        <w:pStyle w:val="19"/>
      </w:pPr>
      <w:r>
        <w:t>反映本部门当年全部收入。2026年预算收入1404.73万元，其中：一般公共预算收入1016.34万元，基金预算收入0.00万元，国有资本经营预算收入0.00万元，财政专户核拨收入0.00万元，单位资金收入0.00万元，上年结转结余388.40万元。</w:t>
      </w:r>
    </w:p>
    <w:p>
      <w:pPr>
        <w:pStyle w:val="19"/>
      </w:pPr>
      <w:r>
        <w:t>2、支出说明</w:t>
      </w:r>
    </w:p>
    <w:p>
      <w:pPr>
        <w:pStyle w:val="19"/>
      </w:pPr>
      <w:r>
        <w:t>收支预算总表支出栏、基本支出表、项目支出表按经济分类和支出功能分类科目编制，反映土门子镇年度部门预算中支出预算的总体情况。2026年支出预算1404.73万元，其中基本支出965.85万元，包括人员经费860.51万元和日常公用经费105.34万元；项目支出438.88万元，主要为燃煤锅炉改造及清洁能源补贴、人居环境整治、防火防汛、综治、党建和防贫等经费支出；预计下年使用的单位资金结余0.00万元。委托业务费共计安排0.96万元，主要用于因技术原因确需对外委托的辅助性工作和确有必要对外委托开展咨询、评审、规划等工作。</w:t>
      </w:r>
    </w:p>
    <w:p>
      <w:pPr>
        <w:pStyle w:val="19"/>
      </w:pPr>
      <w:r>
        <w:t>3、比上年增减情况</w:t>
      </w:r>
    </w:p>
    <w:p>
      <w:pPr>
        <w:pStyle w:val="19"/>
      </w:pPr>
      <w:r>
        <w:t>2026年预算收支安排1404.73万元，较2025年预算减少49.39万元，其中：基本支出增加63.89万元，主要为人员经费支出增加</w:t>
      </w:r>
      <w:r>
        <w:rPr>
          <w:rFonts w:hint="eastAsia"/>
          <w:lang w:eastAsia="zh-CN"/>
        </w:rPr>
        <w:t>。</w:t>
      </w:r>
      <w:r>
        <w:t>项目支出减少113.28万元，主要为减少了中央专项彩票项目。预计下年使用的单位资金结余增加0.00万元。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bookmarkStart w:id="20" w:name="_GoBack"/>
      <w:bookmarkEnd w:id="20"/>
    </w:p>
    <w:p>
      <w:pPr>
        <w:pStyle w:val="26"/>
      </w:pPr>
      <w:r>
        <w:t>202</w:t>
      </w:r>
      <w:r>
        <w:rPr>
          <w:rFonts w:hint="eastAsia"/>
          <w:lang w:val="en-US" w:eastAsia="zh-CN"/>
        </w:rPr>
        <w:t>6</w:t>
      </w:r>
      <w:r>
        <w:t>年，我单位机关运行经费共计安排</w:t>
      </w:r>
      <w:r>
        <w:rPr>
          <w:rFonts w:hint="eastAsia"/>
          <w:lang w:val="en-US" w:eastAsia="zh-CN"/>
        </w:rPr>
        <w:t>105.34</w:t>
      </w:r>
      <w:r>
        <w:t>万元，主要用于日常维修、办公用房水电费、办公用房取暖费、办公用房物业管理费等日常运行支出。</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w:t>
      </w:r>
      <w:r>
        <w:rPr>
          <w:rFonts w:hint="eastAsia"/>
          <w:lang w:val="en-US" w:eastAsia="zh-CN"/>
        </w:rPr>
        <w:t>.3</w:t>
      </w:r>
      <w:r>
        <w:t>万元，其中因公出国（境）费0万元；公务用车购置及运维费0万元（其中：公务用车购置费为0万元，公务用车运维费0万元)；公务接待费0</w:t>
      </w:r>
      <w:r>
        <w:rPr>
          <w:rFonts w:hint="eastAsia"/>
          <w:lang w:val="en-US" w:eastAsia="zh-CN"/>
        </w:rPr>
        <w:t>.3</w:t>
      </w:r>
      <w:r>
        <w:t>万元。与2025年相比</w:t>
      </w:r>
      <w:r>
        <w:rPr>
          <w:rFonts w:hint="eastAsia"/>
          <w:lang w:eastAsia="zh-CN"/>
        </w:rPr>
        <w:t>减少</w:t>
      </w:r>
      <w:r>
        <w:rPr>
          <w:rFonts w:hint="eastAsia"/>
          <w:lang w:val="en-US" w:eastAsia="zh-CN"/>
        </w:rPr>
        <w:t>3.7</w:t>
      </w:r>
      <w:r>
        <w:t>0万元，增减变化的主要原因是单位厉行节约，减少公务接待费用。</w:t>
      </w:r>
    </w:p>
    <w:p>
      <w:pPr>
        <w:pStyle w:val="21"/>
        <w:rPr>
          <w:rFonts w:hint="default"/>
          <w:lang w:val="en-US" w:eastAsia="zh-CN"/>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bookmarkStart w:id="14" w:name="_Toc_3_3_0000000015"/>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6</w:t>
      </w:r>
      <w:r>
        <w:t>年我镇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（一）、强化基层组织，全面加强党的建设</w:t>
      </w:r>
    </w:p>
    <w:p>
      <w:pPr>
        <w:pStyle w:val="23"/>
      </w:pPr>
      <w:r>
        <w:t>绩效目标：</w:t>
      </w:r>
    </w:p>
    <w:p>
      <w:pPr>
        <w:pStyle w:val="23"/>
      </w:pPr>
      <w:r>
        <w:t>1、党委系统公务内网建设，全镇“公务内网”的建设和管理；计算机信息网络建设；组织协调各类信息资源的上网和扩充，保障网络和信息安全。</w:t>
      </w:r>
    </w:p>
    <w:p>
      <w:pPr>
        <w:pStyle w:val="23"/>
      </w:pPr>
      <w:r>
        <w:t>2、政务服务承担镇政务公开暨行政权力公开透明运行工作领导小组的日常工作，指导和协调全镇政务公开及政务服务中心建设、推进行政服务体系标准化建设工作。</w:t>
      </w:r>
    </w:p>
    <w:p>
      <w:pPr>
        <w:pStyle w:val="23"/>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pPr>
        <w:pStyle w:val="23"/>
      </w:pPr>
      <w:r>
        <w:t>4、党员和党组织建设负责全镇党组织建设；负责镇党委基层组织建设</w:t>
      </w:r>
      <w:r>
        <w:rPr>
          <w:rFonts w:hint="eastAsia"/>
          <w:lang w:eastAsia="zh-CN"/>
        </w:rPr>
        <w:t>联席会议</w:t>
      </w:r>
      <w:r>
        <w:t>党的牵头抓总工作；提出党内生活制度建设的意见；指导全镇党员教育工作。</w:t>
      </w:r>
    </w:p>
    <w:p>
      <w:pPr>
        <w:pStyle w:val="23"/>
      </w:pPr>
      <w:r>
        <w:t>5、办案问责对有关对象违反党纪政纪和违纪违法行为进行处理；组织协调案件查办工作。</w:t>
      </w:r>
    </w:p>
    <w:p>
      <w:pPr>
        <w:pStyle w:val="23"/>
      </w:pPr>
      <w:r>
        <w:t>6、党风廉政建设组织协调全镇党风廉政建设和反腐败宣传教育工作，开展对党员、公务员的廉洁自律教育。</w:t>
      </w:r>
    </w:p>
    <w:p>
      <w:pPr>
        <w:pStyle w:val="23"/>
      </w:pPr>
      <w:r>
        <w:t>绩效指标：制作党建制度牌的数量 ≥5 块</w:t>
      </w:r>
    </w:p>
    <w:p>
      <w:pPr>
        <w:pStyle w:val="23"/>
      </w:pPr>
      <w:r>
        <w:t>组织宣传活动次数 ≥10 次</w:t>
      </w:r>
    </w:p>
    <w:p>
      <w:pPr>
        <w:pStyle w:val="23"/>
      </w:pPr>
      <w:r>
        <w:t>党报党刊征订种类 ≥6 种</w:t>
      </w:r>
    </w:p>
    <w:p>
      <w:pPr>
        <w:pStyle w:val="23"/>
      </w:pPr>
      <w:r>
        <w:t>计划开展调研的次数 ≥2 次</w:t>
      </w:r>
    </w:p>
    <w:p>
      <w:pPr>
        <w:pStyle w:val="23"/>
      </w:pPr>
      <w:r>
        <w:t>当年完成调研报告的数量 ≥2 篇</w:t>
      </w:r>
    </w:p>
    <w:p>
      <w:pPr>
        <w:pStyle w:val="23"/>
      </w:pPr>
      <w:r>
        <w:t>联络机构、网络平台完成情况占年初计划任务比率 ≥80%</w:t>
      </w:r>
    </w:p>
    <w:p>
      <w:pPr>
        <w:pStyle w:val="23"/>
      </w:pPr>
      <w:r>
        <w:t>组织镇青年慰问留守儿童活动的次数≥5 次</w:t>
      </w:r>
    </w:p>
    <w:p>
      <w:pPr>
        <w:pStyle w:val="23"/>
      </w:pPr>
      <w:r>
        <w:t>反映每年青少年法治宣传教育次数 ≥3 次</w:t>
      </w:r>
    </w:p>
    <w:p>
      <w:pPr>
        <w:pStyle w:val="23"/>
      </w:pPr>
      <w:r>
        <w:t>反映用于青少年法治宣传教育印刷的宣传单数量 ≥1000 张</w:t>
      </w:r>
    </w:p>
    <w:p>
      <w:pPr>
        <w:pStyle w:val="23"/>
      </w:pPr>
      <w:r>
        <w:t>反映“圆梦大学”走访的次数≥5 次</w:t>
      </w:r>
    </w:p>
    <w:p>
      <w:pPr>
        <w:pStyle w:val="23"/>
      </w:pPr>
      <w:r>
        <w:t>反映青少年预防违法犯罪及自护教育活动或培训情况占应培训情况的比例≥90%</w:t>
      </w:r>
    </w:p>
    <w:p>
      <w:pPr>
        <w:pStyle w:val="23"/>
      </w:pPr>
      <w:r>
        <w:t>反映全镇未成年人思想道德建设宣传覆盖率≥90%</w:t>
      </w:r>
    </w:p>
    <w:p>
      <w:pPr>
        <w:pStyle w:val="23"/>
      </w:pPr>
      <w:r>
        <w:t>（二）、聚焦绿色发展，提升生态质量</w:t>
      </w:r>
    </w:p>
    <w:p>
      <w:pPr>
        <w:pStyle w:val="23"/>
      </w:pPr>
      <w:r>
        <w:t>绩效目标：</w:t>
      </w:r>
    </w:p>
    <w:p>
      <w:pPr>
        <w:pStyle w:val="23"/>
        <w:numPr>
          <w:ilvl w:val="0"/>
          <w:numId w:val="1"/>
        </w:numPr>
      </w:pPr>
      <w:r>
        <w:t>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矿山的整顿关闭、尾矿库治理等工作；加强高危行业建设项目安全条件、安全设施设计、职业病防护设施设计审查和竣工验收管理。</w:t>
      </w:r>
    </w:p>
    <w:p>
      <w:pPr>
        <w:pStyle w:val="23"/>
        <w:numPr>
          <w:ilvl w:val="0"/>
          <w:numId w:val="1"/>
        </w:numPr>
      </w:pPr>
      <w: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3"/>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3"/>
        <w:rPr>
          <w:rFonts w:hint="default" w:eastAsia="方正仿宋_GBK"/>
          <w:lang w:val="en-US" w:eastAsia="zh-CN"/>
        </w:rPr>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3"/>
      </w:pPr>
      <w:r>
        <w:t>绩效指标：当年实际日常巡查次数 ≥100 次</w:t>
      </w:r>
    </w:p>
    <w:p>
      <w:pPr>
        <w:pStyle w:val="23"/>
      </w:pPr>
      <w:r>
        <w:t>反应巡查范围为整土门子镇 ≥95%</w:t>
      </w:r>
    </w:p>
    <w:p>
      <w:pPr>
        <w:pStyle w:val="23"/>
      </w:pPr>
      <w:r>
        <w:t>全镇森林火灾发生面积占森林总面积的比例 &lt;0.1‰</w:t>
      </w:r>
    </w:p>
    <w:p>
      <w:pPr>
        <w:pStyle w:val="23"/>
      </w:pPr>
      <w:r>
        <w:t>完成的重点污染治理工程数量 ≥5 件</w:t>
      </w:r>
    </w:p>
    <w:p>
      <w:pPr>
        <w:pStyle w:val="23"/>
      </w:pPr>
      <w:r>
        <w:t>下镇宣传次数 ≥50 次</w:t>
      </w:r>
    </w:p>
    <w:p>
      <w:pPr>
        <w:pStyle w:val="23"/>
      </w:pPr>
      <w:r>
        <w:t>用于下镇宣传印刷的宣传单数量≥1000 张</w:t>
      </w:r>
    </w:p>
    <w:p>
      <w:pPr>
        <w:pStyle w:val="23"/>
      </w:pPr>
      <w:r>
        <w:t>每年下镇检查工作的次数 ≥50 次</w:t>
      </w:r>
    </w:p>
    <w:p>
      <w:pPr>
        <w:pStyle w:val="23"/>
      </w:pPr>
      <w:r>
        <w:t>处置的危险废物数量占全部数量的比率 ≥80%</w:t>
      </w:r>
    </w:p>
    <w:p>
      <w:pPr>
        <w:pStyle w:val="23"/>
      </w:pPr>
      <w:r>
        <w:t>在规定时间内督查发现的重大环保事件数占重大环保事件总数的比率≥90%</w:t>
      </w:r>
    </w:p>
    <w:p>
      <w:pPr>
        <w:pStyle w:val="23"/>
      </w:pPr>
      <w:r>
        <w:t>（三）、注重民生，推动社会事业再发展</w:t>
      </w:r>
    </w:p>
    <w:p>
      <w:pPr>
        <w:pStyle w:val="23"/>
      </w:pPr>
      <w:r>
        <w:t>绩效目标：社会管理与服务 划空间布局，提高登记质量，建立健全城镇基层群众自治组织，逐步实现社会工作者</w:t>
      </w:r>
      <w:r>
        <w:rPr>
          <w:rFonts w:hint="eastAsia"/>
          <w:lang w:eastAsia="zh-CN"/>
        </w:rPr>
        <w:t>专</w:t>
      </w:r>
      <w:r>
        <w:t>业化、职业化。</w:t>
      </w:r>
    </w:p>
    <w:p>
      <w:pPr>
        <w:pStyle w:val="23"/>
      </w:pPr>
      <w:r>
        <w:t>防灾减灾救灾组织协调镇级防灾减灾救灾工作。组织核查并统一发布灾情。组织指导救灾捐赠工作，负责国内外救灾捐赠款物的接收管理和分配使用。</w:t>
      </w:r>
    </w:p>
    <w:p>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pPr>
        <w:pStyle w:val="23"/>
      </w:pPr>
      <w:r>
        <w:t>绩效指标：反映下镇调研入户的贫困户占贫困户总数的比例 100%</w:t>
      </w:r>
    </w:p>
    <w:p>
      <w:pPr>
        <w:pStyle w:val="23"/>
      </w:pPr>
      <w:r>
        <w:t>资金待遇按时足额发放人数占应发放人数的比率 100%</w:t>
      </w:r>
    </w:p>
    <w:p>
      <w:pPr>
        <w:pStyle w:val="23"/>
      </w:pPr>
      <w:r>
        <w:t>享受严重精神障碍患者监护人责任险的人数133人</w:t>
      </w:r>
    </w:p>
    <w:p>
      <w:pPr>
        <w:pStyle w:val="23"/>
      </w:pPr>
      <w:r>
        <w:t>已参保人数占应参保人数的比率 100%</w:t>
      </w:r>
    </w:p>
    <w:p>
      <w:pPr>
        <w:pStyle w:val="23"/>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4"/>
      </w:pPr>
      <w:r>
        <w:t>2、加强生态建设。深入实施大气污染防治行动，狠抓秸秆禁烧和综合利用，积极推广清洁燃烧炉具。深入实施水环境治理行动，全力抓好河道垃圾清理。</w:t>
      </w:r>
    </w:p>
    <w:p>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4"/>
      </w:pPr>
      <w:r>
        <w:t>4、完善社会保障体系，新农合、新农保做到应保尽保；建立健全促进就业长效机制，继续抓好低保、五保等工作，认真落实农村大病救助、困难救助救济等政策。</w:t>
      </w:r>
    </w:p>
    <w:p>
      <w:pPr>
        <w:pStyle w:val="24"/>
      </w:pPr>
      <w:r>
        <w:t>5、加强党政班子建设。坚持</w:t>
      </w:r>
      <w:r>
        <w:rPr>
          <w:rFonts w:hint="eastAsia"/>
          <w:lang w:eastAsia="zh-CN"/>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4"/>
      </w:pPr>
      <w:r>
        <w:t>8、完善制度建设。包括制定完善预算绩效管理制度、资金管理办法、工作保障制度等，为全年预算绩效目标的实现奠定制度基础。</w:t>
      </w:r>
    </w:p>
    <w:p>
      <w:pPr>
        <w:pStyle w:val="24"/>
      </w:pPr>
      <w:r>
        <w:t>9、加强支出管理。通过优化支出结构、编细编实预算、加快履行政府采购手续、尽快启动项目、及时支付资金、按规定及时下达资金等多种措施，确保支出进度达标。</w:t>
      </w:r>
    </w:p>
    <w:p>
      <w:pPr>
        <w:pStyle w:val="24"/>
      </w:pPr>
      <w:r>
        <w:t>10、加强绩效运行监控。按要求开展绩效运行监控，发现问题及时采取措施，确保绩效目标如期保质实现。</w:t>
      </w:r>
    </w:p>
    <w:p>
      <w:pPr>
        <w:pStyle w:val="24"/>
      </w:pPr>
      <w:r>
        <w:t>11、做好绩效自评。按要求开展上年度部门预算绩效自评和重点评价工作，对评价中发现的问题及时整改，调整优化支出结构，提高财政资金使用效益。</w:t>
      </w:r>
    </w:p>
    <w:p>
      <w:pPr>
        <w:pStyle w:val="24"/>
      </w:pPr>
      <w:r>
        <w:t>12、规范财务资产管理。完善财务管理制度，严格审批程序，加强固定资产登记、使用和报废处置管理，做到支出合理，物尽其用。</w:t>
      </w:r>
    </w:p>
    <w:p>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13032126P003349104729</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rPr>
                <w:rFonts w:hint="eastAsia" w:eastAsia="方正书宋_GBK"/>
                <w:lang w:val="en-US" w:eastAsia="zh-CN"/>
              </w:rPr>
            </w:pPr>
            <w:r>
              <w:t>50</w:t>
            </w:r>
            <w:r>
              <w:rPr>
                <w:rFonts w:hint="eastAsia"/>
                <w:lang w:val="en-US" w:eastAsia="zh-CN"/>
              </w:rPr>
              <w:t>%</w:t>
            </w:r>
          </w:p>
        </w:tc>
        <w:tc>
          <w:tcPr>
            <w:tcW w:w="2551" w:type="dxa"/>
            <w:vAlign w:val="center"/>
          </w:tcPr>
          <w:p>
            <w:pPr>
              <w:pStyle w:val="14"/>
              <w:rPr>
                <w:rFonts w:hint="eastAsia" w:eastAsia="方正书宋_GBK"/>
                <w:lang w:val="en-US" w:eastAsia="zh-CN"/>
              </w:rPr>
            </w:pPr>
            <w:r>
              <w:t>75</w:t>
            </w:r>
            <w:r>
              <w:rPr>
                <w:rFonts w:hint="eastAsia"/>
                <w:lang w:val="en-US" w:eastAsia="zh-CN"/>
              </w:rPr>
              <w:t>%</w:t>
            </w:r>
          </w:p>
        </w:tc>
        <w:tc>
          <w:tcPr>
            <w:tcW w:w="3544" w:type="dxa"/>
            <w:gridSpan w:val="2"/>
            <w:vAlign w:val="center"/>
          </w:tcPr>
          <w:p>
            <w:pPr>
              <w:pStyle w:val="14"/>
              <w:rPr>
                <w:rFonts w:hint="eastAsia" w:eastAsia="方正书宋_GBK"/>
                <w:lang w:val="en-US" w:eastAsia="zh-CN"/>
              </w:rPr>
            </w:pPr>
            <w:r>
              <w:t>100</w:t>
            </w:r>
            <w:r>
              <w:rPr>
                <w:rFonts w:hint="eastAsia"/>
                <w:lang w:val="en-US"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1.通过践行“不忘初心、牢记使命”宗旨，发扬党内民主，加强党内监督，促进党的思想政治优势、组织优势和密切联系群众的优势有效发挥作用。</w:t>
            </w:r>
            <w:r>
              <w:tab/>
            </w:r>
          </w:p>
          <w:p>
            <w:pPr>
              <w:pStyle w:val="13"/>
            </w:pPr>
            <w:r>
              <w:t>2.通过发挥基层乡镇党组织的作用，把服务中心、建设队伍贯穿始终，全面做好我镇党委组织、宣传等工作，争创省级先进基层党委。</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70"/>
        <w:gridCol w:w="15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70" w:type="dxa"/>
            <w:vAlign w:val="center"/>
          </w:tcPr>
          <w:p>
            <w:pPr>
              <w:pStyle w:val="11"/>
            </w:pPr>
            <w:r>
              <w:t>指标值</w:t>
            </w:r>
          </w:p>
        </w:tc>
        <w:tc>
          <w:tcPr>
            <w:tcW w:w="157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w:t>
            </w:r>
          </w:p>
        </w:tc>
        <w:tc>
          <w:tcPr>
            <w:tcW w:w="5386" w:type="dxa"/>
            <w:vAlign w:val="center"/>
          </w:tcPr>
          <w:p>
            <w:pPr>
              <w:pStyle w:val="13"/>
            </w:pPr>
            <w:r>
              <w:t>组织宣传活动次数</w:t>
            </w:r>
          </w:p>
        </w:tc>
        <w:tc>
          <w:tcPr>
            <w:tcW w:w="1970" w:type="dxa"/>
            <w:vAlign w:val="center"/>
          </w:tcPr>
          <w:p>
            <w:pPr>
              <w:pStyle w:val="13"/>
            </w:pPr>
            <w:r>
              <w:t>≥10次</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w:t>
            </w:r>
          </w:p>
        </w:tc>
        <w:tc>
          <w:tcPr>
            <w:tcW w:w="5386" w:type="dxa"/>
            <w:vAlign w:val="center"/>
          </w:tcPr>
          <w:p>
            <w:pPr>
              <w:pStyle w:val="13"/>
            </w:pPr>
            <w:r>
              <w:t>收集、分析、上报舆情信息的数量</w:t>
            </w:r>
          </w:p>
        </w:tc>
        <w:tc>
          <w:tcPr>
            <w:tcW w:w="1970" w:type="dxa"/>
            <w:vAlign w:val="center"/>
          </w:tcPr>
          <w:p>
            <w:pPr>
              <w:pStyle w:val="13"/>
            </w:pPr>
            <w:r>
              <w:t>≥100条</w:t>
            </w:r>
          </w:p>
        </w:tc>
        <w:tc>
          <w:tcPr>
            <w:tcW w:w="1574"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1970" w:type="dxa"/>
            <w:vAlign w:val="center"/>
          </w:tcPr>
          <w:p>
            <w:pPr>
              <w:pStyle w:val="13"/>
            </w:pPr>
            <w:r>
              <w:t>≥80%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全年按计划完成各项工作</w:t>
            </w:r>
          </w:p>
        </w:tc>
        <w:tc>
          <w:tcPr>
            <w:tcW w:w="1970" w:type="dxa"/>
            <w:vAlign w:val="center"/>
          </w:tcPr>
          <w:p>
            <w:pPr>
              <w:pStyle w:val="13"/>
            </w:pPr>
            <w:r>
              <w:t>100%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1970" w:type="dxa"/>
            <w:vAlign w:val="center"/>
          </w:tcPr>
          <w:p>
            <w:pPr>
              <w:pStyle w:val="13"/>
            </w:pPr>
            <w:r>
              <w:t>≤2万元</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1970" w:type="dxa"/>
            <w:vAlign w:val="center"/>
          </w:tcPr>
          <w:p>
            <w:pPr>
              <w:pStyle w:val="13"/>
            </w:pPr>
            <w:r>
              <w:t>100%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基层党组织示范带头作用</w:t>
            </w:r>
          </w:p>
        </w:tc>
        <w:tc>
          <w:tcPr>
            <w:tcW w:w="5386" w:type="dxa"/>
            <w:vAlign w:val="center"/>
          </w:tcPr>
          <w:p>
            <w:pPr>
              <w:pStyle w:val="13"/>
            </w:pPr>
            <w:r>
              <w:t>通过党建工作促进党员队伍能力提升，在经济建设中发挥带动示范作用</w:t>
            </w:r>
          </w:p>
        </w:tc>
        <w:tc>
          <w:tcPr>
            <w:tcW w:w="1970" w:type="dxa"/>
            <w:vAlign w:val="center"/>
          </w:tcPr>
          <w:p>
            <w:pPr>
              <w:pStyle w:val="13"/>
            </w:pPr>
            <w:r>
              <w:t>≥90%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党员带头发展经济</w:t>
            </w:r>
          </w:p>
        </w:tc>
        <w:tc>
          <w:tcPr>
            <w:tcW w:w="5386" w:type="dxa"/>
            <w:vAlign w:val="center"/>
          </w:tcPr>
          <w:p>
            <w:pPr>
              <w:pStyle w:val="13"/>
            </w:pPr>
            <w:r>
              <w:t>通过党员带头发展经济，增加农民收入</w:t>
            </w:r>
          </w:p>
        </w:tc>
        <w:tc>
          <w:tcPr>
            <w:tcW w:w="1970" w:type="dxa"/>
            <w:vAlign w:val="center"/>
          </w:tcPr>
          <w:p>
            <w:pPr>
              <w:pStyle w:val="13"/>
            </w:pPr>
            <w:r>
              <w:t>≥1500元</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全镇群众对党建工作的满意度</w:t>
            </w:r>
          </w:p>
        </w:tc>
        <w:tc>
          <w:tcPr>
            <w:tcW w:w="1970" w:type="dxa"/>
            <w:vAlign w:val="center"/>
          </w:tcPr>
          <w:p>
            <w:pPr>
              <w:pStyle w:val="13"/>
            </w:pPr>
            <w:r>
              <w:t>≥95%</w:t>
            </w:r>
          </w:p>
        </w:tc>
        <w:tc>
          <w:tcPr>
            <w:tcW w:w="1574"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13032126P003349104754</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w:t>
            </w:r>
            <w:r>
              <w:rPr>
                <w:rFonts w:hint="eastAsia"/>
                <w:lang w:eastAsia="zh-CN"/>
              </w:rPr>
              <w:t>常委会</w:t>
            </w:r>
            <w:r>
              <w:t>机关团体密切联系群众，能够定期开展人大代表接访、走访、约访、回访等工作，接受群众监督，提出议案建议。</w:t>
            </w:r>
            <w:r>
              <w:tab/>
            </w:r>
            <w:r>
              <w:tab/>
            </w:r>
            <w:r>
              <w:tab/>
            </w:r>
            <w:r>
              <w:tab/>
            </w:r>
            <w:r>
              <w:tab/>
            </w:r>
            <w:r>
              <w:tab/>
            </w:r>
          </w:p>
          <w:p>
            <w:pPr>
              <w:pStyle w:val="13"/>
            </w:pPr>
            <w:r>
              <w:t>2.通过开展人大代表之家工作，提供场地和经费，有利于学习宣传宪法法律和党的路线方针政策及各级党委政府重大决策部署，定期开展代表活动。</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97"/>
        <w:gridCol w:w="19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97" w:type="dxa"/>
            <w:vAlign w:val="center"/>
          </w:tcPr>
          <w:p>
            <w:pPr>
              <w:pStyle w:val="11"/>
            </w:pPr>
            <w:r>
              <w:t>指标值</w:t>
            </w:r>
          </w:p>
        </w:tc>
        <w:tc>
          <w:tcPr>
            <w:tcW w:w="194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p>
            <w:pPr>
              <w:pStyle w:val="13"/>
            </w:pPr>
          </w:p>
        </w:tc>
        <w:tc>
          <w:tcPr>
            <w:tcW w:w="1597" w:type="dxa"/>
            <w:vAlign w:val="center"/>
          </w:tcPr>
          <w:p>
            <w:pPr>
              <w:pStyle w:val="13"/>
            </w:pPr>
            <w:r>
              <w:t>≥2次</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1597" w:type="dxa"/>
            <w:vAlign w:val="center"/>
          </w:tcPr>
          <w:p>
            <w:pPr>
              <w:pStyle w:val="13"/>
            </w:pPr>
            <w:r>
              <w:t>≥5次</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反映镇级人大代表数量</w:t>
            </w:r>
          </w:p>
        </w:tc>
        <w:tc>
          <w:tcPr>
            <w:tcW w:w="1597" w:type="dxa"/>
            <w:vAlign w:val="center"/>
          </w:tcPr>
          <w:p>
            <w:pPr>
              <w:pStyle w:val="13"/>
            </w:pPr>
            <w:r>
              <w:t>30人</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1597" w:type="dxa"/>
            <w:vAlign w:val="center"/>
          </w:tcPr>
          <w:p>
            <w:pPr>
              <w:pStyle w:val="13"/>
            </w:pPr>
            <w:r>
              <w:t>≥2篇</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1597" w:type="dxa"/>
            <w:vAlign w:val="center"/>
          </w:tcPr>
          <w:p>
            <w:pPr>
              <w:pStyle w:val="13"/>
            </w:pPr>
            <w:r>
              <w:t>100%</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5386" w:type="dxa"/>
            <w:vAlign w:val="center"/>
          </w:tcPr>
          <w:p>
            <w:pPr>
              <w:pStyle w:val="13"/>
            </w:pPr>
            <w:r>
              <w:t>做好协调组织工作,为代表依法履责提供服务</w:t>
            </w:r>
          </w:p>
        </w:tc>
        <w:tc>
          <w:tcPr>
            <w:tcW w:w="1597" w:type="dxa"/>
            <w:vAlign w:val="center"/>
          </w:tcPr>
          <w:p>
            <w:pPr>
              <w:pStyle w:val="13"/>
            </w:pPr>
            <w:r>
              <w:t>100%</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1597" w:type="dxa"/>
            <w:vAlign w:val="center"/>
          </w:tcPr>
          <w:p>
            <w:pPr>
              <w:pStyle w:val="13"/>
            </w:pPr>
            <w:r>
              <w:t>≤1万元</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1597" w:type="dxa"/>
            <w:vAlign w:val="center"/>
          </w:tcPr>
          <w:p>
            <w:pPr>
              <w:pStyle w:val="13"/>
            </w:pPr>
            <w:r>
              <w:t>≥50%</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1597" w:type="dxa"/>
            <w:vAlign w:val="center"/>
          </w:tcPr>
          <w:p>
            <w:pPr>
              <w:pStyle w:val="13"/>
            </w:pPr>
            <w:r>
              <w:t>≥95%</w:t>
            </w:r>
          </w:p>
        </w:tc>
        <w:tc>
          <w:tcPr>
            <w:tcW w:w="1947"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p>
            <w:pPr>
              <w:pStyle w:val="13"/>
            </w:pPr>
          </w:p>
        </w:tc>
        <w:tc>
          <w:tcPr>
            <w:tcW w:w="1597" w:type="dxa"/>
            <w:vAlign w:val="center"/>
          </w:tcPr>
          <w:p>
            <w:pPr>
              <w:pStyle w:val="13"/>
            </w:pPr>
            <w:r>
              <w:t>≥95%</w:t>
            </w:r>
          </w:p>
        </w:tc>
        <w:tc>
          <w:tcPr>
            <w:tcW w:w="1947"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13032126P00334910473W</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1.通过团委工作有序开展，积极发挥团委作用</w:t>
            </w:r>
            <w:r>
              <w:tab/>
            </w:r>
            <w:r>
              <w:tab/>
            </w:r>
            <w:r>
              <w:tab/>
            </w:r>
            <w:r>
              <w:tab/>
            </w:r>
            <w:r>
              <w:tab/>
            </w:r>
            <w:r>
              <w:tab/>
            </w:r>
          </w:p>
          <w:p>
            <w:pPr>
              <w:pStyle w:val="13"/>
            </w:pPr>
            <w:r>
              <w:t>2.通过开展好群团组织工作，为党的建设储备好后备力量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66"/>
        <w:gridCol w:w="3067"/>
        <w:gridCol w:w="5256"/>
        <w:gridCol w:w="1984"/>
        <w:gridCol w:w="1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66" w:type="dxa"/>
            <w:vAlign w:val="center"/>
          </w:tcPr>
          <w:p>
            <w:pPr>
              <w:pStyle w:val="11"/>
            </w:pPr>
            <w:r>
              <w:t>二级指标</w:t>
            </w:r>
          </w:p>
        </w:tc>
        <w:tc>
          <w:tcPr>
            <w:tcW w:w="3067" w:type="dxa"/>
            <w:vAlign w:val="center"/>
          </w:tcPr>
          <w:p>
            <w:pPr>
              <w:pStyle w:val="11"/>
            </w:pPr>
            <w:r>
              <w:t>三级指标</w:t>
            </w:r>
          </w:p>
        </w:tc>
        <w:tc>
          <w:tcPr>
            <w:tcW w:w="5256" w:type="dxa"/>
            <w:vAlign w:val="center"/>
          </w:tcPr>
          <w:p>
            <w:pPr>
              <w:pStyle w:val="11"/>
            </w:pPr>
            <w:r>
              <w:t>绩效指标描述</w:t>
            </w:r>
          </w:p>
        </w:tc>
        <w:tc>
          <w:tcPr>
            <w:tcW w:w="1984" w:type="dxa"/>
            <w:vAlign w:val="center"/>
          </w:tcPr>
          <w:p>
            <w:pPr>
              <w:pStyle w:val="11"/>
            </w:pPr>
            <w:r>
              <w:t>指标值</w:t>
            </w:r>
          </w:p>
        </w:tc>
        <w:tc>
          <w:tcPr>
            <w:tcW w:w="156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66" w:type="dxa"/>
            <w:vAlign w:val="center"/>
          </w:tcPr>
          <w:p>
            <w:pPr>
              <w:pStyle w:val="13"/>
            </w:pPr>
            <w:r>
              <w:t>数量指标</w:t>
            </w:r>
          </w:p>
        </w:tc>
        <w:tc>
          <w:tcPr>
            <w:tcW w:w="3067" w:type="dxa"/>
            <w:vAlign w:val="center"/>
          </w:tcPr>
          <w:p>
            <w:pPr>
              <w:pStyle w:val="13"/>
            </w:pPr>
            <w:r>
              <w:t>组织活动的次数</w:t>
            </w:r>
          </w:p>
        </w:tc>
        <w:tc>
          <w:tcPr>
            <w:tcW w:w="5256" w:type="dxa"/>
            <w:vAlign w:val="center"/>
          </w:tcPr>
          <w:p>
            <w:pPr>
              <w:pStyle w:val="13"/>
            </w:pPr>
            <w:r>
              <w:t>组织镇青年慰问留守儿童活动的次数</w:t>
            </w:r>
          </w:p>
        </w:tc>
        <w:tc>
          <w:tcPr>
            <w:tcW w:w="1984" w:type="dxa"/>
            <w:vAlign w:val="center"/>
          </w:tcPr>
          <w:p>
            <w:pPr>
              <w:pStyle w:val="13"/>
            </w:pPr>
            <w:r>
              <w:t>≥3次</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数量指标</w:t>
            </w:r>
          </w:p>
        </w:tc>
        <w:tc>
          <w:tcPr>
            <w:tcW w:w="3067" w:type="dxa"/>
            <w:vAlign w:val="center"/>
          </w:tcPr>
          <w:p>
            <w:pPr>
              <w:pStyle w:val="13"/>
            </w:pPr>
            <w:r>
              <w:t>“圆梦大学”走访的次数</w:t>
            </w:r>
          </w:p>
        </w:tc>
        <w:tc>
          <w:tcPr>
            <w:tcW w:w="5256" w:type="dxa"/>
            <w:vAlign w:val="center"/>
          </w:tcPr>
          <w:p>
            <w:pPr>
              <w:pStyle w:val="13"/>
            </w:pPr>
            <w:r>
              <w:t>反映“圆梦大学”走访的次数</w:t>
            </w:r>
          </w:p>
        </w:tc>
        <w:tc>
          <w:tcPr>
            <w:tcW w:w="1984" w:type="dxa"/>
            <w:vAlign w:val="center"/>
          </w:tcPr>
          <w:p>
            <w:pPr>
              <w:pStyle w:val="13"/>
            </w:pPr>
            <w:r>
              <w:t>≥10次</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质量指标</w:t>
            </w:r>
          </w:p>
        </w:tc>
        <w:tc>
          <w:tcPr>
            <w:tcW w:w="3067" w:type="dxa"/>
            <w:vAlign w:val="center"/>
          </w:tcPr>
          <w:p>
            <w:pPr>
              <w:pStyle w:val="13"/>
            </w:pPr>
            <w:r>
              <w:t>活动完成率</w:t>
            </w:r>
          </w:p>
        </w:tc>
        <w:tc>
          <w:tcPr>
            <w:tcW w:w="5256" w:type="dxa"/>
            <w:vAlign w:val="center"/>
          </w:tcPr>
          <w:p>
            <w:pPr>
              <w:pStyle w:val="13"/>
            </w:pPr>
            <w:r>
              <w:t>活动完成次数占预计次数的比例</w:t>
            </w:r>
          </w:p>
        </w:tc>
        <w:tc>
          <w:tcPr>
            <w:tcW w:w="1984" w:type="dxa"/>
            <w:vAlign w:val="center"/>
          </w:tcPr>
          <w:p>
            <w:pPr>
              <w:pStyle w:val="13"/>
            </w:pPr>
            <w:r>
              <w:t>≥95%</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成本指标</w:t>
            </w:r>
          </w:p>
        </w:tc>
        <w:tc>
          <w:tcPr>
            <w:tcW w:w="3067" w:type="dxa"/>
            <w:vAlign w:val="center"/>
          </w:tcPr>
          <w:p>
            <w:pPr>
              <w:pStyle w:val="13"/>
            </w:pPr>
            <w:r>
              <w:t>经费支出控制数</w:t>
            </w:r>
          </w:p>
        </w:tc>
        <w:tc>
          <w:tcPr>
            <w:tcW w:w="5256" w:type="dxa"/>
            <w:vAlign w:val="center"/>
          </w:tcPr>
          <w:p>
            <w:pPr>
              <w:pStyle w:val="13"/>
            </w:pPr>
            <w:r>
              <w:t>团委活动经费支出控制在预算额度内</w:t>
            </w:r>
          </w:p>
        </w:tc>
        <w:tc>
          <w:tcPr>
            <w:tcW w:w="1984" w:type="dxa"/>
            <w:vAlign w:val="center"/>
          </w:tcPr>
          <w:p>
            <w:pPr>
              <w:pStyle w:val="13"/>
            </w:pPr>
            <w:r>
              <w:t>≤2万元</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数量指标</w:t>
            </w:r>
          </w:p>
        </w:tc>
        <w:tc>
          <w:tcPr>
            <w:tcW w:w="3067" w:type="dxa"/>
            <w:vAlign w:val="center"/>
          </w:tcPr>
          <w:p>
            <w:pPr>
              <w:pStyle w:val="13"/>
            </w:pPr>
            <w:r>
              <w:t>团费收缴完成率</w:t>
            </w:r>
          </w:p>
        </w:tc>
        <w:tc>
          <w:tcPr>
            <w:tcW w:w="5256" w:type="dxa"/>
            <w:vAlign w:val="center"/>
          </w:tcPr>
          <w:p>
            <w:pPr>
              <w:pStyle w:val="13"/>
            </w:pPr>
            <w:r>
              <w:t>反映全镇团费收缴和上缴工作完成比率</w:t>
            </w:r>
          </w:p>
        </w:tc>
        <w:tc>
          <w:tcPr>
            <w:tcW w:w="1984" w:type="dxa"/>
            <w:vAlign w:val="center"/>
          </w:tcPr>
          <w:p>
            <w:pPr>
              <w:pStyle w:val="13"/>
            </w:pPr>
            <w:r>
              <w:t>≥90%</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数量指标</w:t>
            </w:r>
          </w:p>
        </w:tc>
        <w:tc>
          <w:tcPr>
            <w:tcW w:w="3067" w:type="dxa"/>
            <w:vAlign w:val="center"/>
          </w:tcPr>
          <w:p>
            <w:pPr>
              <w:pStyle w:val="13"/>
            </w:pPr>
            <w:r>
              <w:t>宣传单数量</w:t>
            </w:r>
          </w:p>
        </w:tc>
        <w:tc>
          <w:tcPr>
            <w:tcW w:w="5256" w:type="dxa"/>
            <w:vAlign w:val="center"/>
          </w:tcPr>
          <w:p>
            <w:pPr>
              <w:pStyle w:val="13"/>
            </w:pPr>
            <w:r>
              <w:t>反映用于青少年法治宣传教育印刷宣传单的数量</w:t>
            </w:r>
          </w:p>
        </w:tc>
        <w:tc>
          <w:tcPr>
            <w:tcW w:w="1984" w:type="dxa"/>
            <w:vAlign w:val="center"/>
          </w:tcPr>
          <w:p>
            <w:pPr>
              <w:pStyle w:val="13"/>
            </w:pPr>
            <w:r>
              <w:t>≥2500张</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时效指标</w:t>
            </w:r>
          </w:p>
        </w:tc>
        <w:tc>
          <w:tcPr>
            <w:tcW w:w="3067" w:type="dxa"/>
            <w:vAlign w:val="center"/>
          </w:tcPr>
          <w:p>
            <w:pPr>
              <w:pStyle w:val="13"/>
            </w:pPr>
            <w:r>
              <w:t>活动完成时间</w:t>
            </w:r>
          </w:p>
        </w:tc>
        <w:tc>
          <w:tcPr>
            <w:tcW w:w="5256" w:type="dxa"/>
            <w:vAlign w:val="center"/>
          </w:tcPr>
          <w:p>
            <w:pPr>
              <w:pStyle w:val="13"/>
            </w:pPr>
            <w:r>
              <w:t>反映各项活动完成时间</w:t>
            </w:r>
          </w:p>
        </w:tc>
        <w:tc>
          <w:tcPr>
            <w:tcW w:w="1984" w:type="dxa"/>
            <w:vAlign w:val="center"/>
          </w:tcPr>
          <w:p>
            <w:pPr>
              <w:pStyle w:val="13"/>
            </w:pPr>
            <w:r>
              <w:t>全年持续进行</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66" w:type="dxa"/>
            <w:vAlign w:val="center"/>
          </w:tcPr>
          <w:p>
            <w:pPr>
              <w:pStyle w:val="13"/>
            </w:pPr>
            <w:r>
              <w:t>社会效益指标</w:t>
            </w:r>
          </w:p>
        </w:tc>
        <w:tc>
          <w:tcPr>
            <w:tcW w:w="3067" w:type="dxa"/>
            <w:vAlign w:val="center"/>
          </w:tcPr>
          <w:p>
            <w:pPr>
              <w:pStyle w:val="13"/>
            </w:pPr>
            <w:r>
              <w:t>未成年思想道德建设宣传情况</w:t>
            </w:r>
          </w:p>
        </w:tc>
        <w:tc>
          <w:tcPr>
            <w:tcW w:w="5256" w:type="dxa"/>
            <w:vAlign w:val="center"/>
          </w:tcPr>
          <w:p>
            <w:pPr>
              <w:pStyle w:val="13"/>
            </w:pPr>
            <w:r>
              <w:t>反映全乡未成年人思想道德建设宣传覆盖率</w:t>
            </w:r>
          </w:p>
        </w:tc>
        <w:tc>
          <w:tcPr>
            <w:tcW w:w="1984" w:type="dxa"/>
            <w:vAlign w:val="center"/>
          </w:tcPr>
          <w:p>
            <w:pPr>
              <w:pStyle w:val="13"/>
            </w:pPr>
            <w:r>
              <w:t>≥90%</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社会效益指标</w:t>
            </w:r>
          </w:p>
        </w:tc>
        <w:tc>
          <w:tcPr>
            <w:tcW w:w="3067" w:type="dxa"/>
            <w:vAlign w:val="center"/>
          </w:tcPr>
          <w:p>
            <w:pPr>
              <w:pStyle w:val="13"/>
            </w:pPr>
            <w:r>
              <w:t>未成年思想道德建设宣传情况</w:t>
            </w:r>
          </w:p>
        </w:tc>
        <w:tc>
          <w:tcPr>
            <w:tcW w:w="5256" w:type="dxa"/>
            <w:vAlign w:val="center"/>
          </w:tcPr>
          <w:p>
            <w:pPr>
              <w:pStyle w:val="13"/>
            </w:pPr>
            <w:r>
              <w:t>反映全乡未成年人思想道德建设宣传覆盖率</w:t>
            </w:r>
          </w:p>
        </w:tc>
        <w:tc>
          <w:tcPr>
            <w:tcW w:w="1984" w:type="dxa"/>
            <w:vAlign w:val="center"/>
          </w:tcPr>
          <w:p>
            <w:pPr>
              <w:pStyle w:val="13"/>
            </w:pPr>
            <w:r>
              <w:t>≥90%</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6" w:type="dxa"/>
            <w:vAlign w:val="center"/>
          </w:tcPr>
          <w:p>
            <w:pPr>
              <w:pStyle w:val="13"/>
            </w:pPr>
            <w:r>
              <w:t>社会效益指标</w:t>
            </w:r>
          </w:p>
        </w:tc>
        <w:tc>
          <w:tcPr>
            <w:tcW w:w="3067" w:type="dxa"/>
            <w:vAlign w:val="center"/>
          </w:tcPr>
          <w:p>
            <w:pPr>
              <w:pStyle w:val="13"/>
            </w:pPr>
            <w:r>
              <w:t>未成年思想道德建设宣传情况</w:t>
            </w:r>
          </w:p>
        </w:tc>
        <w:tc>
          <w:tcPr>
            <w:tcW w:w="5256" w:type="dxa"/>
            <w:vAlign w:val="center"/>
          </w:tcPr>
          <w:p>
            <w:pPr>
              <w:pStyle w:val="13"/>
            </w:pPr>
            <w:r>
              <w:t>反映全乡未成年人思想道德建设宣传覆盖率</w:t>
            </w:r>
          </w:p>
        </w:tc>
        <w:tc>
          <w:tcPr>
            <w:tcW w:w="1984" w:type="dxa"/>
            <w:vAlign w:val="center"/>
          </w:tcPr>
          <w:p>
            <w:pPr>
              <w:pStyle w:val="13"/>
            </w:pPr>
            <w:r>
              <w:t>≥90%</w:t>
            </w:r>
          </w:p>
        </w:tc>
        <w:tc>
          <w:tcPr>
            <w:tcW w:w="156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66" w:type="dxa"/>
            <w:vAlign w:val="center"/>
          </w:tcPr>
          <w:p>
            <w:pPr>
              <w:pStyle w:val="13"/>
            </w:pPr>
            <w:r>
              <w:t>服务对象满意度指标</w:t>
            </w:r>
          </w:p>
        </w:tc>
        <w:tc>
          <w:tcPr>
            <w:tcW w:w="3067" w:type="dxa"/>
            <w:vAlign w:val="center"/>
          </w:tcPr>
          <w:p>
            <w:pPr>
              <w:pStyle w:val="13"/>
            </w:pPr>
            <w:r>
              <w:t>团员青年满意度</w:t>
            </w:r>
          </w:p>
        </w:tc>
        <w:tc>
          <w:tcPr>
            <w:tcW w:w="5256" w:type="dxa"/>
            <w:vAlign w:val="center"/>
          </w:tcPr>
          <w:p>
            <w:pPr>
              <w:pStyle w:val="13"/>
            </w:pPr>
            <w:r>
              <w:t>反映群众对团委工作的满意度</w:t>
            </w:r>
          </w:p>
        </w:tc>
        <w:tc>
          <w:tcPr>
            <w:tcW w:w="1984" w:type="dxa"/>
            <w:vAlign w:val="center"/>
          </w:tcPr>
          <w:p>
            <w:pPr>
              <w:pStyle w:val="13"/>
            </w:pPr>
            <w:r>
              <w:t>≥95%</w:t>
            </w:r>
          </w:p>
        </w:tc>
        <w:tc>
          <w:tcPr>
            <w:tcW w:w="156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4、专项武装工作经费绩效目标表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13032126P00334910476P</w:t>
            </w:r>
          </w:p>
        </w:tc>
        <w:tc>
          <w:tcPr>
            <w:tcW w:w="2835" w:type="dxa"/>
            <w:vAlign w:val="center"/>
          </w:tcPr>
          <w:p>
            <w:pPr>
              <w:pStyle w:val="11"/>
            </w:pPr>
            <w:r>
              <w:t>项目名称</w:t>
            </w:r>
          </w:p>
        </w:tc>
        <w:tc>
          <w:tcPr>
            <w:tcW w:w="6095" w:type="dxa"/>
            <w:gridSpan w:val="3"/>
            <w:vAlign w:val="center"/>
          </w:tcPr>
          <w:p>
            <w:pPr>
              <w:pStyle w:val="13"/>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r>
              <w:tab/>
            </w:r>
            <w:r>
              <w:tab/>
            </w:r>
            <w:r>
              <w:tab/>
            </w:r>
            <w:r>
              <w:tab/>
            </w:r>
            <w:r>
              <w:tab/>
            </w:r>
            <w:r>
              <w:tab/>
            </w:r>
          </w:p>
          <w:p>
            <w:pPr>
              <w:pStyle w:val="13"/>
            </w:pPr>
            <w:r>
              <w:t>2.通过开展民兵训练工作，确保人民武装力量得到保障。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57" w:type="dxa"/>
            <w:vAlign w:val="center"/>
          </w:tcPr>
          <w:p>
            <w:pPr>
              <w:pStyle w:val="11"/>
            </w:pPr>
            <w:r>
              <w:t>指标值</w:t>
            </w:r>
          </w:p>
        </w:tc>
        <w:tc>
          <w:tcPr>
            <w:tcW w:w="158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p>
            <w:pPr>
              <w:pStyle w:val="13"/>
            </w:pPr>
          </w:p>
        </w:tc>
        <w:tc>
          <w:tcPr>
            <w:tcW w:w="5386" w:type="dxa"/>
            <w:vAlign w:val="center"/>
          </w:tcPr>
          <w:p>
            <w:pPr>
              <w:pStyle w:val="13"/>
            </w:pPr>
            <w:r>
              <w:t>年度内依法服兵役数量</w:t>
            </w:r>
          </w:p>
        </w:tc>
        <w:tc>
          <w:tcPr>
            <w:tcW w:w="1957" w:type="dxa"/>
            <w:vAlign w:val="center"/>
          </w:tcPr>
          <w:p>
            <w:pPr>
              <w:pStyle w:val="13"/>
            </w:pPr>
            <w:r>
              <w:t>≥3人</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参加民兵训练的人数</w:t>
            </w:r>
          </w:p>
        </w:tc>
        <w:tc>
          <w:tcPr>
            <w:tcW w:w="5386" w:type="dxa"/>
            <w:vAlign w:val="center"/>
          </w:tcPr>
          <w:p>
            <w:pPr>
              <w:pStyle w:val="13"/>
            </w:pPr>
            <w:r>
              <w:t>年度内参加民兵训练的人数</w:t>
            </w:r>
          </w:p>
        </w:tc>
        <w:tc>
          <w:tcPr>
            <w:tcW w:w="1957" w:type="dxa"/>
            <w:vAlign w:val="center"/>
          </w:tcPr>
          <w:p>
            <w:pPr>
              <w:pStyle w:val="13"/>
            </w:pPr>
            <w:r>
              <w:t>≥20人</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1957" w:type="dxa"/>
            <w:vAlign w:val="center"/>
          </w:tcPr>
          <w:p>
            <w:pPr>
              <w:pStyle w:val="13"/>
            </w:pPr>
            <w:r>
              <w:t>≥2人</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1957" w:type="dxa"/>
            <w:vAlign w:val="center"/>
          </w:tcPr>
          <w:p>
            <w:pPr>
              <w:pStyle w:val="13"/>
            </w:pPr>
            <w:r>
              <w:t>100%</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1957" w:type="dxa"/>
            <w:vAlign w:val="center"/>
          </w:tcPr>
          <w:p>
            <w:pPr>
              <w:pStyle w:val="13"/>
            </w:pPr>
            <w:r>
              <w:t>≤6月</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1957" w:type="dxa"/>
            <w:vAlign w:val="center"/>
          </w:tcPr>
          <w:p>
            <w:pPr>
              <w:pStyle w:val="13"/>
            </w:pPr>
            <w:r>
              <w:t>≤2万元</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民兵训练的次数</w:t>
            </w:r>
          </w:p>
        </w:tc>
        <w:tc>
          <w:tcPr>
            <w:tcW w:w="5386" w:type="dxa"/>
            <w:vAlign w:val="center"/>
          </w:tcPr>
          <w:p>
            <w:pPr>
              <w:pStyle w:val="13"/>
            </w:pPr>
            <w:r>
              <w:t>年度内开展民兵训练次数</w:t>
            </w:r>
          </w:p>
        </w:tc>
        <w:tc>
          <w:tcPr>
            <w:tcW w:w="1957" w:type="dxa"/>
            <w:vAlign w:val="center"/>
          </w:tcPr>
          <w:p>
            <w:pPr>
              <w:pStyle w:val="13"/>
            </w:pPr>
            <w:r>
              <w:t>≥1次</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1957" w:type="dxa"/>
            <w:vAlign w:val="center"/>
          </w:tcPr>
          <w:p>
            <w:pPr>
              <w:pStyle w:val="13"/>
            </w:pPr>
            <w:r>
              <w:t>≥90%</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1957" w:type="dxa"/>
            <w:vAlign w:val="center"/>
          </w:tcPr>
          <w:p>
            <w:pPr>
              <w:pStyle w:val="13"/>
            </w:pPr>
            <w:r>
              <w:t>≥90%</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1957" w:type="dxa"/>
            <w:vAlign w:val="center"/>
          </w:tcPr>
          <w:p>
            <w:pPr>
              <w:pStyle w:val="13"/>
            </w:pPr>
            <w:r>
              <w:t>≥90%</w:t>
            </w:r>
          </w:p>
        </w:tc>
        <w:tc>
          <w:tcPr>
            <w:tcW w:w="15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1957" w:type="dxa"/>
            <w:vAlign w:val="center"/>
          </w:tcPr>
          <w:p>
            <w:pPr>
              <w:pStyle w:val="13"/>
            </w:pPr>
            <w:r>
              <w:t>≥95%</w:t>
            </w:r>
          </w:p>
        </w:tc>
        <w:tc>
          <w:tcPr>
            <w:tcW w:w="1587"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13032125P00001010130G</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17.09</w:t>
            </w:r>
          </w:p>
        </w:tc>
        <w:tc>
          <w:tcPr>
            <w:tcW w:w="2835" w:type="dxa"/>
            <w:vAlign w:val="center"/>
          </w:tcPr>
          <w:p>
            <w:pPr>
              <w:pStyle w:val="11"/>
            </w:pPr>
            <w:r>
              <w:t>其中：财政    资金</w:t>
            </w:r>
          </w:p>
        </w:tc>
        <w:tc>
          <w:tcPr>
            <w:tcW w:w="2551" w:type="dxa"/>
            <w:vAlign w:val="center"/>
          </w:tcPr>
          <w:p>
            <w:pPr>
              <w:pStyle w:val="13"/>
            </w:pPr>
            <w:r>
              <w:t>17.09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预算资金17.088万元，其中财政拨款17.088万元，主要用于村党组织书记、村民委员会主任绩效补贴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1.激发农村干部干事创业热情，确保村级工作正常运转及村干部队伍稳定。      </w:t>
            </w:r>
          </w:p>
          <w:p>
            <w:pPr>
              <w:pStyle w:val="13"/>
            </w:pPr>
            <w:r>
              <w:t>2.通过及时发放村干部基础职务补贴，为农村干部工作生活提供保障。</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4"/>
        <w:gridCol w:w="18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44" w:type="dxa"/>
            <w:vAlign w:val="center"/>
          </w:tcPr>
          <w:p>
            <w:pPr>
              <w:pStyle w:val="11"/>
            </w:pPr>
            <w:r>
              <w:t>指标值</w:t>
            </w:r>
          </w:p>
        </w:tc>
        <w:tc>
          <w:tcPr>
            <w:tcW w:w="180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反映发放村党组织书记、村民委员会主任绩效补贴发放的村数</w:t>
            </w:r>
          </w:p>
        </w:tc>
        <w:tc>
          <w:tcPr>
            <w:tcW w:w="1744" w:type="dxa"/>
            <w:vAlign w:val="center"/>
          </w:tcPr>
          <w:p>
            <w:pPr>
              <w:pStyle w:val="13"/>
            </w:pPr>
            <w:r>
              <w:t>16个</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744" w:type="dxa"/>
            <w:vAlign w:val="center"/>
          </w:tcPr>
          <w:p>
            <w:pPr>
              <w:pStyle w:val="13"/>
            </w:pPr>
            <w:r>
              <w:t>≥1次</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744" w:type="dxa"/>
            <w:vAlign w:val="center"/>
          </w:tcPr>
          <w:p>
            <w:pPr>
              <w:pStyle w:val="13"/>
            </w:pPr>
            <w:r>
              <w:t>16人</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744" w:type="dxa"/>
            <w:vAlign w:val="center"/>
          </w:tcPr>
          <w:p>
            <w:pPr>
              <w:pStyle w:val="13"/>
            </w:pPr>
            <w:r>
              <w:t>≥95%</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744" w:type="dxa"/>
            <w:vAlign w:val="center"/>
          </w:tcPr>
          <w:p>
            <w:pPr>
              <w:pStyle w:val="13"/>
            </w:pPr>
            <w:r>
              <w:t>≥95%</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1744" w:type="dxa"/>
            <w:vAlign w:val="center"/>
          </w:tcPr>
          <w:p>
            <w:pPr>
              <w:pStyle w:val="13"/>
            </w:pPr>
            <w:r>
              <w:t>100%</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1744" w:type="dxa"/>
            <w:vAlign w:val="center"/>
          </w:tcPr>
          <w:p>
            <w:pPr>
              <w:pStyle w:val="13"/>
            </w:pPr>
            <w:r>
              <w:t>17.09万元</w:t>
            </w:r>
          </w:p>
        </w:tc>
        <w:tc>
          <w:tcPr>
            <w:tcW w:w="1800"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744" w:type="dxa"/>
            <w:vAlign w:val="center"/>
          </w:tcPr>
          <w:p>
            <w:pPr>
              <w:pStyle w:val="13"/>
            </w:pPr>
            <w:r>
              <w:t>≥95%</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1744" w:type="dxa"/>
            <w:vAlign w:val="center"/>
          </w:tcPr>
          <w:p>
            <w:pPr>
              <w:pStyle w:val="13"/>
            </w:pPr>
            <w:r>
              <w:t>≥90%</w:t>
            </w:r>
          </w:p>
        </w:tc>
        <w:tc>
          <w:tcPr>
            <w:tcW w:w="18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744" w:type="dxa"/>
            <w:vAlign w:val="center"/>
          </w:tcPr>
          <w:p>
            <w:pPr>
              <w:pStyle w:val="13"/>
            </w:pPr>
            <w:r>
              <w:t>≥90%</w:t>
            </w:r>
          </w:p>
        </w:tc>
        <w:tc>
          <w:tcPr>
            <w:tcW w:w="1800"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13032125P000010100964</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23.33</w:t>
            </w:r>
          </w:p>
        </w:tc>
        <w:tc>
          <w:tcPr>
            <w:tcW w:w="2835" w:type="dxa"/>
            <w:vAlign w:val="center"/>
          </w:tcPr>
          <w:p>
            <w:pPr>
              <w:pStyle w:val="11"/>
            </w:pPr>
            <w:r>
              <w:t>其中：财政    资金</w:t>
            </w:r>
          </w:p>
        </w:tc>
        <w:tc>
          <w:tcPr>
            <w:tcW w:w="2551" w:type="dxa"/>
            <w:vAlign w:val="center"/>
          </w:tcPr>
          <w:p>
            <w:pPr>
              <w:pStyle w:val="13"/>
            </w:pPr>
            <w:r>
              <w:t>23.33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预算安排23.328万元，其中用于村级组织办公经费。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1.通过及时支付村级办公经费，保障村级干部工作积极性，确保村级组织正常、高效运转。</w:t>
            </w:r>
            <w:r>
              <w:tab/>
            </w:r>
            <w:r>
              <w:tab/>
            </w:r>
            <w:r>
              <w:tab/>
            </w:r>
            <w:r>
              <w:tab/>
            </w:r>
            <w:r>
              <w:tab/>
            </w:r>
            <w:r>
              <w:tab/>
            </w:r>
          </w:p>
          <w:p>
            <w:pPr>
              <w:pStyle w:val="13"/>
            </w:pPr>
            <w:r>
              <w:t>2.通过及时支付村级组织办公用品、水电暖等费用，保障日常工作有序开展。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44"/>
        <w:gridCol w:w="16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44" w:type="dxa"/>
            <w:vAlign w:val="center"/>
          </w:tcPr>
          <w:p>
            <w:pPr>
              <w:pStyle w:val="11"/>
            </w:pPr>
            <w:r>
              <w:t>指标值</w:t>
            </w:r>
          </w:p>
        </w:tc>
        <w:tc>
          <w:tcPr>
            <w:tcW w:w="160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1944" w:type="dxa"/>
            <w:vAlign w:val="center"/>
          </w:tcPr>
          <w:p>
            <w:pPr>
              <w:pStyle w:val="13"/>
            </w:pPr>
            <w:r>
              <w:t>16个</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1944" w:type="dxa"/>
            <w:vAlign w:val="center"/>
          </w:tcPr>
          <w:p>
            <w:pPr>
              <w:pStyle w:val="13"/>
            </w:pPr>
            <w:r>
              <w:t>100%</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1944" w:type="dxa"/>
            <w:vAlign w:val="center"/>
          </w:tcPr>
          <w:p>
            <w:pPr>
              <w:pStyle w:val="13"/>
            </w:pPr>
            <w:r>
              <w:t>100%</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1944" w:type="dxa"/>
            <w:vAlign w:val="center"/>
          </w:tcPr>
          <w:p>
            <w:pPr>
              <w:pStyle w:val="13"/>
            </w:pPr>
            <w:r>
              <w:t>≥95%</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1944" w:type="dxa"/>
            <w:vAlign w:val="center"/>
          </w:tcPr>
          <w:p>
            <w:pPr>
              <w:pStyle w:val="13"/>
            </w:pPr>
            <w:r>
              <w:t>1次/半年</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1944" w:type="dxa"/>
            <w:vAlign w:val="center"/>
          </w:tcPr>
          <w:p>
            <w:pPr>
              <w:pStyle w:val="13"/>
            </w:pPr>
            <w:r>
              <w:t>≤1.82万元</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1944" w:type="dxa"/>
            <w:vAlign w:val="center"/>
          </w:tcPr>
          <w:p>
            <w:pPr>
              <w:pStyle w:val="13"/>
            </w:pPr>
            <w:r>
              <w:t>≥95%</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1944" w:type="dxa"/>
            <w:vAlign w:val="center"/>
          </w:tcPr>
          <w:p>
            <w:pPr>
              <w:pStyle w:val="13"/>
            </w:pPr>
            <w:r>
              <w:t>≥1年</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1944" w:type="dxa"/>
            <w:vAlign w:val="center"/>
          </w:tcPr>
          <w:p>
            <w:pPr>
              <w:pStyle w:val="13"/>
            </w:pPr>
            <w:r>
              <w:t>≥90%</w:t>
            </w:r>
          </w:p>
        </w:tc>
        <w:tc>
          <w:tcPr>
            <w:tcW w:w="1600"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13032125P00001010095G</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    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预算安排32万其中用于服务群众专项经费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r>
              <w:tab/>
            </w:r>
            <w:r>
              <w:tab/>
            </w:r>
            <w:r>
              <w:tab/>
            </w:r>
            <w:r>
              <w:tab/>
            </w:r>
            <w:r>
              <w:tab/>
            </w:r>
          </w:p>
          <w:p>
            <w:pPr>
              <w:pStyle w:val="13"/>
            </w:pPr>
            <w:r>
              <w:t>2.通过开展服务群众工作，为村综合服务站日常运转、公共设施维护等提供保障，为群众提供便捷优质生产生活条件。</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7"/>
        <w:gridCol w:w="1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37" w:type="dxa"/>
            <w:vAlign w:val="center"/>
          </w:tcPr>
          <w:p>
            <w:pPr>
              <w:pStyle w:val="11"/>
            </w:pPr>
            <w:r>
              <w:t>指标值</w:t>
            </w:r>
          </w:p>
        </w:tc>
        <w:tc>
          <w:tcPr>
            <w:tcW w:w="190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1637" w:type="dxa"/>
            <w:vAlign w:val="center"/>
          </w:tcPr>
          <w:p>
            <w:pPr>
              <w:pStyle w:val="13"/>
            </w:pPr>
            <w:r>
              <w:t>16个</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1637" w:type="dxa"/>
            <w:vAlign w:val="center"/>
          </w:tcPr>
          <w:p>
            <w:pPr>
              <w:pStyle w:val="13"/>
            </w:pPr>
            <w:r>
              <w:t>≥95%</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1637" w:type="dxa"/>
            <w:vAlign w:val="center"/>
          </w:tcPr>
          <w:p>
            <w:pPr>
              <w:pStyle w:val="13"/>
            </w:pPr>
            <w:r>
              <w:t>100%</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1637" w:type="dxa"/>
            <w:vAlign w:val="center"/>
          </w:tcPr>
          <w:p>
            <w:pPr>
              <w:pStyle w:val="13"/>
            </w:pPr>
            <w:r>
              <w:t>≥90%</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1637" w:type="dxa"/>
            <w:vAlign w:val="center"/>
          </w:tcPr>
          <w:p>
            <w:pPr>
              <w:pStyle w:val="13"/>
            </w:pPr>
            <w:r>
              <w:t>≥90%</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1637" w:type="dxa"/>
            <w:vAlign w:val="center"/>
          </w:tcPr>
          <w:p>
            <w:pPr>
              <w:pStyle w:val="13"/>
            </w:pPr>
            <w:r>
              <w:t>≥95%</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1637" w:type="dxa"/>
            <w:vAlign w:val="center"/>
          </w:tcPr>
          <w:p>
            <w:pPr>
              <w:pStyle w:val="13"/>
            </w:pPr>
            <w:r>
              <w:t>≤2万元</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1637" w:type="dxa"/>
            <w:vAlign w:val="center"/>
          </w:tcPr>
          <w:p>
            <w:pPr>
              <w:pStyle w:val="13"/>
            </w:pPr>
            <w:r>
              <w:t>≤3万元</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1637" w:type="dxa"/>
            <w:vAlign w:val="center"/>
          </w:tcPr>
          <w:p>
            <w:pPr>
              <w:pStyle w:val="13"/>
            </w:pPr>
            <w:r>
              <w:t>≥90%</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提高村民收入</w:t>
            </w:r>
          </w:p>
        </w:tc>
        <w:tc>
          <w:tcPr>
            <w:tcW w:w="5386" w:type="dxa"/>
            <w:vAlign w:val="center"/>
          </w:tcPr>
          <w:p>
            <w:pPr>
              <w:pStyle w:val="13"/>
            </w:pPr>
            <w:r>
              <w:t>反映村民收入增加</w:t>
            </w:r>
          </w:p>
        </w:tc>
        <w:tc>
          <w:tcPr>
            <w:tcW w:w="1637" w:type="dxa"/>
            <w:vAlign w:val="center"/>
          </w:tcPr>
          <w:p>
            <w:pPr>
              <w:pStyle w:val="13"/>
            </w:pPr>
            <w:r>
              <w:t>≥100元</w:t>
            </w:r>
          </w:p>
        </w:tc>
        <w:tc>
          <w:tcPr>
            <w:tcW w:w="190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1637" w:type="dxa"/>
            <w:vAlign w:val="center"/>
          </w:tcPr>
          <w:p>
            <w:pPr>
              <w:pStyle w:val="13"/>
            </w:pPr>
            <w:r>
              <w:t>≥90%</w:t>
            </w:r>
          </w:p>
        </w:tc>
        <w:tc>
          <w:tcPr>
            <w:tcW w:w="1907"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13032126P00330610069K</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预算安排10万元，其中财政拨款10万元，主要用于防火防汛工作经费。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1.通过在汛期确保辖区内河道行洪通畅，备齐各类防汛抢险物资，组织开展汛前汛期汛后安全检查，及时消除防汛安全隐患。</w:t>
            </w:r>
            <w:r>
              <w:tab/>
            </w:r>
            <w:r>
              <w:tab/>
            </w:r>
            <w:r>
              <w:tab/>
            </w:r>
            <w:r>
              <w:tab/>
            </w:r>
          </w:p>
          <w:p>
            <w:pPr>
              <w:pStyle w:val="13"/>
            </w:pPr>
            <w:r>
              <w:t>2.通过在森林防火期内，扎实开展防火日常工作，广泛宣传，全天候巡查，加强防火扑救物资的储备，有效防范和遏制森林火灾的发生。</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5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50" w:type="dxa"/>
            <w:vAlign w:val="center"/>
          </w:tcPr>
          <w:p>
            <w:pPr>
              <w:pStyle w:val="11"/>
            </w:pPr>
            <w:r>
              <w:t>指标值</w:t>
            </w:r>
          </w:p>
        </w:tc>
        <w:tc>
          <w:tcPr>
            <w:tcW w:w="169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w:t>
            </w:r>
          </w:p>
        </w:tc>
        <w:tc>
          <w:tcPr>
            <w:tcW w:w="5386" w:type="dxa"/>
            <w:vAlign w:val="center"/>
          </w:tcPr>
          <w:p>
            <w:pPr>
              <w:pStyle w:val="13"/>
            </w:pPr>
            <w:r>
              <w:t>当年实际巡查次数</w:t>
            </w:r>
          </w:p>
        </w:tc>
        <w:tc>
          <w:tcPr>
            <w:tcW w:w="1850" w:type="dxa"/>
            <w:vAlign w:val="center"/>
          </w:tcPr>
          <w:p>
            <w:pPr>
              <w:pStyle w:val="13"/>
            </w:pPr>
            <w:r>
              <w:t>≥200次</w:t>
            </w:r>
          </w:p>
        </w:tc>
        <w:tc>
          <w:tcPr>
            <w:tcW w:w="1694" w:type="dxa"/>
            <w:vAlign w:val="center"/>
          </w:tcPr>
          <w:p>
            <w:pPr>
              <w:pStyle w:val="13"/>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反映巡查范围为整个镇辖区</w:t>
            </w:r>
          </w:p>
        </w:tc>
        <w:tc>
          <w:tcPr>
            <w:tcW w:w="1850" w:type="dxa"/>
            <w:vAlign w:val="center"/>
          </w:tcPr>
          <w:p>
            <w:pPr>
              <w:pStyle w:val="13"/>
            </w:pPr>
            <w:r>
              <w:t>≥95%</w:t>
            </w:r>
          </w:p>
        </w:tc>
        <w:tc>
          <w:tcPr>
            <w:tcW w:w="1694" w:type="dxa"/>
            <w:vAlign w:val="center"/>
          </w:tcPr>
          <w:p>
            <w:pPr>
              <w:pStyle w:val="13"/>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1850" w:type="dxa"/>
            <w:vAlign w:val="center"/>
          </w:tcPr>
          <w:p>
            <w:pPr>
              <w:pStyle w:val="13"/>
            </w:pPr>
            <w:r>
              <w:t>≤0.01%</w:t>
            </w:r>
          </w:p>
        </w:tc>
        <w:tc>
          <w:tcPr>
            <w:tcW w:w="1694" w:type="dxa"/>
            <w:vAlign w:val="center"/>
          </w:tcPr>
          <w:p>
            <w:pPr>
              <w:pStyle w:val="13"/>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850" w:type="dxa"/>
            <w:vAlign w:val="center"/>
          </w:tcPr>
          <w:p>
            <w:pPr>
              <w:pStyle w:val="13"/>
            </w:pPr>
            <w:r>
              <w:t>≤5万元</w:t>
            </w:r>
          </w:p>
        </w:tc>
        <w:tc>
          <w:tcPr>
            <w:tcW w:w="16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反应防火宣传使用的租车费用</w:t>
            </w:r>
          </w:p>
        </w:tc>
        <w:tc>
          <w:tcPr>
            <w:tcW w:w="1850" w:type="dxa"/>
            <w:vAlign w:val="center"/>
          </w:tcPr>
          <w:p>
            <w:pPr>
              <w:pStyle w:val="13"/>
            </w:pPr>
            <w:r>
              <w:t>≤5万元</w:t>
            </w:r>
          </w:p>
        </w:tc>
        <w:tc>
          <w:tcPr>
            <w:tcW w:w="16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850" w:type="dxa"/>
            <w:vAlign w:val="center"/>
          </w:tcPr>
          <w:p>
            <w:pPr>
              <w:pStyle w:val="13"/>
            </w:pPr>
            <w:r>
              <w:t>全年持续</w:t>
            </w:r>
          </w:p>
        </w:tc>
        <w:tc>
          <w:tcPr>
            <w:tcW w:w="16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反映减低火灾对环境破坏的比率</w:t>
            </w:r>
          </w:p>
        </w:tc>
        <w:tc>
          <w:tcPr>
            <w:tcW w:w="1850" w:type="dxa"/>
            <w:vAlign w:val="center"/>
          </w:tcPr>
          <w:p>
            <w:pPr>
              <w:pStyle w:val="13"/>
            </w:pPr>
            <w:r>
              <w:t>≥30%</w:t>
            </w:r>
          </w:p>
        </w:tc>
        <w:tc>
          <w:tcPr>
            <w:tcW w:w="16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全镇森林火灾发生面积占森林总面的比例</w:t>
            </w:r>
          </w:p>
        </w:tc>
        <w:tc>
          <w:tcPr>
            <w:tcW w:w="1850" w:type="dxa"/>
            <w:vAlign w:val="center"/>
          </w:tcPr>
          <w:p>
            <w:pPr>
              <w:pStyle w:val="13"/>
            </w:pPr>
            <w:r>
              <w:t>≤0.02%</w:t>
            </w:r>
          </w:p>
        </w:tc>
        <w:tc>
          <w:tcPr>
            <w:tcW w:w="16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调查中满意和较满意的公众人数占全部调查人数的比率</w:t>
            </w:r>
          </w:p>
        </w:tc>
        <w:tc>
          <w:tcPr>
            <w:tcW w:w="1850" w:type="dxa"/>
            <w:vAlign w:val="center"/>
          </w:tcPr>
          <w:p>
            <w:pPr>
              <w:pStyle w:val="13"/>
            </w:pPr>
            <w:r>
              <w:t>≥90%</w:t>
            </w:r>
          </w:p>
        </w:tc>
        <w:tc>
          <w:tcPr>
            <w:tcW w:w="169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9、关于提前下达2025年革命老区转移支付预算的通知-土门子镇农村道路改造提升项目（冀财预[2024]54号绩效目标表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13032125P00004810001A</w:t>
            </w:r>
          </w:p>
        </w:tc>
        <w:tc>
          <w:tcPr>
            <w:tcW w:w="2835" w:type="dxa"/>
            <w:vAlign w:val="center"/>
          </w:tcPr>
          <w:p>
            <w:pPr>
              <w:pStyle w:val="11"/>
            </w:pPr>
            <w:r>
              <w:t>项目名称</w:t>
            </w:r>
          </w:p>
        </w:tc>
        <w:tc>
          <w:tcPr>
            <w:tcW w:w="6095" w:type="dxa"/>
            <w:gridSpan w:val="3"/>
            <w:vAlign w:val="center"/>
          </w:tcPr>
          <w:p>
            <w:pPr>
              <w:pStyle w:val="13"/>
            </w:pPr>
            <w:r>
              <w:t>关于提前下达2025年革命老区转移支付预算的通知-土门子镇农村道路改造提升项目（冀财预[2024]54号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143.00</w:t>
            </w:r>
          </w:p>
        </w:tc>
        <w:tc>
          <w:tcPr>
            <w:tcW w:w="2835" w:type="dxa"/>
            <w:vAlign w:val="center"/>
          </w:tcPr>
          <w:p>
            <w:pPr>
              <w:pStyle w:val="11"/>
            </w:pPr>
            <w:r>
              <w:t>其中：财政    资金</w:t>
            </w:r>
          </w:p>
        </w:tc>
        <w:tc>
          <w:tcPr>
            <w:tcW w:w="2551" w:type="dxa"/>
            <w:vAlign w:val="center"/>
          </w:tcPr>
          <w:p>
            <w:pPr>
              <w:pStyle w:val="13"/>
            </w:pPr>
            <w:r>
              <w:t>143.00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共需资金143万元，其中财政资金143万元，主要用于土门子镇道路改造提升工程。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1.通过修建道路，改善村民出行环境，保证人民群众生命财产安全。</w:t>
            </w:r>
            <w:r>
              <w:tab/>
            </w:r>
            <w:r>
              <w:tab/>
            </w:r>
            <w:r>
              <w:tab/>
            </w:r>
            <w:r>
              <w:tab/>
            </w:r>
            <w:r>
              <w:tab/>
            </w:r>
            <w:r>
              <w:tab/>
            </w:r>
            <w:r>
              <w:tab/>
            </w:r>
            <w:r>
              <w:tab/>
            </w:r>
          </w:p>
          <w:p>
            <w:pPr>
              <w:pStyle w:val="13"/>
            </w:pPr>
            <w:r>
              <w:t>2.通过项目有效实施，解决农副产品运输问题.</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890"/>
        <w:gridCol w:w="2466"/>
        <w:gridCol w:w="15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890" w:type="dxa"/>
            <w:vAlign w:val="center"/>
          </w:tcPr>
          <w:p>
            <w:pPr>
              <w:pStyle w:val="11"/>
            </w:pPr>
            <w:r>
              <w:t>绩效指标描述</w:t>
            </w:r>
          </w:p>
        </w:tc>
        <w:tc>
          <w:tcPr>
            <w:tcW w:w="2466" w:type="dxa"/>
            <w:vAlign w:val="center"/>
          </w:tcPr>
          <w:p>
            <w:pPr>
              <w:pStyle w:val="11"/>
            </w:pPr>
            <w:r>
              <w:t>指标值</w:t>
            </w:r>
          </w:p>
        </w:tc>
        <w:tc>
          <w:tcPr>
            <w:tcW w:w="157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4890" w:type="dxa"/>
            <w:vAlign w:val="center"/>
          </w:tcPr>
          <w:p>
            <w:pPr>
              <w:pStyle w:val="13"/>
            </w:pPr>
            <w:r>
              <w:t>反映修建道路的数量</w:t>
            </w:r>
          </w:p>
        </w:tc>
        <w:tc>
          <w:tcPr>
            <w:tcW w:w="2466" w:type="dxa"/>
            <w:vAlign w:val="center"/>
          </w:tcPr>
          <w:p>
            <w:pPr>
              <w:pStyle w:val="13"/>
            </w:pPr>
            <w:r>
              <w:t>3条</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4890" w:type="dxa"/>
            <w:vAlign w:val="center"/>
          </w:tcPr>
          <w:p>
            <w:pPr>
              <w:pStyle w:val="13"/>
            </w:pPr>
            <w:r>
              <w:t>反映修建道路长度</w:t>
            </w:r>
          </w:p>
        </w:tc>
        <w:tc>
          <w:tcPr>
            <w:tcW w:w="2466" w:type="dxa"/>
            <w:vAlign w:val="center"/>
          </w:tcPr>
          <w:p>
            <w:pPr>
              <w:pStyle w:val="13"/>
            </w:pPr>
            <w:r>
              <w:t>≤11.6公里</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修建道路的村数</w:t>
            </w:r>
          </w:p>
        </w:tc>
        <w:tc>
          <w:tcPr>
            <w:tcW w:w="4890" w:type="dxa"/>
            <w:vAlign w:val="center"/>
          </w:tcPr>
          <w:p>
            <w:pPr>
              <w:pStyle w:val="13"/>
            </w:pPr>
            <w:r>
              <w:t>反映修建道路涉及的村数</w:t>
            </w:r>
          </w:p>
        </w:tc>
        <w:tc>
          <w:tcPr>
            <w:tcW w:w="2466" w:type="dxa"/>
            <w:vAlign w:val="center"/>
          </w:tcPr>
          <w:p>
            <w:pPr>
              <w:pStyle w:val="13"/>
            </w:pPr>
            <w:r>
              <w:t>3个</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4890" w:type="dxa"/>
            <w:vAlign w:val="center"/>
          </w:tcPr>
          <w:p>
            <w:pPr>
              <w:pStyle w:val="13"/>
            </w:pPr>
            <w:r>
              <w:t>反映工程质量验收合格率</w:t>
            </w:r>
          </w:p>
        </w:tc>
        <w:tc>
          <w:tcPr>
            <w:tcW w:w="2466" w:type="dxa"/>
            <w:vAlign w:val="center"/>
          </w:tcPr>
          <w:p>
            <w:pPr>
              <w:pStyle w:val="13"/>
            </w:pPr>
            <w:r>
              <w:t>100%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4890" w:type="dxa"/>
            <w:vAlign w:val="center"/>
          </w:tcPr>
          <w:p>
            <w:pPr>
              <w:pStyle w:val="13"/>
            </w:pPr>
            <w:r>
              <w:t>反映工程材料质量合格率</w:t>
            </w:r>
          </w:p>
        </w:tc>
        <w:tc>
          <w:tcPr>
            <w:tcW w:w="2466" w:type="dxa"/>
            <w:vAlign w:val="center"/>
          </w:tcPr>
          <w:p>
            <w:pPr>
              <w:pStyle w:val="13"/>
            </w:pPr>
            <w:r>
              <w:t>100%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4890" w:type="dxa"/>
            <w:vAlign w:val="center"/>
          </w:tcPr>
          <w:p>
            <w:pPr>
              <w:pStyle w:val="13"/>
            </w:pPr>
            <w:r>
              <w:t>反映工程按计划开工及完成时间</w:t>
            </w:r>
          </w:p>
        </w:tc>
        <w:tc>
          <w:tcPr>
            <w:tcW w:w="2466" w:type="dxa"/>
            <w:vAlign w:val="center"/>
          </w:tcPr>
          <w:p>
            <w:pPr>
              <w:pStyle w:val="13"/>
            </w:pPr>
            <w:r>
              <w:t>按时完工率达100%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4890" w:type="dxa"/>
            <w:vAlign w:val="center"/>
          </w:tcPr>
          <w:p>
            <w:pPr>
              <w:pStyle w:val="13"/>
            </w:pPr>
            <w:r>
              <w:t>反应工程总成本控制数</w:t>
            </w:r>
          </w:p>
        </w:tc>
        <w:tc>
          <w:tcPr>
            <w:tcW w:w="2466" w:type="dxa"/>
            <w:vAlign w:val="center"/>
          </w:tcPr>
          <w:p>
            <w:pPr>
              <w:pStyle w:val="13"/>
            </w:pPr>
            <w:r>
              <w:t>≤143万元</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4890" w:type="dxa"/>
            <w:vAlign w:val="center"/>
          </w:tcPr>
          <w:p>
            <w:pPr>
              <w:pStyle w:val="13"/>
            </w:pPr>
            <w:r>
              <w:t>解决群众出行问题</w:t>
            </w:r>
          </w:p>
        </w:tc>
        <w:tc>
          <w:tcPr>
            <w:tcW w:w="2466" w:type="dxa"/>
            <w:vAlign w:val="center"/>
          </w:tcPr>
          <w:p>
            <w:pPr>
              <w:pStyle w:val="13"/>
            </w:pPr>
            <w:r>
              <w:t>≥6000人</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4890" w:type="dxa"/>
            <w:vAlign w:val="center"/>
          </w:tcPr>
          <w:p>
            <w:pPr>
              <w:pStyle w:val="13"/>
            </w:pPr>
            <w:r>
              <w:t>解决交通问题</w:t>
            </w:r>
          </w:p>
        </w:tc>
        <w:tc>
          <w:tcPr>
            <w:tcW w:w="2466" w:type="dxa"/>
            <w:vAlign w:val="center"/>
          </w:tcPr>
          <w:p>
            <w:pPr>
              <w:pStyle w:val="13"/>
            </w:pPr>
            <w:r>
              <w:t>100%</w:t>
            </w:r>
          </w:p>
        </w:tc>
        <w:tc>
          <w:tcPr>
            <w:tcW w:w="15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4890" w:type="dxa"/>
            <w:vAlign w:val="center"/>
          </w:tcPr>
          <w:p>
            <w:pPr>
              <w:pStyle w:val="13"/>
            </w:pPr>
            <w:r>
              <w:t>反映受益群众对项目工程的满意度</w:t>
            </w:r>
          </w:p>
        </w:tc>
        <w:tc>
          <w:tcPr>
            <w:tcW w:w="2466" w:type="dxa"/>
            <w:vAlign w:val="center"/>
          </w:tcPr>
          <w:p>
            <w:pPr>
              <w:pStyle w:val="13"/>
            </w:pPr>
            <w:r>
              <w:t>≥95%</w:t>
            </w:r>
          </w:p>
        </w:tc>
        <w:tc>
          <w:tcPr>
            <w:tcW w:w="1574"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10、关于提前下达2025年省级农村综合改革转移支付预算的通知（冀财农【2024】109号）-土门子镇2025年农村公益事业建设财政奖补项目绩效目标表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13032125P003303100185</w:t>
            </w:r>
          </w:p>
        </w:tc>
        <w:tc>
          <w:tcPr>
            <w:tcW w:w="2835" w:type="dxa"/>
            <w:vAlign w:val="center"/>
          </w:tcPr>
          <w:p>
            <w:pPr>
              <w:pStyle w:val="11"/>
            </w:pPr>
            <w:r>
              <w:t>项目名称</w:t>
            </w:r>
          </w:p>
        </w:tc>
        <w:tc>
          <w:tcPr>
            <w:tcW w:w="6095" w:type="dxa"/>
            <w:gridSpan w:val="3"/>
            <w:vAlign w:val="center"/>
          </w:tcPr>
          <w:p>
            <w:pPr>
              <w:pStyle w:val="13"/>
            </w:pPr>
            <w:r>
              <w:t>关于提前下达2025年省级农村综合改革转移支付预算的通知（冀财农【2024】109号）-土门子镇2025年农村公益事业建设财政奖补项目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共需财政资金28万元，主要用于村级公益事业建设。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1.通过修建道路，改善村民出行环境，保证人民群众生命财产安全。</w:t>
            </w:r>
            <w:r>
              <w:tab/>
            </w:r>
            <w:r>
              <w:tab/>
            </w:r>
            <w:r>
              <w:tab/>
            </w:r>
            <w:r>
              <w:tab/>
            </w:r>
            <w:r>
              <w:tab/>
            </w:r>
            <w:r>
              <w:tab/>
            </w:r>
          </w:p>
          <w:p>
            <w:pPr>
              <w:pStyle w:val="13"/>
            </w:pPr>
            <w:r>
              <w:t>2.通过项目有效实施，解决农副产品运输问题.</w:t>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50"/>
        <w:gridCol w:w="2266"/>
        <w:gridCol w:w="22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450" w:type="dxa"/>
            <w:vAlign w:val="center"/>
          </w:tcPr>
          <w:p>
            <w:pPr>
              <w:pStyle w:val="11"/>
            </w:pPr>
            <w:r>
              <w:t>绩效指标描述</w:t>
            </w:r>
          </w:p>
        </w:tc>
        <w:tc>
          <w:tcPr>
            <w:tcW w:w="2266" w:type="dxa"/>
            <w:vAlign w:val="center"/>
          </w:tcPr>
          <w:p>
            <w:pPr>
              <w:pStyle w:val="11"/>
            </w:pPr>
            <w:r>
              <w:t>指标值</w:t>
            </w:r>
          </w:p>
        </w:tc>
        <w:tc>
          <w:tcPr>
            <w:tcW w:w="22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4450" w:type="dxa"/>
            <w:vAlign w:val="center"/>
          </w:tcPr>
          <w:p>
            <w:pPr>
              <w:pStyle w:val="13"/>
            </w:pPr>
            <w:r>
              <w:t>反映修建道路的数量</w:t>
            </w:r>
          </w:p>
        </w:tc>
        <w:tc>
          <w:tcPr>
            <w:tcW w:w="2266" w:type="dxa"/>
            <w:vAlign w:val="center"/>
          </w:tcPr>
          <w:p>
            <w:pPr>
              <w:pStyle w:val="13"/>
            </w:pPr>
            <w:r>
              <w:t>2条</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4450" w:type="dxa"/>
            <w:vAlign w:val="center"/>
          </w:tcPr>
          <w:p>
            <w:pPr>
              <w:pStyle w:val="13"/>
            </w:pPr>
            <w:r>
              <w:t>反映修建道路长度</w:t>
            </w:r>
          </w:p>
        </w:tc>
        <w:tc>
          <w:tcPr>
            <w:tcW w:w="2266" w:type="dxa"/>
            <w:vAlign w:val="center"/>
          </w:tcPr>
          <w:p>
            <w:pPr>
              <w:pStyle w:val="13"/>
            </w:pPr>
            <w:r>
              <w:t>≤1600米</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修建道路的村数</w:t>
            </w:r>
          </w:p>
        </w:tc>
        <w:tc>
          <w:tcPr>
            <w:tcW w:w="4450" w:type="dxa"/>
            <w:vAlign w:val="center"/>
          </w:tcPr>
          <w:p>
            <w:pPr>
              <w:pStyle w:val="13"/>
            </w:pPr>
            <w:r>
              <w:t>反映修建道路涉及的村数</w:t>
            </w:r>
          </w:p>
        </w:tc>
        <w:tc>
          <w:tcPr>
            <w:tcW w:w="2266" w:type="dxa"/>
            <w:vAlign w:val="center"/>
          </w:tcPr>
          <w:p>
            <w:pPr>
              <w:pStyle w:val="13"/>
            </w:pPr>
            <w:r>
              <w:t>2个</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4450" w:type="dxa"/>
            <w:vAlign w:val="center"/>
          </w:tcPr>
          <w:p>
            <w:pPr>
              <w:pStyle w:val="13"/>
            </w:pPr>
            <w:r>
              <w:t>反映工程质量验收合格率</w:t>
            </w:r>
          </w:p>
        </w:tc>
        <w:tc>
          <w:tcPr>
            <w:tcW w:w="2266" w:type="dxa"/>
            <w:vAlign w:val="center"/>
          </w:tcPr>
          <w:p>
            <w:pPr>
              <w:pStyle w:val="13"/>
            </w:pPr>
            <w:r>
              <w:t>100%</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4450" w:type="dxa"/>
            <w:vAlign w:val="center"/>
          </w:tcPr>
          <w:p>
            <w:pPr>
              <w:pStyle w:val="13"/>
            </w:pPr>
            <w:r>
              <w:t>反映工程材料质量合格率</w:t>
            </w:r>
          </w:p>
        </w:tc>
        <w:tc>
          <w:tcPr>
            <w:tcW w:w="2266" w:type="dxa"/>
            <w:vAlign w:val="center"/>
          </w:tcPr>
          <w:p>
            <w:pPr>
              <w:pStyle w:val="13"/>
            </w:pPr>
            <w:r>
              <w:t>100%</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4450" w:type="dxa"/>
            <w:vAlign w:val="center"/>
          </w:tcPr>
          <w:p>
            <w:pPr>
              <w:pStyle w:val="13"/>
            </w:pPr>
            <w:r>
              <w:t>反映工程按计划开工及完成时间</w:t>
            </w:r>
          </w:p>
        </w:tc>
        <w:tc>
          <w:tcPr>
            <w:tcW w:w="2266" w:type="dxa"/>
            <w:vAlign w:val="center"/>
          </w:tcPr>
          <w:p>
            <w:pPr>
              <w:pStyle w:val="13"/>
            </w:pPr>
            <w:r>
              <w:t>按时完工率达100%</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4450" w:type="dxa"/>
            <w:vAlign w:val="center"/>
          </w:tcPr>
          <w:p>
            <w:pPr>
              <w:pStyle w:val="13"/>
            </w:pPr>
            <w:r>
              <w:t>反应工程总成本控制数</w:t>
            </w:r>
          </w:p>
        </w:tc>
        <w:tc>
          <w:tcPr>
            <w:tcW w:w="2266" w:type="dxa"/>
            <w:vAlign w:val="center"/>
          </w:tcPr>
          <w:p>
            <w:pPr>
              <w:pStyle w:val="13"/>
            </w:pPr>
            <w:r>
              <w:t>≤28万元</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4450" w:type="dxa"/>
            <w:vAlign w:val="center"/>
          </w:tcPr>
          <w:p>
            <w:pPr>
              <w:pStyle w:val="13"/>
            </w:pPr>
            <w:r>
              <w:t>解决群众出行问题</w:t>
            </w:r>
          </w:p>
        </w:tc>
        <w:tc>
          <w:tcPr>
            <w:tcW w:w="2266" w:type="dxa"/>
            <w:vAlign w:val="center"/>
          </w:tcPr>
          <w:p>
            <w:pPr>
              <w:pStyle w:val="13"/>
            </w:pPr>
            <w:r>
              <w:t>≥1430人</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4450" w:type="dxa"/>
            <w:vAlign w:val="center"/>
          </w:tcPr>
          <w:p>
            <w:pPr>
              <w:pStyle w:val="13"/>
            </w:pPr>
            <w:r>
              <w:t>解决交通问题</w:t>
            </w:r>
          </w:p>
        </w:tc>
        <w:tc>
          <w:tcPr>
            <w:tcW w:w="2266" w:type="dxa"/>
            <w:vAlign w:val="center"/>
          </w:tcPr>
          <w:p>
            <w:pPr>
              <w:pStyle w:val="13"/>
            </w:pPr>
            <w:r>
              <w:t>100%</w:t>
            </w:r>
          </w:p>
        </w:tc>
        <w:tc>
          <w:tcPr>
            <w:tcW w:w="22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4450" w:type="dxa"/>
            <w:vAlign w:val="center"/>
          </w:tcPr>
          <w:p>
            <w:pPr>
              <w:pStyle w:val="13"/>
            </w:pPr>
            <w:r>
              <w:t>反映受益群众对项目工程的满意度</w:t>
            </w:r>
          </w:p>
        </w:tc>
        <w:tc>
          <w:tcPr>
            <w:tcW w:w="2266" w:type="dxa"/>
            <w:vAlign w:val="center"/>
          </w:tcPr>
          <w:p>
            <w:pPr>
              <w:pStyle w:val="13"/>
            </w:pPr>
            <w:r>
              <w:t>≥95%</w:t>
            </w:r>
          </w:p>
        </w:tc>
        <w:tc>
          <w:tcPr>
            <w:tcW w:w="2214" w:type="dxa"/>
            <w:vAlign w:val="center"/>
          </w:tcPr>
          <w:p>
            <w:pPr>
              <w:pStyle w:val="13"/>
            </w:pPr>
            <w:r>
              <w:t>按调查结果统计确定</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11、关于提前下达2025年中央专项彩票公益金支持地方社会公益事业发展资金预算的通知-青龙县土门子镇农村道路改造提升工程（冀财综[2024]29号）绩效目标表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13032125P00004010007J</w:t>
            </w:r>
          </w:p>
        </w:tc>
        <w:tc>
          <w:tcPr>
            <w:tcW w:w="2835" w:type="dxa"/>
            <w:vAlign w:val="center"/>
          </w:tcPr>
          <w:p>
            <w:pPr>
              <w:pStyle w:val="11"/>
            </w:pPr>
            <w:r>
              <w:t>项目名称</w:t>
            </w:r>
          </w:p>
        </w:tc>
        <w:tc>
          <w:tcPr>
            <w:tcW w:w="6095" w:type="dxa"/>
            <w:gridSpan w:val="3"/>
            <w:vAlign w:val="center"/>
          </w:tcPr>
          <w:p>
            <w:pPr>
              <w:pStyle w:val="13"/>
            </w:pPr>
            <w:r>
              <w:t>关于提前下达2025年中央专项彩票公益金支持地方社会公益事业发展资金预算的通知-青龙县土门子镇农村道路改造提升工程（冀财综[2024]29号）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74.00</w:t>
            </w:r>
          </w:p>
        </w:tc>
        <w:tc>
          <w:tcPr>
            <w:tcW w:w="2835" w:type="dxa"/>
            <w:vAlign w:val="center"/>
          </w:tcPr>
          <w:p>
            <w:pPr>
              <w:pStyle w:val="11"/>
            </w:pPr>
            <w:r>
              <w:t>其中：财政    资金</w:t>
            </w:r>
          </w:p>
        </w:tc>
        <w:tc>
          <w:tcPr>
            <w:tcW w:w="2551" w:type="dxa"/>
            <w:vAlign w:val="center"/>
          </w:tcPr>
          <w:p>
            <w:pPr>
              <w:pStyle w:val="13"/>
            </w:pPr>
            <w:r>
              <w:t>74.00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预算安排74万元，其中财政拨款74万元。主要用于项目工程款支出。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1.通过项目有效实施，解决农副产品运输问题.</w:t>
            </w:r>
            <w:r>
              <w:tab/>
            </w:r>
            <w:r>
              <w:tab/>
            </w:r>
            <w:r>
              <w:tab/>
            </w:r>
            <w:r>
              <w:tab/>
            </w:r>
            <w:r>
              <w:tab/>
            </w:r>
            <w:r>
              <w:tab/>
            </w:r>
          </w:p>
          <w:p>
            <w:pPr>
              <w:pStyle w:val="13"/>
            </w:pPr>
            <w:r>
              <w:t>2.通过修建道路，改善村民出行环境，保证人民群众生命财产安全。</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636"/>
        <w:gridCol w:w="2507"/>
        <w:gridCol w:w="1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636" w:type="dxa"/>
            <w:vAlign w:val="center"/>
          </w:tcPr>
          <w:p>
            <w:pPr>
              <w:pStyle w:val="11"/>
            </w:pPr>
            <w:r>
              <w:t>绩效指标描述</w:t>
            </w:r>
          </w:p>
        </w:tc>
        <w:tc>
          <w:tcPr>
            <w:tcW w:w="2507" w:type="dxa"/>
            <w:vAlign w:val="center"/>
          </w:tcPr>
          <w:p>
            <w:pPr>
              <w:pStyle w:val="11"/>
            </w:pPr>
            <w:r>
              <w:t>指标值</w:t>
            </w:r>
          </w:p>
        </w:tc>
        <w:tc>
          <w:tcPr>
            <w:tcW w:w="178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4636" w:type="dxa"/>
            <w:vAlign w:val="center"/>
          </w:tcPr>
          <w:p>
            <w:pPr>
              <w:pStyle w:val="13"/>
            </w:pPr>
            <w:r>
              <w:t>反映修建道路的数量</w:t>
            </w:r>
          </w:p>
        </w:tc>
        <w:tc>
          <w:tcPr>
            <w:tcW w:w="2507" w:type="dxa"/>
            <w:vAlign w:val="center"/>
          </w:tcPr>
          <w:p>
            <w:pPr>
              <w:pStyle w:val="13"/>
            </w:pPr>
            <w:r>
              <w:t>2条</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4636" w:type="dxa"/>
            <w:vAlign w:val="center"/>
          </w:tcPr>
          <w:p>
            <w:pPr>
              <w:pStyle w:val="13"/>
            </w:pPr>
            <w:r>
              <w:t>反映修建道路长度</w:t>
            </w:r>
          </w:p>
        </w:tc>
        <w:tc>
          <w:tcPr>
            <w:tcW w:w="2507" w:type="dxa"/>
            <w:vAlign w:val="center"/>
          </w:tcPr>
          <w:p>
            <w:pPr>
              <w:pStyle w:val="13"/>
            </w:pPr>
            <w:r>
              <w:t>≤4.5公里</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修建道路的村数</w:t>
            </w:r>
          </w:p>
        </w:tc>
        <w:tc>
          <w:tcPr>
            <w:tcW w:w="4636" w:type="dxa"/>
            <w:vAlign w:val="center"/>
          </w:tcPr>
          <w:p>
            <w:pPr>
              <w:pStyle w:val="13"/>
            </w:pPr>
            <w:r>
              <w:t>反映修建道路涉及的村数</w:t>
            </w:r>
          </w:p>
        </w:tc>
        <w:tc>
          <w:tcPr>
            <w:tcW w:w="2507" w:type="dxa"/>
            <w:vAlign w:val="center"/>
          </w:tcPr>
          <w:p>
            <w:pPr>
              <w:pStyle w:val="13"/>
            </w:pPr>
            <w:r>
              <w:t>3个</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4636" w:type="dxa"/>
            <w:vAlign w:val="center"/>
          </w:tcPr>
          <w:p>
            <w:pPr>
              <w:pStyle w:val="13"/>
            </w:pPr>
            <w:r>
              <w:t>反映工程质量验收合格率</w:t>
            </w:r>
          </w:p>
        </w:tc>
        <w:tc>
          <w:tcPr>
            <w:tcW w:w="2507" w:type="dxa"/>
            <w:vAlign w:val="center"/>
          </w:tcPr>
          <w:p>
            <w:pPr>
              <w:pStyle w:val="13"/>
            </w:pPr>
            <w:r>
              <w:t>100%</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4636" w:type="dxa"/>
            <w:vAlign w:val="center"/>
          </w:tcPr>
          <w:p>
            <w:pPr>
              <w:pStyle w:val="13"/>
            </w:pPr>
            <w:r>
              <w:t>反映工程材料质量合格率</w:t>
            </w:r>
          </w:p>
        </w:tc>
        <w:tc>
          <w:tcPr>
            <w:tcW w:w="2507" w:type="dxa"/>
            <w:vAlign w:val="center"/>
          </w:tcPr>
          <w:p>
            <w:pPr>
              <w:pStyle w:val="13"/>
            </w:pPr>
            <w:r>
              <w:t>100%</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4636" w:type="dxa"/>
            <w:vAlign w:val="center"/>
          </w:tcPr>
          <w:p>
            <w:pPr>
              <w:pStyle w:val="13"/>
            </w:pPr>
            <w:r>
              <w:t>反映工程按计划开工及完成时间</w:t>
            </w:r>
          </w:p>
        </w:tc>
        <w:tc>
          <w:tcPr>
            <w:tcW w:w="2507" w:type="dxa"/>
            <w:vAlign w:val="center"/>
          </w:tcPr>
          <w:p>
            <w:pPr>
              <w:pStyle w:val="13"/>
            </w:pPr>
            <w:r>
              <w:t>按时完工率达100%</w:t>
            </w:r>
          </w:p>
          <w:p>
            <w:pPr>
              <w:pStyle w:val="13"/>
            </w:pP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4636" w:type="dxa"/>
            <w:vAlign w:val="center"/>
          </w:tcPr>
          <w:p>
            <w:pPr>
              <w:pStyle w:val="13"/>
            </w:pPr>
            <w:r>
              <w:t>反应工程总成本控制数</w:t>
            </w:r>
          </w:p>
        </w:tc>
        <w:tc>
          <w:tcPr>
            <w:tcW w:w="2507" w:type="dxa"/>
            <w:vAlign w:val="center"/>
          </w:tcPr>
          <w:p>
            <w:pPr>
              <w:pStyle w:val="13"/>
            </w:pPr>
            <w:r>
              <w:t>≤74万元</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4636" w:type="dxa"/>
            <w:vAlign w:val="center"/>
          </w:tcPr>
          <w:p>
            <w:pPr>
              <w:pStyle w:val="13"/>
            </w:pPr>
            <w:r>
              <w:t>解决群众出行问题</w:t>
            </w:r>
          </w:p>
        </w:tc>
        <w:tc>
          <w:tcPr>
            <w:tcW w:w="2507" w:type="dxa"/>
            <w:vAlign w:val="center"/>
          </w:tcPr>
          <w:p>
            <w:pPr>
              <w:pStyle w:val="13"/>
            </w:pPr>
            <w:r>
              <w:t>≥4000人</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4636" w:type="dxa"/>
            <w:vAlign w:val="center"/>
          </w:tcPr>
          <w:p>
            <w:pPr>
              <w:pStyle w:val="13"/>
            </w:pPr>
            <w:r>
              <w:t>解决交通问题</w:t>
            </w:r>
          </w:p>
        </w:tc>
        <w:tc>
          <w:tcPr>
            <w:tcW w:w="2507" w:type="dxa"/>
            <w:vAlign w:val="center"/>
          </w:tcPr>
          <w:p>
            <w:pPr>
              <w:pStyle w:val="13"/>
            </w:pPr>
            <w:r>
              <w:t>100%</w:t>
            </w:r>
          </w:p>
        </w:tc>
        <w:tc>
          <w:tcPr>
            <w:tcW w:w="17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4636" w:type="dxa"/>
            <w:vAlign w:val="center"/>
          </w:tcPr>
          <w:p>
            <w:pPr>
              <w:pStyle w:val="13"/>
            </w:pPr>
            <w:r>
              <w:t>反映受益群众对项目工程的满意度</w:t>
            </w:r>
          </w:p>
        </w:tc>
        <w:tc>
          <w:tcPr>
            <w:tcW w:w="2507" w:type="dxa"/>
            <w:vAlign w:val="center"/>
          </w:tcPr>
          <w:p>
            <w:pPr>
              <w:pStyle w:val="13"/>
            </w:pPr>
            <w:r>
              <w:t>≥95%</w:t>
            </w:r>
          </w:p>
        </w:tc>
        <w:tc>
          <w:tcPr>
            <w:tcW w:w="1787"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12、关于下达2025年革命老区转移支付预算的通知（冀财预[2025]14号）-土门子镇农村道路改造提升项目绩效目标表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13032125P000048100070</w:t>
            </w:r>
          </w:p>
        </w:tc>
        <w:tc>
          <w:tcPr>
            <w:tcW w:w="2835" w:type="dxa"/>
            <w:vAlign w:val="center"/>
          </w:tcPr>
          <w:p>
            <w:pPr>
              <w:pStyle w:val="11"/>
            </w:pPr>
            <w:r>
              <w:t>项目名称</w:t>
            </w:r>
          </w:p>
        </w:tc>
        <w:tc>
          <w:tcPr>
            <w:tcW w:w="6095" w:type="dxa"/>
            <w:gridSpan w:val="3"/>
            <w:vAlign w:val="center"/>
          </w:tcPr>
          <w:p>
            <w:pPr>
              <w:pStyle w:val="13"/>
            </w:pPr>
            <w:r>
              <w:t>关于下达2025年革命老区转移支付预算的通知（冀财预[2025]14号）-土门子镇农村道路改造提升项目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12.10</w:t>
            </w:r>
          </w:p>
        </w:tc>
        <w:tc>
          <w:tcPr>
            <w:tcW w:w="2835" w:type="dxa"/>
            <w:vAlign w:val="center"/>
          </w:tcPr>
          <w:p>
            <w:pPr>
              <w:pStyle w:val="11"/>
            </w:pPr>
            <w:r>
              <w:t>其中：财政    资金</w:t>
            </w:r>
          </w:p>
        </w:tc>
        <w:tc>
          <w:tcPr>
            <w:tcW w:w="2551" w:type="dxa"/>
            <w:vAlign w:val="center"/>
          </w:tcPr>
          <w:p>
            <w:pPr>
              <w:pStyle w:val="13"/>
            </w:pPr>
            <w:r>
              <w:t>12.10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预算安排12.10万元，其中财政拨款12.10万元，主要用于村级公益事业建设。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1.通过项目有效实施，解决农副产品运输问题.</w:t>
            </w:r>
            <w:r>
              <w:tab/>
            </w:r>
            <w:r>
              <w:tab/>
            </w:r>
            <w:r>
              <w:tab/>
            </w:r>
          </w:p>
          <w:p>
            <w:pPr>
              <w:pStyle w:val="13"/>
            </w:pPr>
            <w:r>
              <w:t>2.通过修建道路，改善村民出行环境，保证人民群众生命财产安全。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56"/>
        <w:gridCol w:w="2587"/>
        <w:gridCol w:w="1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356" w:type="dxa"/>
            <w:vAlign w:val="center"/>
          </w:tcPr>
          <w:p>
            <w:pPr>
              <w:pStyle w:val="11"/>
            </w:pPr>
            <w:r>
              <w:t>绩效指标描述</w:t>
            </w:r>
          </w:p>
        </w:tc>
        <w:tc>
          <w:tcPr>
            <w:tcW w:w="2587" w:type="dxa"/>
            <w:vAlign w:val="center"/>
          </w:tcPr>
          <w:p>
            <w:pPr>
              <w:pStyle w:val="11"/>
            </w:pPr>
            <w:r>
              <w:t>指标值</w:t>
            </w:r>
          </w:p>
        </w:tc>
        <w:tc>
          <w:tcPr>
            <w:tcW w:w="198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4356" w:type="dxa"/>
            <w:vAlign w:val="center"/>
          </w:tcPr>
          <w:p>
            <w:pPr>
              <w:pStyle w:val="13"/>
            </w:pPr>
            <w:r>
              <w:t>反映修建道路的数量</w:t>
            </w:r>
          </w:p>
        </w:tc>
        <w:tc>
          <w:tcPr>
            <w:tcW w:w="2587" w:type="dxa"/>
            <w:vAlign w:val="center"/>
          </w:tcPr>
          <w:p>
            <w:pPr>
              <w:pStyle w:val="13"/>
            </w:pPr>
            <w:r>
              <w:t>3条</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4356" w:type="dxa"/>
            <w:vAlign w:val="center"/>
          </w:tcPr>
          <w:p>
            <w:pPr>
              <w:pStyle w:val="13"/>
            </w:pPr>
            <w:r>
              <w:t>反映修建道路长度</w:t>
            </w:r>
          </w:p>
        </w:tc>
        <w:tc>
          <w:tcPr>
            <w:tcW w:w="2587" w:type="dxa"/>
            <w:vAlign w:val="center"/>
          </w:tcPr>
          <w:p>
            <w:pPr>
              <w:pStyle w:val="13"/>
            </w:pPr>
            <w:r>
              <w:t>≤11.6公里</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修建道路的村数</w:t>
            </w:r>
          </w:p>
        </w:tc>
        <w:tc>
          <w:tcPr>
            <w:tcW w:w="4356" w:type="dxa"/>
            <w:vAlign w:val="center"/>
          </w:tcPr>
          <w:p>
            <w:pPr>
              <w:pStyle w:val="13"/>
            </w:pPr>
            <w:r>
              <w:t>反映修建道路涉及的村数</w:t>
            </w:r>
          </w:p>
        </w:tc>
        <w:tc>
          <w:tcPr>
            <w:tcW w:w="2587" w:type="dxa"/>
            <w:vAlign w:val="center"/>
          </w:tcPr>
          <w:p>
            <w:pPr>
              <w:pStyle w:val="13"/>
            </w:pPr>
            <w:r>
              <w:t>3个</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4356" w:type="dxa"/>
            <w:vAlign w:val="center"/>
          </w:tcPr>
          <w:p>
            <w:pPr>
              <w:pStyle w:val="13"/>
            </w:pPr>
            <w:r>
              <w:t>反映工程质量验收合格率</w:t>
            </w:r>
          </w:p>
        </w:tc>
        <w:tc>
          <w:tcPr>
            <w:tcW w:w="2587" w:type="dxa"/>
            <w:vAlign w:val="center"/>
          </w:tcPr>
          <w:p>
            <w:pPr>
              <w:pStyle w:val="13"/>
            </w:pPr>
            <w:r>
              <w:t>100%</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4356" w:type="dxa"/>
            <w:vAlign w:val="center"/>
          </w:tcPr>
          <w:p>
            <w:pPr>
              <w:pStyle w:val="13"/>
            </w:pPr>
            <w:r>
              <w:t>反映工程材料质量合格率</w:t>
            </w:r>
          </w:p>
        </w:tc>
        <w:tc>
          <w:tcPr>
            <w:tcW w:w="2587" w:type="dxa"/>
            <w:vAlign w:val="center"/>
          </w:tcPr>
          <w:p>
            <w:pPr>
              <w:pStyle w:val="13"/>
            </w:pPr>
            <w:r>
              <w:t>100%</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4356" w:type="dxa"/>
            <w:vAlign w:val="center"/>
          </w:tcPr>
          <w:p>
            <w:pPr>
              <w:pStyle w:val="13"/>
            </w:pPr>
            <w:r>
              <w:t>反映工程按计划开工及完成时间</w:t>
            </w:r>
          </w:p>
        </w:tc>
        <w:tc>
          <w:tcPr>
            <w:tcW w:w="2587" w:type="dxa"/>
            <w:vAlign w:val="center"/>
          </w:tcPr>
          <w:p>
            <w:pPr>
              <w:pStyle w:val="13"/>
            </w:pPr>
            <w:r>
              <w:t>按时完工率达100%</w:t>
            </w:r>
          </w:p>
          <w:p>
            <w:pPr>
              <w:pStyle w:val="13"/>
            </w:pP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4356" w:type="dxa"/>
            <w:vAlign w:val="center"/>
          </w:tcPr>
          <w:p>
            <w:pPr>
              <w:pStyle w:val="13"/>
            </w:pPr>
            <w:r>
              <w:t>反应工程总成本控制数</w:t>
            </w:r>
          </w:p>
        </w:tc>
        <w:tc>
          <w:tcPr>
            <w:tcW w:w="2587" w:type="dxa"/>
            <w:vAlign w:val="center"/>
          </w:tcPr>
          <w:p>
            <w:pPr>
              <w:pStyle w:val="13"/>
            </w:pPr>
            <w:r>
              <w:t>≤12.1万元</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4356" w:type="dxa"/>
            <w:vAlign w:val="center"/>
          </w:tcPr>
          <w:p>
            <w:pPr>
              <w:pStyle w:val="13"/>
            </w:pPr>
            <w:r>
              <w:t>解决群众出行问题</w:t>
            </w:r>
          </w:p>
        </w:tc>
        <w:tc>
          <w:tcPr>
            <w:tcW w:w="2587" w:type="dxa"/>
            <w:vAlign w:val="center"/>
          </w:tcPr>
          <w:p>
            <w:pPr>
              <w:pStyle w:val="13"/>
            </w:pPr>
            <w:r>
              <w:t>≥6000人</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4356" w:type="dxa"/>
            <w:vAlign w:val="center"/>
          </w:tcPr>
          <w:p>
            <w:pPr>
              <w:pStyle w:val="13"/>
            </w:pPr>
            <w:r>
              <w:t>解决交通问题</w:t>
            </w:r>
          </w:p>
        </w:tc>
        <w:tc>
          <w:tcPr>
            <w:tcW w:w="2587" w:type="dxa"/>
            <w:vAlign w:val="center"/>
          </w:tcPr>
          <w:p>
            <w:pPr>
              <w:pStyle w:val="13"/>
            </w:pPr>
            <w:r>
              <w:t>100%</w:t>
            </w:r>
          </w:p>
        </w:tc>
        <w:tc>
          <w:tcPr>
            <w:tcW w:w="198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4356" w:type="dxa"/>
            <w:vAlign w:val="center"/>
          </w:tcPr>
          <w:p>
            <w:pPr>
              <w:pStyle w:val="13"/>
            </w:pPr>
            <w:r>
              <w:t>反映受益群众对项目工程的满意度</w:t>
            </w:r>
          </w:p>
        </w:tc>
        <w:tc>
          <w:tcPr>
            <w:tcW w:w="2587" w:type="dxa"/>
            <w:vAlign w:val="center"/>
          </w:tcPr>
          <w:p>
            <w:pPr>
              <w:pStyle w:val="13"/>
            </w:pPr>
            <w:r>
              <w:t>≥95%</w:t>
            </w:r>
          </w:p>
        </w:tc>
        <w:tc>
          <w:tcPr>
            <w:tcW w:w="1987"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13032125P00001010127X</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28.54</w:t>
            </w:r>
          </w:p>
        </w:tc>
        <w:tc>
          <w:tcPr>
            <w:tcW w:w="2835" w:type="dxa"/>
            <w:vAlign w:val="center"/>
          </w:tcPr>
          <w:p>
            <w:pPr>
              <w:pStyle w:val="11"/>
            </w:pPr>
            <w:r>
              <w:t>其中：财政    资金</w:t>
            </w:r>
          </w:p>
        </w:tc>
        <w:tc>
          <w:tcPr>
            <w:tcW w:w="2551" w:type="dxa"/>
            <w:vAlign w:val="center"/>
          </w:tcPr>
          <w:p>
            <w:pPr>
              <w:pStyle w:val="13"/>
            </w:pPr>
            <w:r>
              <w:t>28.54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预算资金28.5</w:t>
            </w:r>
            <w:r>
              <w:rPr>
                <w:rFonts w:hint="eastAsia"/>
                <w:lang w:val="en-US" w:eastAsia="zh-CN"/>
              </w:rPr>
              <w:t>4</w:t>
            </w:r>
            <w:r>
              <w:t>万元，其中财政拨款28.</w:t>
            </w:r>
            <w:r>
              <w:rPr>
                <w:rFonts w:hint="eastAsia"/>
                <w:lang w:val="en-US" w:eastAsia="zh-CN"/>
              </w:rPr>
              <w:t>54</w:t>
            </w:r>
            <w:r>
              <w:t>万元，主要用于其他村两委干部基本补贴。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r>
              <w:tab/>
            </w:r>
            <w:r>
              <w:tab/>
            </w:r>
            <w:r>
              <w:tab/>
            </w:r>
            <w:r>
              <w:tab/>
            </w:r>
            <w:r>
              <w:tab/>
            </w:r>
          </w:p>
          <w:p>
            <w:pPr>
              <w:pStyle w:val="13"/>
            </w:pPr>
            <w:r>
              <w:t>2.通过及时发放村民两委干部绩效补贴，为农村干部工作生活提供保障。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210"/>
        <w:gridCol w:w="2120"/>
        <w:gridCol w:w="16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210" w:type="dxa"/>
            <w:vAlign w:val="center"/>
          </w:tcPr>
          <w:p>
            <w:pPr>
              <w:pStyle w:val="11"/>
            </w:pPr>
            <w:r>
              <w:t>绩效指标描述</w:t>
            </w:r>
          </w:p>
        </w:tc>
        <w:tc>
          <w:tcPr>
            <w:tcW w:w="2120" w:type="dxa"/>
            <w:vAlign w:val="center"/>
          </w:tcPr>
          <w:p>
            <w:pPr>
              <w:pStyle w:val="11"/>
            </w:pPr>
            <w:r>
              <w:t>指标值</w:t>
            </w:r>
          </w:p>
        </w:tc>
        <w:tc>
          <w:tcPr>
            <w:tcW w:w="160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210" w:type="dxa"/>
            <w:vAlign w:val="center"/>
          </w:tcPr>
          <w:p>
            <w:pPr>
              <w:pStyle w:val="13"/>
            </w:pPr>
            <w:r>
              <w:t>反映发放村干部基本职务补贴的村数</w:t>
            </w:r>
          </w:p>
        </w:tc>
        <w:tc>
          <w:tcPr>
            <w:tcW w:w="2120" w:type="dxa"/>
            <w:vAlign w:val="center"/>
          </w:tcPr>
          <w:p>
            <w:pPr>
              <w:pStyle w:val="13"/>
            </w:pPr>
            <w:r>
              <w:t>16个</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210" w:type="dxa"/>
            <w:vAlign w:val="center"/>
          </w:tcPr>
          <w:p>
            <w:pPr>
              <w:pStyle w:val="13"/>
            </w:pPr>
            <w:r>
              <w:t>反映村干部考核次数</w:t>
            </w:r>
          </w:p>
        </w:tc>
        <w:tc>
          <w:tcPr>
            <w:tcW w:w="2120" w:type="dxa"/>
            <w:vAlign w:val="center"/>
          </w:tcPr>
          <w:p>
            <w:pPr>
              <w:pStyle w:val="13"/>
            </w:pPr>
            <w:r>
              <w:t>≥1次</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210" w:type="dxa"/>
            <w:vAlign w:val="center"/>
          </w:tcPr>
          <w:p>
            <w:pPr>
              <w:pStyle w:val="13"/>
            </w:pPr>
            <w:r>
              <w:t>反映村干部人数</w:t>
            </w:r>
          </w:p>
        </w:tc>
        <w:tc>
          <w:tcPr>
            <w:tcW w:w="2120" w:type="dxa"/>
            <w:vAlign w:val="center"/>
          </w:tcPr>
          <w:p>
            <w:pPr>
              <w:pStyle w:val="13"/>
            </w:pPr>
            <w:r>
              <w:t>75人</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210" w:type="dxa"/>
            <w:vAlign w:val="center"/>
          </w:tcPr>
          <w:p>
            <w:pPr>
              <w:pStyle w:val="13"/>
            </w:pPr>
            <w:r>
              <w:t>反映村干部岗位分工情况</w:t>
            </w:r>
          </w:p>
        </w:tc>
        <w:tc>
          <w:tcPr>
            <w:tcW w:w="2120" w:type="dxa"/>
            <w:vAlign w:val="center"/>
          </w:tcPr>
          <w:p>
            <w:pPr>
              <w:pStyle w:val="13"/>
            </w:pPr>
            <w:r>
              <w:t>≥95%</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210" w:type="dxa"/>
            <w:vAlign w:val="center"/>
          </w:tcPr>
          <w:p>
            <w:pPr>
              <w:pStyle w:val="13"/>
            </w:pPr>
            <w:r>
              <w:t>合格村干部占总村干部比例</w:t>
            </w:r>
          </w:p>
        </w:tc>
        <w:tc>
          <w:tcPr>
            <w:tcW w:w="2120" w:type="dxa"/>
            <w:vAlign w:val="center"/>
          </w:tcPr>
          <w:p>
            <w:pPr>
              <w:pStyle w:val="13"/>
            </w:pPr>
            <w:r>
              <w:t>≥95%</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210" w:type="dxa"/>
            <w:vAlign w:val="center"/>
          </w:tcPr>
          <w:p>
            <w:pPr>
              <w:pStyle w:val="13"/>
            </w:pPr>
            <w:r>
              <w:t>反映村干部工资发放情况</w:t>
            </w:r>
          </w:p>
        </w:tc>
        <w:tc>
          <w:tcPr>
            <w:tcW w:w="2120" w:type="dxa"/>
            <w:vAlign w:val="center"/>
          </w:tcPr>
          <w:p>
            <w:pPr>
              <w:pStyle w:val="13"/>
            </w:pPr>
            <w:r>
              <w:t>100%</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村两委干部绩效工资</w:t>
            </w:r>
          </w:p>
        </w:tc>
        <w:tc>
          <w:tcPr>
            <w:tcW w:w="5210" w:type="dxa"/>
            <w:vAlign w:val="center"/>
          </w:tcPr>
          <w:p>
            <w:pPr>
              <w:pStyle w:val="13"/>
            </w:pPr>
            <w:r>
              <w:t>反映村两委干部绩效工资发放情况</w:t>
            </w:r>
          </w:p>
        </w:tc>
        <w:tc>
          <w:tcPr>
            <w:tcW w:w="2120" w:type="dxa"/>
            <w:vAlign w:val="center"/>
          </w:tcPr>
          <w:p>
            <w:pPr>
              <w:pStyle w:val="13"/>
            </w:pPr>
            <w:r>
              <w:t>285</w:t>
            </w:r>
            <w:r>
              <w:rPr>
                <w:rFonts w:hint="eastAsia"/>
                <w:lang w:val="en-US" w:eastAsia="zh-CN"/>
              </w:rPr>
              <w:t>40</w:t>
            </w:r>
            <w:r>
              <w:t>元</w:t>
            </w:r>
          </w:p>
        </w:tc>
        <w:tc>
          <w:tcPr>
            <w:tcW w:w="1600"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210" w:type="dxa"/>
            <w:vAlign w:val="center"/>
          </w:tcPr>
          <w:p>
            <w:pPr>
              <w:pStyle w:val="13"/>
            </w:pPr>
            <w:r>
              <w:t>为村干部生活工作提供保障，确保村干部队伍稳定</w:t>
            </w:r>
          </w:p>
        </w:tc>
        <w:tc>
          <w:tcPr>
            <w:tcW w:w="2120" w:type="dxa"/>
            <w:vAlign w:val="center"/>
          </w:tcPr>
          <w:p>
            <w:pPr>
              <w:pStyle w:val="13"/>
            </w:pPr>
            <w:r>
              <w:t>≥95%</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210" w:type="dxa"/>
            <w:vAlign w:val="center"/>
          </w:tcPr>
          <w:p>
            <w:pPr>
              <w:pStyle w:val="13"/>
            </w:pPr>
            <w:r>
              <w:t>反映村干部全年工作效率</w:t>
            </w:r>
          </w:p>
        </w:tc>
        <w:tc>
          <w:tcPr>
            <w:tcW w:w="2120" w:type="dxa"/>
            <w:vAlign w:val="center"/>
          </w:tcPr>
          <w:p>
            <w:pPr>
              <w:pStyle w:val="13"/>
            </w:pPr>
            <w:r>
              <w:t>≥90%</w:t>
            </w:r>
          </w:p>
        </w:tc>
        <w:tc>
          <w:tcPr>
            <w:tcW w:w="160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210" w:type="dxa"/>
            <w:vAlign w:val="center"/>
          </w:tcPr>
          <w:p>
            <w:pPr>
              <w:pStyle w:val="13"/>
            </w:pPr>
            <w:r>
              <w:t>调查中村干部满意和较满意的数量占调查总人数的比率</w:t>
            </w:r>
          </w:p>
        </w:tc>
        <w:tc>
          <w:tcPr>
            <w:tcW w:w="2120" w:type="dxa"/>
            <w:vAlign w:val="center"/>
          </w:tcPr>
          <w:p>
            <w:pPr>
              <w:pStyle w:val="13"/>
            </w:pPr>
            <w:r>
              <w:t>≥90%</w:t>
            </w:r>
          </w:p>
        </w:tc>
        <w:tc>
          <w:tcPr>
            <w:tcW w:w="1600"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14、全国自然灾害风险普查工作经费绩效目标表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13032126P00331910028Q</w:t>
            </w:r>
          </w:p>
        </w:tc>
        <w:tc>
          <w:tcPr>
            <w:tcW w:w="2835" w:type="dxa"/>
            <w:vAlign w:val="center"/>
          </w:tcPr>
          <w:p>
            <w:pPr>
              <w:pStyle w:val="11"/>
            </w:pPr>
            <w:r>
              <w:t>项目名称</w:t>
            </w:r>
          </w:p>
        </w:tc>
        <w:tc>
          <w:tcPr>
            <w:tcW w:w="6095" w:type="dxa"/>
            <w:gridSpan w:val="3"/>
            <w:vAlign w:val="center"/>
          </w:tcPr>
          <w:p>
            <w:pPr>
              <w:pStyle w:val="13"/>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1.通过辖区内自然灾害风险普查，增强群众防范</w:t>
            </w:r>
            <w:r>
              <w:tab/>
            </w:r>
            <w:r>
              <w:tab/>
            </w:r>
            <w:r>
              <w:tab/>
            </w:r>
            <w:r>
              <w:tab/>
            </w:r>
            <w:r>
              <w:tab/>
            </w:r>
            <w:r>
              <w:tab/>
            </w:r>
            <w:r>
              <w:tab/>
            </w:r>
          </w:p>
          <w:p>
            <w:pPr>
              <w:pStyle w:val="13"/>
            </w:pPr>
            <w:r>
              <w:t>2.通过普查，发现问题隐患，及早上报处置，降低人民群众生命财产损失</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63"/>
        <w:gridCol w:w="2347"/>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063" w:type="dxa"/>
            <w:vAlign w:val="center"/>
          </w:tcPr>
          <w:p>
            <w:pPr>
              <w:pStyle w:val="11"/>
            </w:pPr>
            <w:r>
              <w:t>绩效指标描述</w:t>
            </w:r>
          </w:p>
        </w:tc>
        <w:tc>
          <w:tcPr>
            <w:tcW w:w="2347" w:type="dxa"/>
            <w:vAlign w:val="center"/>
          </w:tcPr>
          <w:p>
            <w:pPr>
              <w:pStyle w:val="11"/>
            </w:pPr>
            <w:r>
              <w:t>指标值</w:t>
            </w:r>
          </w:p>
        </w:tc>
        <w:tc>
          <w:tcPr>
            <w:tcW w:w="152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风险普查次数</w:t>
            </w:r>
          </w:p>
        </w:tc>
        <w:tc>
          <w:tcPr>
            <w:tcW w:w="5063" w:type="dxa"/>
            <w:vAlign w:val="center"/>
          </w:tcPr>
          <w:p>
            <w:pPr>
              <w:pStyle w:val="13"/>
            </w:pPr>
            <w:r>
              <w:t>反映每年安排风险普查次</w:t>
            </w:r>
          </w:p>
        </w:tc>
        <w:tc>
          <w:tcPr>
            <w:tcW w:w="2347" w:type="dxa"/>
            <w:vAlign w:val="center"/>
          </w:tcPr>
          <w:p>
            <w:pPr>
              <w:pStyle w:val="13"/>
            </w:pPr>
            <w:r>
              <w:t>≥2次</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自然灾害风险普查的村个数</w:t>
            </w:r>
          </w:p>
        </w:tc>
        <w:tc>
          <w:tcPr>
            <w:tcW w:w="5063" w:type="dxa"/>
            <w:vAlign w:val="center"/>
          </w:tcPr>
          <w:p>
            <w:pPr>
              <w:pStyle w:val="13"/>
            </w:pPr>
            <w:r>
              <w:t>反映风险普查村的个数</w:t>
            </w:r>
          </w:p>
        </w:tc>
        <w:tc>
          <w:tcPr>
            <w:tcW w:w="2347" w:type="dxa"/>
            <w:vAlign w:val="center"/>
          </w:tcPr>
          <w:p>
            <w:pPr>
              <w:pStyle w:val="13"/>
            </w:pPr>
            <w:r>
              <w:t>16个</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风险排查率</w:t>
            </w:r>
          </w:p>
        </w:tc>
        <w:tc>
          <w:tcPr>
            <w:tcW w:w="5063" w:type="dxa"/>
            <w:vAlign w:val="center"/>
          </w:tcPr>
          <w:p>
            <w:pPr>
              <w:pStyle w:val="13"/>
            </w:pPr>
            <w:r>
              <w:t>反映普查发现隐患数量占年度自然灾害总数的比率</w:t>
            </w:r>
          </w:p>
        </w:tc>
        <w:tc>
          <w:tcPr>
            <w:tcW w:w="2347" w:type="dxa"/>
            <w:vAlign w:val="center"/>
          </w:tcPr>
          <w:p>
            <w:pPr>
              <w:pStyle w:val="13"/>
            </w:pPr>
            <w:r>
              <w:t>≥80%</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063" w:type="dxa"/>
            <w:vAlign w:val="center"/>
          </w:tcPr>
          <w:p>
            <w:pPr>
              <w:pStyle w:val="13"/>
            </w:pPr>
            <w:r>
              <w:t>本次普查涉及的自然灾害类型个数</w:t>
            </w:r>
          </w:p>
        </w:tc>
        <w:tc>
          <w:tcPr>
            <w:tcW w:w="2347" w:type="dxa"/>
            <w:vAlign w:val="center"/>
          </w:tcPr>
          <w:p>
            <w:pPr>
              <w:pStyle w:val="13"/>
            </w:pPr>
            <w:r>
              <w:t>≥5项</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工作及时性</w:t>
            </w:r>
          </w:p>
        </w:tc>
        <w:tc>
          <w:tcPr>
            <w:tcW w:w="5063" w:type="dxa"/>
            <w:vAlign w:val="center"/>
          </w:tcPr>
          <w:p>
            <w:pPr>
              <w:pStyle w:val="13"/>
            </w:pPr>
            <w:r>
              <w:t>反映每年最低上下半年各一次风险普查</w:t>
            </w:r>
          </w:p>
        </w:tc>
        <w:tc>
          <w:tcPr>
            <w:tcW w:w="2347" w:type="dxa"/>
            <w:vAlign w:val="center"/>
          </w:tcPr>
          <w:p>
            <w:pPr>
              <w:pStyle w:val="13"/>
            </w:pPr>
            <w:r>
              <w:t>上半年6月底前，下半年12月底前</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办公费、租车费</w:t>
            </w:r>
          </w:p>
        </w:tc>
        <w:tc>
          <w:tcPr>
            <w:tcW w:w="5063" w:type="dxa"/>
            <w:vAlign w:val="center"/>
          </w:tcPr>
          <w:p>
            <w:pPr>
              <w:pStyle w:val="13"/>
            </w:pPr>
            <w:r>
              <w:t>普查期间的办公费、租车费</w:t>
            </w:r>
          </w:p>
        </w:tc>
        <w:tc>
          <w:tcPr>
            <w:tcW w:w="2347" w:type="dxa"/>
            <w:vAlign w:val="center"/>
          </w:tcPr>
          <w:p>
            <w:pPr>
              <w:pStyle w:val="13"/>
            </w:pPr>
            <w:r>
              <w:t>≤1万元</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挽回经济损失</w:t>
            </w:r>
          </w:p>
        </w:tc>
        <w:tc>
          <w:tcPr>
            <w:tcW w:w="5063" w:type="dxa"/>
            <w:vAlign w:val="center"/>
          </w:tcPr>
          <w:p>
            <w:pPr>
              <w:pStyle w:val="13"/>
            </w:pPr>
            <w:r>
              <w:t>反映普查发现隐患及时消除，挽回经济损失</w:t>
            </w:r>
          </w:p>
        </w:tc>
        <w:tc>
          <w:tcPr>
            <w:tcW w:w="2347" w:type="dxa"/>
            <w:vAlign w:val="center"/>
          </w:tcPr>
          <w:p>
            <w:pPr>
              <w:pStyle w:val="13"/>
            </w:pPr>
            <w:r>
              <w:t>≥100万元</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063" w:type="dxa"/>
            <w:vAlign w:val="center"/>
          </w:tcPr>
          <w:p>
            <w:pPr>
              <w:pStyle w:val="13"/>
            </w:pPr>
            <w:r>
              <w:t>反映降低因自然灾害造成群众恐慌情绪</w:t>
            </w:r>
          </w:p>
        </w:tc>
        <w:tc>
          <w:tcPr>
            <w:tcW w:w="2347" w:type="dxa"/>
            <w:vAlign w:val="center"/>
          </w:tcPr>
          <w:p>
            <w:pPr>
              <w:pStyle w:val="13"/>
            </w:pPr>
            <w:r>
              <w:t>≥70%</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服务对象调查满意率</w:t>
            </w:r>
          </w:p>
        </w:tc>
        <w:tc>
          <w:tcPr>
            <w:tcW w:w="5063" w:type="dxa"/>
            <w:vAlign w:val="center"/>
          </w:tcPr>
          <w:p>
            <w:pPr>
              <w:pStyle w:val="13"/>
            </w:pPr>
            <w:r>
              <w:t>群众对风险普查工作的满意率</w:t>
            </w:r>
          </w:p>
        </w:tc>
        <w:tc>
          <w:tcPr>
            <w:tcW w:w="2347" w:type="dxa"/>
            <w:vAlign w:val="center"/>
          </w:tcPr>
          <w:p>
            <w:pPr>
              <w:pStyle w:val="13"/>
            </w:pPr>
            <w:r>
              <w:t>≥90%</w:t>
            </w:r>
          </w:p>
        </w:tc>
        <w:tc>
          <w:tcPr>
            <w:tcW w:w="152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13032125P000116100985</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17.50</w:t>
            </w:r>
          </w:p>
        </w:tc>
        <w:tc>
          <w:tcPr>
            <w:tcW w:w="2835" w:type="dxa"/>
            <w:vAlign w:val="center"/>
          </w:tcPr>
          <w:p>
            <w:pPr>
              <w:pStyle w:val="11"/>
            </w:pPr>
            <w:r>
              <w:t>其中：财政    资金</w:t>
            </w:r>
          </w:p>
        </w:tc>
        <w:tc>
          <w:tcPr>
            <w:tcW w:w="2551" w:type="dxa"/>
            <w:vAlign w:val="center"/>
          </w:tcPr>
          <w:p>
            <w:pPr>
              <w:pStyle w:val="13"/>
            </w:pPr>
            <w:r>
              <w:t>17.50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预算安排17.5万元，其中财政拨款17.5万元。主要用于燃煤锅炉改造及清洁能源补贴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w:t>
            </w:r>
            <w:r>
              <w:tab/>
            </w:r>
            <w:r>
              <w:tab/>
            </w:r>
            <w:r>
              <w:tab/>
            </w:r>
            <w:r>
              <w:tab/>
            </w:r>
            <w:r>
              <w:tab/>
            </w:r>
            <w:r>
              <w:tab/>
            </w:r>
          </w:p>
          <w:p>
            <w:pPr>
              <w:pStyle w:val="13"/>
            </w:pPr>
            <w:r>
              <w:t>2.通过支付能源补贴，确保机关正常办公，为机关工作人员和群众提供良好的工作办事环境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96"/>
        <w:gridCol w:w="2414"/>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996" w:type="dxa"/>
            <w:vAlign w:val="center"/>
          </w:tcPr>
          <w:p>
            <w:pPr>
              <w:pStyle w:val="11"/>
            </w:pPr>
            <w:r>
              <w:t>绩效指标描述</w:t>
            </w:r>
          </w:p>
        </w:tc>
        <w:tc>
          <w:tcPr>
            <w:tcW w:w="2414" w:type="dxa"/>
            <w:vAlign w:val="center"/>
          </w:tcPr>
          <w:p>
            <w:pPr>
              <w:pStyle w:val="11"/>
            </w:pPr>
            <w:r>
              <w:t>指标值</w:t>
            </w:r>
          </w:p>
        </w:tc>
        <w:tc>
          <w:tcPr>
            <w:tcW w:w="152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4996" w:type="dxa"/>
            <w:vAlign w:val="center"/>
          </w:tcPr>
          <w:p>
            <w:pPr>
              <w:pStyle w:val="13"/>
            </w:pPr>
            <w:r>
              <w:t>用于冬季采暖的办公场所面积数量</w:t>
            </w:r>
          </w:p>
        </w:tc>
        <w:tc>
          <w:tcPr>
            <w:tcW w:w="2414" w:type="dxa"/>
            <w:vAlign w:val="center"/>
          </w:tcPr>
          <w:p>
            <w:pPr>
              <w:pStyle w:val="13"/>
            </w:pPr>
            <w:r>
              <w:t>2870平方米</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二氧化硫排放消减率</w:t>
            </w:r>
          </w:p>
        </w:tc>
        <w:tc>
          <w:tcPr>
            <w:tcW w:w="4996" w:type="dxa"/>
            <w:vAlign w:val="center"/>
          </w:tcPr>
          <w:p>
            <w:pPr>
              <w:pStyle w:val="13"/>
            </w:pPr>
            <w:r>
              <w:t>当年实际二氧化硫排放消减率</w:t>
            </w:r>
          </w:p>
        </w:tc>
        <w:tc>
          <w:tcPr>
            <w:tcW w:w="2414" w:type="dxa"/>
            <w:vAlign w:val="center"/>
          </w:tcPr>
          <w:p>
            <w:pPr>
              <w:pStyle w:val="13"/>
            </w:pPr>
            <w:r>
              <w:t>≥5%</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细颗粒物排放消减率</w:t>
            </w:r>
          </w:p>
        </w:tc>
        <w:tc>
          <w:tcPr>
            <w:tcW w:w="4996" w:type="dxa"/>
            <w:vAlign w:val="center"/>
          </w:tcPr>
          <w:p>
            <w:pPr>
              <w:pStyle w:val="13"/>
            </w:pPr>
            <w:r>
              <w:t>当年实际细颗粒物排放消减率</w:t>
            </w:r>
          </w:p>
        </w:tc>
        <w:tc>
          <w:tcPr>
            <w:tcW w:w="2414" w:type="dxa"/>
            <w:vAlign w:val="center"/>
          </w:tcPr>
          <w:p>
            <w:pPr>
              <w:pStyle w:val="13"/>
            </w:pPr>
            <w:r>
              <w:t>≥8%</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改造完成及时性</w:t>
            </w:r>
          </w:p>
        </w:tc>
        <w:tc>
          <w:tcPr>
            <w:tcW w:w="4996" w:type="dxa"/>
            <w:vAlign w:val="center"/>
          </w:tcPr>
          <w:p>
            <w:pPr>
              <w:pStyle w:val="13"/>
            </w:pPr>
            <w:r>
              <w:t>燃煤锅炉改造及清洁能源补贴在采暖期内及时拨付</w:t>
            </w:r>
          </w:p>
        </w:tc>
        <w:tc>
          <w:tcPr>
            <w:tcW w:w="2414" w:type="dxa"/>
            <w:vAlign w:val="center"/>
          </w:tcPr>
          <w:p>
            <w:pPr>
              <w:pStyle w:val="13"/>
            </w:pPr>
            <w:r>
              <w:t>100%</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4996" w:type="dxa"/>
            <w:vAlign w:val="center"/>
          </w:tcPr>
          <w:p>
            <w:pPr>
              <w:pStyle w:val="13"/>
            </w:pPr>
            <w:r>
              <w:t>供暖管道设施维修费用支出</w:t>
            </w:r>
          </w:p>
        </w:tc>
        <w:tc>
          <w:tcPr>
            <w:tcW w:w="2414" w:type="dxa"/>
            <w:vAlign w:val="center"/>
          </w:tcPr>
          <w:p>
            <w:pPr>
              <w:pStyle w:val="13"/>
            </w:pPr>
            <w:r>
              <w:t>≤7.5万元</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4996" w:type="dxa"/>
            <w:vAlign w:val="center"/>
          </w:tcPr>
          <w:p>
            <w:pPr>
              <w:pStyle w:val="13"/>
            </w:pPr>
            <w:r>
              <w:t>办公场所采购费用支出</w:t>
            </w:r>
          </w:p>
        </w:tc>
        <w:tc>
          <w:tcPr>
            <w:tcW w:w="2414" w:type="dxa"/>
            <w:vAlign w:val="center"/>
          </w:tcPr>
          <w:p>
            <w:pPr>
              <w:pStyle w:val="13"/>
            </w:pPr>
            <w:r>
              <w:t>≤10万元</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全年优良空气天数增长率</w:t>
            </w:r>
          </w:p>
        </w:tc>
        <w:tc>
          <w:tcPr>
            <w:tcW w:w="4996" w:type="dxa"/>
            <w:vAlign w:val="center"/>
          </w:tcPr>
          <w:p>
            <w:pPr>
              <w:pStyle w:val="13"/>
            </w:pPr>
            <w:r>
              <w:t>全年空气优良天数同比增长率</w:t>
            </w:r>
          </w:p>
        </w:tc>
        <w:tc>
          <w:tcPr>
            <w:tcW w:w="2414" w:type="dxa"/>
            <w:vAlign w:val="center"/>
          </w:tcPr>
          <w:p>
            <w:pPr>
              <w:pStyle w:val="13"/>
            </w:pPr>
            <w:r>
              <w:t>≥5%</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4996" w:type="dxa"/>
            <w:vAlign w:val="center"/>
          </w:tcPr>
          <w:p>
            <w:pPr>
              <w:pStyle w:val="13"/>
            </w:pPr>
            <w:r>
              <w:t>大气环境质量改善提升</w:t>
            </w:r>
          </w:p>
        </w:tc>
        <w:tc>
          <w:tcPr>
            <w:tcW w:w="2414" w:type="dxa"/>
            <w:vAlign w:val="center"/>
          </w:tcPr>
          <w:p>
            <w:pPr>
              <w:pStyle w:val="13"/>
            </w:pPr>
            <w:r>
              <w:t>≤10%</w:t>
            </w:r>
          </w:p>
        </w:tc>
        <w:tc>
          <w:tcPr>
            <w:tcW w:w="15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4996" w:type="dxa"/>
            <w:vAlign w:val="center"/>
          </w:tcPr>
          <w:p>
            <w:pPr>
              <w:pStyle w:val="13"/>
            </w:pPr>
            <w:r>
              <w:t>调查中满意度和较满意的公众人数占全部调查人数的比率</w:t>
            </w:r>
          </w:p>
        </w:tc>
        <w:tc>
          <w:tcPr>
            <w:tcW w:w="2414" w:type="dxa"/>
            <w:vAlign w:val="center"/>
          </w:tcPr>
          <w:p>
            <w:pPr>
              <w:pStyle w:val="13"/>
            </w:pPr>
            <w:r>
              <w:t>≥90%</w:t>
            </w:r>
          </w:p>
        </w:tc>
        <w:tc>
          <w:tcPr>
            <w:tcW w:w="152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13032126P00011610270H</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预算安排35万元，其中财政拨款35万元，主要用于燃煤锅炉改造及清洁能源补贴。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1.通过支付能源补贴，确保机关正常办公，为机关工作人员和群众提供良好的工作办事环境</w:t>
            </w:r>
            <w:r>
              <w:tab/>
            </w:r>
            <w:r>
              <w:tab/>
            </w:r>
            <w:r>
              <w:tab/>
            </w:r>
            <w:r>
              <w:tab/>
            </w:r>
            <w:r>
              <w:tab/>
            </w:r>
            <w:r>
              <w:tab/>
            </w:r>
          </w:p>
          <w:p>
            <w:pPr>
              <w:pStyle w:val="13"/>
            </w:pPr>
            <w:r>
              <w:t>2.通过改变取暖方式，加大大气治理力度，提升大气质量</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30"/>
        <w:gridCol w:w="2253"/>
        <w:gridCol w:w="15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130" w:type="dxa"/>
            <w:vAlign w:val="center"/>
          </w:tcPr>
          <w:p>
            <w:pPr>
              <w:pStyle w:val="11"/>
            </w:pPr>
            <w:r>
              <w:t>绩效指标描述</w:t>
            </w:r>
          </w:p>
        </w:tc>
        <w:tc>
          <w:tcPr>
            <w:tcW w:w="2253" w:type="dxa"/>
            <w:vAlign w:val="center"/>
          </w:tcPr>
          <w:p>
            <w:pPr>
              <w:pStyle w:val="11"/>
            </w:pPr>
            <w:r>
              <w:t>指标值</w:t>
            </w:r>
          </w:p>
        </w:tc>
        <w:tc>
          <w:tcPr>
            <w:tcW w:w="154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130" w:type="dxa"/>
            <w:vAlign w:val="center"/>
          </w:tcPr>
          <w:p>
            <w:pPr>
              <w:pStyle w:val="13"/>
            </w:pPr>
            <w:r>
              <w:t>用于冬季采暖的办公场所面积数量</w:t>
            </w:r>
          </w:p>
        </w:tc>
        <w:tc>
          <w:tcPr>
            <w:tcW w:w="2253" w:type="dxa"/>
            <w:vAlign w:val="center"/>
          </w:tcPr>
          <w:p>
            <w:pPr>
              <w:pStyle w:val="13"/>
            </w:pPr>
            <w:r>
              <w:t>2870平方米</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二氧化硫排放消减率</w:t>
            </w:r>
          </w:p>
        </w:tc>
        <w:tc>
          <w:tcPr>
            <w:tcW w:w="5130" w:type="dxa"/>
            <w:vAlign w:val="center"/>
          </w:tcPr>
          <w:p>
            <w:pPr>
              <w:pStyle w:val="13"/>
            </w:pPr>
            <w:r>
              <w:t>当年实际二氧化硫排放消减率</w:t>
            </w:r>
          </w:p>
        </w:tc>
        <w:tc>
          <w:tcPr>
            <w:tcW w:w="2253" w:type="dxa"/>
            <w:vAlign w:val="center"/>
          </w:tcPr>
          <w:p>
            <w:pPr>
              <w:pStyle w:val="13"/>
            </w:pPr>
            <w:r>
              <w:t>≥5%</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细颗粒物排放消减率</w:t>
            </w:r>
          </w:p>
        </w:tc>
        <w:tc>
          <w:tcPr>
            <w:tcW w:w="5130" w:type="dxa"/>
            <w:vAlign w:val="center"/>
          </w:tcPr>
          <w:p>
            <w:pPr>
              <w:pStyle w:val="13"/>
            </w:pPr>
            <w:r>
              <w:t>当年实际细颗粒物排放消减率</w:t>
            </w:r>
          </w:p>
        </w:tc>
        <w:tc>
          <w:tcPr>
            <w:tcW w:w="2253" w:type="dxa"/>
            <w:vAlign w:val="center"/>
          </w:tcPr>
          <w:p>
            <w:pPr>
              <w:pStyle w:val="13"/>
            </w:pPr>
            <w:r>
              <w:t>≥8%</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改造完成及时性</w:t>
            </w:r>
          </w:p>
        </w:tc>
        <w:tc>
          <w:tcPr>
            <w:tcW w:w="5130" w:type="dxa"/>
            <w:vAlign w:val="center"/>
          </w:tcPr>
          <w:p>
            <w:pPr>
              <w:pStyle w:val="13"/>
            </w:pPr>
            <w:r>
              <w:t>燃煤锅炉改造及清洁能源补贴在采暖期内及时拨付</w:t>
            </w:r>
          </w:p>
        </w:tc>
        <w:tc>
          <w:tcPr>
            <w:tcW w:w="2253" w:type="dxa"/>
            <w:vAlign w:val="center"/>
          </w:tcPr>
          <w:p>
            <w:pPr>
              <w:pStyle w:val="13"/>
            </w:pPr>
            <w:r>
              <w:t>100%</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130" w:type="dxa"/>
            <w:vAlign w:val="center"/>
          </w:tcPr>
          <w:p>
            <w:pPr>
              <w:pStyle w:val="13"/>
            </w:pPr>
            <w:r>
              <w:t>供暖管道设施维修费用支出</w:t>
            </w:r>
          </w:p>
        </w:tc>
        <w:tc>
          <w:tcPr>
            <w:tcW w:w="2253" w:type="dxa"/>
            <w:vAlign w:val="center"/>
          </w:tcPr>
          <w:p>
            <w:pPr>
              <w:pStyle w:val="13"/>
            </w:pPr>
            <w:r>
              <w:t>≤10万元</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130" w:type="dxa"/>
            <w:vAlign w:val="center"/>
          </w:tcPr>
          <w:p>
            <w:pPr>
              <w:pStyle w:val="13"/>
            </w:pPr>
            <w:r>
              <w:t>办公场所采购费用支出</w:t>
            </w:r>
          </w:p>
        </w:tc>
        <w:tc>
          <w:tcPr>
            <w:tcW w:w="2253" w:type="dxa"/>
            <w:vAlign w:val="center"/>
          </w:tcPr>
          <w:p>
            <w:pPr>
              <w:pStyle w:val="13"/>
            </w:pPr>
            <w:r>
              <w:t>≤25万元</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全年优良空气天数增长率</w:t>
            </w:r>
          </w:p>
        </w:tc>
        <w:tc>
          <w:tcPr>
            <w:tcW w:w="5130" w:type="dxa"/>
            <w:vAlign w:val="center"/>
          </w:tcPr>
          <w:p>
            <w:pPr>
              <w:pStyle w:val="13"/>
            </w:pPr>
            <w:r>
              <w:t>全年空气优良天数同比增长率</w:t>
            </w:r>
          </w:p>
        </w:tc>
        <w:tc>
          <w:tcPr>
            <w:tcW w:w="2253" w:type="dxa"/>
            <w:vAlign w:val="center"/>
          </w:tcPr>
          <w:p>
            <w:pPr>
              <w:pStyle w:val="13"/>
            </w:pPr>
            <w:r>
              <w:t>≥5%</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130" w:type="dxa"/>
            <w:vAlign w:val="center"/>
          </w:tcPr>
          <w:p>
            <w:pPr>
              <w:pStyle w:val="13"/>
            </w:pPr>
            <w:r>
              <w:t>大气环境质量改善提升</w:t>
            </w:r>
          </w:p>
        </w:tc>
        <w:tc>
          <w:tcPr>
            <w:tcW w:w="2253" w:type="dxa"/>
            <w:vAlign w:val="center"/>
          </w:tcPr>
          <w:p>
            <w:pPr>
              <w:pStyle w:val="13"/>
            </w:pPr>
            <w:r>
              <w:t>≤10%</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130" w:type="dxa"/>
            <w:vAlign w:val="center"/>
          </w:tcPr>
          <w:p>
            <w:pPr>
              <w:pStyle w:val="13"/>
            </w:pPr>
            <w:r>
              <w:t>调查中满意度和较满意的公众人数占全部调查人数的比率</w:t>
            </w:r>
          </w:p>
        </w:tc>
        <w:tc>
          <w:tcPr>
            <w:tcW w:w="2253" w:type="dxa"/>
            <w:vAlign w:val="center"/>
          </w:tcPr>
          <w:p>
            <w:pPr>
              <w:pStyle w:val="13"/>
            </w:pPr>
            <w:r>
              <w:t>≥90%</w:t>
            </w:r>
          </w:p>
        </w:tc>
        <w:tc>
          <w:tcPr>
            <w:tcW w:w="1547"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17、人工影响天气作业点运行维护经费绩效目标表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13032126P00001210008A</w:t>
            </w:r>
          </w:p>
        </w:tc>
        <w:tc>
          <w:tcPr>
            <w:tcW w:w="2835" w:type="dxa"/>
            <w:vAlign w:val="center"/>
          </w:tcPr>
          <w:p>
            <w:pPr>
              <w:pStyle w:val="11"/>
            </w:pPr>
            <w:r>
              <w:t>项目名称</w:t>
            </w:r>
          </w:p>
        </w:tc>
        <w:tc>
          <w:tcPr>
            <w:tcW w:w="6095" w:type="dxa"/>
            <w:gridSpan w:val="3"/>
            <w:vAlign w:val="center"/>
          </w:tcPr>
          <w:p>
            <w:pPr>
              <w:pStyle w:val="13"/>
            </w:pPr>
            <w:r>
              <w:t>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预算安排3万元，其中财政拨款3万元，主要用于人工影响天气作业点运行维护经费。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1.通过对人工影响天气作业点进行维护，确保作业点正常运行。</w:t>
            </w:r>
            <w:r>
              <w:tab/>
            </w:r>
            <w:r>
              <w:tab/>
            </w:r>
            <w:r>
              <w:tab/>
            </w:r>
            <w:r>
              <w:tab/>
            </w:r>
            <w:r>
              <w:tab/>
            </w:r>
            <w:r>
              <w:tab/>
            </w:r>
          </w:p>
          <w:p>
            <w:pPr>
              <w:pStyle w:val="13"/>
            </w:pPr>
            <w:r>
              <w:t>2.通过作业点的正常运行，保证作业点切实发挥作用，保护果农利益。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70"/>
        <w:gridCol w:w="2240"/>
        <w:gridCol w:w="1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970" w:type="dxa"/>
            <w:vAlign w:val="center"/>
          </w:tcPr>
          <w:p>
            <w:pPr>
              <w:pStyle w:val="11"/>
            </w:pPr>
            <w:r>
              <w:t>绩效指标描述</w:t>
            </w:r>
          </w:p>
        </w:tc>
        <w:tc>
          <w:tcPr>
            <w:tcW w:w="2240" w:type="dxa"/>
            <w:vAlign w:val="center"/>
          </w:tcPr>
          <w:p>
            <w:pPr>
              <w:pStyle w:val="11"/>
            </w:pPr>
            <w:r>
              <w:t>指标值</w:t>
            </w:r>
          </w:p>
        </w:tc>
        <w:tc>
          <w:tcPr>
            <w:tcW w:w="172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作业点人工数</w:t>
            </w:r>
          </w:p>
        </w:tc>
        <w:tc>
          <w:tcPr>
            <w:tcW w:w="4970" w:type="dxa"/>
            <w:vAlign w:val="center"/>
          </w:tcPr>
          <w:p>
            <w:pPr>
              <w:pStyle w:val="13"/>
            </w:pPr>
            <w:r>
              <w:t>反映做约点正常运行需要的人工人数</w:t>
            </w:r>
          </w:p>
        </w:tc>
        <w:tc>
          <w:tcPr>
            <w:tcW w:w="2240" w:type="dxa"/>
            <w:vAlign w:val="center"/>
          </w:tcPr>
          <w:p>
            <w:pPr>
              <w:pStyle w:val="13"/>
            </w:pPr>
            <w:r>
              <w:t>3人</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作业点作业次数</w:t>
            </w:r>
          </w:p>
        </w:tc>
        <w:tc>
          <w:tcPr>
            <w:tcW w:w="4970" w:type="dxa"/>
            <w:vAlign w:val="center"/>
          </w:tcPr>
          <w:p>
            <w:pPr>
              <w:pStyle w:val="13"/>
            </w:pPr>
            <w:r>
              <w:t>反映年内作业点作业次数</w:t>
            </w:r>
          </w:p>
        </w:tc>
        <w:tc>
          <w:tcPr>
            <w:tcW w:w="2240" w:type="dxa"/>
            <w:vAlign w:val="center"/>
          </w:tcPr>
          <w:p>
            <w:pPr>
              <w:pStyle w:val="13"/>
            </w:pPr>
            <w:r>
              <w:t>≥5次</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作业点作业次数占比率</w:t>
            </w:r>
          </w:p>
        </w:tc>
        <w:tc>
          <w:tcPr>
            <w:tcW w:w="4970" w:type="dxa"/>
            <w:vAlign w:val="center"/>
          </w:tcPr>
          <w:p>
            <w:pPr>
              <w:pStyle w:val="13"/>
            </w:pPr>
            <w:r>
              <w:t>反映年内作业点作业次数占恶劣天气的比例</w:t>
            </w:r>
          </w:p>
        </w:tc>
        <w:tc>
          <w:tcPr>
            <w:tcW w:w="2240" w:type="dxa"/>
            <w:vAlign w:val="center"/>
          </w:tcPr>
          <w:p>
            <w:pPr>
              <w:pStyle w:val="13"/>
            </w:pPr>
            <w:r>
              <w:t>≥95%</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作业点完成作业时限</w:t>
            </w:r>
          </w:p>
        </w:tc>
        <w:tc>
          <w:tcPr>
            <w:tcW w:w="4970" w:type="dxa"/>
            <w:vAlign w:val="center"/>
          </w:tcPr>
          <w:p>
            <w:pPr>
              <w:pStyle w:val="13"/>
            </w:pPr>
            <w:r>
              <w:t>反映作业点年内完成作业的时间</w:t>
            </w:r>
          </w:p>
        </w:tc>
        <w:tc>
          <w:tcPr>
            <w:tcW w:w="2240" w:type="dxa"/>
            <w:vAlign w:val="center"/>
          </w:tcPr>
          <w:p>
            <w:pPr>
              <w:pStyle w:val="13"/>
            </w:pPr>
            <w:r>
              <w:t>10月底之前</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4970" w:type="dxa"/>
            <w:vAlign w:val="center"/>
          </w:tcPr>
          <w:p>
            <w:pPr>
              <w:pStyle w:val="13"/>
            </w:pPr>
            <w:r>
              <w:t>反映作业点人工及维护费用</w:t>
            </w:r>
          </w:p>
        </w:tc>
        <w:tc>
          <w:tcPr>
            <w:tcW w:w="2240" w:type="dxa"/>
            <w:vAlign w:val="center"/>
          </w:tcPr>
          <w:p>
            <w:pPr>
              <w:pStyle w:val="13"/>
            </w:pPr>
            <w:r>
              <w:t>≤2万元</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4970" w:type="dxa"/>
            <w:vAlign w:val="center"/>
          </w:tcPr>
          <w:p>
            <w:pPr>
              <w:pStyle w:val="13"/>
            </w:pPr>
            <w:r>
              <w:t>反映作业点已购买原材料的费用</w:t>
            </w:r>
          </w:p>
        </w:tc>
        <w:tc>
          <w:tcPr>
            <w:tcW w:w="2240" w:type="dxa"/>
            <w:vAlign w:val="center"/>
          </w:tcPr>
          <w:p>
            <w:pPr>
              <w:pStyle w:val="13"/>
            </w:pPr>
            <w:r>
              <w:t>≤1万元</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果农认知率</w:t>
            </w:r>
          </w:p>
        </w:tc>
        <w:tc>
          <w:tcPr>
            <w:tcW w:w="4970" w:type="dxa"/>
            <w:vAlign w:val="center"/>
          </w:tcPr>
          <w:p>
            <w:pPr>
              <w:pStyle w:val="13"/>
            </w:pPr>
            <w:r>
              <w:t>反映果农对作业点的认知率</w:t>
            </w:r>
          </w:p>
        </w:tc>
        <w:tc>
          <w:tcPr>
            <w:tcW w:w="2240" w:type="dxa"/>
            <w:vAlign w:val="center"/>
          </w:tcPr>
          <w:p>
            <w:pPr>
              <w:pStyle w:val="13"/>
            </w:pPr>
            <w:r>
              <w:t>≥95%</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增加果农收入</w:t>
            </w:r>
          </w:p>
        </w:tc>
        <w:tc>
          <w:tcPr>
            <w:tcW w:w="4970" w:type="dxa"/>
            <w:vAlign w:val="center"/>
          </w:tcPr>
          <w:p>
            <w:pPr>
              <w:pStyle w:val="13"/>
            </w:pPr>
            <w:r>
              <w:t>反映作业点对果农收入的增加</w:t>
            </w:r>
          </w:p>
        </w:tc>
        <w:tc>
          <w:tcPr>
            <w:tcW w:w="2240" w:type="dxa"/>
            <w:vAlign w:val="center"/>
          </w:tcPr>
          <w:p>
            <w:pPr>
              <w:pStyle w:val="13"/>
            </w:pPr>
            <w:r>
              <w:t>≥1000元</w:t>
            </w:r>
          </w:p>
        </w:tc>
        <w:tc>
          <w:tcPr>
            <w:tcW w:w="172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果农对作业点的满意度</w:t>
            </w:r>
          </w:p>
        </w:tc>
        <w:tc>
          <w:tcPr>
            <w:tcW w:w="4970" w:type="dxa"/>
            <w:vAlign w:val="center"/>
          </w:tcPr>
          <w:p>
            <w:pPr>
              <w:pStyle w:val="13"/>
            </w:pPr>
            <w:r>
              <w:t>反映果农对作业点的满意度</w:t>
            </w:r>
          </w:p>
        </w:tc>
        <w:tc>
          <w:tcPr>
            <w:tcW w:w="2240" w:type="dxa"/>
            <w:vAlign w:val="center"/>
          </w:tcPr>
          <w:p>
            <w:pPr>
              <w:pStyle w:val="13"/>
            </w:pPr>
            <w:r>
              <w:t>≥95%</w:t>
            </w:r>
          </w:p>
        </w:tc>
        <w:tc>
          <w:tcPr>
            <w:tcW w:w="172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13032126P003283101638</w:t>
            </w:r>
          </w:p>
        </w:tc>
        <w:tc>
          <w:tcPr>
            <w:tcW w:w="2835" w:type="dxa"/>
            <w:vAlign w:val="center"/>
          </w:tcPr>
          <w:p>
            <w:pPr>
              <w:pStyle w:val="11"/>
            </w:pPr>
            <w:r>
              <w:t>项目名称</w:t>
            </w:r>
          </w:p>
        </w:tc>
        <w:tc>
          <w:tcPr>
            <w:tcW w:w="6095" w:type="dxa"/>
            <w:gridSpan w:val="3"/>
            <w:vAlign w:val="center"/>
          </w:tcPr>
          <w:p>
            <w:pPr>
              <w:pStyle w:val="13"/>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1.通过项目实施，保障扶贫工作的正常进行。</w:t>
            </w:r>
            <w:r>
              <w:tab/>
            </w:r>
            <w:r>
              <w:tab/>
            </w:r>
            <w:r>
              <w:tab/>
            </w:r>
            <w:r>
              <w:tab/>
            </w:r>
            <w:r>
              <w:tab/>
            </w:r>
          </w:p>
          <w:p>
            <w:pPr>
              <w:pStyle w:val="13"/>
            </w:pPr>
            <w:r>
              <w:t>2.通过完成脱贫攻坚任务，提供有力保障。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0"/>
        <w:gridCol w:w="1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90" w:type="dxa"/>
            <w:vAlign w:val="center"/>
          </w:tcPr>
          <w:p>
            <w:pPr>
              <w:pStyle w:val="11"/>
            </w:pPr>
            <w:r>
              <w:t>指标值</w:t>
            </w:r>
          </w:p>
        </w:tc>
        <w:tc>
          <w:tcPr>
            <w:tcW w:w="16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贫困村脱贫出列个数</w:t>
            </w:r>
          </w:p>
        </w:tc>
        <w:tc>
          <w:tcPr>
            <w:tcW w:w="5386" w:type="dxa"/>
            <w:vAlign w:val="center"/>
          </w:tcPr>
          <w:p>
            <w:pPr>
              <w:pStyle w:val="13"/>
            </w:pPr>
            <w:r>
              <w:t>建档立卡贫困村脱贫出列数量</w:t>
            </w:r>
          </w:p>
        </w:tc>
        <w:tc>
          <w:tcPr>
            <w:tcW w:w="1890" w:type="dxa"/>
            <w:vAlign w:val="center"/>
          </w:tcPr>
          <w:p>
            <w:pPr>
              <w:pStyle w:val="13"/>
            </w:pPr>
            <w:r>
              <w:t>4个</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农村脱贫人口比例</w:t>
            </w:r>
          </w:p>
        </w:tc>
        <w:tc>
          <w:tcPr>
            <w:tcW w:w="5386" w:type="dxa"/>
            <w:vAlign w:val="center"/>
          </w:tcPr>
          <w:p>
            <w:pPr>
              <w:pStyle w:val="13"/>
            </w:pPr>
            <w:r>
              <w:t>年度计划脱贫人口数量占贫困人口总数的比例</w:t>
            </w:r>
          </w:p>
        </w:tc>
        <w:tc>
          <w:tcPr>
            <w:tcW w:w="1890" w:type="dxa"/>
            <w:vAlign w:val="center"/>
          </w:tcPr>
          <w:p>
            <w:pPr>
              <w:pStyle w:val="13"/>
            </w:pPr>
            <w:r>
              <w:t>≥95%</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工作及时率</w:t>
            </w:r>
          </w:p>
        </w:tc>
        <w:tc>
          <w:tcPr>
            <w:tcW w:w="5386" w:type="dxa"/>
            <w:vAlign w:val="center"/>
          </w:tcPr>
          <w:p>
            <w:pPr>
              <w:pStyle w:val="13"/>
            </w:pPr>
            <w:r>
              <w:t>各项工作按年度计划完成</w:t>
            </w:r>
          </w:p>
        </w:tc>
        <w:tc>
          <w:tcPr>
            <w:tcW w:w="1890" w:type="dxa"/>
            <w:vAlign w:val="center"/>
          </w:tcPr>
          <w:p>
            <w:pPr>
              <w:pStyle w:val="13"/>
            </w:pPr>
            <w:r>
              <w:t>100%</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扶贫工作交通费支出</w:t>
            </w:r>
          </w:p>
        </w:tc>
        <w:tc>
          <w:tcPr>
            <w:tcW w:w="5386" w:type="dxa"/>
            <w:vAlign w:val="center"/>
          </w:tcPr>
          <w:p>
            <w:pPr>
              <w:pStyle w:val="13"/>
            </w:pPr>
            <w:r>
              <w:t>下乡扶贫的租车等交通费用支出</w:t>
            </w:r>
          </w:p>
        </w:tc>
        <w:tc>
          <w:tcPr>
            <w:tcW w:w="1890" w:type="dxa"/>
            <w:vAlign w:val="center"/>
          </w:tcPr>
          <w:p>
            <w:pPr>
              <w:pStyle w:val="13"/>
            </w:pPr>
            <w:r>
              <w:t>≤0.5万元</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扶贫工作办公费支出</w:t>
            </w:r>
          </w:p>
        </w:tc>
        <w:tc>
          <w:tcPr>
            <w:tcW w:w="5386" w:type="dxa"/>
            <w:vAlign w:val="center"/>
          </w:tcPr>
          <w:p>
            <w:pPr>
              <w:pStyle w:val="13"/>
            </w:pPr>
            <w:r>
              <w:t>用于下乡扶贫工作办公经费支出</w:t>
            </w:r>
          </w:p>
        </w:tc>
        <w:tc>
          <w:tcPr>
            <w:tcW w:w="1890" w:type="dxa"/>
            <w:vAlign w:val="center"/>
          </w:tcPr>
          <w:p>
            <w:pPr>
              <w:pStyle w:val="13"/>
            </w:pPr>
            <w:r>
              <w:t>≤0.5万元</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扶贫保障工作完成</w:t>
            </w:r>
          </w:p>
        </w:tc>
        <w:tc>
          <w:tcPr>
            <w:tcW w:w="5386" w:type="dxa"/>
            <w:vAlign w:val="center"/>
          </w:tcPr>
          <w:p>
            <w:pPr>
              <w:pStyle w:val="13"/>
            </w:pPr>
            <w:r>
              <w:t>反应保障脱贫工作的正常运行，解决下乡扶贫的后勤问题</w:t>
            </w:r>
          </w:p>
        </w:tc>
        <w:tc>
          <w:tcPr>
            <w:tcW w:w="1890" w:type="dxa"/>
            <w:vAlign w:val="center"/>
          </w:tcPr>
          <w:p>
            <w:pPr>
              <w:pStyle w:val="13"/>
            </w:pPr>
            <w:r>
              <w:t>100%</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贫困村农民人均纯收入增长率（%）</w:t>
            </w:r>
          </w:p>
        </w:tc>
        <w:tc>
          <w:tcPr>
            <w:tcW w:w="5386" w:type="dxa"/>
            <w:vAlign w:val="center"/>
          </w:tcPr>
          <w:p>
            <w:pPr>
              <w:pStyle w:val="13"/>
            </w:pPr>
            <w:r>
              <w:t>贫困村农民人均纯收入的同比增长率</w:t>
            </w:r>
          </w:p>
        </w:tc>
        <w:tc>
          <w:tcPr>
            <w:tcW w:w="1890" w:type="dxa"/>
            <w:vAlign w:val="center"/>
          </w:tcPr>
          <w:p>
            <w:pPr>
              <w:pStyle w:val="13"/>
            </w:pPr>
            <w:r>
              <w:t>≥20%</w:t>
            </w:r>
          </w:p>
        </w:tc>
        <w:tc>
          <w:tcPr>
            <w:tcW w:w="165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贫困人员满意度</w:t>
            </w:r>
          </w:p>
        </w:tc>
        <w:tc>
          <w:tcPr>
            <w:tcW w:w="5386" w:type="dxa"/>
            <w:vAlign w:val="center"/>
          </w:tcPr>
          <w:p>
            <w:pPr>
              <w:pStyle w:val="13"/>
            </w:pPr>
            <w:r>
              <w:t>被帮扶贫困人员对扶贫工作的满意度</w:t>
            </w:r>
          </w:p>
        </w:tc>
        <w:tc>
          <w:tcPr>
            <w:tcW w:w="1890" w:type="dxa"/>
            <w:vAlign w:val="center"/>
          </w:tcPr>
          <w:p>
            <w:pPr>
              <w:pStyle w:val="13"/>
            </w:pPr>
            <w:r>
              <w:t>≥90%</w:t>
            </w:r>
          </w:p>
        </w:tc>
        <w:tc>
          <w:tcPr>
            <w:tcW w:w="165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13032126P00333710064W</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预算安排5万元，其中财政拨款5万元，主要用于信访工作经费。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r>
              <w:tab/>
            </w:r>
            <w:r>
              <w:tab/>
            </w:r>
            <w:r>
              <w:tab/>
            </w:r>
            <w:r>
              <w:tab/>
            </w:r>
            <w:r>
              <w:tab/>
            </w:r>
            <w:r>
              <w:tab/>
            </w:r>
          </w:p>
          <w:p>
            <w:pPr>
              <w:pStyle w:val="13"/>
            </w:pPr>
            <w:r>
              <w:t>2.妥善处理突发性、群体性事件；搞好村级治安工作，深化农村平安创建工作。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77"/>
        <w:gridCol w:w="1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77" w:type="dxa"/>
            <w:vAlign w:val="center"/>
          </w:tcPr>
          <w:p>
            <w:pPr>
              <w:pStyle w:val="11"/>
            </w:pPr>
            <w:r>
              <w:t>指标值</w:t>
            </w:r>
          </w:p>
        </w:tc>
        <w:tc>
          <w:tcPr>
            <w:tcW w:w="166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877" w:type="dxa"/>
            <w:vAlign w:val="center"/>
          </w:tcPr>
          <w:p>
            <w:pPr>
              <w:pStyle w:val="13"/>
            </w:pPr>
            <w:r>
              <w:t>≥2500份</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877" w:type="dxa"/>
            <w:vAlign w:val="center"/>
          </w:tcPr>
          <w:p>
            <w:pPr>
              <w:pStyle w:val="13"/>
            </w:pPr>
            <w:r>
              <w:t>≥50次</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877" w:type="dxa"/>
            <w:vAlign w:val="center"/>
          </w:tcPr>
          <w:p>
            <w:pPr>
              <w:pStyle w:val="13"/>
            </w:pPr>
            <w:r>
              <w:t>100%</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877" w:type="dxa"/>
            <w:vAlign w:val="center"/>
          </w:tcPr>
          <w:p>
            <w:pPr>
              <w:pStyle w:val="13"/>
            </w:pPr>
            <w:r>
              <w:t>≤12月</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1877" w:type="dxa"/>
            <w:vAlign w:val="center"/>
          </w:tcPr>
          <w:p>
            <w:pPr>
              <w:pStyle w:val="13"/>
            </w:pPr>
            <w:r>
              <w:t>≤1万元</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1877" w:type="dxa"/>
            <w:vAlign w:val="center"/>
          </w:tcPr>
          <w:p>
            <w:pPr>
              <w:pStyle w:val="13"/>
            </w:pPr>
            <w:r>
              <w:t>≤1万元</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1877" w:type="dxa"/>
            <w:vAlign w:val="center"/>
          </w:tcPr>
          <w:p>
            <w:pPr>
              <w:pStyle w:val="13"/>
            </w:pPr>
            <w:r>
              <w:t>≤3万元</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877" w:type="dxa"/>
            <w:vAlign w:val="center"/>
          </w:tcPr>
          <w:p>
            <w:pPr>
              <w:pStyle w:val="13"/>
            </w:pPr>
            <w:r>
              <w:t>≥90%</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877" w:type="dxa"/>
            <w:vAlign w:val="center"/>
          </w:tcPr>
          <w:p>
            <w:pPr>
              <w:pStyle w:val="13"/>
            </w:pPr>
            <w:r>
              <w:t>≥90%</w:t>
            </w:r>
          </w:p>
        </w:tc>
        <w:tc>
          <w:tcPr>
            <w:tcW w:w="16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877" w:type="dxa"/>
            <w:vAlign w:val="center"/>
          </w:tcPr>
          <w:p>
            <w:pPr>
              <w:pStyle w:val="13"/>
            </w:pPr>
            <w:r>
              <w:t>≥95%</w:t>
            </w:r>
          </w:p>
        </w:tc>
        <w:tc>
          <w:tcPr>
            <w:tcW w:w="1667"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13032126P00000610038D</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w:t>
            </w:r>
          </w:p>
        </w:tc>
        <w:tc>
          <w:tcPr>
            <w:tcW w:w="2835" w:type="dxa"/>
            <w:vAlign w:val="center"/>
          </w:tcPr>
          <w:p>
            <w:pPr>
              <w:pStyle w:val="11"/>
            </w:pPr>
            <w:r>
              <w:t>其中：财政    资金</w:t>
            </w:r>
          </w:p>
        </w:tc>
        <w:tc>
          <w:tcPr>
            <w:tcW w:w="2551" w:type="dxa"/>
            <w:vAlign w:val="center"/>
          </w:tcPr>
          <w:p>
            <w:pPr>
              <w:pStyle w:val="13"/>
            </w:pPr>
            <w:r>
              <w:t>1.33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预算安排1.33万元，其中财政拨款1.33万元，主要用于严重精神障碍患者监护人责任险。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1.通过为严重精神障碍患者监护人办理相关保险业，预防严重精神障碍患者伤及人身、损坏财物事件发生。</w:t>
            </w:r>
            <w:r>
              <w:tab/>
            </w:r>
            <w:r>
              <w:tab/>
            </w:r>
            <w:r>
              <w:tab/>
            </w:r>
            <w:r>
              <w:tab/>
            </w:r>
            <w:r>
              <w:tab/>
            </w:r>
            <w:r>
              <w:tab/>
            </w:r>
          </w:p>
          <w:p>
            <w:pPr>
              <w:pStyle w:val="13"/>
            </w:pPr>
            <w:r>
              <w:t>2.通过政府出资投保的方式，通过保险理赔，减少监护人损失、增强监护人、当事人社会保障，从而化解事后风险。</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79"/>
        <w:gridCol w:w="2054"/>
        <w:gridCol w:w="6656"/>
        <w:gridCol w:w="1997"/>
        <w:gridCol w:w="15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79" w:type="dxa"/>
            <w:vAlign w:val="center"/>
          </w:tcPr>
          <w:p>
            <w:pPr>
              <w:pStyle w:val="11"/>
            </w:pPr>
            <w:r>
              <w:t>二级指标</w:t>
            </w:r>
          </w:p>
        </w:tc>
        <w:tc>
          <w:tcPr>
            <w:tcW w:w="2054" w:type="dxa"/>
            <w:vAlign w:val="center"/>
          </w:tcPr>
          <w:p>
            <w:pPr>
              <w:pStyle w:val="11"/>
            </w:pPr>
            <w:r>
              <w:t>三级指标</w:t>
            </w:r>
          </w:p>
        </w:tc>
        <w:tc>
          <w:tcPr>
            <w:tcW w:w="6656" w:type="dxa"/>
            <w:vAlign w:val="center"/>
          </w:tcPr>
          <w:p>
            <w:pPr>
              <w:pStyle w:val="11"/>
            </w:pPr>
            <w:r>
              <w:t>绩效指标描述</w:t>
            </w:r>
          </w:p>
        </w:tc>
        <w:tc>
          <w:tcPr>
            <w:tcW w:w="1997" w:type="dxa"/>
            <w:vAlign w:val="center"/>
          </w:tcPr>
          <w:p>
            <w:pPr>
              <w:pStyle w:val="11"/>
            </w:pPr>
            <w:r>
              <w:t>指标值</w:t>
            </w:r>
          </w:p>
        </w:tc>
        <w:tc>
          <w:tcPr>
            <w:tcW w:w="154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79" w:type="dxa"/>
            <w:vAlign w:val="center"/>
          </w:tcPr>
          <w:p>
            <w:pPr>
              <w:pStyle w:val="13"/>
            </w:pPr>
            <w:r>
              <w:t>质量指标</w:t>
            </w:r>
          </w:p>
        </w:tc>
        <w:tc>
          <w:tcPr>
            <w:tcW w:w="2054" w:type="dxa"/>
            <w:vAlign w:val="center"/>
          </w:tcPr>
          <w:p>
            <w:pPr>
              <w:pStyle w:val="13"/>
            </w:pPr>
            <w:r>
              <w:t>办结率</w:t>
            </w:r>
          </w:p>
        </w:tc>
        <w:tc>
          <w:tcPr>
            <w:tcW w:w="6656" w:type="dxa"/>
            <w:vAlign w:val="center"/>
          </w:tcPr>
          <w:p>
            <w:pPr>
              <w:pStyle w:val="13"/>
            </w:pPr>
            <w:r>
              <w:t>责任险报销事项实际在规定时间内及时办结的件数占应在规定时间内及时办结的件数的比率</w:t>
            </w:r>
          </w:p>
        </w:tc>
        <w:tc>
          <w:tcPr>
            <w:tcW w:w="1997" w:type="dxa"/>
            <w:vAlign w:val="center"/>
          </w:tcPr>
          <w:p>
            <w:pPr>
              <w:pStyle w:val="13"/>
            </w:pPr>
            <w:r>
              <w:t>≥98%</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数量指标</w:t>
            </w:r>
          </w:p>
        </w:tc>
        <w:tc>
          <w:tcPr>
            <w:tcW w:w="2054" w:type="dxa"/>
            <w:vAlign w:val="center"/>
          </w:tcPr>
          <w:p>
            <w:pPr>
              <w:pStyle w:val="13"/>
            </w:pPr>
            <w:r>
              <w:t>享受责任险人数</w:t>
            </w:r>
          </w:p>
        </w:tc>
        <w:tc>
          <w:tcPr>
            <w:tcW w:w="6656" w:type="dxa"/>
            <w:vAlign w:val="center"/>
          </w:tcPr>
          <w:p>
            <w:pPr>
              <w:pStyle w:val="13"/>
            </w:pPr>
            <w:r>
              <w:t>享受严重精神障碍患者监护人责任险的人数</w:t>
            </w:r>
          </w:p>
        </w:tc>
        <w:tc>
          <w:tcPr>
            <w:tcW w:w="1997" w:type="dxa"/>
            <w:vAlign w:val="center"/>
          </w:tcPr>
          <w:p>
            <w:pPr>
              <w:pStyle w:val="13"/>
            </w:pPr>
            <w:r>
              <w:t>133人</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时效指标</w:t>
            </w:r>
          </w:p>
        </w:tc>
        <w:tc>
          <w:tcPr>
            <w:tcW w:w="2054" w:type="dxa"/>
            <w:vAlign w:val="center"/>
          </w:tcPr>
          <w:p>
            <w:pPr>
              <w:pStyle w:val="13"/>
            </w:pPr>
            <w:r>
              <w:t>缴纳保险及时率</w:t>
            </w:r>
          </w:p>
        </w:tc>
        <w:tc>
          <w:tcPr>
            <w:tcW w:w="6656" w:type="dxa"/>
            <w:vAlign w:val="center"/>
          </w:tcPr>
          <w:p>
            <w:pPr>
              <w:pStyle w:val="13"/>
            </w:pPr>
            <w:r>
              <w:t>反映及时足额缴纳保险时间</w:t>
            </w:r>
          </w:p>
        </w:tc>
        <w:tc>
          <w:tcPr>
            <w:tcW w:w="1997" w:type="dxa"/>
            <w:vAlign w:val="center"/>
          </w:tcPr>
          <w:p>
            <w:pPr>
              <w:pStyle w:val="13"/>
            </w:pPr>
            <w:r>
              <w:t>10月前</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质量指标</w:t>
            </w:r>
          </w:p>
        </w:tc>
        <w:tc>
          <w:tcPr>
            <w:tcW w:w="2054" w:type="dxa"/>
            <w:vAlign w:val="center"/>
          </w:tcPr>
          <w:p>
            <w:pPr>
              <w:pStyle w:val="13"/>
            </w:pPr>
            <w:r>
              <w:t>参保率</w:t>
            </w:r>
          </w:p>
        </w:tc>
        <w:tc>
          <w:tcPr>
            <w:tcW w:w="6656" w:type="dxa"/>
            <w:vAlign w:val="center"/>
          </w:tcPr>
          <w:p>
            <w:pPr>
              <w:pStyle w:val="13"/>
            </w:pPr>
            <w:r>
              <w:t>已参保人数占应参保人数的比率</w:t>
            </w:r>
          </w:p>
        </w:tc>
        <w:tc>
          <w:tcPr>
            <w:tcW w:w="1997" w:type="dxa"/>
            <w:vAlign w:val="center"/>
          </w:tcPr>
          <w:p>
            <w:pPr>
              <w:pStyle w:val="13"/>
            </w:pPr>
            <w:r>
              <w:t>100%</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时效指标</w:t>
            </w:r>
          </w:p>
        </w:tc>
        <w:tc>
          <w:tcPr>
            <w:tcW w:w="2054" w:type="dxa"/>
            <w:vAlign w:val="center"/>
          </w:tcPr>
          <w:p>
            <w:pPr>
              <w:pStyle w:val="13"/>
            </w:pPr>
            <w:r>
              <w:t>发放及时率</w:t>
            </w:r>
          </w:p>
        </w:tc>
        <w:tc>
          <w:tcPr>
            <w:tcW w:w="6656" w:type="dxa"/>
            <w:vAlign w:val="center"/>
          </w:tcPr>
          <w:p>
            <w:pPr>
              <w:pStyle w:val="13"/>
            </w:pPr>
            <w:r>
              <w:t>反映及时足额发放保险</w:t>
            </w:r>
          </w:p>
        </w:tc>
        <w:tc>
          <w:tcPr>
            <w:tcW w:w="1997" w:type="dxa"/>
            <w:vAlign w:val="center"/>
          </w:tcPr>
          <w:p>
            <w:pPr>
              <w:pStyle w:val="13"/>
            </w:pPr>
            <w:r>
              <w:t>年底</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成本指标</w:t>
            </w:r>
          </w:p>
        </w:tc>
        <w:tc>
          <w:tcPr>
            <w:tcW w:w="2054" w:type="dxa"/>
            <w:vAlign w:val="center"/>
          </w:tcPr>
          <w:p>
            <w:pPr>
              <w:pStyle w:val="13"/>
            </w:pPr>
            <w:r>
              <w:t>补助标准</w:t>
            </w:r>
          </w:p>
        </w:tc>
        <w:tc>
          <w:tcPr>
            <w:tcW w:w="6656" w:type="dxa"/>
            <w:vAlign w:val="center"/>
          </w:tcPr>
          <w:p>
            <w:pPr>
              <w:pStyle w:val="13"/>
            </w:pPr>
            <w:r>
              <w:t>给予严重精神障碍患者监护人每人每年支付保险的费用</w:t>
            </w:r>
          </w:p>
        </w:tc>
        <w:tc>
          <w:tcPr>
            <w:tcW w:w="1997" w:type="dxa"/>
            <w:vAlign w:val="center"/>
          </w:tcPr>
          <w:p>
            <w:pPr>
              <w:pStyle w:val="13"/>
            </w:pPr>
            <w:r>
              <w:t>100元</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时效指标</w:t>
            </w:r>
          </w:p>
        </w:tc>
        <w:tc>
          <w:tcPr>
            <w:tcW w:w="2054" w:type="dxa"/>
            <w:vAlign w:val="center"/>
          </w:tcPr>
          <w:p>
            <w:pPr>
              <w:pStyle w:val="13"/>
            </w:pPr>
            <w:r>
              <w:t>责任险报销及时率</w:t>
            </w:r>
          </w:p>
        </w:tc>
        <w:tc>
          <w:tcPr>
            <w:tcW w:w="6656" w:type="dxa"/>
            <w:vAlign w:val="center"/>
          </w:tcPr>
          <w:p>
            <w:pPr>
              <w:pStyle w:val="13"/>
            </w:pPr>
            <w:r>
              <w:t>责任险报销事项实际在规定时间内及时办结的件数占应在规定时间内及时办结的件数的比</w:t>
            </w:r>
          </w:p>
        </w:tc>
        <w:tc>
          <w:tcPr>
            <w:tcW w:w="1997" w:type="dxa"/>
            <w:vAlign w:val="center"/>
          </w:tcPr>
          <w:p>
            <w:pPr>
              <w:pStyle w:val="13"/>
            </w:pPr>
            <w:r>
              <w:t>≥95%</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779" w:type="dxa"/>
            <w:vAlign w:val="center"/>
          </w:tcPr>
          <w:p>
            <w:pPr>
              <w:pStyle w:val="13"/>
            </w:pPr>
            <w:r>
              <w:t>社会效益指标</w:t>
            </w:r>
          </w:p>
        </w:tc>
        <w:tc>
          <w:tcPr>
            <w:tcW w:w="2054" w:type="dxa"/>
            <w:vAlign w:val="center"/>
          </w:tcPr>
          <w:p>
            <w:pPr>
              <w:pStyle w:val="13"/>
            </w:pPr>
            <w:r>
              <w:t>提高监护人保障</w:t>
            </w:r>
          </w:p>
        </w:tc>
        <w:tc>
          <w:tcPr>
            <w:tcW w:w="6656" w:type="dxa"/>
            <w:vAlign w:val="center"/>
          </w:tcPr>
          <w:p>
            <w:pPr>
              <w:pStyle w:val="13"/>
            </w:pPr>
            <w:r>
              <w:t>减少监护人损失、增强监护人、当事人社会保障，从而化解事后风险</w:t>
            </w:r>
          </w:p>
        </w:tc>
        <w:tc>
          <w:tcPr>
            <w:tcW w:w="1997" w:type="dxa"/>
            <w:vAlign w:val="center"/>
          </w:tcPr>
          <w:p>
            <w:pPr>
              <w:pStyle w:val="13"/>
            </w:pPr>
            <w:r>
              <w:t>133人</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社会效益指标</w:t>
            </w:r>
          </w:p>
        </w:tc>
        <w:tc>
          <w:tcPr>
            <w:tcW w:w="2054" w:type="dxa"/>
            <w:vAlign w:val="center"/>
          </w:tcPr>
          <w:p>
            <w:pPr>
              <w:pStyle w:val="13"/>
            </w:pPr>
            <w:r>
              <w:t>提高监护人保障</w:t>
            </w:r>
          </w:p>
        </w:tc>
        <w:tc>
          <w:tcPr>
            <w:tcW w:w="6656" w:type="dxa"/>
            <w:vAlign w:val="center"/>
          </w:tcPr>
          <w:p>
            <w:pPr>
              <w:pStyle w:val="13"/>
            </w:pPr>
            <w:r>
              <w:t>减少监护人损失、增强监护人、当事人社会保障，从而化解事后风险</w:t>
            </w:r>
          </w:p>
        </w:tc>
        <w:tc>
          <w:tcPr>
            <w:tcW w:w="1997" w:type="dxa"/>
            <w:vAlign w:val="center"/>
          </w:tcPr>
          <w:p>
            <w:pPr>
              <w:pStyle w:val="13"/>
            </w:pPr>
            <w:r>
              <w:t>133人</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9" w:type="dxa"/>
            <w:vAlign w:val="center"/>
          </w:tcPr>
          <w:p>
            <w:pPr>
              <w:pStyle w:val="13"/>
            </w:pPr>
            <w:r>
              <w:t>社会效益指标</w:t>
            </w:r>
          </w:p>
        </w:tc>
        <w:tc>
          <w:tcPr>
            <w:tcW w:w="2054" w:type="dxa"/>
            <w:vAlign w:val="center"/>
          </w:tcPr>
          <w:p>
            <w:pPr>
              <w:pStyle w:val="13"/>
            </w:pPr>
            <w:r>
              <w:t>提高监护人保障</w:t>
            </w:r>
          </w:p>
        </w:tc>
        <w:tc>
          <w:tcPr>
            <w:tcW w:w="6656" w:type="dxa"/>
            <w:vAlign w:val="center"/>
          </w:tcPr>
          <w:p>
            <w:pPr>
              <w:pStyle w:val="13"/>
            </w:pPr>
            <w:r>
              <w:t>减少监护人损失、增强监护人、当事人社会保障，从而化解事后风险</w:t>
            </w:r>
          </w:p>
        </w:tc>
        <w:tc>
          <w:tcPr>
            <w:tcW w:w="1997" w:type="dxa"/>
            <w:vAlign w:val="center"/>
          </w:tcPr>
          <w:p>
            <w:pPr>
              <w:pStyle w:val="13"/>
            </w:pPr>
            <w:r>
              <w:t>133人</w:t>
            </w:r>
          </w:p>
        </w:tc>
        <w:tc>
          <w:tcPr>
            <w:tcW w:w="154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79" w:type="dxa"/>
            <w:vAlign w:val="center"/>
          </w:tcPr>
          <w:p>
            <w:pPr>
              <w:pStyle w:val="13"/>
            </w:pPr>
            <w:r>
              <w:t>服务对象满意度指标</w:t>
            </w:r>
          </w:p>
        </w:tc>
        <w:tc>
          <w:tcPr>
            <w:tcW w:w="2054" w:type="dxa"/>
            <w:vAlign w:val="center"/>
          </w:tcPr>
          <w:p>
            <w:pPr>
              <w:pStyle w:val="13"/>
            </w:pPr>
            <w:r>
              <w:t>被保险人满意度</w:t>
            </w:r>
          </w:p>
        </w:tc>
        <w:tc>
          <w:tcPr>
            <w:tcW w:w="6656" w:type="dxa"/>
            <w:vAlign w:val="center"/>
          </w:tcPr>
          <w:p>
            <w:pPr>
              <w:pStyle w:val="13"/>
            </w:pPr>
            <w:r>
              <w:t>被保险监护人对保险服务的满意程度</w:t>
            </w:r>
          </w:p>
        </w:tc>
        <w:tc>
          <w:tcPr>
            <w:tcW w:w="1997" w:type="dxa"/>
            <w:vAlign w:val="center"/>
          </w:tcPr>
          <w:p>
            <w:pPr>
              <w:pStyle w:val="13"/>
            </w:pPr>
            <w:r>
              <w:t>≥95%</w:t>
            </w:r>
          </w:p>
        </w:tc>
        <w:tc>
          <w:tcPr>
            <w:tcW w:w="1547"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911土门子镇</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6.10</w:t>
            </w:r>
          </w:p>
        </w:tc>
        <w:tc>
          <w:tcPr>
            <w:tcW w:w="964" w:type="dxa"/>
            <w:vAlign w:val="center"/>
          </w:tcPr>
          <w:p>
            <w:pPr>
              <w:pStyle w:val="16"/>
            </w:pPr>
            <w:r>
              <w:t>6.10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土门子镇人民政府本级小计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6.10</w:t>
            </w:r>
          </w:p>
        </w:tc>
        <w:tc>
          <w:tcPr>
            <w:tcW w:w="964" w:type="dxa"/>
            <w:vAlign w:val="center"/>
          </w:tcPr>
          <w:p>
            <w:pPr>
              <w:pStyle w:val="16"/>
            </w:pPr>
            <w:r>
              <w:t>6.10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70.29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3000</w:t>
            </w:r>
          </w:p>
        </w:tc>
        <w:tc>
          <w:tcPr>
            <w:tcW w:w="850" w:type="dxa"/>
            <w:vAlign w:val="center"/>
          </w:tcPr>
          <w:p>
            <w:pPr>
              <w:pStyle w:val="12"/>
            </w:pPr>
            <w:r>
              <w:t>0.00</w:t>
            </w:r>
          </w:p>
        </w:tc>
        <w:tc>
          <w:tcPr>
            <w:tcW w:w="964" w:type="dxa"/>
            <w:vAlign w:val="center"/>
          </w:tcPr>
          <w:p>
            <w:pPr>
              <w:pStyle w:val="12"/>
            </w:pPr>
            <w:r>
              <w:t>5.10</w:t>
            </w:r>
          </w:p>
        </w:tc>
        <w:tc>
          <w:tcPr>
            <w:tcW w:w="964" w:type="dxa"/>
            <w:vAlign w:val="center"/>
          </w:tcPr>
          <w:p>
            <w:pPr>
              <w:pStyle w:val="12"/>
            </w:pPr>
            <w:r>
              <w:t>5.10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70.29</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土门子镇（含所属单位）上年末固定资产金额为786.71万元（详见下表）。本年度拟购置固定资产总额为0.00万元，已按要求列入政府采购预算，详见政府采购预算表。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911土门子镇</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786.71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3638</w:t>
            </w:r>
          </w:p>
        </w:tc>
        <w:tc>
          <w:tcPr>
            <w:tcW w:w="2835" w:type="dxa"/>
            <w:vAlign w:val="center"/>
          </w:tcPr>
          <w:p>
            <w:pPr>
              <w:pStyle w:val="12"/>
            </w:pPr>
            <w:r>
              <w:t>729.07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3500</w:t>
            </w:r>
          </w:p>
        </w:tc>
        <w:tc>
          <w:tcPr>
            <w:tcW w:w="2835" w:type="dxa"/>
            <w:vAlign w:val="center"/>
          </w:tcPr>
          <w:p>
            <w:pPr>
              <w:pStyle w:val="12"/>
            </w:pPr>
            <w:r>
              <w:t>671.43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440</w:t>
            </w:r>
          </w:p>
        </w:tc>
        <w:tc>
          <w:tcPr>
            <w:tcW w:w="2835" w:type="dxa"/>
            <w:vAlign w:val="center"/>
          </w:tcPr>
          <w:p>
            <w:pPr>
              <w:pStyle w:val="12"/>
            </w:pPr>
            <w:r>
              <w:t>57.64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22978"/>
    <w:multiLevelType w:val="singleLevel"/>
    <w:tmpl w:val="9EB229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57D70"/>
    <w:rsid w:val="12184440"/>
    <w:rsid w:val="141E3F03"/>
    <w:rsid w:val="247B4C62"/>
    <w:rsid w:val="2AA806F3"/>
    <w:rsid w:val="327E0673"/>
    <w:rsid w:val="3EDA442A"/>
    <w:rsid w:val="4A1B4A30"/>
    <w:rsid w:val="5FFE0A7B"/>
    <w:rsid w:val="7D063090"/>
    <w:rsid w:val="7DA141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TotalTime>5</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2026-02-03T12:52:00Z</dcterms:created>
  <dc:creator>Administrator</dc:creator>
  <cp:lastModifiedBy>Administrator</cp:lastModifiedBy>
  <dcterms:modified xsi:type="dcterms:W3CDTF">2026-02-03T06:18:17Z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FEF7D2BD45F34E3AB6F8C0198F4F9EFC</vt:lpwstr>
  </property>
</Properties>
</file>