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AE7" w:rsidRDefault="00B2012A">
      <w:pPr>
        <w:spacing w:line="600" w:lineRule="auto"/>
        <w:rPr>
          <w:rFonts w:ascii="楷体_GB2312" w:eastAsia="楷体_GB2312" w:hAnsi="楷体_GB2312" w:cs="楷体_GB2312"/>
          <w:color w:val="000000"/>
          <w:sz w:val="40"/>
          <w:szCs w:val="40"/>
        </w:rPr>
      </w:pPr>
      <w:r>
        <w:rPr>
          <w:noProof/>
        </w:rP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8" cstate="print">
                      <a:lum bright="6000"/>
                    </a:blip>
                    <a:srcRect t="559" b="3637"/>
                    <a:stretch>
                      <a:fillRect/>
                    </a:stretch>
                  </pic:blipFill>
                  <pic:spPr>
                    <a:xfrm>
                      <a:off x="0" y="0"/>
                      <a:ext cx="8646795" cy="11107420"/>
                    </a:xfrm>
                    <a:prstGeom prst="rect">
                      <a:avLst/>
                    </a:prstGeom>
                  </pic:spPr>
                </pic:pic>
              </a:graphicData>
            </a:graphic>
          </wp:anchor>
        </w:drawing>
      </w:r>
      <w:r w:rsidR="00D328DE" w:rsidRPr="00D328DE">
        <w:pict>
          <v:shapetype id="_x0000_t202" coordsize="21600,21600" o:spt="202" path="m,l,21600r21600,l21600,xe">
            <v:stroke joinstyle="miter"/>
            <v:path gradientshapeok="t" o:connecttype="rect"/>
          </v:shapetype>
          <v:shape id="_x0000_s1026" type="#_x0000_t202" alt="7b0a2020202022776f7264617274223a20227b5c2269645c223a32353030323136362c5c227469645c223a5c225c227d220a7d0a" style="position:absolute;left:0;text-align:left;margin-left:-43.05pt;margin-top:19.95pt;width:506.4pt;height:225.4pt;z-index:251660288;mso-position-horizontal-relative:text;mso-position-vertical-relative:text" filled="f" stroked="f">
            <v:textbox>
              <w:txbxContent>
                <w:p w:rsidR="00A55B55" w:rsidRDefault="00A55B55">
                  <w:pPr>
                    <w:spacing w:line="1400" w:lineRule="exact"/>
                    <w:jc w:val="left"/>
                    <w:rPr>
                      <w:rFonts w:ascii="方正小标宋_GBK" w:eastAsia="方正小标宋_GBK" w:hAnsi="方正小标宋_GBK" w:cs="方正小标宋_GBK"/>
                      <w:b/>
                      <w:bCs/>
                      <w:color w:val="0D0D0D" w:themeColor="text1" w:themeTint="F2"/>
                      <w:sz w:val="112"/>
                      <w:szCs w:val="112"/>
                    </w:rPr>
                  </w:pPr>
                  <w:r>
                    <w:rPr>
                      <w:rFonts w:ascii="宋体" w:eastAsia="宋体" w:hAnsi="宋体" w:hint="eastAsia"/>
                      <w:b/>
                      <w:bCs/>
                      <w:color w:val="0D0D0D" w:themeColor="text1" w:themeTint="F2"/>
                      <w:sz w:val="112"/>
                      <w:szCs w:val="112"/>
                    </w:rPr>
                    <w:t>2024</w:t>
                  </w:r>
                  <w:r>
                    <w:rPr>
                      <w:rFonts w:ascii="方正小标宋_GBK" w:eastAsia="方正小标宋_GBK" w:hAnsi="方正小标宋_GBK" w:cs="方正小标宋_GBK" w:hint="eastAsia"/>
                      <w:b/>
                      <w:bCs/>
                      <w:color w:val="0D0D0D" w:themeColor="text1" w:themeTint="F2"/>
                      <w:sz w:val="112"/>
                      <w:szCs w:val="112"/>
                    </w:rPr>
                    <w:t>年度</w:t>
                  </w:r>
                </w:p>
                <w:p w:rsidR="00A55B55" w:rsidRDefault="00A55B55">
                  <w:pPr>
                    <w:spacing w:line="1400" w:lineRule="exact"/>
                    <w:jc w:val="left"/>
                    <w:rPr>
                      <w:rFonts w:ascii="方正小标宋_GBK" w:eastAsia="方正小标宋_GBK" w:hAnsi="方正小标宋_GBK" w:cs="方正小标宋_GBK"/>
                      <w:b/>
                      <w:bCs/>
                      <w:color w:val="0D0D0D" w:themeColor="text1" w:themeTint="F2"/>
                      <w:sz w:val="112"/>
                      <w:szCs w:val="112"/>
                    </w:rPr>
                  </w:pPr>
                  <w:r>
                    <w:rPr>
                      <w:rFonts w:ascii="方正小标宋_GBK" w:eastAsia="方正小标宋_GBK" w:hAnsi="方正小标宋_GBK" w:cs="方正小标宋_GBK" w:hint="eastAsia"/>
                      <w:b/>
                      <w:bCs/>
                      <w:color w:val="0D0D0D" w:themeColor="text1" w:themeTint="F2"/>
                      <w:sz w:val="112"/>
                      <w:szCs w:val="112"/>
                    </w:rPr>
                    <w:t>部门决算公开文本</w:t>
                  </w:r>
                </w:p>
              </w:txbxContent>
            </v:textbox>
          </v:shape>
        </w:pict>
      </w:r>
    </w:p>
    <w:p w:rsidR="00E34AE7" w:rsidRDefault="00E34AE7">
      <w:pPr>
        <w:spacing w:line="600" w:lineRule="auto"/>
        <w:rPr>
          <w:rFonts w:ascii="楷体_GB2312" w:eastAsia="楷体_GB2312" w:hAnsi="楷体_GB2312" w:cs="楷体_GB2312"/>
          <w:color w:val="000000"/>
          <w:sz w:val="40"/>
          <w:szCs w:val="40"/>
        </w:rPr>
      </w:pPr>
    </w:p>
    <w:p w:rsidR="00E34AE7" w:rsidRDefault="00E34AE7">
      <w:pPr>
        <w:spacing w:line="600" w:lineRule="auto"/>
        <w:rPr>
          <w:rFonts w:ascii="楷体_GB2312" w:eastAsia="楷体_GB2312" w:hAnsi="楷体_GB2312" w:cs="楷体_GB2312"/>
          <w:color w:val="000000"/>
          <w:sz w:val="40"/>
          <w:szCs w:val="40"/>
        </w:rPr>
      </w:pPr>
    </w:p>
    <w:p w:rsidR="00E34AE7" w:rsidRDefault="00E34AE7">
      <w:pPr>
        <w:spacing w:line="600" w:lineRule="auto"/>
        <w:rPr>
          <w:rFonts w:ascii="楷体_GB2312" w:eastAsia="楷体_GB2312" w:hAnsi="楷体_GB2312" w:cs="楷体_GB2312"/>
          <w:color w:val="000000"/>
          <w:sz w:val="40"/>
          <w:szCs w:val="40"/>
        </w:rPr>
      </w:pPr>
    </w:p>
    <w:p w:rsidR="00E34AE7" w:rsidRDefault="00E34AE7">
      <w:pPr>
        <w:spacing w:line="600" w:lineRule="auto"/>
        <w:rPr>
          <w:rFonts w:ascii="楷体_GB2312" w:eastAsia="楷体_GB2312" w:hAnsi="楷体_GB2312" w:cs="楷体_GB2312"/>
          <w:color w:val="000000"/>
          <w:sz w:val="40"/>
          <w:szCs w:val="40"/>
        </w:rPr>
      </w:pPr>
    </w:p>
    <w:p w:rsidR="00E34AE7" w:rsidRDefault="00E34AE7">
      <w:pPr>
        <w:spacing w:line="600" w:lineRule="auto"/>
        <w:rPr>
          <w:rFonts w:ascii="楷体_GB2312" w:eastAsia="楷体_GB2312" w:hAnsi="楷体_GB2312" w:cs="楷体_GB2312"/>
          <w:color w:val="000000"/>
          <w:sz w:val="40"/>
          <w:szCs w:val="40"/>
        </w:rPr>
      </w:pPr>
    </w:p>
    <w:p w:rsidR="00E34AE7" w:rsidRDefault="00E34AE7">
      <w:pPr>
        <w:spacing w:line="600" w:lineRule="auto"/>
        <w:rPr>
          <w:rFonts w:ascii="楷体_GB2312" w:eastAsia="楷体_GB2312" w:hAnsi="楷体_GB2312" w:cs="楷体_GB2312"/>
          <w:color w:val="000000"/>
          <w:sz w:val="40"/>
          <w:szCs w:val="40"/>
        </w:rPr>
      </w:pPr>
    </w:p>
    <w:p w:rsidR="00E34AE7" w:rsidRDefault="00E34AE7">
      <w:pPr>
        <w:spacing w:line="600" w:lineRule="auto"/>
        <w:rPr>
          <w:rFonts w:ascii="楷体_GB2312" w:eastAsia="楷体_GB2312" w:hAnsi="楷体_GB2312" w:cs="楷体_GB2312"/>
          <w:color w:val="000000"/>
          <w:sz w:val="40"/>
          <w:szCs w:val="40"/>
        </w:rPr>
      </w:pPr>
    </w:p>
    <w:p w:rsidR="00E34AE7" w:rsidRDefault="00E34AE7">
      <w:pPr>
        <w:spacing w:line="600" w:lineRule="auto"/>
        <w:rPr>
          <w:rFonts w:ascii="楷体_GB2312" w:eastAsia="楷体_GB2312" w:hAnsi="楷体_GB2312" w:cs="楷体_GB2312"/>
          <w:color w:val="000000"/>
          <w:sz w:val="40"/>
          <w:szCs w:val="40"/>
        </w:rPr>
      </w:pPr>
    </w:p>
    <w:p w:rsidR="00E34AE7" w:rsidRDefault="00E34AE7">
      <w:pPr>
        <w:spacing w:line="600" w:lineRule="auto"/>
        <w:rPr>
          <w:rFonts w:ascii="楷体_GB2312" w:eastAsia="楷体_GB2312" w:hAnsi="楷体_GB2312" w:cs="楷体_GB2312"/>
          <w:color w:val="000000"/>
          <w:sz w:val="40"/>
          <w:szCs w:val="40"/>
        </w:rPr>
      </w:pPr>
    </w:p>
    <w:p w:rsidR="00E34AE7" w:rsidRDefault="00E34AE7">
      <w:pPr>
        <w:spacing w:line="600" w:lineRule="auto"/>
        <w:rPr>
          <w:rFonts w:ascii="楷体_GB2312" w:eastAsia="楷体_GB2312" w:hAnsi="楷体_GB2312" w:cs="楷体_GB2312"/>
          <w:color w:val="000000"/>
          <w:sz w:val="40"/>
          <w:szCs w:val="40"/>
        </w:rPr>
      </w:pPr>
    </w:p>
    <w:p w:rsidR="00E34AE7" w:rsidRDefault="00E34AE7">
      <w:pPr>
        <w:spacing w:line="600" w:lineRule="auto"/>
        <w:rPr>
          <w:rFonts w:ascii="楷体_GB2312" w:eastAsia="楷体_GB2312" w:hAnsi="楷体_GB2312" w:cs="楷体_GB2312"/>
          <w:color w:val="000000"/>
          <w:sz w:val="40"/>
          <w:szCs w:val="40"/>
        </w:rPr>
      </w:pPr>
    </w:p>
    <w:p w:rsidR="00E34AE7" w:rsidRDefault="00B2012A">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预算代码</w:t>
      </w:r>
      <w:r>
        <w:rPr>
          <w:rFonts w:ascii="楷体_GB2312" w:eastAsia="楷体_GB2312" w:hAnsi="楷体_GB2312" w:cs="楷体_GB2312" w:hint="eastAsia"/>
          <w:color w:val="000000"/>
          <w:sz w:val="40"/>
          <w:szCs w:val="40"/>
        </w:rPr>
        <w:t>：</w:t>
      </w:r>
      <w:r w:rsidR="00D34798">
        <w:rPr>
          <w:rFonts w:ascii="宋体" w:eastAsia="宋体" w:hAnsi="宋体" w:hint="eastAsia"/>
          <w:color w:val="000000"/>
          <w:sz w:val="40"/>
          <w:szCs w:val="40"/>
        </w:rPr>
        <w:t>324</w:t>
      </w:r>
    </w:p>
    <w:p w:rsidR="00E34AE7" w:rsidRDefault="00B2012A">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单位名称</w:t>
      </w:r>
      <w:r>
        <w:rPr>
          <w:rFonts w:ascii="楷体_GB2312" w:eastAsia="楷体_GB2312" w:hAnsi="楷体_GB2312" w:cs="楷体_GB2312" w:hint="eastAsia"/>
          <w:color w:val="000000"/>
          <w:sz w:val="40"/>
          <w:szCs w:val="40"/>
        </w:rPr>
        <w:t>：青龙满族自治县自然资源和规划局（汇总）</w:t>
      </w:r>
    </w:p>
    <w:p w:rsidR="00E34AE7" w:rsidRDefault="00E34AE7">
      <w:pPr>
        <w:spacing w:line="600" w:lineRule="auto"/>
        <w:rPr>
          <w:rFonts w:ascii="楷体_GB2312" w:eastAsia="楷体_GB2312" w:hAnsi="楷体_GB2312" w:cs="楷体_GB2312"/>
          <w:color w:val="000000"/>
          <w:sz w:val="40"/>
          <w:szCs w:val="40"/>
        </w:rPr>
        <w:sectPr w:rsidR="00E34AE7">
          <w:footerReference w:type="default" r:id="rId9"/>
          <w:pgSz w:w="11906" w:h="16838"/>
          <w:pgMar w:top="2098" w:right="1417" w:bottom="1871" w:left="1417" w:header="851" w:footer="992" w:gutter="0"/>
          <w:pgNumType w:start="1"/>
          <w:cols w:space="720"/>
          <w:docGrid w:type="lines" w:linePitch="312"/>
        </w:sectPr>
      </w:pPr>
    </w:p>
    <w:p w:rsidR="00E34AE7" w:rsidRDefault="00E34AE7">
      <w:pPr>
        <w:spacing w:line="600" w:lineRule="auto"/>
        <w:jc w:val="center"/>
        <w:rPr>
          <w:rFonts w:ascii="楷体_GB2312" w:eastAsia="楷体_GB2312" w:hAnsi="楷体_GB2312" w:cs="楷体_GB2312"/>
          <w:color w:val="000000"/>
          <w:sz w:val="40"/>
          <w:szCs w:val="40"/>
        </w:rPr>
      </w:pPr>
    </w:p>
    <w:p w:rsidR="00E34AE7" w:rsidRDefault="00E34AE7">
      <w:pPr>
        <w:rPr>
          <w:rFonts w:ascii="黑体" w:eastAsia="黑体" w:hAnsi="黑体" w:cs="黑体"/>
          <w:b/>
          <w:bCs/>
          <w:sz w:val="32"/>
          <w:szCs w:val="36"/>
          <w:highlight w:val="yellow"/>
        </w:rPr>
      </w:pPr>
    </w:p>
    <w:p w:rsidR="00E34AE7" w:rsidRDefault="00B2012A">
      <w:pPr>
        <w:widowControl/>
        <w:spacing w:line="360" w:lineRule="auto"/>
        <w:jc w:val="center"/>
        <w:rPr>
          <w:rFonts w:ascii="Times New Roman" w:eastAsia="方正小标宋_GBK"/>
          <w:sz w:val="72"/>
          <w:szCs w:val="72"/>
        </w:rPr>
      </w:pPr>
      <w:r>
        <w:rPr>
          <w:rFonts w:ascii="Times New Roman" w:eastAsia="方正小标宋_GBK"/>
          <w:sz w:val="72"/>
          <w:szCs w:val="72"/>
        </w:rPr>
        <w:t>青龙满族自治县自然资源和规划局（汇总）</w:t>
      </w:r>
    </w:p>
    <w:p w:rsidR="00E34AE7" w:rsidRDefault="00B2012A">
      <w:pPr>
        <w:widowControl/>
        <w:spacing w:line="360" w:lineRule="auto"/>
        <w:jc w:val="center"/>
        <w:rPr>
          <w:rFonts w:ascii="Times New Roman" w:eastAsia="方正小标宋_GBK"/>
          <w:sz w:val="72"/>
          <w:szCs w:val="72"/>
        </w:rPr>
      </w:pPr>
      <w:r>
        <w:rPr>
          <w:rFonts w:ascii="Times New Roman" w:eastAsia="仿宋_GB2312"/>
          <w:sz w:val="72"/>
          <w:szCs w:val="72"/>
        </w:rPr>
        <w:t>2024</w:t>
      </w:r>
      <w:r>
        <w:rPr>
          <w:rFonts w:ascii="Times New Roman" w:eastAsia="方正小标宋_GBK"/>
          <w:sz w:val="72"/>
          <w:szCs w:val="72"/>
        </w:rPr>
        <w:t>年度部门决算公开文本</w:t>
      </w:r>
    </w:p>
    <w:p w:rsidR="00E34AE7" w:rsidRDefault="00E34AE7">
      <w:pPr>
        <w:spacing w:line="360" w:lineRule="auto"/>
        <w:jc w:val="center"/>
        <w:rPr>
          <w:rFonts w:ascii="黑体" w:eastAsia="黑体" w:hAnsi="黑体" w:cs="黑体"/>
          <w:sz w:val="56"/>
          <w:szCs w:val="72"/>
        </w:rPr>
      </w:pPr>
    </w:p>
    <w:p w:rsidR="00E34AE7" w:rsidRDefault="00E34AE7">
      <w:pPr>
        <w:spacing w:line="600" w:lineRule="auto"/>
        <w:jc w:val="center"/>
        <w:rPr>
          <w:rFonts w:ascii="黑体" w:eastAsia="黑体" w:hAnsi="黑体" w:cs="黑体"/>
          <w:sz w:val="56"/>
          <w:szCs w:val="72"/>
        </w:rPr>
      </w:pPr>
    </w:p>
    <w:p w:rsidR="00E34AE7" w:rsidRDefault="00E34AE7">
      <w:pPr>
        <w:spacing w:line="600" w:lineRule="auto"/>
        <w:jc w:val="center"/>
        <w:rPr>
          <w:rFonts w:ascii="黑体" w:eastAsia="黑体" w:hAnsi="黑体" w:cs="黑体"/>
          <w:sz w:val="56"/>
          <w:szCs w:val="72"/>
        </w:rPr>
      </w:pPr>
    </w:p>
    <w:p w:rsidR="00E34AE7" w:rsidRPr="00D34798" w:rsidRDefault="00B2012A" w:rsidP="00D34798">
      <w:pPr>
        <w:widowControl/>
        <w:spacing w:line="360" w:lineRule="auto"/>
        <w:rPr>
          <w:rFonts w:ascii="Times New Roman" w:eastAsia="楷体_GB2312"/>
          <w:sz w:val="36"/>
          <w:szCs w:val="36"/>
        </w:rPr>
      </w:pPr>
      <w:r w:rsidRPr="00D34798">
        <w:rPr>
          <w:rFonts w:ascii="Times New Roman" w:eastAsia="楷体_GB2312"/>
          <w:sz w:val="36"/>
          <w:szCs w:val="36"/>
        </w:rPr>
        <w:t>青龙满族自治县自然资源和规划局（汇总）</w:t>
      </w:r>
    </w:p>
    <w:p w:rsidR="00E34AE7" w:rsidRPr="00D34798" w:rsidRDefault="00B2012A">
      <w:pPr>
        <w:widowControl/>
        <w:spacing w:line="360" w:lineRule="auto"/>
        <w:jc w:val="center"/>
        <w:rPr>
          <w:rFonts w:ascii="Times New Roman" w:eastAsia="楷体_GB2312"/>
          <w:sz w:val="36"/>
          <w:szCs w:val="36"/>
        </w:rPr>
      </w:pPr>
      <w:r w:rsidRPr="00D34798">
        <w:rPr>
          <w:rFonts w:ascii="Times New Roman" w:eastAsia="楷体_GB2312"/>
          <w:sz w:val="36"/>
          <w:szCs w:val="36"/>
        </w:rPr>
        <w:t>二〇二五年八月</w:t>
      </w:r>
    </w:p>
    <w:p w:rsidR="00E34AE7" w:rsidRPr="00D34798" w:rsidRDefault="00E34AE7">
      <w:pPr>
        <w:snapToGrid w:val="0"/>
        <w:jc w:val="left"/>
        <w:rPr>
          <w:rFonts w:ascii="楷体_GB2312" w:eastAsia="楷体_GB2312" w:hAnsi="楷体_GB2312" w:cs="楷体_GB2312"/>
          <w:color w:val="000000" w:themeColor="text1"/>
          <w:sz w:val="36"/>
          <w:szCs w:val="36"/>
        </w:rPr>
      </w:pPr>
    </w:p>
    <w:p w:rsidR="00E34AE7" w:rsidRDefault="00E34AE7">
      <w:pPr>
        <w:snapToGrid w:val="0"/>
        <w:jc w:val="left"/>
        <w:rPr>
          <w:rFonts w:ascii="楷体_GB2312" w:eastAsia="楷体_GB2312" w:hAnsi="楷体_GB2312" w:cs="楷体_GB2312"/>
          <w:color w:val="000000" w:themeColor="text1"/>
          <w:sz w:val="44"/>
          <w:szCs w:val="44"/>
        </w:rPr>
        <w:sectPr w:rsidR="00E34AE7">
          <w:footerReference w:type="default" r:id="rId10"/>
          <w:pgSz w:w="11906" w:h="16838"/>
          <w:pgMar w:top="1531" w:right="1984" w:bottom="1531" w:left="2098" w:header="851" w:footer="992" w:gutter="0"/>
          <w:cols w:space="720"/>
          <w:docGrid w:type="lines" w:linePitch="312"/>
        </w:sectPr>
      </w:pPr>
    </w:p>
    <w:p w:rsidR="00E34AE7" w:rsidRDefault="00E34AE7">
      <w:pPr>
        <w:widowControl/>
        <w:spacing w:line="600" w:lineRule="exact"/>
        <w:jc w:val="left"/>
        <w:rPr>
          <w:rFonts w:ascii="黑体" w:eastAsia="黑体" w:hAnsi="黑体" w:cs="黑体"/>
          <w:bCs/>
          <w:sz w:val="32"/>
          <w:szCs w:val="32"/>
        </w:rPr>
      </w:pPr>
    </w:p>
    <w:p w:rsidR="00E34AE7" w:rsidRDefault="00E34AE7">
      <w:pPr>
        <w:tabs>
          <w:tab w:val="left" w:pos="2728"/>
        </w:tabs>
        <w:jc w:val="center"/>
        <w:rPr>
          <w:rFonts w:ascii="黑体" w:eastAsia="黑体" w:hAnsi="Times New Roman" w:cs="Times New Roman"/>
          <w:sz w:val="48"/>
          <w:szCs w:val="48"/>
        </w:rPr>
      </w:pPr>
    </w:p>
    <w:p w:rsidR="00E34AE7" w:rsidRDefault="00B2012A">
      <w:pPr>
        <w:widowControl/>
        <w:spacing w:line="360" w:lineRule="auto"/>
        <w:jc w:val="center"/>
        <w:outlineLvl w:val="0"/>
        <w:rPr>
          <w:rFonts w:ascii="Times New Roman" w:eastAsia="黑体"/>
          <w:sz w:val="44"/>
          <w:szCs w:val="44"/>
        </w:rPr>
      </w:pPr>
      <w:r>
        <w:rPr>
          <w:rFonts w:ascii="Times New Roman" w:eastAsia="黑体"/>
          <w:sz w:val="44"/>
          <w:szCs w:val="44"/>
        </w:rPr>
        <w:t>目</w:t>
      </w:r>
      <w:r>
        <w:rPr>
          <w:rFonts w:ascii="Times New Roman" w:eastAsia="黑体"/>
          <w:sz w:val="44"/>
          <w:szCs w:val="44"/>
        </w:rPr>
        <w:t xml:space="preserve">  </w:t>
      </w:r>
      <w:r>
        <w:rPr>
          <w:rFonts w:ascii="Times New Roman" w:eastAsia="黑体"/>
          <w:sz w:val="44"/>
          <w:szCs w:val="44"/>
        </w:rPr>
        <w:t>录</w:t>
      </w:r>
    </w:p>
    <w:p w:rsidR="00E34AE7" w:rsidRDefault="00E34AE7">
      <w:pPr>
        <w:widowControl/>
        <w:spacing w:after="160" w:line="580" w:lineRule="exact"/>
        <w:ind w:firstLineChars="200" w:firstLine="640"/>
        <w:rPr>
          <w:rFonts w:ascii="Times New Roman" w:eastAsia="黑体" w:hAnsi="Times New Roman" w:cs="Times New Roman"/>
          <w:sz w:val="32"/>
          <w:szCs w:val="32"/>
        </w:rPr>
      </w:pPr>
    </w:p>
    <w:p w:rsidR="00E34AE7" w:rsidRDefault="00B2012A">
      <w:pPr>
        <w:widowControl/>
        <w:spacing w:line="360" w:lineRule="auto"/>
        <w:jc w:val="left"/>
        <w:rPr>
          <w:rFonts w:ascii="Times New Roman" w:eastAsia="黑体"/>
          <w:sz w:val="32"/>
          <w:szCs w:val="32"/>
        </w:rPr>
      </w:pPr>
      <w:r>
        <w:rPr>
          <w:rFonts w:ascii="Times New Roman" w:eastAsia="黑体"/>
          <w:sz w:val="32"/>
          <w:szCs w:val="32"/>
        </w:rPr>
        <w:t>第一部分部门概况</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一、部门职责</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二、机构设置</w:t>
      </w:r>
    </w:p>
    <w:p w:rsidR="00E34AE7" w:rsidRDefault="00B2012A">
      <w:pPr>
        <w:widowControl/>
        <w:spacing w:line="360" w:lineRule="auto"/>
        <w:jc w:val="left"/>
        <w:outlineLvl w:val="0"/>
        <w:rPr>
          <w:rFonts w:ascii="Times New Roman" w:eastAsia="黑体"/>
          <w:sz w:val="32"/>
          <w:szCs w:val="32"/>
        </w:rPr>
      </w:pPr>
      <w:r>
        <w:rPr>
          <w:rFonts w:ascii="Times New Roman" w:eastAsia="黑体"/>
          <w:sz w:val="32"/>
          <w:szCs w:val="32"/>
        </w:rPr>
        <w:t>第二部分</w:t>
      </w:r>
      <w:r>
        <w:rPr>
          <w:rFonts w:ascii="Times New Roman" w:eastAsia="黑体"/>
          <w:sz w:val="32"/>
          <w:szCs w:val="32"/>
        </w:rPr>
        <w:t xml:space="preserve"> 2024</w:t>
      </w:r>
      <w:r>
        <w:rPr>
          <w:rFonts w:ascii="Times New Roman" w:eastAsia="黑体"/>
          <w:sz w:val="32"/>
          <w:szCs w:val="32"/>
        </w:rPr>
        <w:t>年度部门决算报表</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一、收入支出决算总表</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二、收入决算表</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三、支出决算表</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四、财政拨款收入支出决算总表</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五、一般公共预算财政拨款支出决算表</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六、一般公共预算财政拨款基本支出决算明细表</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七、政府性基金预算财政拨款收入支出决算表</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八、国有资本经营预算财政拨款支出决算表</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九、财政拨款</w:t>
      </w:r>
      <w:r>
        <w:rPr>
          <w:rFonts w:ascii="Times New Roman" w:eastAsia="仿宋_GB2312"/>
          <w:sz w:val="32"/>
          <w:szCs w:val="32"/>
        </w:rPr>
        <w:t>“</w:t>
      </w:r>
      <w:r>
        <w:rPr>
          <w:rFonts w:ascii="Times New Roman" w:eastAsia="仿宋_GB2312"/>
          <w:sz w:val="32"/>
          <w:szCs w:val="32"/>
        </w:rPr>
        <w:t>三公</w:t>
      </w:r>
      <w:r>
        <w:rPr>
          <w:rFonts w:ascii="Times New Roman" w:eastAsia="仿宋_GB2312"/>
          <w:sz w:val="32"/>
          <w:szCs w:val="32"/>
        </w:rPr>
        <w:t>”</w:t>
      </w:r>
      <w:r>
        <w:rPr>
          <w:rFonts w:ascii="Times New Roman" w:eastAsia="仿宋_GB2312"/>
          <w:sz w:val="32"/>
          <w:szCs w:val="32"/>
        </w:rPr>
        <w:t>经费支出决算表</w:t>
      </w:r>
    </w:p>
    <w:p w:rsidR="00E34AE7" w:rsidRDefault="00B2012A">
      <w:pPr>
        <w:widowControl/>
        <w:spacing w:line="360" w:lineRule="auto"/>
        <w:jc w:val="left"/>
        <w:rPr>
          <w:rFonts w:ascii="Times New Roman" w:eastAsia="黑体"/>
          <w:sz w:val="32"/>
          <w:szCs w:val="32"/>
        </w:rPr>
      </w:pPr>
      <w:r>
        <w:rPr>
          <w:rFonts w:ascii="Times New Roman" w:eastAsia="黑体"/>
          <w:sz w:val="32"/>
          <w:szCs w:val="32"/>
        </w:rPr>
        <w:t>第三部分</w:t>
      </w:r>
      <w:r>
        <w:rPr>
          <w:rFonts w:ascii="Times New Roman" w:eastAsia="黑体"/>
          <w:sz w:val="32"/>
          <w:szCs w:val="32"/>
        </w:rPr>
        <w:t xml:space="preserve"> 2024</w:t>
      </w:r>
      <w:r>
        <w:rPr>
          <w:rFonts w:ascii="Times New Roman" w:eastAsia="黑体"/>
          <w:sz w:val="32"/>
          <w:szCs w:val="32"/>
        </w:rPr>
        <w:t>年度部门决算情况说明</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一、收入支出决算总体情况说明</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二、收入决算情况说明</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三、支出决算情况说明</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四、财政拨款收入支出决算总体情况说明</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lastRenderedPageBreak/>
        <w:t>五、财政拨款</w:t>
      </w:r>
      <w:r>
        <w:rPr>
          <w:rFonts w:ascii="Times New Roman" w:eastAsia="仿宋_GB2312"/>
          <w:sz w:val="32"/>
          <w:szCs w:val="32"/>
        </w:rPr>
        <w:t>“</w:t>
      </w:r>
      <w:r>
        <w:rPr>
          <w:rFonts w:ascii="Times New Roman" w:eastAsia="仿宋_GB2312"/>
          <w:sz w:val="32"/>
          <w:szCs w:val="32"/>
        </w:rPr>
        <w:t>三公</w:t>
      </w:r>
      <w:r>
        <w:rPr>
          <w:rFonts w:ascii="Times New Roman" w:eastAsia="仿宋_GB2312"/>
          <w:sz w:val="32"/>
          <w:szCs w:val="32"/>
        </w:rPr>
        <w:t>”</w:t>
      </w:r>
      <w:r>
        <w:rPr>
          <w:rFonts w:ascii="Times New Roman" w:eastAsia="仿宋_GB2312"/>
          <w:sz w:val="32"/>
          <w:szCs w:val="32"/>
        </w:rPr>
        <w:t>经费支出决算情况说明</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六、机关运行经费支出说明</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七、政府采购支出说明</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八、国有资产占用情况说明</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九、关于</w:t>
      </w:r>
      <w:r>
        <w:rPr>
          <w:rFonts w:ascii="Times New Roman" w:eastAsia="仿宋_GB2312"/>
          <w:sz w:val="32"/>
          <w:szCs w:val="32"/>
        </w:rPr>
        <w:t>2024</w:t>
      </w:r>
      <w:r>
        <w:rPr>
          <w:rFonts w:ascii="Times New Roman" w:eastAsia="仿宋_GB2312"/>
          <w:sz w:val="32"/>
          <w:szCs w:val="32"/>
        </w:rPr>
        <w:t>年度绩效评价情况的说明</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十、其他需要说明的情况</w:t>
      </w:r>
    </w:p>
    <w:p w:rsidR="00E34AE7" w:rsidRDefault="00B2012A">
      <w:pPr>
        <w:widowControl/>
        <w:spacing w:line="360" w:lineRule="auto"/>
        <w:jc w:val="left"/>
        <w:rPr>
          <w:rFonts w:ascii="Times New Roman" w:eastAsia="黑体"/>
          <w:sz w:val="32"/>
          <w:szCs w:val="32"/>
        </w:rPr>
      </w:pPr>
      <w:r>
        <w:rPr>
          <w:rFonts w:ascii="Times New Roman" w:eastAsia="黑体"/>
          <w:sz w:val="32"/>
          <w:szCs w:val="32"/>
        </w:rPr>
        <w:t>第四部分</w:t>
      </w:r>
      <w:r>
        <w:rPr>
          <w:rFonts w:ascii="Times New Roman" w:eastAsia="黑体"/>
          <w:sz w:val="32"/>
          <w:szCs w:val="32"/>
        </w:rPr>
        <w:t xml:space="preserve"> </w:t>
      </w:r>
      <w:r>
        <w:rPr>
          <w:rFonts w:ascii="Times New Roman" w:eastAsia="黑体"/>
          <w:sz w:val="32"/>
          <w:szCs w:val="32"/>
        </w:rPr>
        <w:t>名词解释</w:t>
      </w:r>
    </w:p>
    <w:p w:rsidR="00E34AE7" w:rsidRDefault="00E34AE7">
      <w:pPr>
        <w:widowControl/>
        <w:spacing w:after="160" w:line="580" w:lineRule="exact"/>
        <w:rPr>
          <w:rFonts w:ascii="Times New Roman" w:eastAsia="黑体" w:hAnsi="Times New Roman" w:cs="Times New Roman"/>
          <w:sz w:val="32"/>
          <w:szCs w:val="32"/>
        </w:rPr>
        <w:sectPr w:rsidR="00E34AE7">
          <w:headerReference w:type="default" r:id="rId11"/>
          <w:footerReference w:type="default" r:id="rId12"/>
          <w:headerReference w:type="first" r:id="rId13"/>
          <w:footerReference w:type="first" r:id="rId14"/>
          <w:pgSz w:w="11906" w:h="16838"/>
          <w:pgMar w:top="1474" w:right="1531" w:bottom="1474" w:left="1531" w:header="851" w:footer="992" w:gutter="0"/>
          <w:cols w:space="0"/>
          <w:titlePg/>
          <w:docGrid w:type="lines" w:linePitch="312"/>
        </w:sectPr>
      </w:pPr>
    </w:p>
    <w:p w:rsidR="00E34AE7" w:rsidRDefault="00B2012A">
      <w:pPr>
        <w:widowControl/>
        <w:spacing w:line="360" w:lineRule="auto"/>
        <w:jc w:val="center"/>
        <w:outlineLvl w:val="0"/>
        <w:rPr>
          <w:rFonts w:ascii="Times New Roman" w:eastAsia="黑体"/>
          <w:sz w:val="44"/>
          <w:szCs w:val="44"/>
        </w:rPr>
      </w:pPr>
      <w:r>
        <w:rPr>
          <w:rFonts w:ascii="Times New Roman" w:eastAsia="黑体"/>
          <w:sz w:val="44"/>
          <w:szCs w:val="44"/>
        </w:rPr>
        <w:lastRenderedPageBreak/>
        <w:t>第一部分部门概况</w:t>
      </w:r>
    </w:p>
    <w:p w:rsidR="00E34AE7" w:rsidRDefault="00B2012A">
      <w:pPr>
        <w:widowControl/>
        <w:spacing w:line="360" w:lineRule="auto"/>
        <w:jc w:val="left"/>
        <w:outlineLvl w:val="1"/>
        <w:rPr>
          <w:rFonts w:ascii="Times New Roman" w:eastAsia="黑体"/>
          <w:sz w:val="32"/>
          <w:szCs w:val="32"/>
        </w:rPr>
      </w:pPr>
      <w:r>
        <w:rPr>
          <w:rFonts w:ascii="Times New Roman" w:eastAsia="黑体"/>
          <w:sz w:val="32"/>
          <w:szCs w:val="32"/>
        </w:rPr>
        <w:t>一、部门职责</w:t>
      </w:r>
    </w:p>
    <w:p w:rsidR="00D34798" w:rsidRPr="007F6E51" w:rsidRDefault="00D34798" w:rsidP="00D34798">
      <w:pPr>
        <w:pStyle w:val="aa"/>
        <w:spacing w:before="243" w:line="340" w:lineRule="auto"/>
        <w:ind w:left="548" w:right="628" w:firstLine="638"/>
        <w:jc w:val="both"/>
        <w:rPr>
          <w:rFonts w:ascii="仿宋" w:eastAsia="仿宋" w:hAnsi="仿宋" w:cs="仿宋_GB2312"/>
          <w:shd w:val="clear" w:color="auto" w:fill="FFFFFF"/>
        </w:rPr>
      </w:pPr>
      <w:r>
        <w:rPr>
          <w:spacing w:val="3"/>
          <w:w w:val="95"/>
        </w:rPr>
        <w:t>（</w:t>
      </w:r>
      <w:r w:rsidRPr="007F6E51">
        <w:rPr>
          <w:rFonts w:ascii="仿宋" w:eastAsia="仿宋" w:hAnsi="仿宋" w:cs="仿宋_GB2312"/>
          <w:shd w:val="clear" w:color="auto" w:fill="FFFFFF"/>
        </w:rPr>
        <w:t>一）履行全民所有土地、矿产、森林、草原、湿地、水等自然资源资产所有者职责和国土空间用途管制职责。拟订自 然资源和国土空间规划、测绘、森林资源保护及林业产业发展 等方面的地方性法规、文件政策，经批准后组织实施并监督检 查；拟订全县林业发展战略、中长期规划、年度发展计划；组织开展森林资源、陆生野生动植物资源、水资源的调查评价和 登记工作。</w:t>
      </w:r>
    </w:p>
    <w:p w:rsidR="00D34798" w:rsidRPr="007F6E51" w:rsidRDefault="00D34798" w:rsidP="00D34798">
      <w:pPr>
        <w:pStyle w:val="aa"/>
        <w:spacing w:line="340" w:lineRule="auto"/>
        <w:ind w:left="548" w:right="631" w:firstLine="638"/>
        <w:jc w:val="both"/>
        <w:rPr>
          <w:rFonts w:ascii="仿宋" w:eastAsia="仿宋" w:hAnsi="仿宋" w:cs="仿宋_GB2312"/>
          <w:shd w:val="clear" w:color="auto" w:fill="FFFFFF"/>
        </w:rPr>
      </w:pPr>
      <w:r w:rsidRPr="007F6E51">
        <w:rPr>
          <w:rFonts w:ascii="仿宋" w:eastAsia="仿宋" w:hAnsi="仿宋" w:cs="仿宋_GB2312"/>
          <w:shd w:val="clear" w:color="auto" w:fill="FFFFFF"/>
        </w:rPr>
        <w:t>（二）负责全县自然资源和规划系统的行政执法工作；负 责调处自然资源和规划系统重大权属纠纷，查处自然资源开发 利用、国土空间规划及测绘方面各类违法案件。</w:t>
      </w:r>
    </w:p>
    <w:p w:rsidR="00D34798" w:rsidRPr="007F6E51" w:rsidRDefault="00D34798" w:rsidP="00D34798">
      <w:pPr>
        <w:pStyle w:val="aa"/>
        <w:spacing w:line="340" w:lineRule="auto"/>
        <w:ind w:left="548" w:right="628" w:firstLine="638"/>
        <w:jc w:val="both"/>
        <w:rPr>
          <w:rFonts w:ascii="仿宋" w:eastAsia="仿宋" w:hAnsi="仿宋" w:cs="仿宋_GB2312"/>
          <w:shd w:val="clear" w:color="auto" w:fill="FFFFFF"/>
        </w:rPr>
      </w:pPr>
      <w:r w:rsidRPr="007F6E51">
        <w:rPr>
          <w:rFonts w:ascii="仿宋" w:eastAsia="仿宋" w:hAnsi="仿宋" w:cs="仿宋_GB2312"/>
          <w:shd w:val="clear" w:color="auto" w:fill="FFFFFF"/>
        </w:rPr>
        <w:t>（三）负责全县自然资源不动产统一确权登记工作。贯彻 执行国家、省、市各类自然资源不动产统一确权登记、权籍调 查、不动产测绘、争议调处、成果应用方面的制度、标准、规范；建立健全全县自然资源不动产登记信息管理基础平台；负 责全县自然资源不动产资料收集、整理、共享、汇交管理等。</w:t>
      </w:r>
    </w:p>
    <w:p w:rsidR="00D34798" w:rsidRPr="007F6E51" w:rsidRDefault="00D34798" w:rsidP="00D34798">
      <w:pPr>
        <w:pStyle w:val="aa"/>
        <w:spacing w:line="340" w:lineRule="auto"/>
        <w:ind w:left="548" w:right="628" w:firstLine="638"/>
        <w:jc w:val="both"/>
        <w:rPr>
          <w:rFonts w:ascii="仿宋" w:eastAsia="仿宋" w:hAnsi="仿宋" w:cs="仿宋_GB2312"/>
          <w:shd w:val="clear" w:color="auto" w:fill="FFFFFF"/>
        </w:rPr>
      </w:pPr>
      <w:r>
        <w:rPr>
          <w:rFonts w:ascii="仿宋" w:eastAsia="仿宋" w:hAnsi="仿宋" w:cs="仿宋_GB2312" w:hint="eastAsia"/>
          <w:shd w:val="clear" w:color="auto" w:fill="FFFFFF"/>
        </w:rPr>
        <w:t>(</w:t>
      </w:r>
      <w:r w:rsidRPr="007F6E51">
        <w:rPr>
          <w:rFonts w:ascii="仿宋" w:eastAsia="仿宋" w:hAnsi="仿宋" w:cs="仿宋_GB2312"/>
          <w:shd w:val="clear" w:color="auto" w:fill="FFFFFF"/>
        </w:rPr>
        <w:t>四）负责全县土地、矿产资源资产有偿使用工作。贯彻执行国家、省、市全民所有土地、矿产资源资产统计制度，负责全民所有自然资源资产核算；编制全民所有自然资源资产负债表，拟订考核标准；贯彻执行全民所有土地、矿产资源资产划拨、出让、租赁、作价出资和土地储备政策，合理配置全民所</w:t>
      </w:r>
      <w:r w:rsidRPr="007F6E51">
        <w:rPr>
          <w:rFonts w:ascii="仿宋" w:eastAsia="仿宋" w:hAnsi="仿宋" w:cs="仿宋_GB2312"/>
          <w:shd w:val="clear" w:color="auto" w:fill="FFFFFF"/>
        </w:rPr>
        <w:lastRenderedPageBreak/>
        <w:t>有土地、矿产资源资产；负责土地、矿产资源资产价值评估</w:t>
      </w:r>
    </w:p>
    <w:p w:rsidR="00D34798" w:rsidRPr="007F6E51" w:rsidRDefault="00D34798" w:rsidP="00D34798">
      <w:pPr>
        <w:pStyle w:val="aa"/>
        <w:spacing w:before="42"/>
        <w:ind w:left="548"/>
        <w:rPr>
          <w:rFonts w:ascii="仿宋" w:eastAsia="仿宋" w:hAnsi="仿宋" w:cs="仿宋_GB2312"/>
          <w:shd w:val="clear" w:color="auto" w:fill="FFFFFF"/>
        </w:rPr>
      </w:pPr>
      <w:r w:rsidRPr="007F6E51">
        <w:rPr>
          <w:rFonts w:ascii="仿宋" w:eastAsia="仿宋" w:hAnsi="仿宋" w:cs="仿宋_GB2312"/>
          <w:shd w:val="clear" w:color="auto" w:fill="FFFFFF"/>
        </w:rPr>
        <w:t>管理，依法收缴相关资产收益。</w:t>
      </w:r>
    </w:p>
    <w:p w:rsidR="00D34798" w:rsidRPr="007F6E51" w:rsidRDefault="00D34798" w:rsidP="00D34798">
      <w:pPr>
        <w:pStyle w:val="aa"/>
        <w:spacing w:before="1" w:line="340" w:lineRule="auto"/>
        <w:ind w:left="548" w:right="372" w:firstLine="638"/>
        <w:jc w:val="both"/>
        <w:rPr>
          <w:rFonts w:ascii="仿宋" w:eastAsia="仿宋" w:hAnsi="仿宋" w:cs="仿宋_GB2312"/>
          <w:shd w:val="clear" w:color="auto" w:fill="FFFFFF"/>
        </w:rPr>
      </w:pPr>
      <w:r w:rsidRPr="007F6E51">
        <w:rPr>
          <w:rFonts w:ascii="仿宋" w:eastAsia="仿宋" w:hAnsi="仿宋" w:cs="仿宋_GB2312"/>
          <w:shd w:val="clear" w:color="auto" w:fill="FFFFFF"/>
        </w:rPr>
        <w:t>（五）负责全县自然资源的合理开发利用。组织拟订自然资 源发展规划，建立政府公示土地、矿产资源价格体系，组织开展  自然资源分等定级价格评估，开展自然资源利用评价考核，指导和实施节约集约利用；负责自然资源市场监管。</w:t>
      </w:r>
    </w:p>
    <w:p w:rsidR="00D34798" w:rsidRPr="007F6E51" w:rsidRDefault="00D34798" w:rsidP="00D34798">
      <w:pPr>
        <w:pStyle w:val="aa"/>
        <w:spacing w:line="340" w:lineRule="auto"/>
        <w:ind w:left="548" w:right="628" w:firstLine="638"/>
        <w:jc w:val="both"/>
        <w:rPr>
          <w:rFonts w:ascii="仿宋" w:eastAsia="仿宋" w:hAnsi="仿宋" w:cs="仿宋_GB2312"/>
          <w:shd w:val="clear" w:color="auto" w:fill="FFFFFF"/>
        </w:rPr>
      </w:pPr>
      <w:r w:rsidRPr="007F6E51">
        <w:rPr>
          <w:rFonts w:ascii="仿宋" w:eastAsia="仿宋" w:hAnsi="仿宋" w:cs="仿宋_GB2312"/>
          <w:shd w:val="clear" w:color="auto" w:fill="FFFFFF"/>
        </w:rPr>
        <w:t>（六）负责建立全县空间规划体系并监督实施。推进主体 功能区战略，负责编制实施国土空间总体规划、相关专项规划 和详细规划；建立健全国土空间用途管制制度；负责土地资源 利用计划管理工作；负责土地用途转用审查工作；负责土地征 收征用管理；组织划定生态保护红线、永久基本农田、城镇开发边界等控制线，构建节约资源和保护环境的生产、生活、生态空间布局。</w:t>
      </w:r>
    </w:p>
    <w:p w:rsidR="00D34798" w:rsidRPr="007F6E51" w:rsidRDefault="00D34798" w:rsidP="00D34798">
      <w:pPr>
        <w:pStyle w:val="aa"/>
        <w:spacing w:line="340" w:lineRule="auto"/>
        <w:ind w:left="548" w:right="471" w:firstLine="480"/>
        <w:jc w:val="both"/>
        <w:rPr>
          <w:rFonts w:ascii="仿宋" w:eastAsia="仿宋" w:hAnsi="仿宋" w:cs="仿宋_GB2312"/>
          <w:shd w:val="clear" w:color="auto" w:fill="FFFFFF"/>
        </w:rPr>
      </w:pPr>
      <w:r w:rsidRPr="007F6E51">
        <w:rPr>
          <w:rFonts w:ascii="仿宋" w:eastAsia="仿宋" w:hAnsi="仿宋" w:cs="仿宋_GB2312"/>
          <w:shd w:val="clear" w:color="auto" w:fill="FFFFFF"/>
        </w:rPr>
        <w:t>（七）负责统筹全县国土空间生态修复。编制国土空间生态修复规划并组织实施。负责国土空间综合整治、土地整理复垦、矿山地质环境恢复治理工作；建立生态保护补偿制度，制定合理利用社会资金进行生态修复的政策措施，提出重大备选项目。</w:t>
      </w:r>
    </w:p>
    <w:p w:rsidR="00D34798" w:rsidRPr="007F6E51" w:rsidRDefault="00D34798" w:rsidP="00D34798">
      <w:pPr>
        <w:pStyle w:val="aa"/>
        <w:spacing w:line="340" w:lineRule="auto"/>
        <w:ind w:left="548" w:right="631" w:firstLine="638"/>
        <w:jc w:val="both"/>
        <w:rPr>
          <w:rFonts w:ascii="仿宋" w:eastAsia="仿宋" w:hAnsi="仿宋" w:cs="仿宋_GB2312"/>
          <w:shd w:val="clear" w:color="auto" w:fill="FFFFFF"/>
        </w:rPr>
      </w:pPr>
      <w:r w:rsidRPr="007F6E51">
        <w:rPr>
          <w:rFonts w:ascii="仿宋" w:eastAsia="仿宋" w:hAnsi="仿宋" w:cs="仿宋_GB2312"/>
          <w:shd w:val="clear" w:color="auto" w:fill="FFFFFF"/>
        </w:rPr>
        <w:t>（八）负责组织实施最严格的耕地保护制度。贯彻执行耕 地保护政策，负责耕地数量、质量、生态保护；组织实施耕地保护责任目标考核和永久基本农田特殊保护；完善耕地占补平 衡制度，监督占用耕地补偿制度执行情况。</w:t>
      </w:r>
    </w:p>
    <w:p w:rsidR="00D34798" w:rsidRPr="007F6E51" w:rsidRDefault="00D34798" w:rsidP="00D34798">
      <w:pPr>
        <w:pStyle w:val="aa"/>
        <w:spacing w:line="340" w:lineRule="auto"/>
        <w:ind w:left="548" w:right="631" w:firstLine="638"/>
        <w:rPr>
          <w:rFonts w:ascii="仿宋" w:eastAsia="仿宋" w:hAnsi="仿宋" w:cs="仿宋_GB2312"/>
          <w:shd w:val="clear" w:color="auto" w:fill="FFFFFF"/>
        </w:rPr>
      </w:pPr>
      <w:r w:rsidRPr="007F6E51">
        <w:rPr>
          <w:rFonts w:ascii="仿宋" w:eastAsia="仿宋" w:hAnsi="仿宋" w:cs="仿宋_GB2312"/>
          <w:shd w:val="clear" w:color="auto" w:fill="FFFFFF"/>
        </w:rPr>
        <w:t>（九）负责城乡规划的实施管理工作。负责城市、镇规划区建设项目的规划条件核实。承担县城乡规划委员会办公室日</w:t>
      </w:r>
    </w:p>
    <w:p w:rsidR="00D34798" w:rsidRPr="007F6E51" w:rsidRDefault="00D34798" w:rsidP="00D34798">
      <w:pPr>
        <w:jc w:val="center"/>
        <w:rPr>
          <w:rFonts w:ascii="仿宋" w:eastAsia="仿宋" w:hAnsi="仿宋" w:cs="仿宋_GB2312"/>
          <w:sz w:val="32"/>
          <w:szCs w:val="32"/>
          <w:shd w:val="clear" w:color="auto" w:fill="FFFFFF"/>
        </w:rPr>
        <w:sectPr w:rsidR="00D34798" w:rsidRPr="007F6E51">
          <w:pgSz w:w="11910" w:h="16840"/>
          <w:pgMar w:top="1520" w:right="1040" w:bottom="280" w:left="1040" w:header="720" w:footer="720" w:gutter="0"/>
          <w:cols w:space="720"/>
        </w:sectPr>
      </w:pPr>
    </w:p>
    <w:p w:rsidR="00D34798" w:rsidRPr="007F6E51" w:rsidRDefault="00D34798" w:rsidP="00D34798">
      <w:pPr>
        <w:pStyle w:val="aa"/>
        <w:rPr>
          <w:rFonts w:ascii="仿宋" w:eastAsia="仿宋" w:hAnsi="仿宋" w:cs="仿宋_GB2312"/>
          <w:shd w:val="clear" w:color="auto" w:fill="FFFFFF"/>
        </w:rPr>
      </w:pPr>
    </w:p>
    <w:p w:rsidR="00D34798" w:rsidRPr="007F6E51" w:rsidRDefault="00D34798" w:rsidP="00D34798">
      <w:pPr>
        <w:pStyle w:val="aa"/>
        <w:spacing w:before="213"/>
        <w:ind w:left="548"/>
        <w:rPr>
          <w:rFonts w:ascii="仿宋" w:eastAsia="仿宋" w:hAnsi="仿宋" w:cs="仿宋_GB2312"/>
          <w:shd w:val="clear" w:color="auto" w:fill="FFFFFF"/>
        </w:rPr>
      </w:pPr>
      <w:r w:rsidRPr="007F6E51">
        <w:rPr>
          <w:rFonts w:ascii="仿宋" w:eastAsia="仿宋" w:hAnsi="仿宋" w:cs="仿宋_GB2312"/>
          <w:shd w:val="clear" w:color="auto" w:fill="FFFFFF"/>
        </w:rPr>
        <w:t>常工作。</w:t>
      </w:r>
    </w:p>
    <w:p w:rsidR="00D34798" w:rsidRPr="007F6E51" w:rsidRDefault="00D34798" w:rsidP="00D34798">
      <w:pPr>
        <w:pStyle w:val="aa"/>
        <w:spacing w:before="169" w:line="340" w:lineRule="auto"/>
        <w:ind w:left="548" w:right="631" w:firstLine="638"/>
        <w:jc w:val="both"/>
        <w:rPr>
          <w:rFonts w:ascii="仿宋" w:eastAsia="仿宋" w:hAnsi="仿宋" w:cs="仿宋_GB2312"/>
          <w:shd w:val="clear" w:color="auto" w:fill="FFFFFF"/>
        </w:rPr>
      </w:pPr>
      <w:r w:rsidRPr="007F6E51">
        <w:rPr>
          <w:rFonts w:ascii="仿宋" w:eastAsia="仿宋" w:hAnsi="仿宋" w:cs="仿宋_GB2312"/>
          <w:shd w:val="clear" w:color="auto" w:fill="FFFFFF"/>
        </w:rPr>
        <w:t>（十）负责全县地质勘查工作。编制地质勘查规划并监督检查执行情况；管理地质勘查项目；组织实施重大地质矿产勘 查专项。</w:t>
      </w:r>
    </w:p>
    <w:p w:rsidR="00D34798" w:rsidRPr="007F6E51" w:rsidRDefault="00D34798" w:rsidP="00D34798">
      <w:pPr>
        <w:pStyle w:val="aa"/>
        <w:spacing w:line="340" w:lineRule="auto"/>
        <w:ind w:left="548" w:right="631" w:firstLine="638"/>
        <w:jc w:val="both"/>
        <w:rPr>
          <w:rFonts w:ascii="仿宋" w:eastAsia="仿宋" w:hAnsi="仿宋" w:cs="仿宋_GB2312"/>
          <w:shd w:val="clear" w:color="auto" w:fill="FFFFFF"/>
        </w:rPr>
      </w:pPr>
      <w:r w:rsidRPr="007F6E51">
        <w:rPr>
          <w:rFonts w:ascii="仿宋" w:eastAsia="仿宋" w:hAnsi="仿宋" w:cs="仿宋_GB2312"/>
          <w:shd w:val="clear" w:color="auto" w:fill="FFFFFF"/>
        </w:rPr>
        <w:t>（十一）负责地质灾害预防和治理。负责落实综合防灾减</w:t>
      </w:r>
      <w:r w:rsidR="00C70D5A">
        <w:rPr>
          <w:rFonts w:ascii="仿宋" w:eastAsia="仿宋" w:hAnsi="仿宋" w:cs="仿宋_GB2312"/>
          <w:shd w:val="clear" w:color="auto" w:fill="FFFFFF"/>
        </w:rPr>
        <w:t>灾规划；负责地质灾害调查评价及隐患的普查、详查、排查</w:t>
      </w:r>
      <w:r w:rsidR="00C70D5A">
        <w:rPr>
          <w:rFonts w:ascii="仿宋" w:eastAsia="仿宋" w:hAnsi="仿宋" w:cs="仿宋_GB2312" w:hint="eastAsia"/>
          <w:shd w:val="clear" w:color="auto" w:fill="FFFFFF"/>
        </w:rPr>
        <w:t>；</w:t>
      </w:r>
      <w:r w:rsidRPr="007F6E51">
        <w:rPr>
          <w:rFonts w:ascii="仿宋" w:eastAsia="仿宋" w:hAnsi="仿宋" w:cs="仿宋_GB2312"/>
          <w:shd w:val="clear" w:color="auto" w:fill="FFFFFF"/>
        </w:rPr>
        <w:t>开展群测群防、专业监测和预报预警等工作，开展地质灾害工程治理工作；承担地质灾害应急救援的技术支撑工作。</w:t>
      </w:r>
    </w:p>
    <w:p w:rsidR="00D34798" w:rsidRPr="007F6E51" w:rsidRDefault="00D34798" w:rsidP="00D34798">
      <w:pPr>
        <w:pStyle w:val="aa"/>
        <w:spacing w:line="340" w:lineRule="auto"/>
        <w:ind w:left="548" w:right="366" w:firstLine="638"/>
        <w:jc w:val="both"/>
        <w:rPr>
          <w:rFonts w:ascii="仿宋" w:eastAsia="仿宋" w:hAnsi="仿宋" w:cs="仿宋_GB2312"/>
          <w:shd w:val="clear" w:color="auto" w:fill="FFFFFF"/>
        </w:rPr>
      </w:pPr>
      <w:r w:rsidRPr="007F6E51">
        <w:rPr>
          <w:rFonts w:ascii="仿宋" w:eastAsia="仿宋" w:hAnsi="仿宋" w:cs="仿宋_GB2312"/>
          <w:shd w:val="clear" w:color="auto" w:fill="FFFFFF"/>
        </w:rPr>
        <w:t>（十二）负责全县矿产资源开发管理工作。负责矿产资源储量管理，承担压覆矿产资源相关管理工作；负责矿业权管理；会同有关部门落实保护性开采的特定矿种、优势矿产的调控及相关管理工作；监督指导矿产资源合理利用和保护。</w:t>
      </w:r>
    </w:p>
    <w:p w:rsidR="00D34798" w:rsidRPr="007F6E51" w:rsidRDefault="00D34798" w:rsidP="00D34798">
      <w:pPr>
        <w:pStyle w:val="aa"/>
        <w:spacing w:line="340" w:lineRule="auto"/>
        <w:ind w:left="548" w:right="631" w:firstLine="638"/>
        <w:jc w:val="both"/>
        <w:rPr>
          <w:rFonts w:ascii="仿宋" w:eastAsia="仿宋" w:hAnsi="仿宋" w:cs="仿宋_GB2312"/>
          <w:shd w:val="clear" w:color="auto" w:fill="FFFFFF"/>
        </w:rPr>
      </w:pPr>
      <w:r w:rsidRPr="007F6E51">
        <w:rPr>
          <w:rFonts w:ascii="仿宋" w:eastAsia="仿宋" w:hAnsi="仿宋" w:cs="仿宋_GB2312"/>
          <w:shd w:val="clear" w:color="auto" w:fill="FFFFFF"/>
        </w:rPr>
        <w:t>（十三）负责全县测绘地理信息管理工作。负责基础测绘和测绘行业管理；负责测绘资质资格与信用管理，监督管理地理信息安全和市场秩序；负责地理信息公共服务管理；负责测量标志保护。</w:t>
      </w:r>
    </w:p>
    <w:p w:rsidR="00D34798" w:rsidRPr="007F6E51" w:rsidRDefault="00D34798" w:rsidP="00D34798">
      <w:pPr>
        <w:pStyle w:val="aa"/>
        <w:spacing w:line="340" w:lineRule="auto"/>
        <w:ind w:left="548" w:right="631" w:firstLine="638"/>
        <w:jc w:val="both"/>
        <w:rPr>
          <w:rFonts w:ascii="仿宋" w:eastAsia="仿宋" w:hAnsi="仿宋" w:cs="仿宋_GB2312"/>
          <w:shd w:val="clear" w:color="auto" w:fill="FFFFFF"/>
        </w:rPr>
      </w:pPr>
      <w:r w:rsidRPr="007F6E51">
        <w:rPr>
          <w:rFonts w:ascii="仿宋" w:eastAsia="仿宋" w:hAnsi="仿宋" w:cs="仿宋_GB2312"/>
          <w:shd w:val="clear" w:color="auto" w:fill="FFFFFF"/>
        </w:rPr>
        <w:t>（十</w:t>
      </w:r>
      <w:r w:rsidR="00C20841">
        <w:rPr>
          <w:rFonts w:ascii="仿宋" w:eastAsia="仿宋" w:hAnsi="仿宋" w:cs="仿宋_GB2312" w:hint="eastAsia"/>
          <w:shd w:val="clear" w:color="auto" w:fill="FFFFFF"/>
        </w:rPr>
        <w:t>四</w:t>
      </w:r>
      <w:r w:rsidRPr="007F6E51">
        <w:rPr>
          <w:rFonts w:ascii="仿宋" w:eastAsia="仿宋" w:hAnsi="仿宋" w:cs="仿宋_GB2312"/>
          <w:shd w:val="clear" w:color="auto" w:fill="FFFFFF"/>
        </w:rPr>
        <w:t>）负责监督管理全县各类自然保护</w:t>
      </w:r>
      <w:r w:rsidRPr="007F6E51">
        <w:rPr>
          <w:rFonts w:ascii="仿宋" w:eastAsia="仿宋" w:hAnsi="仿宋" w:cs="仿宋_GB2312"/>
          <w:shd w:val="clear" w:color="auto" w:fill="FFFFFF"/>
        </w:rPr>
        <w:lastRenderedPageBreak/>
        <w:t>地。拟订全县各类自然保护地规划和相关地方标准；负责自然保护地的自然资源资产管理和国土空间用途管制；提出新建、调整各类县级以上自然保护地的审核建议并按程序报批，组织审核自然遗产、 地质公园的申报，会同有关部门审核自然与文化双重遗产的申报；负责全县生物多样性保护工作。</w:t>
      </w:r>
    </w:p>
    <w:p w:rsidR="00D34798" w:rsidRPr="007F6E51" w:rsidRDefault="00D34798" w:rsidP="00D34798">
      <w:pPr>
        <w:pStyle w:val="aa"/>
        <w:spacing w:before="4"/>
        <w:ind w:left="1120"/>
        <w:rPr>
          <w:rFonts w:ascii="仿宋" w:eastAsia="仿宋" w:hAnsi="仿宋" w:cs="仿宋_GB2312"/>
          <w:shd w:val="clear" w:color="auto" w:fill="FFFFFF"/>
        </w:rPr>
      </w:pPr>
      <w:r w:rsidRPr="007F6E51">
        <w:rPr>
          <w:rFonts w:ascii="仿宋" w:eastAsia="仿宋" w:hAnsi="仿宋" w:cs="仿宋_GB2312"/>
          <w:shd w:val="clear" w:color="auto" w:fill="FFFFFF"/>
        </w:rPr>
        <w:t>（</w:t>
      </w:r>
      <w:r w:rsidR="00C20841">
        <w:rPr>
          <w:rFonts w:ascii="仿宋" w:eastAsia="仿宋" w:hAnsi="仿宋" w:cs="仿宋_GB2312" w:hint="eastAsia"/>
          <w:shd w:val="clear" w:color="auto" w:fill="FFFFFF"/>
        </w:rPr>
        <w:t>十五</w:t>
      </w:r>
      <w:r w:rsidRPr="007F6E51">
        <w:rPr>
          <w:rFonts w:ascii="仿宋" w:eastAsia="仿宋" w:hAnsi="仿宋" w:cs="仿宋_GB2312"/>
          <w:shd w:val="clear" w:color="auto" w:fill="FFFFFF"/>
        </w:rPr>
        <w:t>）完成县委、县政府交办的其他工作。</w:t>
      </w:r>
    </w:p>
    <w:p w:rsidR="00E34AE7" w:rsidRDefault="00B2012A">
      <w:pPr>
        <w:widowControl/>
        <w:spacing w:line="360" w:lineRule="auto"/>
        <w:jc w:val="left"/>
        <w:outlineLvl w:val="1"/>
        <w:rPr>
          <w:rFonts w:ascii="Times New Roman" w:eastAsia="黑体"/>
          <w:sz w:val="32"/>
          <w:szCs w:val="32"/>
        </w:rPr>
      </w:pPr>
      <w:r>
        <w:rPr>
          <w:rFonts w:ascii="Times New Roman" w:eastAsia="黑体"/>
          <w:sz w:val="32"/>
          <w:szCs w:val="32"/>
        </w:rPr>
        <w:t>二、机构设置</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从决算编报单位构成看，纳入</w:t>
      </w:r>
      <w:r>
        <w:rPr>
          <w:rFonts w:ascii="Times New Roman" w:eastAsia="仿宋_GB2312"/>
          <w:sz w:val="32"/>
          <w:szCs w:val="32"/>
        </w:rPr>
        <w:t>2024</w:t>
      </w:r>
      <w:r>
        <w:rPr>
          <w:rFonts w:ascii="Times New Roman" w:eastAsia="仿宋_GB2312"/>
          <w:sz w:val="32"/>
          <w:szCs w:val="32"/>
        </w:rPr>
        <w:t>年度本部门决算汇编范围的独立核算单位（以下简称</w:t>
      </w:r>
      <w:r>
        <w:rPr>
          <w:rFonts w:ascii="Times New Roman" w:eastAsia="仿宋_GB2312"/>
          <w:sz w:val="32"/>
          <w:szCs w:val="32"/>
        </w:rPr>
        <w:t>“</w:t>
      </w:r>
      <w:r>
        <w:rPr>
          <w:rFonts w:ascii="Times New Roman" w:eastAsia="仿宋_GB2312"/>
          <w:sz w:val="32"/>
          <w:szCs w:val="32"/>
        </w:rPr>
        <w:t>单位</w:t>
      </w:r>
      <w:r>
        <w:rPr>
          <w:rFonts w:ascii="Times New Roman" w:eastAsia="仿宋_GB2312"/>
          <w:sz w:val="32"/>
          <w:szCs w:val="32"/>
        </w:rPr>
        <w:t>”</w:t>
      </w:r>
      <w:r>
        <w:rPr>
          <w:rFonts w:ascii="Times New Roman" w:eastAsia="仿宋_GB2312"/>
          <w:sz w:val="32"/>
          <w:szCs w:val="32"/>
        </w:rPr>
        <w:t>）共</w:t>
      </w:r>
      <w:r>
        <w:rPr>
          <w:rFonts w:ascii="Times New Roman" w:eastAsia="仿宋_GB2312"/>
          <w:sz w:val="32"/>
          <w:szCs w:val="32"/>
        </w:rPr>
        <w:t>3</w:t>
      </w:r>
      <w:r>
        <w:rPr>
          <w:rFonts w:ascii="Times New Roman" w:eastAsia="仿宋_GB2312"/>
          <w:sz w:val="32"/>
          <w:szCs w:val="32"/>
        </w:rPr>
        <w:t>个，具体情况如下：</w:t>
      </w:r>
    </w:p>
    <w:tbl>
      <w:tblPr>
        <w:tblpPr w:leftFromText="180" w:rightFromText="180" w:vertAnchor="text" w:horzAnchor="page" w:tblpXSpec="center" w:tblpY="10"/>
        <w:tblOverlap w:val="neve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
        <w:gridCol w:w="3485"/>
        <w:gridCol w:w="2445"/>
        <w:gridCol w:w="2665"/>
      </w:tblGrid>
      <w:tr w:rsidR="00E34AE7">
        <w:trPr>
          <w:trHeight w:val="811"/>
          <w:jc w:val="center"/>
        </w:trPr>
        <w:tc>
          <w:tcPr>
            <w:tcW w:w="985" w:type="dxa"/>
            <w:vAlign w:val="center"/>
          </w:tcPr>
          <w:p w:rsidR="00E34AE7" w:rsidRDefault="00B2012A">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序号</w:t>
            </w:r>
          </w:p>
        </w:tc>
        <w:tc>
          <w:tcPr>
            <w:tcW w:w="3485" w:type="dxa"/>
            <w:vAlign w:val="center"/>
          </w:tcPr>
          <w:p w:rsidR="00E34AE7" w:rsidRDefault="00B2012A">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单位名称</w:t>
            </w:r>
          </w:p>
        </w:tc>
        <w:tc>
          <w:tcPr>
            <w:tcW w:w="2445" w:type="dxa"/>
            <w:vAlign w:val="center"/>
          </w:tcPr>
          <w:p w:rsidR="00E34AE7" w:rsidRDefault="00B2012A">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单位基本性质</w:t>
            </w:r>
          </w:p>
        </w:tc>
        <w:tc>
          <w:tcPr>
            <w:tcW w:w="2665" w:type="dxa"/>
            <w:vAlign w:val="center"/>
          </w:tcPr>
          <w:p w:rsidR="00E34AE7" w:rsidRDefault="00B2012A">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经费形式</w:t>
            </w:r>
          </w:p>
        </w:tc>
      </w:tr>
      <w:tr w:rsidR="00E34AE7">
        <w:trPr>
          <w:trHeight w:val="596"/>
          <w:jc w:val="center"/>
        </w:trPr>
        <w:tc>
          <w:tcPr>
            <w:tcW w:w="985" w:type="dxa"/>
          </w:tcPr>
          <w:p w:rsidR="00E34AE7" w:rsidRDefault="00B2012A" w:rsidP="00E42555">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1</w:t>
            </w:r>
          </w:p>
        </w:tc>
        <w:tc>
          <w:tcPr>
            <w:tcW w:w="3485" w:type="dxa"/>
          </w:tcPr>
          <w:p w:rsidR="00E34AE7" w:rsidRDefault="00B2012A">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青龙满族自治县自然资源和规划局（本级）</w:t>
            </w:r>
          </w:p>
        </w:tc>
        <w:tc>
          <w:tcPr>
            <w:tcW w:w="2445" w:type="dxa"/>
          </w:tcPr>
          <w:p w:rsidR="00E34AE7" w:rsidRDefault="00C8206C">
            <w:pPr>
              <w:spacing w:line="560" w:lineRule="exact"/>
              <w:jc w:val="center"/>
              <w:rPr>
                <w:rFonts w:ascii="仿宋_GB2312" w:eastAsia="仿宋_GB2312" w:hAnsi="Calibri" w:cs="ArialUnicodeMS"/>
                <w:sz w:val="28"/>
                <w:szCs w:val="28"/>
              </w:rPr>
            </w:pPr>
            <w:r w:rsidRPr="00C8206C">
              <w:rPr>
                <w:rFonts w:ascii="仿宋_GB2312" w:eastAsia="仿宋_GB2312" w:hAnsi="Calibri" w:cs="ArialUnicodeMS"/>
                <w:sz w:val="28"/>
                <w:szCs w:val="28"/>
              </w:rPr>
              <w:t>行政</w:t>
            </w:r>
            <w:r w:rsidRPr="00C8206C">
              <w:rPr>
                <w:rFonts w:ascii="仿宋_GB2312" w:eastAsia="仿宋_GB2312" w:hAnsi="Calibri" w:cs="ArialUnicodeMS" w:hint="eastAsia"/>
                <w:sz w:val="28"/>
                <w:szCs w:val="28"/>
              </w:rPr>
              <w:t>单位</w:t>
            </w:r>
          </w:p>
        </w:tc>
        <w:tc>
          <w:tcPr>
            <w:tcW w:w="2665" w:type="dxa"/>
          </w:tcPr>
          <w:p w:rsidR="00E34AE7" w:rsidRPr="00BA22E6" w:rsidRDefault="00BA22E6">
            <w:pPr>
              <w:spacing w:line="560" w:lineRule="exact"/>
              <w:jc w:val="center"/>
              <w:rPr>
                <w:rFonts w:ascii="宋体" w:eastAsia="宋体" w:hAnsi="宋体"/>
                <w:sz w:val="28"/>
                <w:szCs w:val="28"/>
              </w:rPr>
            </w:pPr>
            <w:r>
              <w:rPr>
                <w:rFonts w:ascii="宋体" w:eastAsia="宋体" w:hAnsi="宋体" w:hint="eastAsia"/>
                <w:sz w:val="28"/>
                <w:szCs w:val="28"/>
              </w:rPr>
              <w:t>财政拨款</w:t>
            </w:r>
          </w:p>
        </w:tc>
      </w:tr>
      <w:tr w:rsidR="00E34AE7">
        <w:trPr>
          <w:trHeight w:val="596"/>
          <w:jc w:val="center"/>
        </w:trPr>
        <w:tc>
          <w:tcPr>
            <w:tcW w:w="985" w:type="dxa"/>
          </w:tcPr>
          <w:p w:rsidR="00E34AE7" w:rsidRPr="00E42555" w:rsidRDefault="00B2012A" w:rsidP="00E42555">
            <w:pPr>
              <w:spacing w:line="560" w:lineRule="exact"/>
              <w:jc w:val="center"/>
              <w:rPr>
                <w:rFonts w:ascii="宋体" w:eastAsia="宋体" w:hAnsi="宋体"/>
                <w:sz w:val="28"/>
                <w:szCs w:val="28"/>
              </w:rPr>
            </w:pPr>
            <w:r>
              <w:rPr>
                <w:rFonts w:ascii="仿宋_GB2312" w:eastAsia="仿宋_GB2312" w:hAnsi="Calibri" w:cs="ArialUnicodeMS" w:hint="eastAsia"/>
                <w:sz w:val="28"/>
                <w:szCs w:val="28"/>
              </w:rPr>
              <w:t>2</w:t>
            </w:r>
            <w:r w:rsidR="00E42555">
              <w:rPr>
                <w:rFonts w:ascii="宋体" w:eastAsia="宋体" w:hAnsi="宋体" w:hint="eastAsia"/>
                <w:sz w:val="28"/>
                <w:szCs w:val="28"/>
              </w:rPr>
              <w:t>2</w:t>
            </w:r>
          </w:p>
        </w:tc>
        <w:tc>
          <w:tcPr>
            <w:tcW w:w="3485" w:type="dxa"/>
          </w:tcPr>
          <w:p w:rsidR="00E34AE7" w:rsidRDefault="00B2012A">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青龙满族自治县不动产登记中心</w:t>
            </w:r>
          </w:p>
        </w:tc>
        <w:tc>
          <w:tcPr>
            <w:tcW w:w="2445" w:type="dxa"/>
          </w:tcPr>
          <w:p w:rsidR="00E34AE7" w:rsidRDefault="00C8206C">
            <w:pPr>
              <w:spacing w:line="560" w:lineRule="exact"/>
              <w:jc w:val="center"/>
              <w:rPr>
                <w:rFonts w:ascii="仿宋_GB2312" w:eastAsia="仿宋_GB2312" w:hAnsi="Calibri" w:cs="ArialUnicodeMS"/>
                <w:sz w:val="28"/>
                <w:szCs w:val="28"/>
              </w:rPr>
            </w:pPr>
            <w:r w:rsidRPr="00C8206C">
              <w:rPr>
                <w:rFonts w:ascii="仿宋_GB2312" w:eastAsia="仿宋_GB2312" w:hAnsi="Calibri" w:cs="ArialUnicodeMS"/>
                <w:sz w:val="28"/>
                <w:szCs w:val="28"/>
              </w:rPr>
              <w:t>经费自理事业</w:t>
            </w:r>
            <w:r w:rsidRPr="00C8206C">
              <w:rPr>
                <w:rFonts w:ascii="仿宋_GB2312" w:eastAsia="仿宋_GB2312" w:hAnsi="Calibri" w:cs="ArialUnicodeMS" w:hint="eastAsia"/>
                <w:sz w:val="28"/>
                <w:szCs w:val="28"/>
              </w:rPr>
              <w:t>单位</w:t>
            </w:r>
          </w:p>
        </w:tc>
        <w:tc>
          <w:tcPr>
            <w:tcW w:w="2665" w:type="dxa"/>
          </w:tcPr>
          <w:p w:rsidR="00E34AE7" w:rsidRDefault="00250680">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财政性资金零补助</w:t>
            </w:r>
          </w:p>
        </w:tc>
      </w:tr>
      <w:tr w:rsidR="00E34AE7">
        <w:trPr>
          <w:trHeight w:val="596"/>
          <w:jc w:val="center"/>
        </w:trPr>
        <w:tc>
          <w:tcPr>
            <w:tcW w:w="985" w:type="dxa"/>
          </w:tcPr>
          <w:p w:rsidR="00E34AE7" w:rsidRPr="00E42555" w:rsidRDefault="00B2012A" w:rsidP="00E42555">
            <w:pPr>
              <w:spacing w:line="560" w:lineRule="exact"/>
              <w:jc w:val="center"/>
              <w:rPr>
                <w:rFonts w:ascii="宋体" w:eastAsia="宋体" w:hAnsi="宋体"/>
                <w:sz w:val="28"/>
                <w:szCs w:val="28"/>
              </w:rPr>
            </w:pPr>
            <w:r>
              <w:rPr>
                <w:rFonts w:ascii="仿宋_GB2312" w:eastAsia="仿宋_GB2312" w:hAnsi="Calibri" w:cs="ArialUnicodeMS" w:hint="eastAsia"/>
                <w:sz w:val="28"/>
                <w:szCs w:val="28"/>
              </w:rPr>
              <w:t>3</w:t>
            </w:r>
            <w:r w:rsidR="00E42555">
              <w:rPr>
                <w:rFonts w:ascii="宋体" w:eastAsia="宋体" w:hAnsi="宋体" w:hint="eastAsia"/>
                <w:sz w:val="28"/>
                <w:szCs w:val="28"/>
              </w:rPr>
              <w:t>3</w:t>
            </w:r>
          </w:p>
        </w:tc>
        <w:tc>
          <w:tcPr>
            <w:tcW w:w="3485" w:type="dxa"/>
          </w:tcPr>
          <w:p w:rsidR="00E34AE7" w:rsidRDefault="00B2012A">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青龙满族自治县城乡规划设计服务中心</w:t>
            </w:r>
          </w:p>
        </w:tc>
        <w:tc>
          <w:tcPr>
            <w:tcW w:w="2445" w:type="dxa"/>
          </w:tcPr>
          <w:p w:rsidR="00E34AE7" w:rsidRDefault="00C8206C">
            <w:pPr>
              <w:spacing w:line="560" w:lineRule="exact"/>
              <w:jc w:val="center"/>
              <w:rPr>
                <w:rFonts w:ascii="仿宋_GB2312" w:eastAsia="仿宋_GB2312" w:hAnsi="Calibri" w:cs="ArialUnicodeMS"/>
                <w:sz w:val="28"/>
                <w:szCs w:val="28"/>
              </w:rPr>
            </w:pPr>
            <w:r w:rsidRPr="00C8206C">
              <w:rPr>
                <w:rFonts w:ascii="仿宋_GB2312" w:eastAsia="仿宋_GB2312" w:hAnsi="Calibri" w:cs="ArialUnicodeMS"/>
                <w:sz w:val="28"/>
                <w:szCs w:val="28"/>
              </w:rPr>
              <w:t>财政补助事业单位</w:t>
            </w:r>
          </w:p>
        </w:tc>
        <w:tc>
          <w:tcPr>
            <w:tcW w:w="2665" w:type="dxa"/>
          </w:tcPr>
          <w:p w:rsidR="00E34AE7" w:rsidRDefault="00F00B26">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财政性资金基本保证</w:t>
            </w:r>
          </w:p>
        </w:tc>
      </w:tr>
    </w:tbl>
    <w:p w:rsidR="00E34AE7" w:rsidRPr="00F00B26" w:rsidRDefault="00B2012A">
      <w:pPr>
        <w:rPr>
          <w:rFonts w:ascii="Times New Roman" w:eastAsia="黑体" w:hAnsi="Times New Roman" w:cs="Times New Roman"/>
          <w:sz w:val="32"/>
          <w:szCs w:val="32"/>
        </w:rPr>
      </w:pPr>
      <w:r w:rsidRPr="00F00B26">
        <w:rPr>
          <w:rFonts w:ascii="Times New Roman" w:eastAsia="黑体" w:hAnsi="Times New Roman" w:cs="Times New Roman" w:hint="eastAsia"/>
          <w:sz w:val="32"/>
          <w:szCs w:val="32"/>
        </w:rPr>
        <w:br w:type="page"/>
      </w:r>
    </w:p>
    <w:p w:rsidR="00E34AE7" w:rsidRDefault="00B2012A">
      <w:pPr>
        <w:widowControl/>
        <w:spacing w:line="360" w:lineRule="auto"/>
        <w:jc w:val="center"/>
        <w:outlineLvl w:val="0"/>
        <w:rPr>
          <w:rFonts w:ascii="Times New Roman" w:eastAsia="黑体"/>
          <w:sz w:val="44"/>
          <w:szCs w:val="44"/>
        </w:rPr>
      </w:pPr>
      <w:r>
        <w:rPr>
          <w:rFonts w:ascii="Times New Roman" w:eastAsia="黑体"/>
          <w:sz w:val="44"/>
          <w:szCs w:val="44"/>
        </w:rPr>
        <w:lastRenderedPageBreak/>
        <w:t>第二部分</w:t>
      </w:r>
      <w:r>
        <w:rPr>
          <w:rFonts w:ascii="Times New Roman" w:eastAsia="仿宋_GB2312"/>
          <w:sz w:val="44"/>
          <w:szCs w:val="44"/>
        </w:rPr>
        <w:t>2024</w:t>
      </w:r>
      <w:r>
        <w:rPr>
          <w:rFonts w:ascii="Times New Roman" w:eastAsia="黑体"/>
          <w:sz w:val="44"/>
          <w:szCs w:val="44"/>
        </w:rPr>
        <w:t>年度部门决算表</w:t>
      </w:r>
    </w:p>
    <w:tbl>
      <w:tblPr>
        <w:tblW w:w="7250" w:type="pct"/>
        <w:tblInd w:w="-1817" w:type="dxa"/>
        <w:tblLayout w:type="fixed"/>
        <w:tblLook w:val="04A0"/>
      </w:tblPr>
      <w:tblGrid>
        <w:gridCol w:w="3343"/>
        <w:gridCol w:w="623"/>
        <w:gridCol w:w="613"/>
        <w:gridCol w:w="1317"/>
        <w:gridCol w:w="1625"/>
        <w:gridCol w:w="1548"/>
        <w:gridCol w:w="623"/>
        <w:gridCol w:w="1931"/>
        <w:gridCol w:w="35"/>
      </w:tblGrid>
      <w:tr w:rsidR="00E34AE7">
        <w:trPr>
          <w:gridAfter w:val="1"/>
          <w:wAfter w:w="14" w:type="pct"/>
          <w:trHeight w:val="361"/>
        </w:trPr>
        <w:tc>
          <w:tcPr>
            <w:tcW w:w="4985" w:type="pct"/>
            <w:gridSpan w:val="8"/>
            <w:tcBorders>
              <w:top w:val="nil"/>
              <w:left w:val="nil"/>
              <w:bottom w:val="nil"/>
              <w:right w:val="nil"/>
            </w:tcBorders>
            <w:noWrap/>
            <w:vAlign w:val="bottom"/>
          </w:tcPr>
          <w:p w:rsidR="00E34AE7" w:rsidRDefault="00B2012A">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t>收入支出决算总表</w:t>
            </w:r>
          </w:p>
        </w:tc>
      </w:tr>
      <w:tr w:rsidR="00E34AE7">
        <w:trPr>
          <w:gridAfter w:val="1"/>
          <w:wAfter w:w="14" w:type="pct"/>
          <w:trHeight w:val="357"/>
        </w:trPr>
        <w:tc>
          <w:tcPr>
            <w:tcW w:w="4985" w:type="pct"/>
            <w:gridSpan w:val="8"/>
            <w:tcBorders>
              <w:top w:val="nil"/>
              <w:left w:val="nil"/>
              <w:bottom w:val="nil"/>
              <w:right w:val="nil"/>
            </w:tcBorders>
            <w:noWrap/>
            <w:vAlign w:val="bottom"/>
          </w:tcPr>
          <w:p w:rsidR="00E34AE7" w:rsidRDefault="00B2012A">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 xml:space="preserve"> 公开</w:t>
            </w:r>
            <w:r>
              <w:rPr>
                <w:rFonts w:ascii="Times New Roman" w:eastAsia="宋体" w:hAnsi="Times New Roman" w:cs="Times New Roman" w:hint="eastAsia"/>
                <w:color w:val="000000"/>
                <w:sz w:val="20"/>
                <w:szCs w:val="20"/>
              </w:rPr>
              <w:t>01</w:t>
            </w:r>
            <w:r>
              <w:rPr>
                <w:rFonts w:ascii="方正仿宋_GB2312" w:eastAsia="方正仿宋_GB2312" w:hAnsi="方正仿宋_GB2312" w:cs="方正仿宋_GB2312" w:hint="eastAsia"/>
                <w:color w:val="000000"/>
                <w:sz w:val="20"/>
                <w:szCs w:val="20"/>
              </w:rPr>
              <w:t>表</w:t>
            </w:r>
          </w:p>
        </w:tc>
      </w:tr>
      <w:tr w:rsidR="00E34AE7">
        <w:trPr>
          <w:gridAfter w:val="1"/>
          <w:wAfter w:w="14" w:type="pct"/>
          <w:trHeight w:val="351"/>
        </w:trPr>
        <w:tc>
          <w:tcPr>
            <w:tcW w:w="1964" w:type="pct"/>
            <w:gridSpan w:val="3"/>
            <w:tcBorders>
              <w:top w:val="nil"/>
              <w:left w:val="nil"/>
              <w:bottom w:val="single" w:sz="4" w:space="0" w:color="auto"/>
              <w:right w:val="nil"/>
            </w:tcBorders>
            <w:noWrap/>
            <w:vAlign w:val="bottom"/>
          </w:tcPr>
          <w:p w:rsidR="00E34AE7" w:rsidRDefault="00B2012A">
            <w:pP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部门（单位）：青龙满族自治县自然资源和规划局（汇总）</w:t>
            </w:r>
          </w:p>
        </w:tc>
        <w:tc>
          <w:tcPr>
            <w:tcW w:w="1262" w:type="pct"/>
            <w:gridSpan w:val="2"/>
            <w:tcBorders>
              <w:top w:val="nil"/>
              <w:left w:val="nil"/>
              <w:bottom w:val="single" w:sz="4" w:space="0" w:color="auto"/>
              <w:right w:val="nil"/>
            </w:tcBorders>
            <w:noWrap/>
            <w:vAlign w:val="bottom"/>
          </w:tcPr>
          <w:p w:rsidR="00E34AE7" w:rsidRDefault="00B2012A">
            <w:pPr>
              <w:jc w:val="center"/>
              <w:rPr>
                <w:rFonts w:ascii="宋体" w:eastAsia="宋体" w:hAnsi="宋体"/>
                <w:color w:val="000000"/>
                <w:sz w:val="20"/>
                <w:szCs w:val="20"/>
              </w:rPr>
            </w:pPr>
            <w:r>
              <w:rPr>
                <w:rFonts w:ascii="Times New Roman" w:eastAsia="宋体" w:hAnsi="Times New Roman" w:cs="Times New Roman" w:hint="eastAsia"/>
                <w:color w:val="000000"/>
                <w:sz w:val="20"/>
                <w:szCs w:val="20"/>
              </w:rPr>
              <w:t>2024</w:t>
            </w:r>
            <w:r>
              <w:rPr>
                <w:rFonts w:ascii="方正仿宋_GB2312" w:eastAsia="方正仿宋_GB2312" w:hAnsi="方正仿宋_GB2312" w:cs="方正仿宋_GB2312" w:hint="eastAsia"/>
                <w:color w:val="000000"/>
                <w:sz w:val="20"/>
                <w:szCs w:val="20"/>
              </w:rPr>
              <w:t>年度</w:t>
            </w:r>
          </w:p>
        </w:tc>
        <w:tc>
          <w:tcPr>
            <w:tcW w:w="1757" w:type="pct"/>
            <w:gridSpan w:val="3"/>
            <w:tcBorders>
              <w:top w:val="nil"/>
              <w:left w:val="nil"/>
              <w:bottom w:val="single" w:sz="4" w:space="0" w:color="auto"/>
              <w:right w:val="nil"/>
            </w:tcBorders>
            <w:noWrap/>
            <w:vAlign w:val="bottom"/>
          </w:tcPr>
          <w:p w:rsidR="00E34AE7" w:rsidRDefault="00B2012A">
            <w:pPr>
              <w:jc w:val="right"/>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E34AE7">
        <w:trPr>
          <w:gridAfter w:val="1"/>
          <w:wAfter w:w="14" w:type="pct"/>
          <w:trHeight w:val="544"/>
        </w:trPr>
        <w:tc>
          <w:tcPr>
            <w:tcW w:w="2529" w:type="pct"/>
            <w:gridSpan w:val="4"/>
            <w:tcBorders>
              <w:top w:val="single" w:sz="4" w:space="0" w:color="auto"/>
              <w:left w:val="single" w:sz="4" w:space="0" w:color="000000"/>
              <w:bottom w:val="single" w:sz="4" w:space="0" w:color="000000"/>
              <w:right w:val="single" w:sz="4" w:space="0" w:color="000000"/>
            </w:tcBorders>
            <w:noWrap/>
            <w:vAlign w:val="center"/>
          </w:tcPr>
          <w:p w:rsidR="00E34AE7" w:rsidRDefault="00B2012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收入</w:t>
            </w:r>
          </w:p>
        </w:tc>
        <w:tc>
          <w:tcPr>
            <w:tcW w:w="2456" w:type="pct"/>
            <w:gridSpan w:val="4"/>
            <w:tcBorders>
              <w:top w:val="single" w:sz="4" w:space="0" w:color="auto"/>
              <w:left w:val="nil"/>
              <w:bottom w:val="single" w:sz="4" w:space="0" w:color="000000"/>
              <w:right w:val="single" w:sz="4" w:space="0" w:color="000000"/>
            </w:tcBorders>
            <w:noWrap/>
            <w:vAlign w:val="center"/>
          </w:tcPr>
          <w:p w:rsidR="00E34AE7" w:rsidRDefault="00B2012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支出</w:t>
            </w:r>
          </w:p>
        </w:tc>
      </w:tr>
      <w:tr w:rsidR="00E34AE7">
        <w:trPr>
          <w:gridAfter w:val="1"/>
          <w:wAfter w:w="14" w:type="pct"/>
          <w:trHeight w:val="308"/>
        </w:trPr>
        <w:tc>
          <w:tcPr>
            <w:tcW w:w="1434" w:type="pct"/>
            <w:tcBorders>
              <w:top w:val="nil"/>
              <w:left w:val="single" w:sz="4" w:space="0" w:color="000000"/>
              <w:bottom w:val="single" w:sz="4" w:space="0" w:color="000000"/>
              <w:right w:val="single" w:sz="4" w:space="0" w:color="000000"/>
            </w:tcBorders>
            <w:noWrap/>
            <w:vAlign w:val="center"/>
          </w:tcPr>
          <w:p w:rsidR="00E34AE7" w:rsidRDefault="00B2012A">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项目</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行次</w:t>
            </w:r>
          </w:p>
        </w:tc>
        <w:tc>
          <w:tcPr>
            <w:tcW w:w="826" w:type="pct"/>
            <w:gridSpan w:val="2"/>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决算数</w:t>
            </w: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项目</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行次</w:t>
            </w:r>
          </w:p>
        </w:tc>
        <w:tc>
          <w:tcPr>
            <w:tcW w:w="82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决算数</w:t>
            </w: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B2012A">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栏次</w:t>
            </w:r>
          </w:p>
        </w:tc>
        <w:tc>
          <w:tcPr>
            <w:tcW w:w="267" w:type="pct"/>
            <w:tcBorders>
              <w:top w:val="nil"/>
              <w:left w:val="nil"/>
              <w:bottom w:val="single" w:sz="4" w:space="0" w:color="000000"/>
              <w:right w:val="single" w:sz="4" w:space="0" w:color="000000"/>
            </w:tcBorders>
            <w:noWrap/>
            <w:vAlign w:val="center"/>
          </w:tcPr>
          <w:p w:rsidR="00E34AE7" w:rsidRDefault="00E34AE7">
            <w:pPr>
              <w:jc w:val="center"/>
              <w:rPr>
                <w:rFonts w:ascii="宋体" w:eastAsia="宋体" w:hAnsi="宋体"/>
                <w:color w:val="000000"/>
                <w:sz w:val="20"/>
                <w:szCs w:val="20"/>
              </w:rPr>
            </w:pPr>
          </w:p>
        </w:tc>
        <w:tc>
          <w:tcPr>
            <w:tcW w:w="826" w:type="pct"/>
            <w:gridSpan w:val="2"/>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宋体" w:eastAsia="宋体" w:hAnsi="宋体"/>
                <w:color w:val="000000"/>
                <w:sz w:val="20"/>
                <w:szCs w:val="20"/>
              </w:rPr>
            </w:pPr>
            <w:r>
              <w:rPr>
                <w:rFonts w:ascii="Times New Roman" w:eastAsia="宋体" w:hAnsi="Times New Roman" w:cs="Times New Roman" w:hint="eastAsia"/>
                <w:color w:val="000000"/>
                <w:sz w:val="20"/>
                <w:szCs w:val="20"/>
              </w:rPr>
              <w:t>1</w:t>
            </w: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栏次</w:t>
            </w:r>
          </w:p>
        </w:tc>
        <w:tc>
          <w:tcPr>
            <w:tcW w:w="267" w:type="pct"/>
            <w:tcBorders>
              <w:top w:val="nil"/>
              <w:left w:val="nil"/>
              <w:bottom w:val="single" w:sz="4" w:space="0" w:color="000000"/>
              <w:right w:val="single" w:sz="4" w:space="0" w:color="000000"/>
            </w:tcBorders>
            <w:noWrap/>
            <w:vAlign w:val="center"/>
          </w:tcPr>
          <w:p w:rsidR="00E34AE7" w:rsidRDefault="00E34AE7">
            <w:pPr>
              <w:jc w:val="center"/>
              <w:rPr>
                <w:rFonts w:ascii="宋体" w:eastAsia="宋体" w:hAnsi="宋体"/>
                <w:color w:val="000000"/>
                <w:sz w:val="20"/>
                <w:szCs w:val="20"/>
              </w:rPr>
            </w:pPr>
          </w:p>
        </w:tc>
        <w:tc>
          <w:tcPr>
            <w:tcW w:w="82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宋体" w:eastAsia="宋体" w:hAnsi="宋体"/>
                <w:color w:val="000000"/>
                <w:sz w:val="20"/>
                <w:szCs w:val="20"/>
              </w:rPr>
            </w:pPr>
            <w:r>
              <w:rPr>
                <w:rFonts w:ascii="Times New Roman" w:eastAsia="宋体" w:hAnsi="Times New Roman" w:cs="Times New Roman" w:hint="eastAsia"/>
                <w:color w:val="000000"/>
                <w:sz w:val="20"/>
                <w:szCs w:val="20"/>
              </w:rPr>
              <w:t>2</w:t>
            </w: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一、一般公共预算财政拨款收入</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宋体" w:eastAsia="宋体" w:hAnsi="宋体"/>
                <w:color w:val="000000"/>
                <w:sz w:val="20"/>
                <w:szCs w:val="20"/>
              </w:rPr>
              <w:t>1</w:t>
            </w:r>
          </w:p>
        </w:tc>
        <w:tc>
          <w:tcPr>
            <w:tcW w:w="826"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11,471.48</w:t>
            </w: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一、一般公共服务支出</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32</w:t>
            </w:r>
          </w:p>
        </w:tc>
        <w:tc>
          <w:tcPr>
            <w:tcW w:w="826"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二、政府性基金预算财政拨款收入</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w:t>
            </w:r>
          </w:p>
        </w:tc>
        <w:tc>
          <w:tcPr>
            <w:tcW w:w="826"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238.30</w:t>
            </w: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二、外交支出</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33</w:t>
            </w:r>
          </w:p>
        </w:tc>
        <w:tc>
          <w:tcPr>
            <w:tcW w:w="826"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三、国有资本经营预算财政拨款收入</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w:t>
            </w:r>
          </w:p>
        </w:tc>
        <w:tc>
          <w:tcPr>
            <w:tcW w:w="826"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三、国防支出</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34</w:t>
            </w:r>
          </w:p>
        </w:tc>
        <w:tc>
          <w:tcPr>
            <w:tcW w:w="826"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四、上级补助收入</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w:t>
            </w:r>
          </w:p>
        </w:tc>
        <w:tc>
          <w:tcPr>
            <w:tcW w:w="826"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四、公共安全支出</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35</w:t>
            </w:r>
          </w:p>
        </w:tc>
        <w:tc>
          <w:tcPr>
            <w:tcW w:w="826"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五、事业收入</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w:t>
            </w:r>
          </w:p>
        </w:tc>
        <w:tc>
          <w:tcPr>
            <w:tcW w:w="826"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五、教育支出</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w:t>
            </w:r>
          </w:p>
        </w:tc>
        <w:tc>
          <w:tcPr>
            <w:tcW w:w="826"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六、经营收入</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w:t>
            </w:r>
          </w:p>
        </w:tc>
        <w:tc>
          <w:tcPr>
            <w:tcW w:w="826"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六、科学技术支出</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37</w:t>
            </w:r>
          </w:p>
        </w:tc>
        <w:tc>
          <w:tcPr>
            <w:tcW w:w="826"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七、附属单位上缴收入</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w:t>
            </w:r>
          </w:p>
        </w:tc>
        <w:tc>
          <w:tcPr>
            <w:tcW w:w="826"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七、文化旅游体育与传媒支出</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w:t>
            </w:r>
          </w:p>
        </w:tc>
        <w:tc>
          <w:tcPr>
            <w:tcW w:w="826"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八、其他收入</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w:t>
            </w:r>
          </w:p>
        </w:tc>
        <w:tc>
          <w:tcPr>
            <w:tcW w:w="826"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八、社会保障和就业支出</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39</w:t>
            </w:r>
          </w:p>
        </w:tc>
        <w:tc>
          <w:tcPr>
            <w:tcW w:w="826"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228.34</w:t>
            </w: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E34AE7">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w:t>
            </w:r>
          </w:p>
        </w:tc>
        <w:tc>
          <w:tcPr>
            <w:tcW w:w="826"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九、卫生健康支出</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w:t>
            </w:r>
          </w:p>
        </w:tc>
        <w:tc>
          <w:tcPr>
            <w:tcW w:w="826"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64.35</w:t>
            </w: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E34AE7">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w:t>
            </w:r>
          </w:p>
        </w:tc>
        <w:tc>
          <w:tcPr>
            <w:tcW w:w="826"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十、节能环保支出</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41</w:t>
            </w:r>
          </w:p>
        </w:tc>
        <w:tc>
          <w:tcPr>
            <w:tcW w:w="826"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495.00</w:t>
            </w: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E34AE7">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w:t>
            </w:r>
          </w:p>
        </w:tc>
        <w:tc>
          <w:tcPr>
            <w:tcW w:w="826"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十一、城乡社区支出</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42</w:t>
            </w:r>
          </w:p>
        </w:tc>
        <w:tc>
          <w:tcPr>
            <w:tcW w:w="826"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566.65</w:t>
            </w: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E34AE7">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w:t>
            </w:r>
          </w:p>
        </w:tc>
        <w:tc>
          <w:tcPr>
            <w:tcW w:w="826"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十二、农林水支出</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w:t>
            </w:r>
          </w:p>
        </w:tc>
        <w:tc>
          <w:tcPr>
            <w:tcW w:w="826"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2,468.47</w:t>
            </w: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E34AE7">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w:t>
            </w:r>
          </w:p>
        </w:tc>
        <w:tc>
          <w:tcPr>
            <w:tcW w:w="826"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十三、交通运输支出</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44</w:t>
            </w:r>
          </w:p>
        </w:tc>
        <w:tc>
          <w:tcPr>
            <w:tcW w:w="826"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gridAfter w:val="1"/>
          <w:wAfter w:w="14" w:type="pct"/>
          <w:trHeight w:val="476"/>
        </w:trPr>
        <w:tc>
          <w:tcPr>
            <w:tcW w:w="1434" w:type="pct"/>
            <w:tcBorders>
              <w:top w:val="nil"/>
              <w:left w:val="single" w:sz="4" w:space="0" w:color="000000"/>
              <w:bottom w:val="single" w:sz="4" w:space="0" w:color="auto"/>
              <w:right w:val="single" w:sz="4" w:space="0" w:color="000000"/>
            </w:tcBorders>
            <w:noWrap/>
            <w:vAlign w:val="center"/>
          </w:tcPr>
          <w:p w:rsidR="00E34AE7" w:rsidRDefault="00E34AE7">
            <w:pPr>
              <w:jc w:val="left"/>
              <w:rPr>
                <w:rFonts w:ascii="宋体" w:eastAsia="宋体" w:hAnsi="宋体"/>
                <w:color w:val="000000"/>
                <w:sz w:val="20"/>
                <w:szCs w:val="20"/>
              </w:rPr>
            </w:pPr>
          </w:p>
        </w:tc>
        <w:tc>
          <w:tcPr>
            <w:tcW w:w="267" w:type="pct"/>
            <w:tcBorders>
              <w:top w:val="nil"/>
              <w:left w:val="nil"/>
              <w:bottom w:val="single" w:sz="4" w:space="0" w:color="auto"/>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14</w:t>
            </w:r>
          </w:p>
        </w:tc>
        <w:tc>
          <w:tcPr>
            <w:tcW w:w="826" w:type="pct"/>
            <w:gridSpan w:val="2"/>
            <w:tcBorders>
              <w:top w:val="nil"/>
              <w:left w:val="nil"/>
              <w:bottom w:val="single" w:sz="4" w:space="0" w:color="auto"/>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auto"/>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十四、资源勘探工业信息等支出</w:t>
            </w:r>
          </w:p>
        </w:tc>
        <w:tc>
          <w:tcPr>
            <w:tcW w:w="267" w:type="pct"/>
            <w:tcBorders>
              <w:top w:val="nil"/>
              <w:left w:val="nil"/>
              <w:bottom w:val="single" w:sz="4" w:space="0" w:color="auto"/>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w:t>
            </w:r>
          </w:p>
        </w:tc>
        <w:tc>
          <w:tcPr>
            <w:tcW w:w="826" w:type="pct"/>
            <w:tcBorders>
              <w:top w:val="nil"/>
              <w:left w:val="nil"/>
              <w:bottom w:val="single" w:sz="4" w:space="0" w:color="auto"/>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15</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十五、商业服务业等支出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w:t>
            </w:r>
          </w:p>
        </w:tc>
        <w:tc>
          <w:tcPr>
            <w:tcW w:w="826"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十六、金融支出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47</w:t>
            </w:r>
          </w:p>
        </w:tc>
        <w:tc>
          <w:tcPr>
            <w:tcW w:w="826"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十七、援助其他地区支出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w:t>
            </w:r>
          </w:p>
        </w:tc>
        <w:tc>
          <w:tcPr>
            <w:tcW w:w="826"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十八、自然资源海洋气象等支出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w:t>
            </w:r>
          </w:p>
        </w:tc>
        <w:tc>
          <w:tcPr>
            <w:tcW w:w="82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10,390.66</w:t>
            </w:r>
          </w:p>
        </w:tc>
      </w:tr>
      <w:tr w:rsidR="00E34AE7">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19</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十九、住房保障支出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50</w:t>
            </w:r>
          </w:p>
        </w:tc>
        <w:tc>
          <w:tcPr>
            <w:tcW w:w="82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94.38</w:t>
            </w:r>
          </w:p>
        </w:tc>
      </w:tr>
      <w:tr w:rsidR="00E34AE7">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二十、粮油物资储备支出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w:t>
            </w:r>
          </w:p>
        </w:tc>
        <w:tc>
          <w:tcPr>
            <w:tcW w:w="826"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gridAfter w:val="1"/>
          <w:wAfter w:w="14" w:type="pct"/>
          <w:trHeight w:val="476"/>
        </w:trPr>
        <w:tc>
          <w:tcPr>
            <w:tcW w:w="1434" w:type="pct"/>
            <w:tcBorders>
              <w:top w:val="single" w:sz="4" w:space="0" w:color="auto"/>
              <w:left w:val="single" w:sz="4" w:space="0" w:color="000000"/>
              <w:bottom w:val="single" w:sz="4" w:space="0" w:color="000000"/>
              <w:right w:val="single" w:sz="4" w:space="0" w:color="000000"/>
            </w:tcBorders>
            <w:noWrap/>
            <w:vAlign w:val="center"/>
          </w:tcPr>
          <w:p w:rsidR="00E34AE7" w:rsidRDefault="00E34AE7">
            <w:pPr>
              <w:jc w:val="left"/>
              <w:rPr>
                <w:rFonts w:ascii="宋体" w:eastAsia="宋体" w:hAnsi="宋体"/>
                <w:color w:val="000000"/>
                <w:sz w:val="20"/>
                <w:szCs w:val="20"/>
              </w:rPr>
            </w:pPr>
          </w:p>
        </w:tc>
        <w:tc>
          <w:tcPr>
            <w:tcW w:w="267" w:type="pct"/>
            <w:tcBorders>
              <w:top w:val="single" w:sz="4" w:space="0" w:color="auto"/>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w:t>
            </w:r>
          </w:p>
        </w:tc>
        <w:tc>
          <w:tcPr>
            <w:tcW w:w="826" w:type="pct"/>
            <w:gridSpan w:val="2"/>
            <w:tcBorders>
              <w:top w:val="single" w:sz="4" w:space="0" w:color="auto"/>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single" w:sz="4" w:space="0" w:color="auto"/>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二十一、国有资本经营预算支出</w:t>
            </w:r>
          </w:p>
        </w:tc>
        <w:tc>
          <w:tcPr>
            <w:tcW w:w="267" w:type="pct"/>
            <w:tcBorders>
              <w:top w:val="single" w:sz="4" w:space="0" w:color="auto"/>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52</w:t>
            </w:r>
          </w:p>
        </w:tc>
        <w:tc>
          <w:tcPr>
            <w:tcW w:w="826" w:type="pct"/>
            <w:tcBorders>
              <w:top w:val="single" w:sz="4" w:space="0" w:color="auto"/>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E34AE7">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w:t>
            </w:r>
          </w:p>
        </w:tc>
        <w:tc>
          <w:tcPr>
            <w:tcW w:w="826"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二十二、灾害防治及应急管理支出</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w:t>
            </w:r>
          </w:p>
        </w:tc>
        <w:tc>
          <w:tcPr>
            <w:tcW w:w="826"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E34AE7">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w:t>
            </w:r>
          </w:p>
        </w:tc>
        <w:tc>
          <w:tcPr>
            <w:tcW w:w="826"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二十三、其他支出</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54</w:t>
            </w:r>
          </w:p>
        </w:tc>
        <w:tc>
          <w:tcPr>
            <w:tcW w:w="826"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E34AE7">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w:t>
            </w:r>
          </w:p>
        </w:tc>
        <w:tc>
          <w:tcPr>
            <w:tcW w:w="826"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二十四、债务还本支出</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55</w:t>
            </w:r>
          </w:p>
        </w:tc>
        <w:tc>
          <w:tcPr>
            <w:tcW w:w="826"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E34AE7">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w:t>
            </w:r>
          </w:p>
        </w:tc>
        <w:tc>
          <w:tcPr>
            <w:tcW w:w="826"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二十五、债务付息支出</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56</w:t>
            </w:r>
          </w:p>
        </w:tc>
        <w:tc>
          <w:tcPr>
            <w:tcW w:w="826"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E34AE7">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26</w:t>
            </w:r>
          </w:p>
        </w:tc>
        <w:tc>
          <w:tcPr>
            <w:tcW w:w="826"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二十六、抗疫特别国债安排的支出</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57</w:t>
            </w:r>
          </w:p>
        </w:tc>
        <w:tc>
          <w:tcPr>
            <w:tcW w:w="826"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本年收入合计</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w:t>
            </w:r>
          </w:p>
        </w:tc>
        <w:tc>
          <w:tcPr>
            <w:tcW w:w="826"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11,709.78</w:t>
            </w: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本年支出合计</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58</w:t>
            </w:r>
          </w:p>
        </w:tc>
        <w:tc>
          <w:tcPr>
            <w:tcW w:w="826"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14,307.85</w:t>
            </w: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使用非财政拨款结余（含专用结余）</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w:t>
            </w:r>
          </w:p>
        </w:tc>
        <w:tc>
          <w:tcPr>
            <w:tcW w:w="826"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结余分配</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59</w:t>
            </w:r>
          </w:p>
        </w:tc>
        <w:tc>
          <w:tcPr>
            <w:tcW w:w="826"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年初结转和结余</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29</w:t>
            </w:r>
          </w:p>
        </w:tc>
        <w:tc>
          <w:tcPr>
            <w:tcW w:w="826"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3,102.02</w:t>
            </w: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年末结转和结余</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w:t>
            </w:r>
          </w:p>
        </w:tc>
        <w:tc>
          <w:tcPr>
            <w:tcW w:w="826"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503.94</w:t>
            </w:r>
          </w:p>
        </w:tc>
      </w:tr>
      <w:tr w:rsidR="00E34AE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E34AE7" w:rsidRDefault="00E34AE7">
            <w:pPr>
              <w:widowControl/>
              <w:jc w:val="center"/>
              <w:textAlignment w:val="center"/>
              <w:rPr>
                <w:rFonts w:ascii="方正仿宋_GB2312" w:eastAsia="方正仿宋_GB2312" w:hAnsi="方正仿宋_GB2312" w:cs="方正仿宋_GB2312"/>
                <w:b/>
                <w:bCs/>
                <w:color w:val="000000"/>
                <w:sz w:val="20"/>
                <w:szCs w:val="20"/>
              </w:rPr>
            </w:pP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w:t>
            </w:r>
          </w:p>
        </w:tc>
        <w:tc>
          <w:tcPr>
            <w:tcW w:w="826"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E34AE7" w:rsidRDefault="00E34AE7">
            <w:pPr>
              <w:widowControl/>
              <w:jc w:val="center"/>
              <w:textAlignment w:val="center"/>
              <w:rPr>
                <w:rFonts w:ascii="方正仿宋_GB2312" w:eastAsia="方正仿宋_GB2312" w:hAnsi="方正仿宋_GB2312" w:cs="方正仿宋_GB2312"/>
                <w:b/>
                <w:bCs/>
                <w:color w:val="000000"/>
                <w:sz w:val="20"/>
                <w:szCs w:val="20"/>
              </w:rPr>
            </w:pP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61</w:t>
            </w:r>
          </w:p>
        </w:tc>
        <w:tc>
          <w:tcPr>
            <w:tcW w:w="826"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gridAfter w:val="1"/>
          <w:wAfter w:w="14" w:type="pct"/>
          <w:trHeight w:val="308"/>
        </w:trPr>
        <w:tc>
          <w:tcPr>
            <w:tcW w:w="1434" w:type="pct"/>
            <w:tcBorders>
              <w:top w:val="nil"/>
              <w:left w:val="single" w:sz="4" w:space="0" w:color="000000"/>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31</w:t>
            </w:r>
          </w:p>
        </w:tc>
        <w:tc>
          <w:tcPr>
            <w:tcW w:w="826"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14,811.79</w:t>
            </w:r>
          </w:p>
        </w:tc>
        <w:tc>
          <w:tcPr>
            <w:tcW w:w="1361" w:type="pct"/>
            <w:gridSpan w:val="2"/>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6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62</w:t>
            </w:r>
          </w:p>
        </w:tc>
        <w:tc>
          <w:tcPr>
            <w:tcW w:w="826"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14,811.79</w:t>
            </w:r>
          </w:p>
        </w:tc>
      </w:tr>
      <w:tr w:rsidR="00E34AE7">
        <w:trPr>
          <w:trHeight w:val="308"/>
        </w:trPr>
        <w:tc>
          <w:tcPr>
            <w:tcW w:w="5000" w:type="pct"/>
            <w:gridSpan w:val="9"/>
            <w:tcBorders>
              <w:top w:val="nil"/>
              <w:left w:val="nil"/>
              <w:bottom w:val="nil"/>
              <w:right w:val="nil"/>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注：1.本表反映部门本年度的总收支和年末结转结余情况。</w:t>
            </w:r>
          </w:p>
          <w:p w:rsidR="00E34AE7" w:rsidRDefault="00B2012A">
            <w:pPr>
              <w:widowControl/>
              <w:ind w:firstLineChars="200" w:firstLine="400"/>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2.本套报表金额转换时可能存在尾数误差。</w:t>
            </w:r>
          </w:p>
        </w:tc>
      </w:tr>
    </w:tbl>
    <w:p w:rsidR="00E34AE7" w:rsidRDefault="00E34AE7">
      <w:pPr>
        <w:rPr>
          <w:rFonts w:ascii="仿宋_GB2312" w:eastAsia="仿宋_GB2312" w:hAnsi="宋体"/>
          <w:b/>
          <w:sz w:val="32"/>
          <w:szCs w:val="32"/>
        </w:rPr>
      </w:pPr>
    </w:p>
    <w:p w:rsidR="00E34AE7" w:rsidRDefault="00B2012A">
      <w:pPr>
        <w:rPr>
          <w:rFonts w:ascii="仿宋_GB2312" w:eastAsia="仿宋_GB2312" w:hAnsi="宋体"/>
          <w:b/>
          <w:sz w:val="32"/>
          <w:szCs w:val="32"/>
        </w:rPr>
      </w:pPr>
      <w:r>
        <w:rPr>
          <w:rFonts w:ascii="仿宋_GB2312" w:eastAsia="仿宋_GB2312" w:hAnsi="宋体" w:hint="eastAsia"/>
          <w:b/>
          <w:sz w:val="32"/>
          <w:szCs w:val="32"/>
        </w:rPr>
        <w:br w:type="page"/>
      </w:r>
    </w:p>
    <w:tbl>
      <w:tblPr>
        <w:tblW w:w="9230" w:type="dxa"/>
        <w:jc w:val="center"/>
        <w:tblLayout w:type="fixed"/>
        <w:tblLook w:val="04A0"/>
      </w:tblPr>
      <w:tblGrid>
        <w:gridCol w:w="1040"/>
        <w:gridCol w:w="1160"/>
        <w:gridCol w:w="1037"/>
        <w:gridCol w:w="1037"/>
        <w:gridCol w:w="1037"/>
        <w:gridCol w:w="964"/>
        <w:gridCol w:w="367"/>
        <w:gridCol w:w="597"/>
        <w:gridCol w:w="1027"/>
        <w:gridCol w:w="964"/>
      </w:tblGrid>
      <w:tr w:rsidR="00E34AE7">
        <w:trPr>
          <w:trHeight w:val="550"/>
          <w:jc w:val="center"/>
        </w:trPr>
        <w:tc>
          <w:tcPr>
            <w:tcW w:w="9230" w:type="dxa"/>
            <w:gridSpan w:val="10"/>
            <w:tcBorders>
              <w:top w:val="nil"/>
              <w:left w:val="nil"/>
              <w:bottom w:val="nil"/>
              <w:right w:val="nil"/>
            </w:tcBorders>
            <w:noWrap/>
            <w:vAlign w:val="bottom"/>
          </w:tcPr>
          <w:p w:rsidR="00E34AE7" w:rsidRDefault="00B2012A">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收入决算表</w:t>
            </w:r>
          </w:p>
        </w:tc>
      </w:tr>
      <w:tr w:rsidR="00E34AE7">
        <w:trPr>
          <w:trHeight w:val="300"/>
          <w:jc w:val="center"/>
        </w:trPr>
        <w:tc>
          <w:tcPr>
            <w:tcW w:w="9230" w:type="dxa"/>
            <w:gridSpan w:val="10"/>
            <w:tcBorders>
              <w:top w:val="nil"/>
              <w:left w:val="nil"/>
              <w:bottom w:val="nil"/>
              <w:right w:val="nil"/>
            </w:tcBorders>
            <w:noWrap/>
            <w:vAlign w:val="bottom"/>
          </w:tcPr>
          <w:p w:rsidR="00E34AE7" w:rsidRDefault="00B2012A">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宋体" w:hAnsi="Times New Roman" w:cs="Times New Roman" w:hint="eastAsia"/>
                <w:color w:val="000000"/>
                <w:sz w:val="20"/>
                <w:szCs w:val="20"/>
              </w:rPr>
              <w:t>02</w:t>
            </w:r>
            <w:r>
              <w:rPr>
                <w:rFonts w:ascii="方正仿宋_GB2312" w:eastAsia="方正仿宋_GB2312" w:hAnsi="方正仿宋_GB2312" w:cs="方正仿宋_GB2312" w:hint="eastAsia"/>
                <w:color w:val="000000"/>
                <w:sz w:val="20"/>
                <w:szCs w:val="20"/>
              </w:rPr>
              <w:t>表</w:t>
            </w:r>
          </w:p>
        </w:tc>
      </w:tr>
      <w:tr w:rsidR="00E34AE7">
        <w:trPr>
          <w:trHeight w:val="300"/>
          <w:jc w:val="center"/>
        </w:trPr>
        <w:tc>
          <w:tcPr>
            <w:tcW w:w="3237" w:type="dxa"/>
            <w:gridSpan w:val="3"/>
            <w:tcBorders>
              <w:top w:val="nil"/>
              <w:left w:val="nil"/>
              <w:bottom w:val="single" w:sz="4" w:space="0" w:color="auto"/>
              <w:right w:val="nil"/>
            </w:tcBorders>
            <w:noWrap/>
            <w:vAlign w:val="bottom"/>
          </w:tcPr>
          <w:p w:rsidR="00E34AE7" w:rsidRDefault="00B2012A">
            <w:pP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 xml:space="preserve">部门（单位）：青龙满族自治县自然资源和规划局（汇总）                                                                                                         </w:t>
            </w:r>
          </w:p>
        </w:tc>
        <w:tc>
          <w:tcPr>
            <w:tcW w:w="3405" w:type="dxa"/>
            <w:gridSpan w:val="4"/>
            <w:tcBorders>
              <w:top w:val="nil"/>
              <w:left w:val="nil"/>
              <w:bottom w:val="single" w:sz="4" w:space="0" w:color="auto"/>
              <w:right w:val="nil"/>
            </w:tcBorders>
            <w:noWrap/>
            <w:vAlign w:val="bottom"/>
          </w:tcPr>
          <w:p w:rsidR="00E34AE7" w:rsidRDefault="00B2012A">
            <w:pPr>
              <w:jc w:val="center"/>
              <w:rPr>
                <w:rFonts w:ascii="方正仿宋_GB2312" w:eastAsia="方正仿宋_GB2312" w:hAnsi="方正仿宋_GB2312" w:cs="方正仿宋_GB2312"/>
                <w:color w:val="000000"/>
                <w:sz w:val="20"/>
                <w:szCs w:val="20"/>
              </w:rPr>
            </w:pPr>
            <w:r>
              <w:rPr>
                <w:rFonts w:ascii="Times New Roman" w:eastAsia="方正仿宋_GB2312" w:hAnsi="Times New Roman" w:cs="Times New Roman"/>
                <w:color w:val="000000"/>
                <w:sz w:val="20"/>
                <w:szCs w:val="20"/>
              </w:rPr>
              <w:t>202</w:t>
            </w:r>
            <w:r>
              <w:rPr>
                <w:rFonts w:ascii="Times New Roman" w:eastAsia="方正仿宋_GB2312"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2588" w:type="dxa"/>
            <w:gridSpan w:val="3"/>
            <w:tcBorders>
              <w:top w:val="nil"/>
              <w:left w:val="nil"/>
              <w:bottom w:val="single" w:sz="4" w:space="0" w:color="auto"/>
              <w:right w:val="nil"/>
            </w:tcBorders>
            <w:noWrap/>
            <w:vAlign w:val="bottom"/>
          </w:tcPr>
          <w:p w:rsidR="00E34AE7" w:rsidRDefault="00B2012A">
            <w:pPr>
              <w:jc w:val="righ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E34AE7">
        <w:trPr>
          <w:trHeight w:val="510"/>
          <w:jc w:val="center"/>
        </w:trPr>
        <w:tc>
          <w:tcPr>
            <w:tcW w:w="2200" w:type="dxa"/>
            <w:gridSpan w:val="2"/>
            <w:tcBorders>
              <w:top w:val="single" w:sz="4" w:space="0" w:color="auto"/>
              <w:left w:val="single" w:sz="4" w:space="0" w:color="000000"/>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1037" w:type="dxa"/>
            <w:vMerge w:val="restart"/>
            <w:tcBorders>
              <w:top w:val="single" w:sz="4" w:space="0" w:color="auto"/>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本年收入合计</w:t>
            </w:r>
          </w:p>
        </w:tc>
        <w:tc>
          <w:tcPr>
            <w:tcW w:w="1037" w:type="dxa"/>
            <w:vMerge w:val="restart"/>
            <w:tcBorders>
              <w:top w:val="single" w:sz="4" w:space="0" w:color="auto"/>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财政拨款收入</w:t>
            </w:r>
          </w:p>
        </w:tc>
        <w:tc>
          <w:tcPr>
            <w:tcW w:w="1037" w:type="dxa"/>
            <w:vMerge w:val="restart"/>
            <w:tcBorders>
              <w:top w:val="single" w:sz="4" w:space="0" w:color="auto"/>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上级补助收入</w:t>
            </w:r>
          </w:p>
        </w:tc>
        <w:tc>
          <w:tcPr>
            <w:tcW w:w="964" w:type="dxa"/>
            <w:vMerge w:val="restart"/>
            <w:tcBorders>
              <w:top w:val="single" w:sz="4" w:space="0" w:color="auto"/>
              <w:left w:val="nil"/>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事业收入</w:t>
            </w:r>
          </w:p>
        </w:tc>
        <w:tc>
          <w:tcPr>
            <w:tcW w:w="964" w:type="dxa"/>
            <w:gridSpan w:val="2"/>
            <w:vMerge w:val="restart"/>
            <w:tcBorders>
              <w:top w:val="single" w:sz="4" w:space="0" w:color="auto"/>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经营收入</w:t>
            </w:r>
          </w:p>
        </w:tc>
        <w:tc>
          <w:tcPr>
            <w:tcW w:w="1027" w:type="dxa"/>
            <w:vMerge w:val="restart"/>
            <w:tcBorders>
              <w:top w:val="single" w:sz="4" w:space="0" w:color="auto"/>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附属单位上缴收入</w:t>
            </w:r>
          </w:p>
        </w:tc>
        <w:tc>
          <w:tcPr>
            <w:tcW w:w="964" w:type="dxa"/>
            <w:vMerge w:val="restart"/>
            <w:tcBorders>
              <w:top w:val="single" w:sz="4" w:space="0" w:color="auto"/>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其他收入</w:t>
            </w:r>
          </w:p>
        </w:tc>
      </w:tr>
      <w:tr w:rsidR="00E34AE7">
        <w:trPr>
          <w:trHeight w:val="312"/>
          <w:jc w:val="center"/>
        </w:trPr>
        <w:tc>
          <w:tcPr>
            <w:tcW w:w="1040" w:type="dxa"/>
            <w:vMerge w:val="restart"/>
            <w:tcBorders>
              <w:top w:val="nil"/>
              <w:left w:val="single" w:sz="4" w:space="0" w:color="000000"/>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1160" w:type="dxa"/>
            <w:vMerge w:val="restar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1037" w:type="dxa"/>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964" w:type="dxa"/>
            <w:vMerge/>
            <w:tcBorders>
              <w:left w:val="nil"/>
              <w:right w:val="single" w:sz="4" w:space="0" w:color="000000"/>
            </w:tcBorders>
            <w:vAlign w:val="center"/>
          </w:tcPr>
          <w:p w:rsidR="00E34AE7" w:rsidRDefault="00E34AE7">
            <w:pPr>
              <w:widowControl/>
              <w:jc w:val="center"/>
              <w:textAlignment w:val="center"/>
              <w:rPr>
                <w:rFonts w:ascii="宋体" w:eastAsia="宋体" w:hAnsi="宋体"/>
                <w:color w:val="000000"/>
                <w:sz w:val="20"/>
                <w:szCs w:val="20"/>
              </w:rPr>
            </w:pPr>
          </w:p>
        </w:tc>
        <w:tc>
          <w:tcPr>
            <w:tcW w:w="964" w:type="dxa"/>
            <w:gridSpan w:val="2"/>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1027" w:type="dxa"/>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r>
      <w:tr w:rsidR="00E34AE7">
        <w:trPr>
          <w:trHeight w:val="312"/>
          <w:jc w:val="center"/>
        </w:trPr>
        <w:tc>
          <w:tcPr>
            <w:tcW w:w="1040" w:type="dxa"/>
            <w:vMerge/>
            <w:tcBorders>
              <w:top w:val="nil"/>
              <w:left w:val="single" w:sz="4" w:space="0" w:color="000000"/>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1160" w:type="dxa"/>
            <w:vMerge/>
            <w:tcBorders>
              <w:top w:val="nil"/>
              <w:left w:val="nil"/>
              <w:bottom w:val="single" w:sz="4" w:space="0" w:color="000000"/>
              <w:right w:val="single" w:sz="4" w:space="0" w:color="000000"/>
            </w:tcBorders>
            <w:noWrap/>
            <w:vAlign w:val="center"/>
          </w:tcPr>
          <w:p w:rsidR="00E34AE7" w:rsidRDefault="00E34AE7">
            <w:pPr>
              <w:jc w:val="center"/>
              <w:rPr>
                <w:rFonts w:ascii="方正仿宋_GB2312" w:eastAsia="方正仿宋_GB2312" w:hAnsi="方正仿宋_GB2312" w:cs="方正仿宋_GB2312"/>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964" w:type="dxa"/>
            <w:vMerge/>
            <w:tcBorders>
              <w:left w:val="nil"/>
              <w:right w:val="single" w:sz="4" w:space="0" w:color="000000"/>
            </w:tcBorders>
            <w:vAlign w:val="center"/>
          </w:tcPr>
          <w:p w:rsidR="00E34AE7" w:rsidRDefault="00E34AE7">
            <w:pPr>
              <w:jc w:val="center"/>
              <w:rPr>
                <w:rFonts w:ascii="宋体" w:eastAsia="宋体" w:hAnsi="宋体"/>
                <w:color w:val="000000"/>
                <w:sz w:val="20"/>
                <w:szCs w:val="20"/>
              </w:rPr>
            </w:pPr>
          </w:p>
        </w:tc>
        <w:tc>
          <w:tcPr>
            <w:tcW w:w="964" w:type="dxa"/>
            <w:gridSpan w:val="2"/>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1027" w:type="dxa"/>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r>
      <w:tr w:rsidR="00E34AE7">
        <w:trPr>
          <w:trHeight w:val="312"/>
          <w:jc w:val="center"/>
        </w:trPr>
        <w:tc>
          <w:tcPr>
            <w:tcW w:w="1040" w:type="dxa"/>
            <w:vMerge/>
            <w:tcBorders>
              <w:top w:val="nil"/>
              <w:left w:val="single" w:sz="4" w:space="0" w:color="000000"/>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1160" w:type="dxa"/>
            <w:vMerge/>
            <w:tcBorders>
              <w:top w:val="nil"/>
              <w:left w:val="nil"/>
              <w:bottom w:val="single" w:sz="4" w:space="0" w:color="000000"/>
              <w:right w:val="single" w:sz="4" w:space="0" w:color="000000"/>
            </w:tcBorders>
            <w:noWrap/>
            <w:vAlign w:val="center"/>
          </w:tcPr>
          <w:p w:rsidR="00E34AE7" w:rsidRDefault="00E34AE7">
            <w:pPr>
              <w:jc w:val="center"/>
              <w:rPr>
                <w:rFonts w:ascii="方正仿宋_GB2312" w:eastAsia="方正仿宋_GB2312" w:hAnsi="方正仿宋_GB2312" w:cs="方正仿宋_GB2312"/>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964" w:type="dxa"/>
            <w:vMerge/>
            <w:tcBorders>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964" w:type="dxa"/>
            <w:gridSpan w:val="2"/>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1027" w:type="dxa"/>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r>
      <w:tr w:rsidR="00E34AE7">
        <w:trPr>
          <w:trHeight w:val="454"/>
          <w:jc w:val="center"/>
        </w:trPr>
        <w:tc>
          <w:tcPr>
            <w:tcW w:w="2200" w:type="dxa"/>
            <w:gridSpan w:val="2"/>
            <w:tcBorders>
              <w:top w:val="single" w:sz="4" w:space="0" w:color="000000"/>
              <w:left w:val="single" w:sz="4" w:space="0" w:color="000000"/>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1037" w:type="dxa"/>
            <w:tcBorders>
              <w:top w:val="nil"/>
              <w:left w:val="nil"/>
              <w:bottom w:val="single" w:sz="4" w:space="0" w:color="000000"/>
              <w:right w:val="single" w:sz="4" w:space="0" w:color="000000"/>
            </w:tcBorders>
            <w:vAlign w:val="center"/>
          </w:tcPr>
          <w:p w:rsidR="00E34AE7" w:rsidRDefault="00B2012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1</w:t>
            </w:r>
          </w:p>
        </w:tc>
        <w:tc>
          <w:tcPr>
            <w:tcW w:w="1037" w:type="dxa"/>
            <w:tcBorders>
              <w:top w:val="nil"/>
              <w:left w:val="nil"/>
              <w:bottom w:val="single" w:sz="4" w:space="0" w:color="000000"/>
              <w:right w:val="single" w:sz="4" w:space="0" w:color="000000"/>
            </w:tcBorders>
            <w:vAlign w:val="center"/>
          </w:tcPr>
          <w:p w:rsidR="00E34AE7" w:rsidRDefault="00B2012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2</w:t>
            </w:r>
          </w:p>
        </w:tc>
        <w:tc>
          <w:tcPr>
            <w:tcW w:w="1037" w:type="dxa"/>
            <w:tcBorders>
              <w:top w:val="nil"/>
              <w:left w:val="nil"/>
              <w:bottom w:val="single" w:sz="4" w:space="0" w:color="000000"/>
              <w:right w:val="single" w:sz="4" w:space="0" w:color="000000"/>
            </w:tcBorders>
            <w:vAlign w:val="center"/>
          </w:tcPr>
          <w:p w:rsidR="00E34AE7" w:rsidRDefault="00B2012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3</w:t>
            </w:r>
          </w:p>
        </w:tc>
        <w:tc>
          <w:tcPr>
            <w:tcW w:w="964" w:type="dxa"/>
            <w:tcBorders>
              <w:top w:val="nil"/>
              <w:left w:val="nil"/>
              <w:bottom w:val="single" w:sz="4" w:space="0" w:color="000000"/>
              <w:right w:val="single" w:sz="4" w:space="0" w:color="000000"/>
            </w:tcBorders>
            <w:vAlign w:val="center"/>
          </w:tcPr>
          <w:p w:rsidR="00E34AE7" w:rsidRDefault="00B2012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4</w:t>
            </w:r>
          </w:p>
        </w:tc>
        <w:tc>
          <w:tcPr>
            <w:tcW w:w="964" w:type="dxa"/>
            <w:gridSpan w:val="2"/>
            <w:tcBorders>
              <w:top w:val="nil"/>
              <w:left w:val="nil"/>
              <w:bottom w:val="single" w:sz="4" w:space="0" w:color="000000"/>
              <w:right w:val="single" w:sz="4" w:space="0" w:color="000000"/>
            </w:tcBorders>
            <w:vAlign w:val="center"/>
          </w:tcPr>
          <w:p w:rsidR="00E34AE7" w:rsidRDefault="00B2012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5</w:t>
            </w:r>
          </w:p>
        </w:tc>
        <w:tc>
          <w:tcPr>
            <w:tcW w:w="1027" w:type="dxa"/>
            <w:tcBorders>
              <w:top w:val="nil"/>
              <w:left w:val="nil"/>
              <w:bottom w:val="single" w:sz="4" w:space="0" w:color="000000"/>
              <w:right w:val="single" w:sz="4" w:space="0" w:color="000000"/>
            </w:tcBorders>
            <w:vAlign w:val="center"/>
          </w:tcPr>
          <w:p w:rsidR="00E34AE7" w:rsidRDefault="00B2012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6</w:t>
            </w:r>
          </w:p>
        </w:tc>
        <w:tc>
          <w:tcPr>
            <w:tcW w:w="964" w:type="dxa"/>
            <w:tcBorders>
              <w:top w:val="nil"/>
              <w:left w:val="nil"/>
              <w:bottom w:val="single" w:sz="4" w:space="0" w:color="000000"/>
              <w:right w:val="single" w:sz="4" w:space="0" w:color="000000"/>
            </w:tcBorders>
            <w:vAlign w:val="center"/>
          </w:tcPr>
          <w:p w:rsidR="00E34AE7" w:rsidRDefault="00B2012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7</w:t>
            </w:r>
          </w:p>
        </w:tc>
      </w:tr>
      <w:tr w:rsidR="00E34AE7">
        <w:trPr>
          <w:trHeight w:val="567"/>
          <w:jc w:val="center"/>
        </w:trPr>
        <w:tc>
          <w:tcPr>
            <w:tcW w:w="2200" w:type="dxa"/>
            <w:gridSpan w:val="2"/>
            <w:tcBorders>
              <w:top w:val="single" w:sz="4" w:space="0" w:color="000000"/>
              <w:left w:val="single" w:sz="4" w:space="0" w:color="000000"/>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11,709.78</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11,709.78</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社会保障和就业支出</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242.84</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242.84</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20805</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行政事业单位养老支出</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219.00</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219.00</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2080501</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行政单位离退休</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22.73</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22.73</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2080502</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事业单位离退休</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5.73</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5.73</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2080505</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机关事业单位基本养老保险缴费支出</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182.01</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182.01</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2080506</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机关事业单位职业年金缴费支出</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8.54</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8.54</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20808</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抚恤</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23.83</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23.83</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2080801</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死亡抚恤</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2.87</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2.87</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2080899</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其他优抚支出</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20.96</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20.96</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卫生健康支出</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74.23</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74.23</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21011</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行政事业单位医疗</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74.23</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74.23</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2101101</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行政单位医疗</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17.54</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17.54</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2101102</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事业单位医疗</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56.69</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56.69</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lastRenderedPageBreak/>
              <w:t>211</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节能环保支出</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495.00</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495.00</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21104</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自然生态保护</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435.00</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435.00</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2110401</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生态保护</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435.00</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435.00</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21105</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森林保护修复</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60.00</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60.00</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2110507</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停伐补助</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60.00</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60.00</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212</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城乡社区支出</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316.65</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316.65</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21202</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城乡社区规划与管理</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61.37</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61.37</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2120201</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城乡社区规划与管理</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61.37</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61.37</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21208</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国有土地使用权出让收入安排的支出</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238.30</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238.30</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2120805</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补助被征地农民支出</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108.75</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108.75</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2120814</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农业生产发展支出</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15.00</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15.00</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2120899</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其他国有土地使用权出让收入安排的支出</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114.55</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114.55</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21299</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其他城乡社区支出</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16.98</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16.98</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2129999</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其他城乡社区支出</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16.98</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16.98</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213</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农林水支出</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501.27</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501.27</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21302</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林业和草原</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501.27</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501.27</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2130205</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森林资源培育</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268.00</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268.00</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2130209</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森林生态效益补偿</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53.27</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53.27</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2130234</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林业草原</w:t>
            </w:r>
            <w:r>
              <w:rPr>
                <w:rFonts w:ascii="方正仿宋_GB2312" w:eastAsia="方正仿宋_GB2312" w:hAnsi="方正仿宋_GB2312" w:cs="方正仿宋_GB2312" w:hint="eastAsia"/>
                <w:spacing w:val="-2"/>
                <w:sz w:val="20"/>
                <w:szCs w:val="20"/>
              </w:rPr>
              <w:lastRenderedPageBreak/>
              <w:t>防灾减灾</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lastRenderedPageBreak/>
              <w:t>180.00</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180.00</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lastRenderedPageBreak/>
              <w:t>220</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自然资源海洋气象等支出</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9,979.67</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9,979.67</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22001</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自然资源事务</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9,979.67</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9,979.67</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2200101</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行政运行</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289.69</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289.69</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2200106</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自然资源利用与保护</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311.10</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311.10</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2200112</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土地资源储备支出</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8,790.62</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8,790.62</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2200113</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地质矿产资源与环境调查</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20.00</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20.00</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2200150</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事业运行</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540.26</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540.26</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2200199</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其他自然资源事务支出</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28.00</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28.00</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221</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住房保障支出</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100.13</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100.13</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22102</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住房改革支出</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100.13</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100.13</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2210201</w:t>
            </w:r>
          </w:p>
        </w:tc>
        <w:tc>
          <w:tcPr>
            <w:tcW w:w="1160" w:type="dxa"/>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住房公积金</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100.13</w:t>
            </w:r>
          </w:p>
        </w:tc>
        <w:tc>
          <w:tcPr>
            <w:tcW w:w="1037" w:type="dxa"/>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100.13</w:t>
            </w:r>
          </w:p>
        </w:tc>
        <w:tc>
          <w:tcPr>
            <w:tcW w:w="103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9230" w:type="dxa"/>
            <w:gridSpan w:val="10"/>
            <w:tcBorders>
              <w:top w:val="nil"/>
              <w:left w:val="nil"/>
              <w:bottom w:val="nil"/>
              <w:right w:val="nil"/>
            </w:tcBorders>
            <w:noWrap/>
            <w:vAlign w:val="center"/>
          </w:tcPr>
          <w:p w:rsidR="00E34AE7" w:rsidRDefault="00B2012A">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注：本表反映部门本年度取得的各项收入情况。</w:t>
            </w:r>
          </w:p>
        </w:tc>
      </w:tr>
    </w:tbl>
    <w:p w:rsidR="00E34AE7" w:rsidRDefault="00E34AE7">
      <w:pPr>
        <w:rPr>
          <w:rFonts w:ascii="仿宋_GB2312" w:eastAsia="仿宋_GB2312" w:hAnsi="宋体"/>
          <w:b/>
          <w:sz w:val="32"/>
          <w:szCs w:val="32"/>
        </w:rPr>
      </w:pPr>
    </w:p>
    <w:p w:rsidR="00E34AE7" w:rsidRDefault="00B2012A">
      <w:pPr>
        <w:rPr>
          <w:rFonts w:ascii="黑体" w:eastAsia="黑体" w:hAnsi="黑体"/>
          <w:bCs/>
          <w:sz w:val="32"/>
          <w:szCs w:val="32"/>
        </w:rPr>
      </w:pPr>
      <w:r>
        <w:rPr>
          <w:rFonts w:ascii="仿宋_GB2312" w:eastAsia="仿宋_GB2312" w:hAnsi="宋体" w:hint="eastAsia"/>
          <w:b/>
          <w:sz w:val="32"/>
          <w:szCs w:val="32"/>
        </w:rPr>
        <w:br w:type="page"/>
      </w:r>
    </w:p>
    <w:tbl>
      <w:tblPr>
        <w:tblW w:w="5812" w:type="pct"/>
        <w:jc w:val="center"/>
        <w:tblLayout w:type="fixed"/>
        <w:tblLook w:val="04A0"/>
      </w:tblPr>
      <w:tblGrid>
        <w:gridCol w:w="1040"/>
        <w:gridCol w:w="1187"/>
        <w:gridCol w:w="1127"/>
        <w:gridCol w:w="127"/>
        <w:gridCol w:w="998"/>
        <w:gridCol w:w="1125"/>
        <w:gridCol w:w="499"/>
        <w:gridCol w:w="626"/>
        <w:gridCol w:w="1125"/>
        <w:gridCol w:w="1492"/>
      </w:tblGrid>
      <w:tr w:rsidR="00E34AE7">
        <w:trPr>
          <w:trHeight w:val="550"/>
          <w:jc w:val="center"/>
        </w:trPr>
        <w:tc>
          <w:tcPr>
            <w:tcW w:w="5000" w:type="pct"/>
            <w:gridSpan w:val="10"/>
            <w:tcBorders>
              <w:top w:val="nil"/>
              <w:left w:val="nil"/>
              <w:bottom w:val="nil"/>
              <w:right w:val="nil"/>
            </w:tcBorders>
            <w:noWrap/>
            <w:vAlign w:val="bottom"/>
          </w:tcPr>
          <w:p w:rsidR="00E34AE7" w:rsidRDefault="00B2012A">
            <w:pPr>
              <w:jc w:val="center"/>
              <w:outlineLvl w:val="1"/>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br w:type="page"/>
              <w:t>支出决算表</w:t>
            </w:r>
          </w:p>
        </w:tc>
      </w:tr>
      <w:tr w:rsidR="00E34AE7">
        <w:trPr>
          <w:trHeight w:val="300"/>
          <w:jc w:val="center"/>
        </w:trPr>
        <w:tc>
          <w:tcPr>
            <w:tcW w:w="5000" w:type="pct"/>
            <w:gridSpan w:val="10"/>
            <w:tcBorders>
              <w:top w:val="nil"/>
              <w:left w:val="nil"/>
              <w:bottom w:val="nil"/>
              <w:right w:val="nil"/>
            </w:tcBorders>
            <w:noWrap/>
            <w:vAlign w:val="bottom"/>
          </w:tcPr>
          <w:p w:rsidR="00E34AE7" w:rsidRDefault="00B2012A">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宋体" w:hAnsi="Times New Roman" w:cs="Times New Roman"/>
                <w:color w:val="000000"/>
                <w:sz w:val="20"/>
                <w:szCs w:val="20"/>
              </w:rPr>
              <w:t>03</w:t>
            </w:r>
            <w:r>
              <w:rPr>
                <w:rFonts w:ascii="方正仿宋_GB2312" w:eastAsia="方正仿宋_GB2312" w:hAnsi="方正仿宋_GB2312" w:cs="方正仿宋_GB2312" w:hint="eastAsia"/>
                <w:color w:val="000000"/>
                <w:sz w:val="20"/>
                <w:szCs w:val="20"/>
              </w:rPr>
              <w:t>表</w:t>
            </w:r>
          </w:p>
        </w:tc>
      </w:tr>
      <w:tr w:rsidR="00E34AE7">
        <w:trPr>
          <w:trHeight w:val="300"/>
          <w:jc w:val="center"/>
        </w:trPr>
        <w:tc>
          <w:tcPr>
            <w:tcW w:w="1862" w:type="pct"/>
            <w:gridSpan w:val="4"/>
            <w:tcBorders>
              <w:top w:val="nil"/>
              <w:left w:val="nil"/>
              <w:bottom w:val="single" w:sz="4" w:space="0" w:color="auto"/>
              <w:right w:val="nil"/>
            </w:tcBorders>
            <w:noWrap/>
            <w:vAlign w:val="bottom"/>
          </w:tcPr>
          <w:p w:rsidR="00E34AE7" w:rsidRDefault="00B2012A">
            <w:pPr>
              <w:widowControl/>
              <w:jc w:val="lef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 xml:space="preserve">部门（单位）：青龙满族自治县自然资源和规划局（汇总） </w:t>
            </w:r>
            <w:r>
              <w:rPr>
                <w:rFonts w:asciiTheme="minorEastAsia" w:hAnsiTheme="minorEastAsia" w:cstheme="minorEastAsia" w:hint="eastAsia"/>
                <w:color w:val="000000"/>
                <w:sz w:val="20"/>
                <w:szCs w:val="20"/>
              </w:rPr>
              <w:t xml:space="preserve">                                                                                                         </w:t>
            </w:r>
          </w:p>
        </w:tc>
        <w:tc>
          <w:tcPr>
            <w:tcW w:w="1403" w:type="pct"/>
            <w:gridSpan w:val="3"/>
            <w:tcBorders>
              <w:top w:val="nil"/>
              <w:left w:val="nil"/>
              <w:bottom w:val="single" w:sz="4" w:space="0" w:color="auto"/>
              <w:right w:val="nil"/>
            </w:tcBorders>
            <w:noWrap/>
            <w:vAlign w:val="bottom"/>
          </w:tcPr>
          <w:p w:rsidR="00E34AE7" w:rsidRDefault="00B2012A">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ascii="Times New Roman"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1734" w:type="pct"/>
            <w:gridSpan w:val="3"/>
            <w:tcBorders>
              <w:top w:val="nil"/>
              <w:left w:val="nil"/>
              <w:bottom w:val="single" w:sz="4" w:space="0" w:color="auto"/>
              <w:right w:val="nil"/>
            </w:tcBorders>
            <w:noWrap/>
            <w:vAlign w:val="bottom"/>
          </w:tcPr>
          <w:p w:rsidR="00E34AE7" w:rsidRDefault="00B2012A">
            <w:pPr>
              <w:widowControl/>
              <w:jc w:val="right"/>
              <w:textAlignment w:val="bottom"/>
              <w:rPr>
                <w:rFonts w:asciiTheme="minorEastAsia" w:hAnsiTheme="minorEastAsia" w:cstheme="minorEastAsia"/>
                <w:color w:val="000000"/>
                <w:sz w:val="20"/>
                <w:szCs w:val="20"/>
              </w:rPr>
            </w:pPr>
            <w:r>
              <w:rPr>
                <w:rFonts w:ascii="方正仿宋_GB2312" w:eastAsia="方正仿宋_GB2312" w:hAnsi="方正仿宋_GB2312" w:cs="方正仿宋_GB2312" w:hint="eastAsia"/>
                <w:color w:val="000000"/>
                <w:sz w:val="20"/>
                <w:szCs w:val="20"/>
              </w:rPr>
              <w:t xml:space="preserve"> 金额单位：万元</w:t>
            </w:r>
          </w:p>
        </w:tc>
      </w:tr>
      <w:tr w:rsidR="00E34AE7">
        <w:trPr>
          <w:trHeight w:val="510"/>
          <w:jc w:val="center"/>
        </w:trPr>
        <w:tc>
          <w:tcPr>
            <w:tcW w:w="1191" w:type="pct"/>
            <w:gridSpan w:val="2"/>
            <w:tcBorders>
              <w:top w:val="single" w:sz="4" w:space="0" w:color="auto"/>
              <w:left w:val="single" w:sz="4" w:space="0" w:color="000000"/>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603" w:type="pct"/>
            <w:vMerge w:val="restart"/>
            <w:tcBorders>
              <w:top w:val="single" w:sz="4" w:space="0" w:color="auto"/>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本年支出合计</w:t>
            </w:r>
          </w:p>
        </w:tc>
        <w:tc>
          <w:tcPr>
            <w:tcW w:w="602" w:type="pct"/>
            <w:gridSpan w:val="2"/>
            <w:vMerge w:val="restart"/>
            <w:tcBorders>
              <w:top w:val="single" w:sz="4" w:space="0" w:color="auto"/>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602" w:type="pct"/>
            <w:vMerge w:val="restart"/>
            <w:tcBorders>
              <w:top w:val="single" w:sz="4" w:space="0" w:color="auto"/>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c>
          <w:tcPr>
            <w:tcW w:w="602" w:type="pct"/>
            <w:gridSpan w:val="2"/>
            <w:vMerge w:val="restart"/>
            <w:tcBorders>
              <w:top w:val="single" w:sz="4" w:space="0" w:color="auto"/>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上缴上级支出</w:t>
            </w:r>
          </w:p>
        </w:tc>
        <w:tc>
          <w:tcPr>
            <w:tcW w:w="602" w:type="pct"/>
            <w:vMerge w:val="restart"/>
            <w:tcBorders>
              <w:top w:val="single" w:sz="4" w:space="0" w:color="auto"/>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经营支出</w:t>
            </w:r>
          </w:p>
        </w:tc>
        <w:tc>
          <w:tcPr>
            <w:tcW w:w="795" w:type="pct"/>
            <w:vMerge w:val="restart"/>
            <w:tcBorders>
              <w:top w:val="single" w:sz="4" w:space="0" w:color="auto"/>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对附属单位补助支出</w:t>
            </w:r>
          </w:p>
        </w:tc>
      </w:tr>
      <w:tr w:rsidR="00E34AE7">
        <w:trPr>
          <w:trHeight w:val="312"/>
          <w:jc w:val="center"/>
        </w:trPr>
        <w:tc>
          <w:tcPr>
            <w:tcW w:w="556" w:type="pct"/>
            <w:vMerge w:val="restart"/>
            <w:tcBorders>
              <w:top w:val="nil"/>
              <w:left w:val="single" w:sz="4" w:space="0" w:color="000000"/>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635" w:type="pct"/>
            <w:vMerge w:val="restar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603" w:type="pct"/>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795" w:type="pct"/>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r>
      <w:tr w:rsidR="00E34AE7">
        <w:trPr>
          <w:trHeight w:val="312"/>
          <w:jc w:val="center"/>
        </w:trPr>
        <w:tc>
          <w:tcPr>
            <w:tcW w:w="556" w:type="pct"/>
            <w:vMerge/>
            <w:tcBorders>
              <w:top w:val="nil"/>
              <w:left w:val="single" w:sz="4" w:space="0" w:color="000000"/>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635" w:type="pct"/>
            <w:vMerge/>
            <w:tcBorders>
              <w:top w:val="nil"/>
              <w:left w:val="nil"/>
              <w:bottom w:val="single" w:sz="4" w:space="0" w:color="000000"/>
              <w:right w:val="single" w:sz="4" w:space="0" w:color="000000"/>
            </w:tcBorders>
            <w:noWrap/>
            <w:vAlign w:val="center"/>
          </w:tcPr>
          <w:p w:rsidR="00E34AE7" w:rsidRDefault="00E34AE7">
            <w:pPr>
              <w:jc w:val="center"/>
              <w:rPr>
                <w:rFonts w:ascii="宋体" w:eastAsia="宋体" w:hAnsi="宋体"/>
                <w:color w:val="000000"/>
                <w:sz w:val="20"/>
                <w:szCs w:val="20"/>
              </w:rPr>
            </w:pPr>
          </w:p>
        </w:tc>
        <w:tc>
          <w:tcPr>
            <w:tcW w:w="603" w:type="pct"/>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795" w:type="pct"/>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r>
      <w:tr w:rsidR="00E34AE7">
        <w:trPr>
          <w:trHeight w:val="312"/>
          <w:jc w:val="center"/>
        </w:trPr>
        <w:tc>
          <w:tcPr>
            <w:tcW w:w="556" w:type="pct"/>
            <w:vMerge/>
            <w:tcBorders>
              <w:top w:val="nil"/>
              <w:left w:val="single" w:sz="4" w:space="0" w:color="000000"/>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635" w:type="pct"/>
            <w:vMerge/>
            <w:tcBorders>
              <w:top w:val="nil"/>
              <w:left w:val="nil"/>
              <w:bottom w:val="single" w:sz="4" w:space="0" w:color="000000"/>
              <w:right w:val="single" w:sz="4" w:space="0" w:color="000000"/>
            </w:tcBorders>
            <w:noWrap/>
            <w:vAlign w:val="center"/>
          </w:tcPr>
          <w:p w:rsidR="00E34AE7" w:rsidRDefault="00E34AE7">
            <w:pPr>
              <w:jc w:val="center"/>
              <w:rPr>
                <w:rFonts w:ascii="宋体" w:eastAsia="宋体" w:hAnsi="宋体"/>
                <w:color w:val="000000"/>
                <w:sz w:val="20"/>
                <w:szCs w:val="20"/>
              </w:rPr>
            </w:pPr>
          </w:p>
        </w:tc>
        <w:tc>
          <w:tcPr>
            <w:tcW w:w="603" w:type="pct"/>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c>
          <w:tcPr>
            <w:tcW w:w="795" w:type="pct"/>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宋体" w:eastAsia="宋体" w:hAnsi="宋体"/>
                <w:color w:val="000000"/>
                <w:sz w:val="20"/>
                <w:szCs w:val="20"/>
              </w:rPr>
            </w:pPr>
          </w:p>
        </w:tc>
      </w:tr>
      <w:tr w:rsidR="00E34AE7">
        <w:trPr>
          <w:trHeight w:val="454"/>
          <w:jc w:val="center"/>
        </w:trPr>
        <w:tc>
          <w:tcPr>
            <w:tcW w:w="1191" w:type="pct"/>
            <w:gridSpan w:val="2"/>
            <w:tcBorders>
              <w:top w:val="single" w:sz="4" w:space="0" w:color="000000"/>
              <w:left w:val="single" w:sz="4" w:space="0" w:color="000000"/>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603" w:type="pct"/>
            <w:tcBorders>
              <w:top w:val="nil"/>
              <w:left w:val="nil"/>
              <w:bottom w:val="single" w:sz="4" w:space="0" w:color="000000"/>
              <w:right w:val="single" w:sz="4" w:space="0" w:color="000000"/>
            </w:tcBorders>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w:t>
            </w:r>
          </w:p>
        </w:tc>
        <w:tc>
          <w:tcPr>
            <w:tcW w:w="602" w:type="pct"/>
            <w:gridSpan w:val="2"/>
            <w:tcBorders>
              <w:top w:val="nil"/>
              <w:left w:val="nil"/>
              <w:bottom w:val="single" w:sz="4" w:space="0" w:color="000000"/>
              <w:right w:val="single" w:sz="4" w:space="0" w:color="000000"/>
            </w:tcBorders>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w:t>
            </w:r>
          </w:p>
        </w:tc>
        <w:tc>
          <w:tcPr>
            <w:tcW w:w="602" w:type="pct"/>
            <w:tcBorders>
              <w:top w:val="nil"/>
              <w:left w:val="nil"/>
              <w:bottom w:val="single" w:sz="4" w:space="0" w:color="000000"/>
              <w:right w:val="single" w:sz="4" w:space="0" w:color="000000"/>
            </w:tcBorders>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w:t>
            </w:r>
          </w:p>
        </w:tc>
        <w:tc>
          <w:tcPr>
            <w:tcW w:w="602" w:type="pct"/>
            <w:gridSpan w:val="2"/>
            <w:tcBorders>
              <w:top w:val="nil"/>
              <w:left w:val="nil"/>
              <w:bottom w:val="single" w:sz="4" w:space="0" w:color="000000"/>
              <w:right w:val="single" w:sz="4" w:space="0" w:color="000000"/>
            </w:tcBorders>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w:t>
            </w:r>
          </w:p>
        </w:tc>
        <w:tc>
          <w:tcPr>
            <w:tcW w:w="602" w:type="pct"/>
            <w:tcBorders>
              <w:top w:val="nil"/>
              <w:left w:val="nil"/>
              <w:bottom w:val="single" w:sz="4" w:space="0" w:color="000000"/>
              <w:right w:val="single" w:sz="4" w:space="0" w:color="000000"/>
            </w:tcBorders>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w:t>
            </w:r>
          </w:p>
        </w:tc>
        <w:tc>
          <w:tcPr>
            <w:tcW w:w="795" w:type="pct"/>
            <w:tcBorders>
              <w:top w:val="nil"/>
              <w:left w:val="nil"/>
              <w:bottom w:val="single" w:sz="4" w:space="0" w:color="000000"/>
              <w:right w:val="single" w:sz="4" w:space="0" w:color="000000"/>
            </w:tcBorders>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w:t>
            </w:r>
          </w:p>
        </w:tc>
      </w:tr>
      <w:tr w:rsidR="00E34AE7">
        <w:trPr>
          <w:trHeight w:val="308"/>
          <w:jc w:val="center"/>
        </w:trPr>
        <w:tc>
          <w:tcPr>
            <w:tcW w:w="1191" w:type="pct"/>
            <w:gridSpan w:val="2"/>
            <w:tcBorders>
              <w:top w:val="single" w:sz="4" w:space="0" w:color="000000"/>
              <w:left w:val="single" w:sz="4" w:space="0" w:color="000000"/>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14,307.85</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1,270.45</w:t>
            </w: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13,037.40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社会保障和就业支出</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228.34</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228.34</w:t>
            </w: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行政事业单位养老支出</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205.24</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205.24</w:t>
            </w: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2080501</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行政单位离退休</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22.73</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22.73</w:t>
            </w: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2080502</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事业单位离退休</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5.73</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5.73</w:t>
            </w: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2080505</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机关事业单位基本养老保险缴费支出</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167.39</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167.39</w:t>
            </w: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2080506</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机关事业单位职业年金缴费支出</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9.40</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9.40</w:t>
            </w: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20808</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抚恤</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23.10</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23.10</w:t>
            </w: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2080801</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死亡抚恤</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2.87</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2.87</w:t>
            </w: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2080899</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其他优抚支出</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20.22</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20.22</w:t>
            </w: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卫生健康支出</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64.35</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64.35</w:t>
            </w: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行政事业单位医疗</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64.35</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64.35</w:t>
            </w: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2101101</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行政单位医疗</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17.54</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17.54</w:t>
            </w: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2101102</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事业单位医疗</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46.81</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46.81</w:t>
            </w: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节能环保</w:t>
            </w:r>
            <w:r>
              <w:rPr>
                <w:rFonts w:ascii="方正仿宋_GB2312" w:eastAsia="方正仿宋_GB2312" w:hAnsi="方正仿宋_GB2312" w:cs="方正仿宋_GB2312" w:hint="eastAsia"/>
                <w:color w:val="000000"/>
                <w:sz w:val="20"/>
                <w:szCs w:val="20"/>
              </w:rPr>
              <w:lastRenderedPageBreak/>
              <w:t>支出</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lastRenderedPageBreak/>
              <w:t>495.00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495.00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lastRenderedPageBreak/>
              <w:t>21104</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自然生态保护</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435.00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435.00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2110401</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生态保护</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435.00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435.00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21105</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森林保护修复</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60.00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60.00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2110507</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停伐补助</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60.00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60.00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城乡社区支出</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566.65</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61.37</w:t>
            </w: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505.28</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21202</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城乡社区规划与管理</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61.37</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61.37</w:t>
            </w: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2120201</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城乡社区规划与管理</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61.37</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61.37</w:t>
            </w: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国有土地使用权出让收入安排的支出</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488.30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488.30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2120801</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征地和拆迁补偿支出</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250.00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250.00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2120805</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补助被征地农民支出</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108.75</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108.75</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2120814</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农业生产发展支出</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15.00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15.00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2120899</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其他国有土地使用权出让收入安排的支出</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114.55</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114.55</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21299</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其他城乡社区支出</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16.98</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16.98</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2129999</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其他城乡社区支出</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16.98</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16.98</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农林水支出</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2,468.47</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2,468.47</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林业和草原</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2,468.47</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2,468.47</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2130205</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森林资源培育</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1,818.95</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1,818.95</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2130207</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森林资源</w:t>
            </w:r>
            <w:r>
              <w:rPr>
                <w:rFonts w:ascii="方正仿宋_GB2312" w:eastAsia="方正仿宋_GB2312" w:hAnsi="方正仿宋_GB2312" w:cs="方正仿宋_GB2312" w:hint="eastAsia"/>
                <w:color w:val="000000"/>
                <w:sz w:val="20"/>
                <w:szCs w:val="20"/>
              </w:rPr>
              <w:lastRenderedPageBreak/>
              <w:t>管理</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lastRenderedPageBreak/>
              <w:t>129.65</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129.65</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lastRenderedPageBreak/>
              <w:t>2130209</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森林生态效益补偿</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53.27</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53.27</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2130211</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动植物保护</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30.00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30.00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2130212</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湿地保护</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120.00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120.00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2130221</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产业化管理</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46.52</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46.52</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2130234</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林业草原防灾减灾</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270.08</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270.08</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自然资源海洋气象等支出</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10,390.66</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822.01</w:t>
            </w: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9,568.65</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自然资源事务</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10,390.66</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822.01</w:t>
            </w: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9,568.65</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2200101</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行政运行</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282.82</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282.82</w:t>
            </w: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2200106</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自然资源利用与保护</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523.22</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523.22</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2200112</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土地资源储备支出</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8,790.62</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8,790.62</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2200113</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地质矿产资源与环境调查</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226.81</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226.81</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2200150</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事业运行</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539.18</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539.18</w:t>
            </w: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2200199</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其他自然资源事务支出</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28.00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28.00</w:t>
            </w: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住房保障支出</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94.38</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94.38</w:t>
            </w: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22102</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住房改革支出</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94.38</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94.38</w:t>
            </w: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2210201</w:t>
            </w:r>
          </w:p>
        </w:tc>
        <w:tc>
          <w:tcPr>
            <w:tcW w:w="635"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住房公积金</w:t>
            </w:r>
          </w:p>
        </w:tc>
        <w:tc>
          <w:tcPr>
            <w:tcW w:w="60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94.38</w:t>
            </w:r>
          </w:p>
        </w:tc>
        <w:tc>
          <w:tcPr>
            <w:tcW w:w="60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94.38</w:t>
            </w: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jc w:val="center"/>
        </w:trPr>
        <w:tc>
          <w:tcPr>
            <w:tcW w:w="5000" w:type="pct"/>
            <w:gridSpan w:val="10"/>
            <w:tcBorders>
              <w:top w:val="nil"/>
              <w:left w:val="nil"/>
              <w:bottom w:val="nil"/>
              <w:right w:val="nil"/>
            </w:tcBorders>
            <w:noWrap/>
            <w:vAlign w:val="center"/>
          </w:tcPr>
          <w:p w:rsidR="00E34AE7" w:rsidRDefault="00B2012A">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注：本表反映部门本年度各项支出情况。</w:t>
            </w:r>
          </w:p>
        </w:tc>
      </w:tr>
    </w:tbl>
    <w:p w:rsidR="00E34AE7" w:rsidRDefault="00E34AE7">
      <w:pPr>
        <w:rPr>
          <w:rFonts w:ascii="仿宋_GB2312" w:eastAsia="仿宋_GB2312" w:hAnsi="宋体"/>
          <w:b/>
          <w:sz w:val="32"/>
          <w:szCs w:val="32"/>
        </w:rPr>
      </w:pPr>
    </w:p>
    <w:p w:rsidR="00E34AE7" w:rsidRDefault="00B2012A">
      <w:pPr>
        <w:rPr>
          <w:rFonts w:ascii="仿宋_GB2312" w:eastAsia="仿宋_GB2312" w:hAnsi="宋体"/>
          <w:b/>
          <w:sz w:val="32"/>
          <w:szCs w:val="32"/>
        </w:rPr>
      </w:pPr>
      <w:r>
        <w:rPr>
          <w:rFonts w:ascii="仿宋_GB2312" w:eastAsia="仿宋_GB2312" w:hAnsi="宋体" w:hint="eastAsia"/>
          <w:b/>
          <w:sz w:val="32"/>
          <w:szCs w:val="32"/>
        </w:rPr>
        <w:br w:type="page"/>
      </w:r>
    </w:p>
    <w:tbl>
      <w:tblPr>
        <w:tblW w:w="7281" w:type="pct"/>
        <w:tblInd w:w="-1857" w:type="dxa"/>
        <w:tblLayout w:type="fixed"/>
        <w:tblLook w:val="04A0"/>
      </w:tblPr>
      <w:tblGrid>
        <w:gridCol w:w="1982"/>
        <w:gridCol w:w="623"/>
        <w:gridCol w:w="1428"/>
        <w:gridCol w:w="1658"/>
        <w:gridCol w:w="438"/>
        <w:gridCol w:w="623"/>
        <w:gridCol w:w="459"/>
        <w:gridCol w:w="834"/>
        <w:gridCol w:w="1218"/>
        <w:gridCol w:w="1218"/>
        <w:gridCol w:w="1227"/>
      </w:tblGrid>
      <w:tr w:rsidR="00E34AE7">
        <w:trPr>
          <w:trHeight w:val="550"/>
        </w:trPr>
        <w:tc>
          <w:tcPr>
            <w:tcW w:w="5000" w:type="pct"/>
            <w:gridSpan w:val="11"/>
            <w:tcBorders>
              <w:top w:val="nil"/>
              <w:left w:val="nil"/>
              <w:bottom w:val="nil"/>
              <w:right w:val="nil"/>
            </w:tcBorders>
            <w:noWrap/>
            <w:vAlign w:val="bottom"/>
          </w:tcPr>
          <w:p w:rsidR="00E34AE7" w:rsidRDefault="00B2012A">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财政拨款收入支出决算总表</w:t>
            </w:r>
          </w:p>
        </w:tc>
      </w:tr>
      <w:tr w:rsidR="00E34AE7">
        <w:trPr>
          <w:trHeight w:val="300"/>
        </w:trPr>
        <w:tc>
          <w:tcPr>
            <w:tcW w:w="5000" w:type="pct"/>
            <w:gridSpan w:val="11"/>
            <w:tcBorders>
              <w:top w:val="nil"/>
              <w:left w:val="nil"/>
              <w:bottom w:val="nil"/>
              <w:right w:val="nil"/>
            </w:tcBorders>
            <w:noWrap/>
            <w:vAlign w:val="bottom"/>
          </w:tcPr>
          <w:p w:rsidR="00E34AE7" w:rsidRDefault="00B2012A">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公开04表</w:t>
            </w:r>
          </w:p>
        </w:tc>
      </w:tr>
      <w:tr w:rsidR="00E34AE7">
        <w:trPr>
          <w:trHeight w:val="300"/>
        </w:trPr>
        <w:tc>
          <w:tcPr>
            <w:tcW w:w="2431" w:type="pct"/>
            <w:gridSpan w:val="4"/>
            <w:tcBorders>
              <w:top w:val="nil"/>
              <w:left w:val="nil"/>
              <w:bottom w:val="single" w:sz="4" w:space="0" w:color="auto"/>
              <w:right w:val="nil"/>
            </w:tcBorders>
            <w:noWrap/>
            <w:vAlign w:val="bottom"/>
          </w:tcPr>
          <w:p w:rsidR="00E34AE7" w:rsidRDefault="00B2012A">
            <w:pPr>
              <w:rPr>
                <w:rFonts w:ascii="仿宋" w:eastAsia="仿宋" w:hAnsi="仿宋" w:cs="仿宋"/>
                <w:color w:val="000000"/>
                <w:sz w:val="20"/>
                <w:szCs w:val="20"/>
              </w:rPr>
            </w:pPr>
            <w:r>
              <w:rPr>
                <w:rFonts w:ascii="方正仿宋_GB2312" w:eastAsia="方正仿宋_GB2312" w:hAnsi="方正仿宋_GB2312" w:cs="方正仿宋_GB2312" w:hint="eastAsia"/>
                <w:color w:val="000000"/>
                <w:sz w:val="20"/>
                <w:szCs w:val="20"/>
              </w:rPr>
              <w:t xml:space="preserve">部门（单位）：青龙满族自治县自然资源和规划局（汇总） </w:t>
            </w:r>
            <w:r>
              <w:rPr>
                <w:rFonts w:asciiTheme="minorEastAsia" w:hAnsiTheme="minorEastAsia" w:cstheme="minorEastAsia" w:hint="eastAsia"/>
                <w:color w:val="000000"/>
                <w:sz w:val="20"/>
                <w:szCs w:val="20"/>
              </w:rPr>
              <w:t xml:space="preserve">                                                                                                   </w:t>
            </w:r>
          </w:p>
        </w:tc>
        <w:tc>
          <w:tcPr>
            <w:tcW w:w="649" w:type="pct"/>
            <w:gridSpan w:val="3"/>
            <w:tcBorders>
              <w:top w:val="nil"/>
              <w:left w:val="nil"/>
              <w:bottom w:val="single" w:sz="4" w:space="0" w:color="auto"/>
              <w:right w:val="nil"/>
            </w:tcBorders>
            <w:noWrap/>
            <w:vAlign w:val="bottom"/>
          </w:tcPr>
          <w:p w:rsidR="00E34AE7" w:rsidRDefault="00B2012A">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ascii="Times New Roman"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1919" w:type="pct"/>
            <w:gridSpan w:val="4"/>
            <w:tcBorders>
              <w:top w:val="nil"/>
              <w:left w:val="nil"/>
              <w:bottom w:val="single" w:sz="4" w:space="0" w:color="auto"/>
              <w:right w:val="nil"/>
            </w:tcBorders>
            <w:noWrap/>
            <w:vAlign w:val="bottom"/>
          </w:tcPr>
          <w:p w:rsidR="00E34AE7" w:rsidRDefault="00B2012A">
            <w:pPr>
              <w:jc w:val="right"/>
              <w:rPr>
                <w:rFonts w:asciiTheme="minorEastAsia" w:hAnsiTheme="minorEastAsia" w:cstheme="minorEastAsia"/>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E34AE7">
        <w:trPr>
          <w:trHeight w:val="308"/>
        </w:trPr>
        <w:tc>
          <w:tcPr>
            <w:tcW w:w="1723" w:type="pct"/>
            <w:gridSpan w:val="3"/>
            <w:tcBorders>
              <w:top w:val="single" w:sz="4" w:space="0" w:color="auto"/>
              <w:left w:val="nil"/>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收入</w:t>
            </w:r>
          </w:p>
        </w:tc>
        <w:tc>
          <w:tcPr>
            <w:tcW w:w="3276" w:type="pct"/>
            <w:gridSpan w:val="8"/>
            <w:tcBorders>
              <w:top w:val="single" w:sz="4" w:space="0" w:color="auto"/>
              <w:left w:val="nil"/>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支出</w:t>
            </w:r>
          </w:p>
        </w:tc>
      </w:tr>
      <w:tr w:rsidR="00E34AE7">
        <w:trPr>
          <w:trHeight w:val="312"/>
        </w:trPr>
        <w:tc>
          <w:tcPr>
            <w:tcW w:w="847" w:type="pct"/>
            <w:vMerge w:val="restart"/>
            <w:tcBorders>
              <w:top w:val="nil"/>
              <w:left w:val="single" w:sz="4" w:space="0" w:color="000000"/>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    目</w:t>
            </w:r>
          </w:p>
        </w:tc>
        <w:tc>
          <w:tcPr>
            <w:tcW w:w="266" w:type="pct"/>
            <w:vMerge w:val="restart"/>
            <w:tcBorders>
              <w:top w:val="nil"/>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行次</w:t>
            </w:r>
          </w:p>
        </w:tc>
        <w:tc>
          <w:tcPr>
            <w:tcW w:w="609" w:type="pct"/>
            <w:vMerge w:val="restart"/>
            <w:tcBorders>
              <w:top w:val="nil"/>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金额</w:t>
            </w:r>
          </w:p>
        </w:tc>
        <w:tc>
          <w:tcPr>
            <w:tcW w:w="895" w:type="pct"/>
            <w:gridSpan w:val="2"/>
            <w:vMerge w:val="restart"/>
            <w:tcBorders>
              <w:top w:val="nil"/>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266" w:type="pct"/>
            <w:vMerge w:val="restart"/>
            <w:tcBorders>
              <w:top w:val="nil"/>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行次</w:t>
            </w:r>
          </w:p>
        </w:tc>
        <w:tc>
          <w:tcPr>
            <w:tcW w:w="552" w:type="pct"/>
            <w:gridSpan w:val="2"/>
            <w:vMerge w:val="restart"/>
            <w:tcBorders>
              <w:top w:val="nil"/>
              <w:left w:val="nil"/>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520" w:type="pct"/>
            <w:vMerge w:val="restart"/>
            <w:tcBorders>
              <w:top w:val="nil"/>
              <w:left w:val="nil"/>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一般公共预算财政拨款</w:t>
            </w:r>
          </w:p>
        </w:tc>
        <w:tc>
          <w:tcPr>
            <w:tcW w:w="520" w:type="pct"/>
            <w:vMerge w:val="restart"/>
            <w:tcBorders>
              <w:top w:val="nil"/>
              <w:left w:val="nil"/>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政府性基金预算财政拨款</w:t>
            </w:r>
          </w:p>
        </w:tc>
        <w:tc>
          <w:tcPr>
            <w:tcW w:w="520" w:type="pct"/>
            <w:vMerge w:val="restart"/>
            <w:tcBorders>
              <w:top w:val="nil"/>
              <w:left w:val="nil"/>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国有资本经营预算财政拨款</w:t>
            </w:r>
          </w:p>
        </w:tc>
      </w:tr>
      <w:tr w:rsidR="00E34AE7">
        <w:trPr>
          <w:trHeight w:val="312"/>
        </w:trPr>
        <w:tc>
          <w:tcPr>
            <w:tcW w:w="847" w:type="pct"/>
            <w:vMerge/>
            <w:tcBorders>
              <w:top w:val="nil"/>
              <w:left w:val="single" w:sz="4" w:space="0" w:color="000000"/>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266" w:type="pct"/>
            <w:vMerge/>
            <w:tcBorders>
              <w:top w:val="nil"/>
              <w:left w:val="nil"/>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609" w:type="pct"/>
            <w:vMerge/>
            <w:tcBorders>
              <w:top w:val="nil"/>
              <w:left w:val="nil"/>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895" w:type="pct"/>
            <w:gridSpan w:val="2"/>
            <w:vMerge/>
            <w:tcBorders>
              <w:top w:val="nil"/>
              <w:left w:val="nil"/>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266" w:type="pct"/>
            <w:vMerge/>
            <w:tcBorders>
              <w:top w:val="nil"/>
              <w:left w:val="nil"/>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552" w:type="pct"/>
            <w:gridSpan w:val="2"/>
            <w:vMerge/>
            <w:tcBorders>
              <w:left w:val="nil"/>
              <w:bottom w:val="single" w:sz="4" w:space="0" w:color="000000"/>
              <w:right w:val="single" w:sz="8" w:space="0" w:color="000000"/>
            </w:tcBorders>
            <w:vAlign w:val="center"/>
          </w:tcPr>
          <w:p w:rsidR="00E34AE7" w:rsidRDefault="00E34AE7">
            <w:pPr>
              <w:widowControl/>
              <w:jc w:val="center"/>
              <w:textAlignment w:val="center"/>
              <w:rPr>
                <w:rFonts w:ascii="方正仿宋_GB2312" w:eastAsia="方正仿宋_GB2312" w:hAnsi="方正仿宋_GB2312" w:cs="方正仿宋_GB2312"/>
                <w:color w:val="000000"/>
                <w:sz w:val="20"/>
                <w:szCs w:val="20"/>
              </w:rPr>
            </w:pPr>
          </w:p>
        </w:tc>
        <w:tc>
          <w:tcPr>
            <w:tcW w:w="520" w:type="pct"/>
            <w:vMerge/>
            <w:tcBorders>
              <w:left w:val="nil"/>
              <w:bottom w:val="single" w:sz="4" w:space="0" w:color="000000"/>
              <w:right w:val="single" w:sz="8" w:space="0" w:color="000000"/>
            </w:tcBorders>
            <w:vAlign w:val="center"/>
          </w:tcPr>
          <w:p w:rsidR="00E34AE7" w:rsidRDefault="00E34AE7">
            <w:pPr>
              <w:widowControl/>
              <w:jc w:val="center"/>
              <w:textAlignment w:val="center"/>
              <w:rPr>
                <w:rFonts w:ascii="方正仿宋_GB2312" w:eastAsia="方正仿宋_GB2312" w:hAnsi="方正仿宋_GB2312" w:cs="方正仿宋_GB2312"/>
                <w:color w:val="000000"/>
                <w:sz w:val="20"/>
                <w:szCs w:val="20"/>
              </w:rPr>
            </w:pPr>
          </w:p>
        </w:tc>
        <w:tc>
          <w:tcPr>
            <w:tcW w:w="520" w:type="pct"/>
            <w:vMerge/>
            <w:tcBorders>
              <w:left w:val="nil"/>
              <w:bottom w:val="single" w:sz="4" w:space="0" w:color="000000"/>
              <w:right w:val="single" w:sz="8" w:space="0" w:color="000000"/>
            </w:tcBorders>
            <w:vAlign w:val="center"/>
          </w:tcPr>
          <w:p w:rsidR="00E34AE7" w:rsidRDefault="00E34AE7">
            <w:pPr>
              <w:widowControl/>
              <w:jc w:val="center"/>
              <w:textAlignment w:val="center"/>
              <w:rPr>
                <w:rFonts w:ascii="方正仿宋_GB2312" w:eastAsia="方正仿宋_GB2312" w:hAnsi="方正仿宋_GB2312" w:cs="方正仿宋_GB2312"/>
                <w:color w:val="000000"/>
                <w:sz w:val="20"/>
                <w:szCs w:val="20"/>
              </w:rPr>
            </w:pPr>
          </w:p>
        </w:tc>
        <w:tc>
          <w:tcPr>
            <w:tcW w:w="520" w:type="pct"/>
            <w:vMerge/>
            <w:tcBorders>
              <w:left w:val="nil"/>
              <w:bottom w:val="single" w:sz="4" w:space="0" w:color="000000"/>
              <w:right w:val="single" w:sz="8" w:space="0" w:color="000000"/>
            </w:tcBorders>
            <w:vAlign w:val="center"/>
          </w:tcPr>
          <w:p w:rsidR="00E34AE7" w:rsidRDefault="00E34AE7">
            <w:pPr>
              <w:widowControl/>
              <w:jc w:val="center"/>
              <w:textAlignment w:val="center"/>
              <w:rPr>
                <w:rFonts w:ascii="方正仿宋_GB2312" w:eastAsia="方正仿宋_GB2312" w:hAnsi="方正仿宋_GB2312" w:cs="方正仿宋_GB2312"/>
                <w:color w:val="000000"/>
                <w:sz w:val="20"/>
                <w:szCs w:val="20"/>
              </w:rPr>
            </w:pPr>
          </w:p>
        </w:tc>
      </w:tr>
      <w:tr w:rsidR="00E34AE7">
        <w:trPr>
          <w:trHeight w:val="308"/>
        </w:trPr>
        <w:tc>
          <w:tcPr>
            <w:tcW w:w="847" w:type="pct"/>
            <w:tcBorders>
              <w:top w:val="nil"/>
              <w:left w:val="single" w:sz="4" w:space="0" w:color="000000"/>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    次</w:t>
            </w:r>
          </w:p>
        </w:tc>
        <w:tc>
          <w:tcPr>
            <w:tcW w:w="266" w:type="pct"/>
            <w:tcBorders>
              <w:top w:val="nil"/>
              <w:left w:val="nil"/>
              <w:bottom w:val="single" w:sz="4" w:space="0" w:color="000000"/>
              <w:right w:val="single" w:sz="4" w:space="0" w:color="000000"/>
            </w:tcBorders>
            <w:noWrap/>
            <w:vAlign w:val="center"/>
          </w:tcPr>
          <w:p w:rsidR="00E34AE7" w:rsidRDefault="00E34AE7">
            <w:pPr>
              <w:jc w:val="center"/>
              <w:rPr>
                <w:rFonts w:ascii="宋体" w:eastAsia="宋体" w:hAnsi="宋体"/>
                <w:color w:val="000000"/>
                <w:sz w:val="20"/>
                <w:szCs w:val="20"/>
              </w:rPr>
            </w:pPr>
          </w:p>
        </w:tc>
        <w:tc>
          <w:tcPr>
            <w:tcW w:w="609"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1</w:t>
            </w:r>
          </w:p>
        </w:tc>
        <w:tc>
          <w:tcPr>
            <w:tcW w:w="895" w:type="pct"/>
            <w:gridSpan w:val="2"/>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    次</w:t>
            </w:r>
          </w:p>
        </w:tc>
        <w:tc>
          <w:tcPr>
            <w:tcW w:w="266" w:type="pct"/>
            <w:tcBorders>
              <w:top w:val="nil"/>
              <w:left w:val="nil"/>
              <w:bottom w:val="single" w:sz="4" w:space="0" w:color="000000"/>
              <w:right w:val="single" w:sz="4" w:space="0" w:color="000000"/>
            </w:tcBorders>
            <w:noWrap/>
            <w:vAlign w:val="center"/>
          </w:tcPr>
          <w:p w:rsidR="00E34AE7" w:rsidRDefault="00E34AE7">
            <w:pPr>
              <w:jc w:val="center"/>
              <w:rPr>
                <w:rFonts w:ascii="宋体" w:eastAsia="宋体" w:hAnsi="宋体"/>
                <w:color w:val="000000"/>
                <w:sz w:val="20"/>
                <w:szCs w:val="20"/>
              </w:rPr>
            </w:pPr>
          </w:p>
        </w:tc>
        <w:tc>
          <w:tcPr>
            <w:tcW w:w="552" w:type="pct"/>
            <w:gridSpan w:val="2"/>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2</w:t>
            </w:r>
          </w:p>
        </w:tc>
        <w:tc>
          <w:tcPr>
            <w:tcW w:w="520"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3</w:t>
            </w:r>
          </w:p>
        </w:tc>
        <w:tc>
          <w:tcPr>
            <w:tcW w:w="520"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4</w:t>
            </w:r>
          </w:p>
        </w:tc>
        <w:tc>
          <w:tcPr>
            <w:tcW w:w="520" w:type="pct"/>
            <w:tcBorders>
              <w:top w:val="nil"/>
              <w:left w:val="nil"/>
              <w:bottom w:val="single" w:sz="4" w:space="0" w:color="000000"/>
              <w:right w:val="single" w:sz="8" w:space="0" w:color="000000"/>
            </w:tcBorders>
            <w:noWrap/>
            <w:vAlign w:val="center"/>
          </w:tcPr>
          <w:p w:rsidR="00E34AE7" w:rsidRDefault="00B2012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5</w:t>
            </w:r>
          </w:p>
        </w:tc>
      </w:tr>
      <w:tr w:rsidR="00E34AE7">
        <w:trPr>
          <w:trHeight w:val="308"/>
        </w:trPr>
        <w:tc>
          <w:tcPr>
            <w:tcW w:w="847" w:type="pct"/>
            <w:tcBorders>
              <w:top w:val="nil"/>
              <w:left w:val="single" w:sz="4" w:space="0" w:color="000000"/>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一、一般公共预算财政拨款</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w:t>
            </w:r>
          </w:p>
        </w:tc>
        <w:tc>
          <w:tcPr>
            <w:tcW w:w="609"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11,471.48</w:t>
            </w:r>
          </w:p>
        </w:tc>
        <w:tc>
          <w:tcPr>
            <w:tcW w:w="895"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一、一般公共服务支出</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33</w:t>
            </w:r>
          </w:p>
        </w:tc>
        <w:tc>
          <w:tcPr>
            <w:tcW w:w="55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nil"/>
              <w:left w:val="single" w:sz="4" w:space="0" w:color="000000"/>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二、政府性基金预算财政拨款</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w:t>
            </w:r>
          </w:p>
        </w:tc>
        <w:tc>
          <w:tcPr>
            <w:tcW w:w="609"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238.30</w:t>
            </w:r>
          </w:p>
        </w:tc>
        <w:tc>
          <w:tcPr>
            <w:tcW w:w="895"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二、外交支出</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34</w:t>
            </w:r>
          </w:p>
        </w:tc>
        <w:tc>
          <w:tcPr>
            <w:tcW w:w="55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nil"/>
              <w:left w:val="single" w:sz="4" w:space="0" w:color="000000"/>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三、国有资本经营预算财政拨款</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w:t>
            </w:r>
          </w:p>
        </w:tc>
        <w:tc>
          <w:tcPr>
            <w:tcW w:w="609"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三、国防支出</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35</w:t>
            </w:r>
          </w:p>
        </w:tc>
        <w:tc>
          <w:tcPr>
            <w:tcW w:w="55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nil"/>
              <w:left w:val="single" w:sz="4" w:space="0" w:color="000000"/>
              <w:bottom w:val="single" w:sz="4" w:space="0" w:color="000000"/>
              <w:right w:val="single" w:sz="4" w:space="0" w:color="000000"/>
            </w:tcBorders>
            <w:noWrap/>
            <w:vAlign w:val="center"/>
          </w:tcPr>
          <w:p w:rsidR="00E34AE7" w:rsidRDefault="00E34AE7">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w:t>
            </w:r>
          </w:p>
        </w:tc>
        <w:tc>
          <w:tcPr>
            <w:tcW w:w="609"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四、公共安全支出</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w:t>
            </w:r>
          </w:p>
        </w:tc>
        <w:tc>
          <w:tcPr>
            <w:tcW w:w="55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nil"/>
              <w:left w:val="single" w:sz="4" w:space="0" w:color="000000"/>
              <w:bottom w:val="single" w:sz="4" w:space="0" w:color="000000"/>
              <w:right w:val="single" w:sz="4" w:space="0" w:color="000000"/>
            </w:tcBorders>
            <w:noWrap/>
            <w:vAlign w:val="center"/>
          </w:tcPr>
          <w:p w:rsidR="00E34AE7" w:rsidRDefault="00E34AE7">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w:t>
            </w:r>
          </w:p>
        </w:tc>
        <w:tc>
          <w:tcPr>
            <w:tcW w:w="609"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五、教育支出</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37</w:t>
            </w:r>
          </w:p>
        </w:tc>
        <w:tc>
          <w:tcPr>
            <w:tcW w:w="55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nil"/>
              <w:left w:val="single" w:sz="4" w:space="0" w:color="000000"/>
              <w:bottom w:val="single" w:sz="4" w:space="0" w:color="000000"/>
              <w:right w:val="single" w:sz="4" w:space="0" w:color="000000"/>
            </w:tcBorders>
            <w:noWrap/>
            <w:vAlign w:val="center"/>
          </w:tcPr>
          <w:p w:rsidR="00E34AE7" w:rsidRDefault="00E34AE7">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w:t>
            </w:r>
          </w:p>
        </w:tc>
        <w:tc>
          <w:tcPr>
            <w:tcW w:w="609"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六、科学技术支出</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w:t>
            </w:r>
          </w:p>
        </w:tc>
        <w:tc>
          <w:tcPr>
            <w:tcW w:w="55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nil"/>
              <w:left w:val="single" w:sz="4" w:space="0" w:color="000000"/>
              <w:bottom w:val="single" w:sz="4" w:space="0" w:color="000000"/>
              <w:right w:val="single" w:sz="4" w:space="0" w:color="000000"/>
            </w:tcBorders>
            <w:noWrap/>
            <w:vAlign w:val="center"/>
          </w:tcPr>
          <w:p w:rsidR="00E34AE7" w:rsidRDefault="00E34AE7">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w:t>
            </w:r>
          </w:p>
        </w:tc>
        <w:tc>
          <w:tcPr>
            <w:tcW w:w="609"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七、文化旅游体育与传媒支出</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39</w:t>
            </w:r>
          </w:p>
        </w:tc>
        <w:tc>
          <w:tcPr>
            <w:tcW w:w="55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nil"/>
              <w:left w:val="single" w:sz="4" w:space="0" w:color="000000"/>
              <w:bottom w:val="single" w:sz="4" w:space="0" w:color="000000"/>
              <w:right w:val="single" w:sz="4" w:space="0" w:color="000000"/>
            </w:tcBorders>
            <w:noWrap/>
            <w:vAlign w:val="center"/>
          </w:tcPr>
          <w:p w:rsidR="00E34AE7" w:rsidRDefault="00E34AE7">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w:t>
            </w:r>
          </w:p>
        </w:tc>
        <w:tc>
          <w:tcPr>
            <w:tcW w:w="609"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八、社会保障和就业支出</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w:t>
            </w:r>
          </w:p>
        </w:tc>
        <w:tc>
          <w:tcPr>
            <w:tcW w:w="55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228.34</w:t>
            </w:r>
          </w:p>
        </w:tc>
        <w:tc>
          <w:tcPr>
            <w:tcW w:w="520"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228.34</w:t>
            </w: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nil"/>
              <w:left w:val="single" w:sz="4" w:space="0" w:color="000000"/>
              <w:bottom w:val="single" w:sz="4" w:space="0" w:color="000000"/>
              <w:right w:val="single" w:sz="4" w:space="0" w:color="000000"/>
            </w:tcBorders>
            <w:noWrap/>
            <w:vAlign w:val="center"/>
          </w:tcPr>
          <w:p w:rsidR="00E34AE7" w:rsidRDefault="00E34AE7">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w:t>
            </w:r>
          </w:p>
        </w:tc>
        <w:tc>
          <w:tcPr>
            <w:tcW w:w="609"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九、卫生健康支出</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41</w:t>
            </w:r>
          </w:p>
        </w:tc>
        <w:tc>
          <w:tcPr>
            <w:tcW w:w="55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64.35</w:t>
            </w:r>
          </w:p>
        </w:tc>
        <w:tc>
          <w:tcPr>
            <w:tcW w:w="520"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64.35</w:t>
            </w: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nil"/>
              <w:left w:val="single" w:sz="4" w:space="0" w:color="000000"/>
              <w:bottom w:val="single" w:sz="4" w:space="0" w:color="000000"/>
              <w:right w:val="single" w:sz="4" w:space="0" w:color="000000"/>
            </w:tcBorders>
            <w:noWrap/>
            <w:vAlign w:val="center"/>
          </w:tcPr>
          <w:p w:rsidR="00E34AE7" w:rsidRDefault="00E34AE7">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w:t>
            </w:r>
          </w:p>
        </w:tc>
        <w:tc>
          <w:tcPr>
            <w:tcW w:w="609"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十、节能环保支出</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42</w:t>
            </w:r>
          </w:p>
        </w:tc>
        <w:tc>
          <w:tcPr>
            <w:tcW w:w="55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495.00</w:t>
            </w:r>
          </w:p>
        </w:tc>
        <w:tc>
          <w:tcPr>
            <w:tcW w:w="520"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495.00</w:t>
            </w: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nil"/>
              <w:left w:val="single" w:sz="4" w:space="0" w:color="000000"/>
              <w:bottom w:val="single" w:sz="4" w:space="0" w:color="000000"/>
              <w:right w:val="single" w:sz="4" w:space="0" w:color="000000"/>
            </w:tcBorders>
            <w:noWrap/>
            <w:vAlign w:val="center"/>
          </w:tcPr>
          <w:p w:rsidR="00E34AE7" w:rsidRDefault="00E34AE7">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w:t>
            </w:r>
          </w:p>
        </w:tc>
        <w:tc>
          <w:tcPr>
            <w:tcW w:w="609"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十一、城乡社区支出</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w:t>
            </w:r>
          </w:p>
        </w:tc>
        <w:tc>
          <w:tcPr>
            <w:tcW w:w="55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566.65</w:t>
            </w:r>
          </w:p>
        </w:tc>
        <w:tc>
          <w:tcPr>
            <w:tcW w:w="520"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78.36</w:t>
            </w:r>
          </w:p>
        </w:tc>
        <w:tc>
          <w:tcPr>
            <w:tcW w:w="520"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488.30</w:t>
            </w:r>
          </w:p>
        </w:tc>
        <w:tc>
          <w:tcPr>
            <w:tcW w:w="520" w:type="pct"/>
            <w:tcBorders>
              <w:top w:val="nil"/>
              <w:left w:val="nil"/>
              <w:bottom w:val="single" w:sz="4" w:space="0" w:color="000000"/>
              <w:right w:val="single" w:sz="8"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nil"/>
              <w:left w:val="single" w:sz="4" w:space="0" w:color="000000"/>
              <w:bottom w:val="single" w:sz="4" w:space="0" w:color="auto"/>
              <w:right w:val="single" w:sz="4" w:space="0" w:color="000000"/>
            </w:tcBorders>
            <w:noWrap/>
            <w:vAlign w:val="center"/>
          </w:tcPr>
          <w:p w:rsidR="00E34AE7" w:rsidRDefault="00E34AE7">
            <w:pPr>
              <w:jc w:val="left"/>
              <w:rPr>
                <w:rFonts w:ascii="宋体" w:eastAsia="宋体" w:hAnsi="宋体"/>
                <w:color w:val="000000"/>
                <w:sz w:val="20"/>
                <w:szCs w:val="20"/>
              </w:rPr>
            </w:pPr>
          </w:p>
        </w:tc>
        <w:tc>
          <w:tcPr>
            <w:tcW w:w="266" w:type="pct"/>
            <w:tcBorders>
              <w:top w:val="nil"/>
              <w:left w:val="nil"/>
              <w:bottom w:val="single" w:sz="4" w:space="0" w:color="auto"/>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w:t>
            </w:r>
          </w:p>
        </w:tc>
        <w:tc>
          <w:tcPr>
            <w:tcW w:w="609" w:type="pct"/>
            <w:tcBorders>
              <w:top w:val="nil"/>
              <w:left w:val="nil"/>
              <w:bottom w:val="single" w:sz="4" w:space="0" w:color="auto"/>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auto"/>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十二、农林水支出</w:t>
            </w:r>
          </w:p>
        </w:tc>
        <w:tc>
          <w:tcPr>
            <w:tcW w:w="266" w:type="pct"/>
            <w:tcBorders>
              <w:top w:val="nil"/>
              <w:left w:val="nil"/>
              <w:bottom w:val="single" w:sz="4" w:space="0" w:color="auto"/>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44</w:t>
            </w:r>
          </w:p>
        </w:tc>
        <w:tc>
          <w:tcPr>
            <w:tcW w:w="552" w:type="pct"/>
            <w:gridSpan w:val="2"/>
            <w:tcBorders>
              <w:top w:val="nil"/>
              <w:left w:val="nil"/>
              <w:bottom w:val="single" w:sz="4" w:space="0" w:color="auto"/>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2,468.47</w:t>
            </w:r>
          </w:p>
        </w:tc>
        <w:tc>
          <w:tcPr>
            <w:tcW w:w="520" w:type="pct"/>
            <w:tcBorders>
              <w:top w:val="nil"/>
              <w:left w:val="nil"/>
              <w:bottom w:val="single" w:sz="4" w:space="0" w:color="auto"/>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2,468.47</w:t>
            </w:r>
          </w:p>
        </w:tc>
        <w:tc>
          <w:tcPr>
            <w:tcW w:w="520" w:type="pct"/>
            <w:tcBorders>
              <w:top w:val="nil"/>
              <w:left w:val="nil"/>
              <w:bottom w:val="single" w:sz="4" w:space="0" w:color="auto"/>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auto"/>
              <w:right w:val="single" w:sz="8"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w:t>
            </w:r>
          </w:p>
        </w:tc>
        <w:tc>
          <w:tcPr>
            <w:tcW w:w="60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十三、交通运输支出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14</w:t>
            </w:r>
          </w:p>
        </w:tc>
        <w:tc>
          <w:tcPr>
            <w:tcW w:w="60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十四、资源勘探工业信息等支出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15</w:t>
            </w:r>
          </w:p>
        </w:tc>
        <w:tc>
          <w:tcPr>
            <w:tcW w:w="60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十五、商业服务业等支出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47</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w:t>
            </w:r>
          </w:p>
        </w:tc>
        <w:tc>
          <w:tcPr>
            <w:tcW w:w="60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十六、金融支出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w:t>
            </w:r>
          </w:p>
        </w:tc>
        <w:tc>
          <w:tcPr>
            <w:tcW w:w="60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十七、援助其他地区支出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w:t>
            </w:r>
          </w:p>
        </w:tc>
        <w:tc>
          <w:tcPr>
            <w:tcW w:w="60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十八、自然资源海洋气象等支出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50</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10,390.66</w:t>
            </w: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10,390.66</w:t>
            </w: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19</w:t>
            </w:r>
          </w:p>
        </w:tc>
        <w:tc>
          <w:tcPr>
            <w:tcW w:w="60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十九、住房保障支出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94.38</w:t>
            </w: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94.38</w:t>
            </w: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w:t>
            </w:r>
          </w:p>
        </w:tc>
        <w:tc>
          <w:tcPr>
            <w:tcW w:w="60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二十、粮油物资储备支出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52</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w:t>
            </w:r>
          </w:p>
        </w:tc>
        <w:tc>
          <w:tcPr>
            <w:tcW w:w="60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二十一、国有资本经营预算支出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w:t>
            </w:r>
          </w:p>
        </w:tc>
        <w:tc>
          <w:tcPr>
            <w:tcW w:w="60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二十二、灾害防治及应急管理支出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54</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w:t>
            </w:r>
          </w:p>
        </w:tc>
        <w:tc>
          <w:tcPr>
            <w:tcW w:w="60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二十三、其他支出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55</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single" w:sz="4" w:space="0" w:color="auto"/>
              <w:left w:val="single" w:sz="4" w:space="0" w:color="000000"/>
              <w:bottom w:val="single" w:sz="4" w:space="0" w:color="000000"/>
              <w:right w:val="single" w:sz="4" w:space="0" w:color="000000"/>
            </w:tcBorders>
            <w:noWrap/>
            <w:vAlign w:val="center"/>
          </w:tcPr>
          <w:p w:rsidR="00E34AE7" w:rsidRDefault="00E34AE7">
            <w:pPr>
              <w:jc w:val="left"/>
              <w:rPr>
                <w:rFonts w:ascii="宋体" w:eastAsia="宋体" w:hAnsi="宋体"/>
                <w:color w:val="000000"/>
                <w:sz w:val="20"/>
                <w:szCs w:val="20"/>
              </w:rPr>
            </w:pPr>
          </w:p>
        </w:tc>
        <w:tc>
          <w:tcPr>
            <w:tcW w:w="266" w:type="pct"/>
            <w:tcBorders>
              <w:top w:val="single" w:sz="4" w:space="0" w:color="auto"/>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w:t>
            </w:r>
          </w:p>
        </w:tc>
        <w:tc>
          <w:tcPr>
            <w:tcW w:w="609" w:type="pct"/>
            <w:tcBorders>
              <w:top w:val="single" w:sz="4" w:space="0" w:color="auto"/>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single" w:sz="4" w:space="0" w:color="auto"/>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二十四、债务还本支出</w:t>
            </w:r>
          </w:p>
        </w:tc>
        <w:tc>
          <w:tcPr>
            <w:tcW w:w="266" w:type="pct"/>
            <w:tcBorders>
              <w:top w:val="single" w:sz="4" w:space="0" w:color="auto"/>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56</w:t>
            </w:r>
          </w:p>
        </w:tc>
        <w:tc>
          <w:tcPr>
            <w:tcW w:w="552" w:type="pct"/>
            <w:gridSpan w:val="2"/>
            <w:tcBorders>
              <w:top w:val="single" w:sz="4" w:space="0" w:color="auto"/>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single" w:sz="4" w:space="0" w:color="auto"/>
              <w:left w:val="nil"/>
              <w:bottom w:val="single" w:sz="4" w:space="0" w:color="000000"/>
              <w:right w:val="single" w:sz="8"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nil"/>
              <w:left w:val="single" w:sz="4" w:space="0" w:color="000000"/>
              <w:bottom w:val="single" w:sz="4" w:space="0" w:color="000000"/>
              <w:right w:val="single" w:sz="4" w:space="0" w:color="000000"/>
            </w:tcBorders>
            <w:noWrap/>
            <w:vAlign w:val="center"/>
          </w:tcPr>
          <w:p w:rsidR="00E34AE7" w:rsidRDefault="00E34AE7">
            <w:pPr>
              <w:jc w:val="center"/>
              <w:rPr>
                <w:rFonts w:ascii="宋体" w:eastAsia="宋体" w:hAnsi="宋体"/>
                <w:b/>
                <w:bCs/>
                <w:color w:val="000000"/>
                <w:sz w:val="20"/>
                <w:szCs w:val="20"/>
              </w:rPr>
            </w:pP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w:t>
            </w:r>
          </w:p>
        </w:tc>
        <w:tc>
          <w:tcPr>
            <w:tcW w:w="609"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二十五、债务付息支出</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57</w:t>
            </w:r>
          </w:p>
        </w:tc>
        <w:tc>
          <w:tcPr>
            <w:tcW w:w="55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nil"/>
              <w:left w:val="single" w:sz="4" w:space="0" w:color="000000"/>
              <w:bottom w:val="single" w:sz="4" w:space="0" w:color="000000"/>
              <w:right w:val="single" w:sz="4" w:space="0" w:color="000000"/>
            </w:tcBorders>
            <w:noWrap/>
            <w:vAlign w:val="center"/>
          </w:tcPr>
          <w:p w:rsidR="00E34AE7" w:rsidRDefault="00E34AE7">
            <w:pPr>
              <w:jc w:val="center"/>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26</w:t>
            </w:r>
          </w:p>
        </w:tc>
        <w:tc>
          <w:tcPr>
            <w:tcW w:w="609"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二十六、抗疫特别国债安排的支出</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58</w:t>
            </w:r>
          </w:p>
        </w:tc>
        <w:tc>
          <w:tcPr>
            <w:tcW w:w="55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nil"/>
              <w:left w:val="single" w:sz="4" w:space="0" w:color="000000"/>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本年收入合计</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w:t>
            </w:r>
          </w:p>
        </w:tc>
        <w:tc>
          <w:tcPr>
            <w:tcW w:w="609"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11,709.78</w:t>
            </w:r>
          </w:p>
        </w:tc>
        <w:tc>
          <w:tcPr>
            <w:tcW w:w="895" w:type="pct"/>
            <w:gridSpan w:val="2"/>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本年支出合计</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59</w:t>
            </w:r>
          </w:p>
        </w:tc>
        <w:tc>
          <w:tcPr>
            <w:tcW w:w="55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14,307.85</w:t>
            </w:r>
          </w:p>
        </w:tc>
        <w:tc>
          <w:tcPr>
            <w:tcW w:w="520"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13,819.55</w:t>
            </w:r>
          </w:p>
        </w:tc>
        <w:tc>
          <w:tcPr>
            <w:tcW w:w="520"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488.30</w:t>
            </w:r>
          </w:p>
        </w:tc>
        <w:tc>
          <w:tcPr>
            <w:tcW w:w="520" w:type="pct"/>
            <w:tcBorders>
              <w:top w:val="nil"/>
              <w:left w:val="nil"/>
              <w:bottom w:val="single" w:sz="4" w:space="0" w:color="000000"/>
              <w:right w:val="single" w:sz="8"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847" w:type="pct"/>
            <w:tcBorders>
              <w:top w:val="nil"/>
              <w:left w:val="single" w:sz="4" w:space="0" w:color="000000"/>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年初财政拨款结转和结余</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w:t>
            </w:r>
          </w:p>
        </w:tc>
        <w:tc>
          <w:tcPr>
            <w:tcW w:w="609"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3,102.02</w:t>
            </w:r>
          </w:p>
        </w:tc>
        <w:tc>
          <w:tcPr>
            <w:tcW w:w="895" w:type="pct"/>
            <w:gridSpan w:val="2"/>
            <w:tcBorders>
              <w:top w:val="nil"/>
              <w:left w:val="nil"/>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年末财政拨款结转和结余</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w:t>
            </w:r>
          </w:p>
        </w:tc>
        <w:tc>
          <w:tcPr>
            <w:tcW w:w="552"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503.94</w:t>
            </w:r>
          </w:p>
        </w:tc>
        <w:tc>
          <w:tcPr>
            <w:tcW w:w="520" w:type="pct"/>
            <w:tcBorders>
              <w:top w:val="nil"/>
              <w:left w:val="nil"/>
              <w:bottom w:val="single" w:sz="4" w:space="0" w:color="000000"/>
              <w:right w:val="single" w:sz="4" w:space="0" w:color="000000"/>
            </w:tcBorders>
            <w:noWrap/>
            <w:vAlign w:val="center"/>
          </w:tcPr>
          <w:p w:rsidR="00E34AE7" w:rsidRDefault="00B2012A">
            <w:pPr>
              <w:rPr>
                <w:rFonts w:ascii="Times New Roman" w:eastAsia="宋体" w:hAnsi="Times New Roman" w:cs="Times New Roman"/>
                <w:color w:val="000000"/>
                <w:sz w:val="20"/>
                <w:szCs w:val="20"/>
              </w:rPr>
            </w:pPr>
            <w:r>
              <w:rPr>
                <w:rFonts w:ascii="Times New Roman" w:hAnsi="Times New Roman" w:cs="Times New Roman"/>
                <w:sz w:val="20"/>
                <w:szCs w:val="20"/>
              </w:rPr>
              <w:t>498.84</w:t>
            </w:r>
          </w:p>
        </w:tc>
        <w:tc>
          <w:tcPr>
            <w:tcW w:w="520"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5.10</w:t>
            </w:r>
          </w:p>
        </w:tc>
        <w:tc>
          <w:tcPr>
            <w:tcW w:w="520" w:type="pct"/>
            <w:tcBorders>
              <w:top w:val="nil"/>
              <w:left w:val="nil"/>
              <w:bottom w:val="single" w:sz="4" w:space="0" w:color="000000"/>
              <w:right w:val="single" w:sz="8" w:space="0" w:color="000000"/>
            </w:tcBorders>
            <w:noWrap/>
            <w:vAlign w:val="center"/>
          </w:tcPr>
          <w:p w:rsidR="00E34AE7" w:rsidRDefault="00E34AE7">
            <w:pPr>
              <w:rPr>
                <w:rFonts w:ascii="Times New Roman" w:eastAsia="宋体" w:hAnsi="Times New Roman" w:cs="Times New Roman"/>
                <w:color w:val="000000"/>
                <w:sz w:val="20"/>
                <w:szCs w:val="20"/>
              </w:rPr>
            </w:pPr>
          </w:p>
        </w:tc>
      </w:tr>
      <w:tr w:rsidR="00E34AE7">
        <w:trPr>
          <w:trHeight w:val="308"/>
        </w:trPr>
        <w:tc>
          <w:tcPr>
            <w:tcW w:w="847" w:type="pct"/>
            <w:tcBorders>
              <w:top w:val="nil"/>
              <w:left w:val="single" w:sz="4" w:space="0" w:color="000000"/>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一、一般公共预算财政拨款</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29</w:t>
            </w:r>
          </w:p>
        </w:tc>
        <w:tc>
          <w:tcPr>
            <w:tcW w:w="609"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2,846.91</w:t>
            </w:r>
          </w:p>
        </w:tc>
        <w:tc>
          <w:tcPr>
            <w:tcW w:w="895" w:type="pct"/>
            <w:gridSpan w:val="2"/>
            <w:tcBorders>
              <w:top w:val="nil"/>
              <w:left w:val="nil"/>
              <w:bottom w:val="single" w:sz="4" w:space="0" w:color="000000"/>
              <w:right w:val="single" w:sz="4" w:space="0" w:color="000000"/>
            </w:tcBorders>
            <w:noWrap/>
            <w:vAlign w:val="center"/>
          </w:tcPr>
          <w:p w:rsidR="00E34AE7" w:rsidRDefault="00E34AE7">
            <w:pPr>
              <w:jc w:val="left"/>
              <w:rPr>
                <w:rFonts w:ascii="方正仿宋_GB2312" w:eastAsia="方正仿宋_GB2312" w:hAnsi="方正仿宋_GB2312" w:cs="方正仿宋_GB2312"/>
                <w:color w:val="000000"/>
                <w:sz w:val="20"/>
                <w:szCs w:val="20"/>
              </w:rPr>
            </w:pP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61</w:t>
            </w:r>
          </w:p>
        </w:tc>
        <w:tc>
          <w:tcPr>
            <w:tcW w:w="55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E34AE7" w:rsidRDefault="00E34AE7">
            <w:pPr>
              <w:jc w:val="left"/>
              <w:rPr>
                <w:rFonts w:ascii="Times New Roman" w:eastAsia="宋体" w:hAnsi="Times New Roman" w:cs="Times New Roman"/>
                <w:color w:val="000000"/>
                <w:sz w:val="20"/>
                <w:szCs w:val="20"/>
              </w:rPr>
            </w:pPr>
          </w:p>
        </w:tc>
      </w:tr>
      <w:tr w:rsidR="00E34AE7">
        <w:trPr>
          <w:trHeight w:val="308"/>
        </w:trPr>
        <w:tc>
          <w:tcPr>
            <w:tcW w:w="847" w:type="pct"/>
            <w:tcBorders>
              <w:top w:val="nil"/>
              <w:left w:val="single" w:sz="4" w:space="0" w:color="000000"/>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二、政府性基金预算财政拨款</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w:t>
            </w:r>
          </w:p>
        </w:tc>
        <w:tc>
          <w:tcPr>
            <w:tcW w:w="609"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255.10</w:t>
            </w:r>
          </w:p>
        </w:tc>
        <w:tc>
          <w:tcPr>
            <w:tcW w:w="895" w:type="pct"/>
            <w:gridSpan w:val="2"/>
            <w:tcBorders>
              <w:top w:val="nil"/>
              <w:left w:val="nil"/>
              <w:bottom w:val="single" w:sz="4" w:space="0" w:color="000000"/>
              <w:right w:val="single" w:sz="4" w:space="0" w:color="000000"/>
            </w:tcBorders>
            <w:noWrap/>
            <w:vAlign w:val="center"/>
          </w:tcPr>
          <w:p w:rsidR="00E34AE7" w:rsidRDefault="00E34AE7">
            <w:pPr>
              <w:jc w:val="left"/>
              <w:rPr>
                <w:rFonts w:ascii="方正仿宋_GB2312" w:eastAsia="方正仿宋_GB2312" w:hAnsi="方正仿宋_GB2312" w:cs="方正仿宋_GB2312"/>
                <w:color w:val="000000"/>
                <w:sz w:val="20"/>
                <w:szCs w:val="20"/>
              </w:rPr>
            </w:pP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62</w:t>
            </w:r>
          </w:p>
        </w:tc>
        <w:tc>
          <w:tcPr>
            <w:tcW w:w="55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E34AE7" w:rsidRDefault="00E34AE7">
            <w:pPr>
              <w:jc w:val="left"/>
              <w:rPr>
                <w:rFonts w:ascii="Times New Roman" w:eastAsia="宋体" w:hAnsi="Times New Roman" w:cs="Times New Roman"/>
                <w:color w:val="000000"/>
                <w:sz w:val="20"/>
                <w:szCs w:val="20"/>
              </w:rPr>
            </w:pPr>
          </w:p>
        </w:tc>
      </w:tr>
      <w:tr w:rsidR="00E34AE7">
        <w:trPr>
          <w:trHeight w:val="308"/>
        </w:trPr>
        <w:tc>
          <w:tcPr>
            <w:tcW w:w="847" w:type="pct"/>
            <w:tcBorders>
              <w:top w:val="nil"/>
              <w:left w:val="single" w:sz="4" w:space="0" w:color="000000"/>
              <w:bottom w:val="single" w:sz="4" w:space="0" w:color="000000"/>
              <w:right w:val="single" w:sz="4" w:space="0" w:color="000000"/>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三、国有资本经营预算财政拨款</w:t>
            </w: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31</w:t>
            </w:r>
          </w:p>
        </w:tc>
        <w:tc>
          <w:tcPr>
            <w:tcW w:w="609"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E34AE7" w:rsidRDefault="00E34AE7">
            <w:pPr>
              <w:jc w:val="left"/>
              <w:rPr>
                <w:rFonts w:ascii="方正仿宋_GB2312" w:eastAsia="方正仿宋_GB2312" w:hAnsi="方正仿宋_GB2312" w:cs="方正仿宋_GB2312"/>
                <w:color w:val="000000"/>
                <w:sz w:val="20"/>
                <w:szCs w:val="20"/>
              </w:rPr>
            </w:pPr>
          </w:p>
        </w:tc>
        <w:tc>
          <w:tcPr>
            <w:tcW w:w="2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63</w:t>
            </w:r>
          </w:p>
        </w:tc>
        <w:tc>
          <w:tcPr>
            <w:tcW w:w="552"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E34AE7" w:rsidRDefault="00E34AE7">
            <w:pPr>
              <w:jc w:val="left"/>
              <w:rPr>
                <w:rFonts w:ascii="Times New Roman" w:eastAsia="宋体" w:hAnsi="Times New Roman" w:cs="Times New Roman"/>
                <w:color w:val="000000"/>
                <w:sz w:val="20"/>
                <w:szCs w:val="20"/>
              </w:rPr>
            </w:pPr>
          </w:p>
        </w:tc>
      </w:tr>
      <w:tr w:rsidR="00E34AE7">
        <w:trPr>
          <w:trHeight w:val="308"/>
        </w:trPr>
        <w:tc>
          <w:tcPr>
            <w:tcW w:w="847" w:type="pct"/>
            <w:tcBorders>
              <w:top w:val="nil"/>
              <w:left w:val="single" w:sz="4" w:space="0" w:color="000000"/>
              <w:bottom w:val="single" w:sz="8"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66" w:type="pct"/>
            <w:tcBorders>
              <w:top w:val="nil"/>
              <w:left w:val="nil"/>
              <w:bottom w:val="single" w:sz="8"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32</w:t>
            </w:r>
          </w:p>
        </w:tc>
        <w:tc>
          <w:tcPr>
            <w:tcW w:w="609" w:type="pct"/>
            <w:tcBorders>
              <w:top w:val="nil"/>
              <w:left w:val="nil"/>
              <w:bottom w:val="single" w:sz="8"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14,811.79</w:t>
            </w:r>
          </w:p>
        </w:tc>
        <w:tc>
          <w:tcPr>
            <w:tcW w:w="895" w:type="pct"/>
            <w:gridSpan w:val="2"/>
            <w:tcBorders>
              <w:top w:val="nil"/>
              <w:left w:val="nil"/>
              <w:bottom w:val="single" w:sz="8"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66" w:type="pct"/>
            <w:tcBorders>
              <w:top w:val="nil"/>
              <w:left w:val="nil"/>
              <w:bottom w:val="single" w:sz="8" w:space="0" w:color="000000"/>
              <w:right w:val="single" w:sz="4" w:space="0" w:color="000000"/>
            </w:tcBorders>
            <w:noWrap/>
            <w:vAlign w:val="center"/>
          </w:tcPr>
          <w:p w:rsidR="00E34AE7" w:rsidRDefault="00B2012A">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64</w:t>
            </w:r>
          </w:p>
        </w:tc>
        <w:tc>
          <w:tcPr>
            <w:tcW w:w="552" w:type="pct"/>
            <w:gridSpan w:val="2"/>
            <w:tcBorders>
              <w:top w:val="nil"/>
              <w:left w:val="nil"/>
              <w:bottom w:val="single" w:sz="8"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14,811.79</w:t>
            </w:r>
          </w:p>
        </w:tc>
        <w:tc>
          <w:tcPr>
            <w:tcW w:w="520" w:type="pct"/>
            <w:tcBorders>
              <w:top w:val="nil"/>
              <w:left w:val="nil"/>
              <w:bottom w:val="single" w:sz="8" w:space="0" w:color="000000"/>
              <w:right w:val="single" w:sz="4" w:space="0" w:color="000000"/>
            </w:tcBorders>
            <w:noWrap/>
            <w:vAlign w:val="center"/>
          </w:tcPr>
          <w:p w:rsidR="00E34AE7" w:rsidRDefault="00E34AE7">
            <w:pPr>
              <w:jc w:val="right"/>
              <w:rPr>
                <w:rFonts w:ascii="Times New Roman" w:hAnsi="Times New Roman" w:cs="Times New Roman"/>
                <w:sz w:val="20"/>
                <w:szCs w:val="20"/>
              </w:rPr>
            </w:pPr>
          </w:p>
          <w:p w:rsidR="00E34AE7" w:rsidRDefault="00B2012A">
            <w:pPr>
              <w:jc w:val="right"/>
              <w:rPr>
                <w:rFonts w:ascii="Times New Roman" w:hAnsi="Times New Roman" w:cs="Times New Roman"/>
                <w:sz w:val="20"/>
                <w:szCs w:val="20"/>
              </w:rPr>
            </w:pPr>
            <w:r>
              <w:rPr>
                <w:rFonts w:ascii="Times New Roman" w:hAnsi="Times New Roman" w:cs="Times New Roman"/>
                <w:sz w:val="20"/>
                <w:szCs w:val="20"/>
              </w:rPr>
              <w:t>14,318.39</w:t>
            </w:r>
          </w:p>
          <w:p w:rsidR="00E34AE7" w:rsidRDefault="00E34AE7">
            <w:pPr>
              <w:jc w:val="right"/>
              <w:rPr>
                <w:rFonts w:ascii="Times New Roman" w:eastAsia="宋体" w:hAnsi="Times New Roman" w:cs="Times New Roman"/>
                <w:color w:val="000000"/>
                <w:sz w:val="20"/>
                <w:szCs w:val="20"/>
              </w:rPr>
            </w:pPr>
          </w:p>
        </w:tc>
        <w:tc>
          <w:tcPr>
            <w:tcW w:w="520" w:type="pct"/>
            <w:tcBorders>
              <w:top w:val="nil"/>
              <w:left w:val="nil"/>
              <w:bottom w:val="single" w:sz="8"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493.40</w:t>
            </w:r>
          </w:p>
        </w:tc>
        <w:tc>
          <w:tcPr>
            <w:tcW w:w="520" w:type="pct"/>
            <w:tcBorders>
              <w:top w:val="nil"/>
              <w:left w:val="nil"/>
              <w:bottom w:val="single" w:sz="8" w:space="0" w:color="000000"/>
              <w:right w:val="single" w:sz="8"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5000" w:type="pct"/>
            <w:gridSpan w:val="11"/>
            <w:tcBorders>
              <w:top w:val="nil"/>
              <w:left w:val="nil"/>
              <w:bottom w:val="nil"/>
              <w:right w:val="nil"/>
            </w:tcBorders>
            <w:noWrap/>
            <w:vAlign w:val="center"/>
          </w:tcPr>
          <w:p w:rsidR="00E34AE7" w:rsidRDefault="00B2012A">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注：本表反映部门本年度一般公共预算财政拨款、政府性基金预算财政拨款和国有资本经营预算财政拨款的总收支和年末结转结余情况。</w:t>
            </w:r>
          </w:p>
        </w:tc>
      </w:tr>
    </w:tbl>
    <w:p w:rsidR="00E34AE7" w:rsidRDefault="00E34AE7">
      <w:pPr>
        <w:rPr>
          <w:rFonts w:ascii="仿宋_GB2312" w:eastAsia="仿宋_GB2312" w:hAnsi="宋体"/>
          <w:b/>
          <w:sz w:val="32"/>
          <w:szCs w:val="32"/>
        </w:rPr>
      </w:pPr>
    </w:p>
    <w:p w:rsidR="00E34AE7" w:rsidRDefault="00B2012A">
      <w:pPr>
        <w:rPr>
          <w:rFonts w:ascii="仿宋_GB2312" w:eastAsia="仿宋_GB2312" w:hAnsi="宋体"/>
          <w:b/>
          <w:sz w:val="32"/>
          <w:szCs w:val="32"/>
        </w:rPr>
      </w:pPr>
      <w:r>
        <w:rPr>
          <w:rFonts w:ascii="仿宋_GB2312" w:eastAsia="仿宋_GB2312" w:hAnsi="宋体" w:hint="eastAsia"/>
          <w:b/>
          <w:sz w:val="32"/>
          <w:szCs w:val="32"/>
        </w:rPr>
        <w:br w:type="page"/>
      </w:r>
    </w:p>
    <w:tbl>
      <w:tblPr>
        <w:tblW w:w="5348" w:type="pct"/>
        <w:tblInd w:w="-657" w:type="dxa"/>
        <w:tblLook w:val="04A0"/>
      </w:tblPr>
      <w:tblGrid>
        <w:gridCol w:w="1980"/>
        <w:gridCol w:w="3074"/>
        <w:gridCol w:w="1155"/>
        <w:gridCol w:w="488"/>
        <w:gridCol w:w="510"/>
        <w:gridCol w:w="361"/>
        <w:gridCol w:w="1129"/>
      </w:tblGrid>
      <w:tr w:rsidR="00E34AE7">
        <w:trPr>
          <w:trHeight w:val="657"/>
        </w:trPr>
        <w:tc>
          <w:tcPr>
            <w:tcW w:w="5000" w:type="pct"/>
            <w:gridSpan w:val="7"/>
            <w:tcBorders>
              <w:top w:val="nil"/>
              <w:left w:val="nil"/>
              <w:bottom w:val="nil"/>
              <w:right w:val="nil"/>
            </w:tcBorders>
            <w:noWrap/>
            <w:vAlign w:val="bottom"/>
          </w:tcPr>
          <w:p w:rsidR="00E34AE7" w:rsidRDefault="00B2012A">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一般公共预算财政拨款支出决算表</w:t>
            </w:r>
          </w:p>
        </w:tc>
      </w:tr>
      <w:tr w:rsidR="00E34AE7">
        <w:trPr>
          <w:trHeight w:val="329"/>
        </w:trPr>
        <w:tc>
          <w:tcPr>
            <w:tcW w:w="5000" w:type="pct"/>
            <w:gridSpan w:val="7"/>
            <w:tcBorders>
              <w:top w:val="nil"/>
              <w:left w:val="nil"/>
              <w:bottom w:val="nil"/>
              <w:right w:val="nil"/>
            </w:tcBorders>
            <w:noWrap/>
            <w:vAlign w:val="bottom"/>
          </w:tcPr>
          <w:p w:rsidR="00E34AE7" w:rsidRDefault="00B2012A">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方正仿宋_GB2312" w:hAnsi="Times New Roman" w:cs="Times New Roman"/>
                <w:color w:val="000000"/>
                <w:sz w:val="20"/>
                <w:szCs w:val="20"/>
              </w:rPr>
              <w:t>05</w:t>
            </w:r>
            <w:r>
              <w:rPr>
                <w:rFonts w:ascii="方正仿宋_GB2312" w:eastAsia="方正仿宋_GB2312" w:hAnsi="方正仿宋_GB2312" w:cs="方正仿宋_GB2312" w:hint="eastAsia"/>
                <w:color w:val="000000"/>
                <w:sz w:val="20"/>
                <w:szCs w:val="20"/>
              </w:rPr>
              <w:t>表</w:t>
            </w:r>
          </w:p>
        </w:tc>
      </w:tr>
      <w:tr w:rsidR="00E34AE7">
        <w:trPr>
          <w:trHeight w:val="329"/>
        </w:trPr>
        <w:tc>
          <w:tcPr>
            <w:tcW w:w="1868" w:type="pct"/>
            <w:gridSpan w:val="3"/>
            <w:tcBorders>
              <w:top w:val="nil"/>
              <w:left w:val="nil"/>
              <w:bottom w:val="single" w:sz="4" w:space="0" w:color="auto"/>
              <w:right w:val="nil"/>
            </w:tcBorders>
            <w:noWrap/>
            <w:vAlign w:val="bottom"/>
          </w:tcPr>
          <w:p w:rsidR="00E34AE7" w:rsidRDefault="00B2012A">
            <w:pPr>
              <w:widowControl/>
              <w:jc w:val="lef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编制部门（单位）：青龙满族自治县自然资源和规划局（汇总）</w:t>
            </w:r>
          </w:p>
        </w:tc>
        <w:tc>
          <w:tcPr>
            <w:tcW w:w="1541" w:type="pct"/>
            <w:gridSpan w:val="2"/>
            <w:tcBorders>
              <w:top w:val="nil"/>
              <w:left w:val="nil"/>
              <w:bottom w:val="single" w:sz="4" w:space="0" w:color="auto"/>
              <w:right w:val="nil"/>
            </w:tcBorders>
            <w:noWrap/>
            <w:vAlign w:val="bottom"/>
          </w:tcPr>
          <w:p w:rsidR="00E34AE7" w:rsidRDefault="00B2012A">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ascii="Times New Roman"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1590" w:type="pct"/>
            <w:gridSpan w:val="2"/>
            <w:tcBorders>
              <w:top w:val="nil"/>
              <w:left w:val="nil"/>
              <w:bottom w:val="single" w:sz="4" w:space="0" w:color="auto"/>
              <w:right w:val="nil"/>
            </w:tcBorders>
            <w:noWrap/>
            <w:vAlign w:val="bottom"/>
          </w:tcPr>
          <w:p w:rsidR="00E34AE7" w:rsidRDefault="00B2012A">
            <w:pPr>
              <w:widowControl/>
              <w:jc w:val="right"/>
              <w:textAlignment w:val="bottom"/>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E34AE7">
        <w:trPr>
          <w:trHeight w:val="510"/>
        </w:trPr>
        <w:tc>
          <w:tcPr>
            <w:tcW w:w="1461" w:type="pct"/>
            <w:gridSpan w:val="2"/>
            <w:tcBorders>
              <w:top w:val="single" w:sz="4" w:space="0" w:color="auto"/>
              <w:left w:val="single" w:sz="4" w:space="0" w:color="auto"/>
              <w:bottom w:val="single" w:sz="4" w:space="0" w:color="auto"/>
              <w:right w:val="single" w:sz="4" w:space="0" w:color="auto"/>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3538" w:type="pct"/>
            <w:gridSpan w:val="5"/>
            <w:tcBorders>
              <w:top w:val="single" w:sz="4" w:space="0" w:color="auto"/>
              <w:left w:val="single" w:sz="4" w:space="0" w:color="auto"/>
              <w:bottom w:val="single" w:sz="4" w:space="0" w:color="auto"/>
              <w:right w:val="single" w:sz="4" w:space="0" w:color="auto"/>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w:t>
            </w:r>
          </w:p>
        </w:tc>
      </w:tr>
      <w:tr w:rsidR="00E34AE7">
        <w:trPr>
          <w:trHeight w:val="369"/>
        </w:trPr>
        <w:tc>
          <w:tcPr>
            <w:tcW w:w="704" w:type="pct"/>
            <w:vMerge w:val="restart"/>
            <w:tcBorders>
              <w:top w:val="single" w:sz="4" w:space="0" w:color="auto"/>
              <w:left w:val="single" w:sz="4" w:space="0" w:color="auto"/>
              <w:bottom w:val="single" w:sz="4" w:space="0" w:color="auto"/>
              <w:right w:val="single" w:sz="4" w:space="0" w:color="auto"/>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756" w:type="pct"/>
            <w:vMerge w:val="restart"/>
            <w:tcBorders>
              <w:top w:val="single" w:sz="4" w:space="0" w:color="auto"/>
              <w:left w:val="single" w:sz="4" w:space="0" w:color="auto"/>
              <w:bottom w:val="single" w:sz="4" w:space="0" w:color="auto"/>
              <w:right w:val="single" w:sz="4" w:space="0" w:color="auto"/>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1160" w:type="pct"/>
            <w:gridSpan w:val="2"/>
            <w:vMerge w:val="restart"/>
            <w:tcBorders>
              <w:top w:val="single" w:sz="4" w:space="0" w:color="auto"/>
              <w:left w:val="single" w:sz="4" w:space="0" w:color="auto"/>
              <w:bottom w:val="single" w:sz="4" w:space="0" w:color="auto"/>
              <w:right w:val="single" w:sz="4" w:space="0" w:color="auto"/>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小计</w:t>
            </w:r>
          </w:p>
        </w:tc>
        <w:tc>
          <w:tcPr>
            <w:tcW w:w="1160" w:type="pct"/>
            <w:gridSpan w:val="2"/>
            <w:vMerge w:val="restart"/>
            <w:tcBorders>
              <w:top w:val="single" w:sz="4" w:space="0" w:color="auto"/>
              <w:left w:val="single" w:sz="4" w:space="0" w:color="auto"/>
              <w:bottom w:val="single" w:sz="4" w:space="0" w:color="auto"/>
              <w:right w:val="single" w:sz="4" w:space="0" w:color="auto"/>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1218" w:type="pct"/>
            <w:vMerge w:val="restart"/>
            <w:tcBorders>
              <w:top w:val="single" w:sz="4" w:space="0" w:color="auto"/>
              <w:left w:val="single" w:sz="4" w:space="0" w:color="auto"/>
              <w:bottom w:val="single" w:sz="4" w:space="0" w:color="auto"/>
              <w:right w:val="single" w:sz="4" w:space="0" w:color="auto"/>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r>
      <w:tr w:rsidR="00E34AE7">
        <w:trPr>
          <w:trHeight w:val="346"/>
        </w:trPr>
        <w:tc>
          <w:tcPr>
            <w:tcW w:w="704" w:type="pct"/>
            <w:vMerge/>
            <w:tcBorders>
              <w:top w:val="single" w:sz="4" w:space="0" w:color="auto"/>
              <w:left w:val="single" w:sz="4" w:space="0" w:color="auto"/>
              <w:bottom w:val="single" w:sz="4" w:space="0" w:color="auto"/>
              <w:right w:val="single" w:sz="4" w:space="0" w:color="auto"/>
            </w:tcBorders>
            <w:vAlign w:val="center"/>
          </w:tcPr>
          <w:p w:rsidR="00E34AE7" w:rsidRDefault="00E34AE7">
            <w:pPr>
              <w:jc w:val="center"/>
              <w:rPr>
                <w:rFonts w:ascii="宋体" w:eastAsia="宋体" w:hAnsi="宋体"/>
                <w:color w:val="000000"/>
                <w:sz w:val="20"/>
                <w:szCs w:val="20"/>
              </w:rPr>
            </w:pPr>
          </w:p>
        </w:tc>
        <w:tc>
          <w:tcPr>
            <w:tcW w:w="756" w:type="pct"/>
            <w:vMerge/>
            <w:tcBorders>
              <w:top w:val="single" w:sz="4" w:space="0" w:color="auto"/>
              <w:left w:val="single" w:sz="4" w:space="0" w:color="auto"/>
              <w:bottom w:val="single" w:sz="4" w:space="0" w:color="auto"/>
              <w:right w:val="single" w:sz="4" w:space="0" w:color="auto"/>
            </w:tcBorders>
            <w:vAlign w:val="center"/>
          </w:tcPr>
          <w:p w:rsidR="00E34AE7" w:rsidRDefault="00E34AE7">
            <w:pPr>
              <w:jc w:val="center"/>
              <w:rPr>
                <w:rFonts w:ascii="宋体" w:eastAsia="宋体" w:hAnsi="宋体"/>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rsidR="00E34AE7" w:rsidRDefault="00E34AE7">
            <w:pPr>
              <w:jc w:val="center"/>
              <w:rPr>
                <w:rFonts w:ascii="宋体" w:eastAsia="宋体" w:hAnsi="宋体"/>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rsidR="00E34AE7" w:rsidRDefault="00E34AE7">
            <w:pPr>
              <w:jc w:val="center"/>
              <w:rPr>
                <w:rFonts w:ascii="宋体" w:eastAsia="宋体" w:hAnsi="宋体"/>
                <w:color w:val="000000"/>
                <w:sz w:val="20"/>
                <w:szCs w:val="20"/>
              </w:rPr>
            </w:pPr>
          </w:p>
        </w:tc>
        <w:tc>
          <w:tcPr>
            <w:tcW w:w="1218" w:type="pct"/>
            <w:vMerge/>
            <w:tcBorders>
              <w:top w:val="single" w:sz="4" w:space="0" w:color="auto"/>
              <w:left w:val="single" w:sz="4" w:space="0" w:color="auto"/>
              <w:bottom w:val="single" w:sz="4" w:space="0" w:color="auto"/>
              <w:right w:val="single" w:sz="4" w:space="0" w:color="auto"/>
            </w:tcBorders>
            <w:vAlign w:val="center"/>
          </w:tcPr>
          <w:p w:rsidR="00E34AE7" w:rsidRDefault="00E34AE7">
            <w:pPr>
              <w:jc w:val="center"/>
              <w:rPr>
                <w:rFonts w:ascii="宋体" w:eastAsia="宋体" w:hAnsi="宋体"/>
                <w:color w:val="000000"/>
                <w:sz w:val="20"/>
                <w:szCs w:val="20"/>
              </w:rPr>
            </w:pPr>
          </w:p>
        </w:tc>
      </w:tr>
      <w:tr w:rsidR="00E34AE7">
        <w:trPr>
          <w:trHeight w:val="369"/>
        </w:trPr>
        <w:tc>
          <w:tcPr>
            <w:tcW w:w="704" w:type="pct"/>
            <w:vMerge/>
            <w:tcBorders>
              <w:top w:val="single" w:sz="4" w:space="0" w:color="auto"/>
              <w:left w:val="single" w:sz="4" w:space="0" w:color="auto"/>
              <w:bottom w:val="single" w:sz="4" w:space="0" w:color="auto"/>
              <w:right w:val="single" w:sz="4" w:space="0" w:color="auto"/>
            </w:tcBorders>
            <w:vAlign w:val="center"/>
          </w:tcPr>
          <w:p w:rsidR="00E34AE7" w:rsidRDefault="00E34AE7">
            <w:pPr>
              <w:jc w:val="center"/>
              <w:rPr>
                <w:rFonts w:ascii="宋体" w:eastAsia="宋体" w:hAnsi="宋体"/>
                <w:color w:val="000000"/>
                <w:sz w:val="20"/>
                <w:szCs w:val="20"/>
              </w:rPr>
            </w:pPr>
          </w:p>
        </w:tc>
        <w:tc>
          <w:tcPr>
            <w:tcW w:w="756" w:type="pct"/>
            <w:vMerge/>
            <w:tcBorders>
              <w:top w:val="single" w:sz="4" w:space="0" w:color="auto"/>
              <w:left w:val="single" w:sz="4" w:space="0" w:color="auto"/>
              <w:bottom w:val="single" w:sz="4" w:space="0" w:color="auto"/>
              <w:right w:val="single" w:sz="4" w:space="0" w:color="auto"/>
            </w:tcBorders>
            <w:vAlign w:val="center"/>
          </w:tcPr>
          <w:p w:rsidR="00E34AE7" w:rsidRDefault="00E34AE7">
            <w:pPr>
              <w:jc w:val="center"/>
              <w:rPr>
                <w:rFonts w:ascii="宋体" w:eastAsia="宋体" w:hAnsi="宋体"/>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rsidR="00E34AE7" w:rsidRDefault="00E34AE7">
            <w:pPr>
              <w:jc w:val="center"/>
              <w:rPr>
                <w:rFonts w:ascii="宋体" w:eastAsia="宋体" w:hAnsi="宋体"/>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rsidR="00E34AE7" w:rsidRDefault="00E34AE7">
            <w:pPr>
              <w:jc w:val="center"/>
              <w:rPr>
                <w:rFonts w:ascii="宋体" w:eastAsia="宋体" w:hAnsi="宋体"/>
                <w:color w:val="000000"/>
                <w:sz w:val="20"/>
                <w:szCs w:val="20"/>
              </w:rPr>
            </w:pPr>
          </w:p>
        </w:tc>
        <w:tc>
          <w:tcPr>
            <w:tcW w:w="1218" w:type="pct"/>
            <w:vMerge/>
            <w:tcBorders>
              <w:top w:val="single" w:sz="4" w:space="0" w:color="auto"/>
              <w:left w:val="single" w:sz="4" w:space="0" w:color="auto"/>
              <w:bottom w:val="single" w:sz="4" w:space="0" w:color="auto"/>
              <w:right w:val="single" w:sz="4" w:space="0" w:color="auto"/>
            </w:tcBorders>
            <w:vAlign w:val="center"/>
          </w:tcPr>
          <w:p w:rsidR="00E34AE7" w:rsidRDefault="00E34AE7">
            <w:pPr>
              <w:jc w:val="center"/>
              <w:rPr>
                <w:rFonts w:ascii="宋体" w:eastAsia="宋体" w:hAnsi="宋体"/>
                <w:color w:val="000000"/>
                <w:sz w:val="20"/>
                <w:szCs w:val="20"/>
              </w:rPr>
            </w:pPr>
          </w:p>
        </w:tc>
      </w:tr>
      <w:tr w:rsidR="00E34AE7">
        <w:trPr>
          <w:trHeight w:val="369"/>
        </w:trPr>
        <w:tc>
          <w:tcPr>
            <w:tcW w:w="1461" w:type="pct"/>
            <w:gridSpan w:val="2"/>
            <w:tcBorders>
              <w:top w:val="single" w:sz="4" w:space="0" w:color="auto"/>
              <w:left w:val="single" w:sz="4" w:space="0" w:color="auto"/>
              <w:bottom w:val="single" w:sz="4" w:space="0" w:color="auto"/>
              <w:right w:val="single" w:sz="4" w:space="0" w:color="auto"/>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1</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2</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3</w:t>
            </w:r>
          </w:p>
        </w:tc>
      </w:tr>
      <w:tr w:rsidR="00E34AE7">
        <w:trPr>
          <w:trHeight w:val="369"/>
        </w:trPr>
        <w:tc>
          <w:tcPr>
            <w:tcW w:w="1461" w:type="pct"/>
            <w:gridSpan w:val="2"/>
            <w:tcBorders>
              <w:top w:val="single" w:sz="4" w:space="0" w:color="auto"/>
              <w:left w:val="single" w:sz="4" w:space="0" w:color="auto"/>
              <w:bottom w:val="single" w:sz="4" w:space="0" w:color="auto"/>
              <w:right w:val="single" w:sz="4" w:space="0" w:color="auto"/>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13,819.55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1,270.45</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hAnsi="Times New Roman" w:cs="Times New Roman"/>
                <w:sz w:val="20"/>
                <w:szCs w:val="20"/>
              </w:rPr>
              <w:t>12,549.11</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社会保障和就业支出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228.34</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228.34</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行政事业单位养老支出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205.24</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205.24</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2080501</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行政单位离退休</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22.73</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22.73</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2080502</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事业单位离退休</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5.73</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5.73</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2080505</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机关事业单位基本养老保险缴费支出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167.39</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167.39</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2080506</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机关事业单位职业年金缴费支出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9.40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9.40</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20808</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抚恤</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23.10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23.10</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2080801</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死亡抚恤</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2.87</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2.87</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2080899</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其他优抚支出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20.22</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20.22</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卫生健康支出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64.35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64.35</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行政事业单位医疗</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64.35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64.35</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2101101</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行政单位医疗</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17.54</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17.54</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2101102</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事业单位医疗</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46.81</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46.81</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节能环保支出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495.00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495.00</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lastRenderedPageBreak/>
              <w:t>21104</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自然生态保护</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435.00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435.00</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2110401</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生态保护</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435.00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435.00</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21105</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森林保护修复</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60.00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60.00</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2110507</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停伐补助</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60.00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60.00</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城乡社区支出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78.36</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61.37</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16.98</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21202</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城乡社区规划与管理</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61.37</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61.37</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2120201</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城乡社区规划与管理</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61.37</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61.37</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21299</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其他城乡社区支出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16.98</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16.98</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2129999</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其他城乡社区支出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16.98</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16.98</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农林水支出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2,468.47</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2,468.47</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林业和草原</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2,468.47</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2,468.47</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2130205</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森林资源培育</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1,818.95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1,818.95</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2130207</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森林资源管理</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129.65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129.65</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2130209</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森林生态效益补偿</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53.27</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53.27</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2130211</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动植物保护</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30.00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30.00</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2130212</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湿地保护</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120.00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120.00</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2130221</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产业化管理</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46.52</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46.52</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2130234</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林业草原防灾减灾</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270.08</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270.08</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自然资源海洋气象等支出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10,390.66</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822.01</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9,568.65</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自然资源事务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10,390.66</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822.01</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9,568.65</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lastRenderedPageBreak/>
              <w:t>2200101</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行政运行</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282.82</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282.82</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2200106</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自然资源利用与保护</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523.22</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523.22</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2200112</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土地资源储备支出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8,790.62</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8,790.62</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2200113</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地质矿产资源与环境调查</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226.81</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226.81</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2200150</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事业运行</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539.18</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539.18</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2200199</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其他自然资源事务支出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28.00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28.00</w:t>
            </w: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住房保障支出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94.38</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94.38</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22102</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住房改革支出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94.38</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94.38</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2210201</w:t>
            </w:r>
          </w:p>
        </w:tc>
        <w:tc>
          <w:tcPr>
            <w:tcW w:w="756"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住房公积金</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94.38</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94.38</w:t>
            </w:r>
          </w:p>
        </w:tc>
        <w:tc>
          <w:tcPr>
            <w:tcW w:w="1218"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661"/>
        </w:trPr>
        <w:tc>
          <w:tcPr>
            <w:tcW w:w="5000" w:type="pct"/>
            <w:gridSpan w:val="7"/>
            <w:tcBorders>
              <w:top w:val="single" w:sz="4" w:space="0" w:color="auto"/>
              <w:left w:val="nil"/>
              <w:bottom w:val="nil"/>
              <w:right w:val="nil"/>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注：本表反映部门本年度一般公共预算财政拨款支出情况。</w:t>
            </w:r>
          </w:p>
        </w:tc>
      </w:tr>
    </w:tbl>
    <w:p w:rsidR="00E34AE7" w:rsidRDefault="00E34AE7">
      <w:pPr>
        <w:rPr>
          <w:rFonts w:ascii="仿宋_GB2312" w:eastAsia="仿宋_GB2312" w:hAnsi="宋体"/>
          <w:b/>
          <w:sz w:val="32"/>
          <w:szCs w:val="32"/>
        </w:rPr>
      </w:pPr>
    </w:p>
    <w:p w:rsidR="00E34AE7" w:rsidRDefault="00B2012A">
      <w:pPr>
        <w:rPr>
          <w:rFonts w:ascii="仿宋_GB2312" w:eastAsia="仿宋_GB2312" w:hAnsi="宋体"/>
          <w:b/>
          <w:sz w:val="32"/>
          <w:szCs w:val="32"/>
        </w:rPr>
      </w:pPr>
      <w:r>
        <w:rPr>
          <w:rFonts w:ascii="仿宋_GB2312" w:eastAsia="仿宋_GB2312" w:hAnsi="宋体" w:hint="eastAsia"/>
          <w:b/>
          <w:sz w:val="32"/>
          <w:szCs w:val="32"/>
        </w:rPr>
        <w:br w:type="page"/>
      </w:r>
    </w:p>
    <w:tbl>
      <w:tblPr>
        <w:tblW w:w="7050" w:type="pct"/>
        <w:tblInd w:w="-1617" w:type="dxa"/>
        <w:tblLayout w:type="fixed"/>
        <w:tblLook w:val="04A0"/>
      </w:tblPr>
      <w:tblGrid>
        <w:gridCol w:w="963"/>
        <w:gridCol w:w="1813"/>
        <w:gridCol w:w="1018"/>
        <w:gridCol w:w="964"/>
        <w:gridCol w:w="440"/>
        <w:gridCol w:w="1372"/>
        <w:gridCol w:w="589"/>
        <w:gridCol w:w="374"/>
        <w:gridCol w:w="964"/>
        <w:gridCol w:w="1816"/>
        <w:gridCol w:w="1023"/>
      </w:tblGrid>
      <w:tr w:rsidR="00E34AE7">
        <w:trPr>
          <w:trHeight w:val="624"/>
        </w:trPr>
        <w:tc>
          <w:tcPr>
            <w:tcW w:w="5000" w:type="pct"/>
            <w:gridSpan w:val="11"/>
            <w:tcBorders>
              <w:top w:val="nil"/>
              <w:left w:val="nil"/>
              <w:bottom w:val="nil"/>
              <w:right w:val="nil"/>
            </w:tcBorders>
            <w:noWrap/>
            <w:vAlign w:val="bottom"/>
          </w:tcPr>
          <w:p w:rsidR="00E34AE7" w:rsidRDefault="00B2012A">
            <w:pPr>
              <w:widowControl/>
              <w:jc w:val="center"/>
              <w:textAlignment w:val="bottom"/>
              <w:rPr>
                <w:rFonts w:asciiTheme="minorEastAsia" w:hAnsiTheme="minorEastAsia" w:cstheme="minorEastAsia"/>
                <w:color w:val="000000"/>
                <w:sz w:val="18"/>
                <w:szCs w:val="18"/>
              </w:rPr>
            </w:pPr>
            <w:r>
              <w:rPr>
                <w:rFonts w:ascii="方正仿宋_GB2312" w:eastAsia="方正仿宋_GB2312" w:hAnsi="方正仿宋_GB2312" w:cs="方正仿宋_GB2312" w:hint="eastAsia"/>
                <w:bCs/>
                <w:sz w:val="32"/>
                <w:szCs w:val="32"/>
              </w:rPr>
              <w:lastRenderedPageBreak/>
              <w:t>一般公共预算财政拨款基本支出决算明细表</w:t>
            </w:r>
          </w:p>
        </w:tc>
      </w:tr>
      <w:tr w:rsidR="00E34AE7">
        <w:trPr>
          <w:trHeight w:val="300"/>
        </w:trPr>
        <w:tc>
          <w:tcPr>
            <w:tcW w:w="5000" w:type="pct"/>
            <w:gridSpan w:val="11"/>
            <w:tcBorders>
              <w:top w:val="nil"/>
              <w:left w:val="nil"/>
              <w:bottom w:val="nil"/>
              <w:right w:val="nil"/>
            </w:tcBorders>
            <w:noWrap/>
            <w:vAlign w:val="bottom"/>
          </w:tcPr>
          <w:p w:rsidR="00E34AE7" w:rsidRDefault="00B2012A">
            <w:pPr>
              <w:widowControl/>
              <w:jc w:val="right"/>
              <w:textAlignment w:val="bottom"/>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公开</w:t>
            </w:r>
            <w:r>
              <w:rPr>
                <w:rFonts w:ascii="Times New Roman" w:eastAsia="方正仿宋_GB2312" w:hAnsi="Times New Roman" w:cs="Times New Roman"/>
                <w:color w:val="000000"/>
                <w:sz w:val="18"/>
                <w:szCs w:val="18"/>
              </w:rPr>
              <w:t>06</w:t>
            </w:r>
            <w:r>
              <w:rPr>
                <w:rFonts w:ascii="方正仿宋_GB2312" w:eastAsia="方正仿宋_GB2312" w:hAnsi="方正仿宋_GB2312" w:cs="方正仿宋_GB2312" w:hint="eastAsia"/>
                <w:color w:val="000000"/>
                <w:sz w:val="18"/>
                <w:szCs w:val="18"/>
              </w:rPr>
              <w:t>表</w:t>
            </w:r>
          </w:p>
        </w:tc>
      </w:tr>
      <w:tr w:rsidR="00E34AE7">
        <w:trPr>
          <w:trHeight w:val="90"/>
        </w:trPr>
        <w:tc>
          <w:tcPr>
            <w:tcW w:w="2293" w:type="pct"/>
            <w:gridSpan w:val="5"/>
            <w:tcBorders>
              <w:top w:val="nil"/>
              <w:left w:val="nil"/>
              <w:bottom w:val="single" w:sz="4" w:space="0" w:color="auto"/>
              <w:right w:val="nil"/>
            </w:tcBorders>
            <w:noWrap/>
            <w:vAlign w:val="bottom"/>
          </w:tcPr>
          <w:p w:rsidR="00E34AE7" w:rsidRDefault="00B2012A">
            <w:pPr>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 xml:space="preserve">部门（单位）：青龙满族自治县自然资源和规划局（汇总） </w:t>
            </w:r>
            <w:r>
              <w:rPr>
                <w:rFonts w:asciiTheme="minorEastAsia" w:hAnsiTheme="minorEastAsia" w:cstheme="minorEastAsia" w:hint="eastAsia"/>
                <w:color w:val="000000"/>
                <w:sz w:val="18"/>
                <w:szCs w:val="18"/>
              </w:rPr>
              <w:t xml:space="preserve">                                                                   </w:t>
            </w:r>
          </w:p>
        </w:tc>
        <w:tc>
          <w:tcPr>
            <w:tcW w:w="865" w:type="pct"/>
            <w:gridSpan w:val="2"/>
            <w:tcBorders>
              <w:top w:val="nil"/>
              <w:left w:val="nil"/>
              <w:bottom w:val="single" w:sz="4" w:space="0" w:color="auto"/>
              <w:right w:val="nil"/>
            </w:tcBorders>
            <w:noWrap/>
            <w:vAlign w:val="bottom"/>
          </w:tcPr>
          <w:p w:rsidR="00E34AE7" w:rsidRDefault="00B2012A">
            <w:pPr>
              <w:jc w:val="center"/>
              <w:rPr>
                <w:rFonts w:asciiTheme="minorEastAsia" w:hAnsiTheme="minorEastAsia" w:cstheme="minorEastAsia"/>
                <w:color w:val="000000"/>
                <w:sz w:val="18"/>
                <w:szCs w:val="18"/>
              </w:rPr>
            </w:pPr>
            <w:r>
              <w:rPr>
                <w:rFonts w:asciiTheme="minorEastAsia" w:hAnsiTheme="minorEastAsia" w:cstheme="minorEastAsia" w:hint="eastAsia"/>
                <w:color w:val="000000"/>
                <w:sz w:val="18"/>
                <w:szCs w:val="18"/>
              </w:rPr>
              <w:t>2024</w:t>
            </w:r>
            <w:r>
              <w:rPr>
                <w:rFonts w:ascii="方正仿宋_GB2312" w:eastAsia="方正仿宋_GB2312" w:hAnsi="方正仿宋_GB2312" w:cs="方正仿宋_GB2312" w:hint="eastAsia"/>
                <w:color w:val="000000"/>
                <w:sz w:val="18"/>
                <w:szCs w:val="18"/>
              </w:rPr>
              <w:t>年度</w:t>
            </w:r>
          </w:p>
        </w:tc>
        <w:tc>
          <w:tcPr>
            <w:tcW w:w="1841" w:type="pct"/>
            <w:gridSpan w:val="4"/>
            <w:tcBorders>
              <w:top w:val="nil"/>
              <w:left w:val="nil"/>
              <w:bottom w:val="single" w:sz="4" w:space="0" w:color="auto"/>
              <w:right w:val="nil"/>
            </w:tcBorders>
            <w:noWrap/>
            <w:vAlign w:val="bottom"/>
          </w:tcPr>
          <w:p w:rsidR="00E34AE7" w:rsidRDefault="00B2012A">
            <w:pPr>
              <w:jc w:val="right"/>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金额单位：万元</w:t>
            </w:r>
          </w:p>
        </w:tc>
      </w:tr>
      <w:tr w:rsidR="00E34AE7">
        <w:trPr>
          <w:trHeight w:val="510"/>
        </w:trPr>
        <w:tc>
          <w:tcPr>
            <w:tcW w:w="1674" w:type="pct"/>
            <w:gridSpan w:val="3"/>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人员经费</w:t>
            </w:r>
          </w:p>
        </w:tc>
        <w:tc>
          <w:tcPr>
            <w:tcW w:w="3325" w:type="pct"/>
            <w:gridSpan w:val="8"/>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公用经费</w:t>
            </w: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科目代码</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科目名称</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金额</w:t>
            </w:r>
          </w:p>
        </w:tc>
        <w:tc>
          <w:tcPr>
            <w:tcW w:w="425" w:type="pct"/>
            <w:tcBorders>
              <w:top w:val="single" w:sz="4" w:space="0" w:color="auto"/>
              <w:left w:val="single" w:sz="4" w:space="0" w:color="auto"/>
              <w:bottom w:val="single" w:sz="4" w:space="0" w:color="auto"/>
              <w:right w:val="single" w:sz="4" w:space="0" w:color="auto"/>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科目代码</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科目名称</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金额</w:t>
            </w:r>
          </w:p>
        </w:tc>
        <w:tc>
          <w:tcPr>
            <w:tcW w:w="425" w:type="pct"/>
            <w:tcBorders>
              <w:top w:val="single" w:sz="4" w:space="0" w:color="auto"/>
              <w:left w:val="single" w:sz="4" w:space="0" w:color="auto"/>
              <w:bottom w:val="single" w:sz="4" w:space="0" w:color="auto"/>
              <w:right w:val="single" w:sz="4" w:space="0" w:color="auto"/>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科目代码</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科目名称</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金额</w:t>
            </w: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工资福利支出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1,086.58</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商品和服务支出</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128.30</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债务利息及费用支出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基本工资</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445.00</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办公费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sz w:val="18"/>
                <w:szCs w:val="18"/>
              </w:rPr>
            </w:pPr>
            <w:r>
              <w:rPr>
                <w:rFonts w:ascii="Times New Roman" w:hAnsi="Times New Roman" w:cs="Times New Roman" w:hint="eastAsia"/>
                <w:sz w:val="18"/>
                <w:szCs w:val="18"/>
              </w:rPr>
              <w:t>14.61</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国内债务付息</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津贴补贴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62.36</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印刷费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sz w:val="18"/>
                <w:szCs w:val="18"/>
              </w:rPr>
            </w:pPr>
            <w:r>
              <w:rPr>
                <w:rFonts w:ascii="Times New Roman" w:hAnsi="Times New Roman" w:cs="Times New Roman" w:hint="eastAsia"/>
                <w:sz w:val="18"/>
                <w:szCs w:val="18"/>
              </w:rPr>
              <w:t>7.62</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国外债务付息</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奖金</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7.75</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咨询费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sz w:val="18"/>
                <w:szCs w:val="18"/>
              </w:rPr>
            </w:pPr>
            <w:r>
              <w:rPr>
                <w:rFonts w:ascii="Times New Roman" w:hAnsi="Times New Roman" w:cs="Times New Roman" w:hint="eastAsia"/>
                <w:sz w:val="18"/>
                <w:szCs w:val="18"/>
              </w:rPr>
              <w:t>2.00</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资本性支出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sz w:val="18"/>
                <w:szCs w:val="18"/>
              </w:rPr>
            </w:pPr>
            <w:r>
              <w:rPr>
                <w:rFonts w:ascii="Times New Roman" w:hAnsi="Times New Roman" w:cs="Times New Roman" w:hint="eastAsia"/>
                <w:sz w:val="18"/>
                <w:szCs w:val="18"/>
              </w:rPr>
              <w:t>4.01</w:t>
            </w: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伙食补助费</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手续费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房屋建筑物购建</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绩效工资</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203.64</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水费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sz w:val="18"/>
                <w:szCs w:val="18"/>
              </w:rPr>
            </w:pPr>
            <w:r>
              <w:rPr>
                <w:rFonts w:ascii="Times New Roman" w:hAnsi="Times New Roman" w:cs="Times New Roman" w:hint="eastAsia"/>
                <w:sz w:val="18"/>
                <w:szCs w:val="18"/>
              </w:rPr>
              <w:t>6.90</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办公设备购置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sz w:val="18"/>
                <w:szCs w:val="18"/>
              </w:rPr>
            </w:pPr>
            <w:r>
              <w:rPr>
                <w:rFonts w:ascii="Times New Roman" w:hAnsi="Times New Roman" w:cs="Times New Roman" w:hint="eastAsia"/>
                <w:sz w:val="18"/>
                <w:szCs w:val="18"/>
              </w:rPr>
              <w:t>4.01</w:t>
            </w: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机关事业单位基本养老保险缴费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sz w:val="18"/>
                <w:szCs w:val="18"/>
              </w:rPr>
            </w:pPr>
            <w:r>
              <w:rPr>
                <w:rFonts w:ascii="Times New Roman" w:hAnsi="Times New Roman" w:cs="Times New Roman" w:hint="eastAsia"/>
                <w:sz w:val="18"/>
                <w:szCs w:val="18"/>
              </w:rPr>
              <w:t>167.39</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电费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sz w:val="18"/>
                <w:szCs w:val="18"/>
              </w:rPr>
            </w:pPr>
            <w:r>
              <w:rPr>
                <w:rFonts w:ascii="Times New Roman" w:hAnsi="Times New Roman" w:cs="Times New Roman" w:hint="eastAsia"/>
                <w:sz w:val="18"/>
                <w:szCs w:val="18"/>
              </w:rPr>
              <w:t>36.37</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专用设备购置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heme="minorEastAsia" w:hAnsiTheme="minorEastAsia" w:cstheme="minorEastAsia"/>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职业年金缴费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sz w:val="18"/>
                <w:szCs w:val="18"/>
              </w:rPr>
            </w:pPr>
            <w:r>
              <w:rPr>
                <w:rFonts w:ascii="Times New Roman" w:hAnsi="Times New Roman" w:cs="Times New Roman" w:hint="eastAsia"/>
                <w:sz w:val="18"/>
                <w:szCs w:val="18"/>
              </w:rPr>
              <w:t>9.40</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邮电费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sz w:val="18"/>
                <w:szCs w:val="18"/>
              </w:rPr>
            </w:pPr>
            <w:r>
              <w:rPr>
                <w:rFonts w:ascii="Times New Roman" w:hAnsi="Times New Roman" w:cs="Times New Roman" w:hint="eastAsia"/>
                <w:sz w:val="18"/>
                <w:szCs w:val="18"/>
              </w:rPr>
              <w:t>1.15</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基础设施建设</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heme="minorEastAsia" w:hAnsiTheme="minorEastAsia" w:cstheme="minorEastAsia"/>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职工基本医疗保险缴费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color w:val="000000"/>
                <w:sz w:val="18"/>
                <w:szCs w:val="18"/>
              </w:rPr>
            </w:pPr>
            <w:r>
              <w:rPr>
                <w:rFonts w:ascii="Times New Roman" w:hAnsi="Times New Roman" w:cs="Times New Roman"/>
                <w:sz w:val="18"/>
                <w:szCs w:val="18"/>
              </w:rPr>
              <w:t>66.73</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取暖费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大型修缮</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公务员医疗补助缴费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物业管理费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color w:val="000000"/>
                <w:sz w:val="18"/>
                <w:szCs w:val="18"/>
              </w:rPr>
            </w:pPr>
            <w:r>
              <w:rPr>
                <w:rFonts w:ascii="Times New Roman" w:hAnsi="Times New Roman" w:cs="Times New Roman"/>
                <w:sz w:val="18"/>
                <w:szCs w:val="18"/>
              </w:rPr>
              <w:t>0.17</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信息网络及软件购置更新</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其他社会保障缴费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color w:val="000000"/>
                <w:sz w:val="18"/>
                <w:szCs w:val="18"/>
              </w:rPr>
            </w:pPr>
            <w:r>
              <w:rPr>
                <w:rFonts w:ascii="Times New Roman" w:hAnsi="Times New Roman" w:cs="Times New Roman"/>
                <w:sz w:val="18"/>
                <w:szCs w:val="18"/>
              </w:rPr>
              <w:t>3.38</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差旅费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color w:val="000000"/>
                <w:sz w:val="18"/>
                <w:szCs w:val="18"/>
              </w:rPr>
            </w:pPr>
            <w:r>
              <w:rPr>
                <w:rFonts w:ascii="Times New Roman" w:hAnsi="Times New Roman" w:cs="Times New Roman"/>
                <w:sz w:val="18"/>
                <w:szCs w:val="18"/>
              </w:rPr>
              <w:t>2.28</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物资储备</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住房公积金</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color w:val="000000"/>
                <w:sz w:val="18"/>
                <w:szCs w:val="18"/>
              </w:rPr>
            </w:pPr>
            <w:r>
              <w:rPr>
                <w:rFonts w:ascii="Times New Roman" w:hAnsi="Times New Roman" w:cs="Times New Roman"/>
                <w:sz w:val="18"/>
                <w:szCs w:val="18"/>
              </w:rPr>
              <w:t>94.38</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因公出国（境）费用</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土地补偿</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医疗费</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维修（护）费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color w:val="000000"/>
                <w:sz w:val="18"/>
                <w:szCs w:val="18"/>
              </w:rPr>
            </w:pPr>
            <w:r>
              <w:rPr>
                <w:rFonts w:ascii="Times New Roman" w:hAnsi="Times New Roman" w:cs="Times New Roman"/>
                <w:sz w:val="18"/>
                <w:szCs w:val="18"/>
              </w:rPr>
              <w:t>1.00</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安置补助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其他工资福利支出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color w:val="000000"/>
                <w:sz w:val="18"/>
                <w:szCs w:val="18"/>
              </w:rPr>
            </w:pPr>
            <w:r>
              <w:rPr>
                <w:rFonts w:ascii="Times New Roman" w:hAnsi="Times New Roman" w:cs="Times New Roman"/>
                <w:sz w:val="18"/>
                <w:szCs w:val="18"/>
              </w:rPr>
              <w:t>26.58</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租赁费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地上附着物和青苗补偿</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对个人和家庭的补助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color w:val="000000"/>
                <w:sz w:val="18"/>
                <w:szCs w:val="18"/>
              </w:rPr>
            </w:pPr>
            <w:r>
              <w:rPr>
                <w:rFonts w:ascii="Times New Roman" w:hAnsi="Times New Roman" w:cs="Times New Roman"/>
                <w:sz w:val="18"/>
                <w:szCs w:val="18"/>
              </w:rPr>
              <w:t>51.56</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会议费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拆迁补偿</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离休费</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培训费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退休费</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color w:val="000000"/>
                <w:sz w:val="18"/>
                <w:szCs w:val="18"/>
              </w:rPr>
            </w:pPr>
            <w:r>
              <w:rPr>
                <w:rFonts w:ascii="Times New Roman" w:hAnsi="Times New Roman" w:cs="Times New Roman"/>
                <w:sz w:val="18"/>
                <w:szCs w:val="18"/>
              </w:rPr>
              <w:t>28.46</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公务接待费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color w:val="000000"/>
                <w:sz w:val="18"/>
                <w:szCs w:val="18"/>
              </w:rPr>
            </w:pPr>
            <w:r>
              <w:rPr>
                <w:rFonts w:ascii="Times New Roman" w:hAnsi="Times New Roman" w:cs="Times New Roman"/>
                <w:sz w:val="18"/>
                <w:szCs w:val="18"/>
              </w:rPr>
              <w:t>4.58</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其他交通工具购置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退职（役）费</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专用材料费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文物和陈列品购置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抚恤金</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color w:val="000000"/>
                <w:sz w:val="18"/>
                <w:szCs w:val="18"/>
              </w:rPr>
            </w:pPr>
            <w:r>
              <w:rPr>
                <w:rFonts w:ascii="Times New Roman" w:hAnsi="Times New Roman" w:cs="Times New Roman"/>
                <w:sz w:val="18"/>
                <w:szCs w:val="18"/>
              </w:rPr>
              <w:t>2.87</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被装购置费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无形资产购置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生活补助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color w:val="000000"/>
                <w:sz w:val="18"/>
                <w:szCs w:val="18"/>
              </w:rPr>
            </w:pPr>
            <w:r>
              <w:rPr>
                <w:rFonts w:ascii="Times New Roman" w:hAnsi="Times New Roman" w:cs="Times New Roman"/>
                <w:sz w:val="18"/>
                <w:szCs w:val="18"/>
              </w:rPr>
              <w:t>20.22</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专用燃料费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其他资本性支出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30306</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救济费</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劳务费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对企业补助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医疗费补助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委托业务费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资本金注入</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助学金</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工会经费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政府投资基金股权投资</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奖励金</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福利费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费用补贴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个人农业生产补贴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公务用车运行维护费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color w:val="000000"/>
                <w:sz w:val="18"/>
                <w:szCs w:val="18"/>
              </w:rPr>
            </w:pPr>
            <w:r>
              <w:rPr>
                <w:rFonts w:ascii="Times New Roman" w:hAnsi="Times New Roman" w:cs="Times New Roman"/>
                <w:sz w:val="18"/>
                <w:szCs w:val="18"/>
              </w:rPr>
              <w:t>41.60</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利息补贴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代缴社会保险费</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其他交通费用</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color w:val="000000"/>
                <w:sz w:val="18"/>
                <w:szCs w:val="18"/>
              </w:rPr>
            </w:pPr>
            <w:r>
              <w:rPr>
                <w:rFonts w:ascii="Times New Roman" w:hAnsi="Times New Roman" w:cs="Times New Roman"/>
                <w:sz w:val="18"/>
                <w:szCs w:val="18"/>
              </w:rPr>
              <w:t>10.03</w:t>
            </w: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其他对企业补助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其他对个人和家庭的补助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税金及附加费用</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其他商品和服务支出</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国家赔偿费用支出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对民间非营利组织和群众性自治组织补贴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经常性赠与</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资本性赠与</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E34AE7">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sz="4" w:space="0" w:color="auto"/>
              <w:left w:val="single" w:sz="4" w:space="0" w:color="auto"/>
              <w:bottom w:val="single" w:sz="4" w:space="0" w:color="auto"/>
              <w:right w:val="single" w:sz="4" w:space="0" w:color="auto"/>
            </w:tcBorders>
            <w:noWrap/>
            <w:vAlign w:val="center"/>
          </w:tcPr>
          <w:p w:rsidR="00E34AE7" w:rsidRDefault="00B2012A">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E34AE7">
            <w:pPr>
              <w:jc w:val="right"/>
              <w:rPr>
                <w:rFonts w:ascii="Times New Roman" w:hAnsi="Times New Roman" w:cs="Times New Roman"/>
                <w:color w:val="000000"/>
                <w:sz w:val="18"/>
                <w:szCs w:val="18"/>
              </w:rPr>
            </w:pPr>
          </w:p>
        </w:tc>
      </w:tr>
      <w:tr w:rsidR="00E34AE7">
        <w:trPr>
          <w:trHeight w:val="510"/>
        </w:trPr>
        <w:tc>
          <w:tcPr>
            <w:tcW w:w="1225" w:type="pct"/>
            <w:gridSpan w:val="2"/>
            <w:tcBorders>
              <w:top w:val="single" w:sz="4" w:space="0" w:color="auto"/>
              <w:left w:val="single" w:sz="4" w:space="0" w:color="auto"/>
              <w:bottom w:val="single" w:sz="4" w:space="0" w:color="auto"/>
              <w:right w:val="single" w:sz="4" w:space="0" w:color="auto"/>
            </w:tcBorders>
            <w:noWrap/>
            <w:vAlign w:val="center"/>
          </w:tcPr>
          <w:p w:rsidR="00E34AE7" w:rsidRDefault="00B2012A">
            <w:pPr>
              <w:jc w:val="center"/>
              <w:rPr>
                <w:rFonts w:ascii="Times New Roman" w:hAnsi="Times New Roman" w:cs="Times New Roman"/>
                <w:sz w:val="18"/>
                <w:szCs w:val="18"/>
              </w:rPr>
            </w:pPr>
            <w:r>
              <w:rPr>
                <w:rFonts w:ascii="方正仿宋_GB2312" w:eastAsia="方正仿宋_GB2312" w:hAnsi="方正仿宋_GB2312" w:cs="方正仿宋_GB2312" w:hint="eastAsia"/>
                <w:color w:val="000000"/>
                <w:sz w:val="18"/>
                <w:szCs w:val="18"/>
              </w:rPr>
              <w:t>人员经费合计</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imes New Roman" w:hAnsi="Times New Roman" w:cs="Times New Roman"/>
                <w:sz w:val="18"/>
                <w:szCs w:val="18"/>
              </w:rPr>
            </w:pPr>
            <w:r>
              <w:rPr>
                <w:rFonts w:ascii="Times New Roman" w:hAnsi="Times New Roman" w:cs="Times New Roman"/>
                <w:sz w:val="18"/>
                <w:szCs w:val="18"/>
              </w:rPr>
              <w:t>1,138.14</w:t>
            </w:r>
          </w:p>
        </w:tc>
        <w:tc>
          <w:tcPr>
            <w:tcW w:w="2875" w:type="pct"/>
            <w:gridSpan w:val="7"/>
            <w:tcBorders>
              <w:top w:val="single" w:sz="4" w:space="0" w:color="auto"/>
              <w:left w:val="single" w:sz="4" w:space="0" w:color="auto"/>
              <w:bottom w:val="single" w:sz="4" w:space="0" w:color="auto"/>
              <w:right w:val="single" w:sz="4" w:space="0" w:color="auto"/>
            </w:tcBorders>
            <w:noWrap/>
            <w:vAlign w:val="center"/>
          </w:tcPr>
          <w:p w:rsidR="00E34AE7" w:rsidRDefault="00B2012A">
            <w:pPr>
              <w:jc w:val="center"/>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公用经费合计</w:t>
            </w:r>
          </w:p>
        </w:tc>
        <w:tc>
          <w:tcPr>
            <w:tcW w:w="449" w:type="pct"/>
            <w:tcBorders>
              <w:top w:val="single" w:sz="4" w:space="0" w:color="auto"/>
              <w:left w:val="single" w:sz="4" w:space="0" w:color="auto"/>
              <w:bottom w:val="single" w:sz="4" w:space="0" w:color="auto"/>
              <w:right w:val="single" w:sz="4" w:space="0" w:color="auto"/>
            </w:tcBorders>
            <w:noWrap/>
            <w:vAlign w:val="center"/>
          </w:tcPr>
          <w:p w:rsidR="00E34AE7" w:rsidRDefault="00B2012A">
            <w:pPr>
              <w:jc w:val="right"/>
              <w:rPr>
                <w:rFonts w:asciiTheme="minorEastAsia" w:hAnsiTheme="minorEastAsia" w:cstheme="minorEastAsia"/>
                <w:color w:val="000000"/>
                <w:sz w:val="18"/>
                <w:szCs w:val="18"/>
              </w:rPr>
            </w:pPr>
            <w:r>
              <w:rPr>
                <w:rFonts w:ascii="Times New Roman" w:hAnsi="Times New Roman" w:cs="Times New Roman"/>
                <w:sz w:val="18"/>
                <w:szCs w:val="18"/>
              </w:rPr>
              <w:t>132.31</w:t>
            </w:r>
          </w:p>
        </w:tc>
      </w:tr>
      <w:tr w:rsidR="00E34AE7">
        <w:trPr>
          <w:trHeight w:val="510"/>
        </w:trPr>
        <w:tc>
          <w:tcPr>
            <w:tcW w:w="5000" w:type="pct"/>
            <w:gridSpan w:val="11"/>
            <w:tcBorders>
              <w:top w:val="single" w:sz="4" w:space="0" w:color="auto"/>
              <w:left w:val="nil"/>
              <w:bottom w:val="nil"/>
              <w:right w:val="nil"/>
            </w:tcBorders>
            <w:noWrap/>
            <w:vAlign w:val="center"/>
          </w:tcPr>
          <w:p w:rsidR="00E34AE7" w:rsidRDefault="00B2012A">
            <w:pPr>
              <w:widowControl/>
              <w:jc w:val="left"/>
              <w:textAlignment w:val="center"/>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注：本表反映部门本年度一般公共预算财政拨款基本支出明细情况。</w:t>
            </w:r>
          </w:p>
        </w:tc>
      </w:tr>
    </w:tbl>
    <w:p w:rsidR="00E34AE7" w:rsidRDefault="00E34AE7">
      <w:pPr>
        <w:rPr>
          <w:rFonts w:ascii="仿宋_GB2312" w:eastAsia="仿宋_GB2312" w:hAnsi="宋体"/>
          <w:b/>
          <w:sz w:val="32"/>
          <w:szCs w:val="32"/>
        </w:rPr>
      </w:pPr>
    </w:p>
    <w:p w:rsidR="00E34AE7" w:rsidRDefault="00B2012A">
      <w:pPr>
        <w:rPr>
          <w:rFonts w:ascii="仿宋_GB2312" w:eastAsia="仿宋_GB2312" w:hAnsi="宋体"/>
          <w:b/>
          <w:sz w:val="32"/>
          <w:szCs w:val="32"/>
        </w:rPr>
      </w:pPr>
      <w:r>
        <w:rPr>
          <w:rFonts w:ascii="仿宋_GB2312" w:eastAsia="仿宋_GB2312" w:hAnsi="宋体" w:hint="eastAsia"/>
          <w:b/>
          <w:sz w:val="32"/>
          <w:szCs w:val="32"/>
        </w:rPr>
        <w:br w:type="page"/>
      </w:r>
    </w:p>
    <w:tbl>
      <w:tblPr>
        <w:tblW w:w="6517" w:type="pct"/>
        <w:tblInd w:w="-1404" w:type="dxa"/>
        <w:tblLayout w:type="fixed"/>
        <w:tblLook w:val="04A0"/>
      </w:tblPr>
      <w:tblGrid>
        <w:gridCol w:w="1260"/>
        <w:gridCol w:w="1473"/>
        <w:gridCol w:w="1306"/>
        <w:gridCol w:w="1025"/>
        <w:gridCol w:w="1107"/>
        <w:gridCol w:w="419"/>
        <w:gridCol w:w="700"/>
        <w:gridCol w:w="1146"/>
        <w:gridCol w:w="2043"/>
      </w:tblGrid>
      <w:tr w:rsidR="00E34AE7">
        <w:trPr>
          <w:trHeight w:val="550"/>
        </w:trPr>
        <w:tc>
          <w:tcPr>
            <w:tcW w:w="5000" w:type="pct"/>
            <w:gridSpan w:val="9"/>
            <w:tcBorders>
              <w:top w:val="nil"/>
              <w:left w:val="nil"/>
              <w:bottom w:val="nil"/>
              <w:right w:val="nil"/>
            </w:tcBorders>
            <w:noWrap/>
            <w:vAlign w:val="bottom"/>
          </w:tcPr>
          <w:p w:rsidR="00E34AE7" w:rsidRDefault="00B2012A">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政府性基金预算财政拨款收入支出决算表</w:t>
            </w:r>
          </w:p>
        </w:tc>
      </w:tr>
      <w:tr w:rsidR="00E34AE7">
        <w:trPr>
          <w:trHeight w:val="90"/>
        </w:trPr>
        <w:tc>
          <w:tcPr>
            <w:tcW w:w="5000" w:type="pct"/>
            <w:gridSpan w:val="9"/>
            <w:tcBorders>
              <w:top w:val="nil"/>
              <w:left w:val="nil"/>
              <w:bottom w:val="nil"/>
              <w:right w:val="nil"/>
            </w:tcBorders>
            <w:noWrap/>
            <w:vAlign w:val="bottom"/>
          </w:tcPr>
          <w:p w:rsidR="00E34AE7" w:rsidRDefault="00B2012A">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宋体" w:hAnsi="Times New Roman" w:cs="Times New Roman"/>
                <w:color w:val="000000"/>
                <w:sz w:val="20"/>
                <w:szCs w:val="20"/>
              </w:rPr>
              <w:t>07</w:t>
            </w:r>
            <w:r>
              <w:rPr>
                <w:rFonts w:ascii="方正仿宋_GB2312" w:eastAsia="方正仿宋_GB2312" w:hAnsi="方正仿宋_GB2312" w:cs="方正仿宋_GB2312" w:hint="eastAsia"/>
                <w:color w:val="000000"/>
                <w:sz w:val="20"/>
                <w:szCs w:val="20"/>
              </w:rPr>
              <w:t>表</w:t>
            </w:r>
          </w:p>
        </w:tc>
      </w:tr>
      <w:tr w:rsidR="00E34AE7">
        <w:trPr>
          <w:trHeight w:val="300"/>
        </w:trPr>
        <w:tc>
          <w:tcPr>
            <w:tcW w:w="1927" w:type="pct"/>
            <w:gridSpan w:val="3"/>
            <w:tcBorders>
              <w:top w:val="nil"/>
              <w:left w:val="nil"/>
              <w:bottom w:val="single" w:sz="4" w:space="0" w:color="auto"/>
              <w:right w:val="nil"/>
            </w:tcBorders>
            <w:noWrap/>
            <w:vAlign w:val="bottom"/>
          </w:tcPr>
          <w:p w:rsidR="00E34AE7" w:rsidRDefault="00B2012A">
            <w:pPr>
              <w:widowControl/>
              <w:jc w:val="lef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 xml:space="preserve">部门（单位）：青龙满族自治县自然资源和规划局（汇总） </w:t>
            </w:r>
            <w:r>
              <w:rPr>
                <w:rFonts w:ascii="宋体" w:eastAsia="宋体" w:hAnsi="宋体" w:hint="eastAsia"/>
                <w:color w:val="000000"/>
                <w:sz w:val="20"/>
                <w:szCs w:val="20"/>
              </w:rPr>
              <w:t xml:space="preserve">                                                                                     </w:t>
            </w:r>
          </w:p>
        </w:tc>
        <w:tc>
          <w:tcPr>
            <w:tcW w:w="1217" w:type="pct"/>
            <w:gridSpan w:val="3"/>
            <w:tcBorders>
              <w:top w:val="nil"/>
              <w:left w:val="nil"/>
              <w:bottom w:val="single" w:sz="4" w:space="0" w:color="auto"/>
              <w:right w:val="nil"/>
            </w:tcBorders>
            <w:noWrap/>
            <w:vAlign w:val="bottom"/>
          </w:tcPr>
          <w:p w:rsidR="00E34AE7" w:rsidRDefault="00B2012A">
            <w:pPr>
              <w:widowControl/>
              <w:jc w:val="center"/>
              <w:textAlignment w:val="bottom"/>
              <w:rPr>
                <w:rFonts w:ascii="宋体" w:eastAsia="宋体" w:hAnsi="宋体"/>
                <w:color w:val="000000"/>
                <w:sz w:val="20"/>
                <w:szCs w:val="20"/>
              </w:rPr>
            </w:pPr>
            <w:r>
              <w:rPr>
                <w:rFonts w:ascii="Times New Roman" w:eastAsia="宋体" w:hAnsi="Times New Roman" w:cs="Times New Roman"/>
                <w:color w:val="000000"/>
                <w:sz w:val="20"/>
                <w:szCs w:val="20"/>
              </w:rPr>
              <w:t>202</w:t>
            </w:r>
            <w:r>
              <w:rPr>
                <w:rFonts w:ascii="Times New Roman" w:eastAsia="宋体"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1854" w:type="pct"/>
            <w:gridSpan w:val="3"/>
            <w:tcBorders>
              <w:top w:val="nil"/>
              <w:left w:val="nil"/>
              <w:bottom w:val="single" w:sz="4" w:space="0" w:color="auto"/>
              <w:right w:val="nil"/>
            </w:tcBorders>
            <w:noWrap/>
            <w:vAlign w:val="bottom"/>
          </w:tcPr>
          <w:p w:rsidR="00E34AE7" w:rsidRDefault="00B2012A">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E34AE7">
        <w:trPr>
          <w:trHeight w:val="308"/>
        </w:trPr>
        <w:tc>
          <w:tcPr>
            <w:tcW w:w="1304" w:type="pct"/>
            <w:gridSpan w:val="2"/>
            <w:tcBorders>
              <w:top w:val="single" w:sz="4" w:space="0" w:color="auto"/>
              <w:left w:val="single" w:sz="4" w:space="0" w:color="000000"/>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623" w:type="pct"/>
            <w:vMerge w:val="restart"/>
            <w:tcBorders>
              <w:top w:val="single" w:sz="4" w:space="0" w:color="auto"/>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年初结转和结余</w:t>
            </w:r>
          </w:p>
        </w:tc>
        <w:tc>
          <w:tcPr>
            <w:tcW w:w="489" w:type="pct"/>
            <w:vMerge w:val="restart"/>
            <w:tcBorders>
              <w:top w:val="single" w:sz="4" w:space="0" w:color="auto"/>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本年收入</w:t>
            </w:r>
          </w:p>
        </w:tc>
        <w:tc>
          <w:tcPr>
            <w:tcW w:w="1609" w:type="pct"/>
            <w:gridSpan w:val="4"/>
            <w:tcBorders>
              <w:top w:val="single" w:sz="4" w:space="0" w:color="auto"/>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w:t>
            </w:r>
          </w:p>
        </w:tc>
        <w:tc>
          <w:tcPr>
            <w:tcW w:w="973" w:type="pct"/>
            <w:vMerge w:val="restart"/>
            <w:tcBorders>
              <w:top w:val="single" w:sz="4" w:space="0" w:color="auto"/>
              <w:left w:val="nil"/>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年末结转和结余</w:t>
            </w:r>
          </w:p>
        </w:tc>
      </w:tr>
      <w:tr w:rsidR="00E34AE7">
        <w:trPr>
          <w:trHeight w:val="312"/>
        </w:trPr>
        <w:tc>
          <w:tcPr>
            <w:tcW w:w="601" w:type="pct"/>
            <w:vMerge w:val="restart"/>
            <w:tcBorders>
              <w:top w:val="nil"/>
              <w:left w:val="single" w:sz="4" w:space="0" w:color="000000"/>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703" w:type="pct"/>
            <w:vMerge w:val="restart"/>
            <w:tcBorders>
              <w:top w:val="nil"/>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623" w:type="pct"/>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489" w:type="pct"/>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528" w:type="pct"/>
            <w:vMerge w:val="restart"/>
            <w:tcBorders>
              <w:top w:val="nil"/>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小计</w:t>
            </w:r>
          </w:p>
        </w:tc>
        <w:tc>
          <w:tcPr>
            <w:tcW w:w="534" w:type="pct"/>
            <w:gridSpan w:val="2"/>
            <w:vMerge w:val="restart"/>
            <w:tcBorders>
              <w:top w:val="nil"/>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546" w:type="pct"/>
            <w:vMerge w:val="restart"/>
            <w:tcBorders>
              <w:top w:val="nil"/>
              <w:left w:val="nil"/>
              <w:bottom w:val="single" w:sz="4" w:space="0" w:color="000000"/>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c>
          <w:tcPr>
            <w:tcW w:w="973" w:type="pct"/>
            <w:vMerge/>
            <w:tcBorders>
              <w:left w:val="nil"/>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结转</w:t>
            </w:r>
          </w:p>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结余</w:t>
            </w:r>
          </w:p>
        </w:tc>
      </w:tr>
      <w:tr w:rsidR="00E34AE7">
        <w:trPr>
          <w:trHeight w:val="312"/>
        </w:trPr>
        <w:tc>
          <w:tcPr>
            <w:tcW w:w="601" w:type="pct"/>
            <w:vMerge/>
            <w:tcBorders>
              <w:top w:val="nil"/>
              <w:left w:val="single" w:sz="4" w:space="0" w:color="000000"/>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703" w:type="pct"/>
            <w:vMerge/>
            <w:tcBorders>
              <w:top w:val="nil"/>
              <w:left w:val="nil"/>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623" w:type="pct"/>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489" w:type="pct"/>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528" w:type="pct"/>
            <w:vMerge/>
            <w:tcBorders>
              <w:top w:val="nil"/>
              <w:left w:val="nil"/>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534" w:type="pct"/>
            <w:gridSpan w:val="2"/>
            <w:vMerge/>
            <w:tcBorders>
              <w:top w:val="nil"/>
              <w:left w:val="nil"/>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546" w:type="pct"/>
            <w:vMerge/>
            <w:tcBorders>
              <w:top w:val="nil"/>
              <w:left w:val="nil"/>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973" w:type="pct"/>
            <w:vMerge/>
            <w:tcBorders>
              <w:left w:val="nil"/>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r>
      <w:tr w:rsidR="00E34AE7">
        <w:trPr>
          <w:trHeight w:val="312"/>
        </w:trPr>
        <w:tc>
          <w:tcPr>
            <w:tcW w:w="601" w:type="pct"/>
            <w:vMerge/>
            <w:tcBorders>
              <w:top w:val="nil"/>
              <w:left w:val="single" w:sz="4" w:space="0" w:color="000000"/>
              <w:bottom w:val="single" w:sz="4" w:space="0" w:color="auto"/>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703" w:type="pct"/>
            <w:vMerge/>
            <w:tcBorders>
              <w:top w:val="nil"/>
              <w:left w:val="nil"/>
              <w:bottom w:val="single" w:sz="4" w:space="0" w:color="auto"/>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623" w:type="pct"/>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489" w:type="pct"/>
            <w:vMerge/>
            <w:tcBorders>
              <w:top w:val="single" w:sz="4" w:space="0" w:color="000000"/>
              <w:left w:val="nil"/>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528" w:type="pct"/>
            <w:vMerge/>
            <w:tcBorders>
              <w:top w:val="nil"/>
              <w:left w:val="nil"/>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534" w:type="pct"/>
            <w:gridSpan w:val="2"/>
            <w:vMerge/>
            <w:tcBorders>
              <w:top w:val="nil"/>
              <w:left w:val="nil"/>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546" w:type="pct"/>
            <w:vMerge/>
            <w:tcBorders>
              <w:top w:val="nil"/>
              <w:left w:val="nil"/>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973" w:type="pct"/>
            <w:vMerge/>
            <w:tcBorders>
              <w:left w:val="nil"/>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r>
      <w:tr w:rsidR="00E34AE7">
        <w:trPr>
          <w:trHeight w:val="308"/>
        </w:trPr>
        <w:tc>
          <w:tcPr>
            <w:tcW w:w="1304" w:type="pct"/>
            <w:gridSpan w:val="2"/>
            <w:tcBorders>
              <w:top w:val="single" w:sz="4" w:space="0" w:color="auto"/>
              <w:left w:val="single" w:sz="4" w:space="0" w:color="auto"/>
              <w:bottom w:val="single" w:sz="4" w:space="0" w:color="auto"/>
              <w:right w:val="single" w:sz="4" w:space="0" w:color="auto"/>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623" w:type="pct"/>
            <w:tcBorders>
              <w:top w:val="nil"/>
              <w:left w:val="single" w:sz="4" w:space="0" w:color="auto"/>
              <w:bottom w:val="single" w:sz="4" w:space="0" w:color="000000"/>
              <w:right w:val="single" w:sz="4" w:space="0" w:color="000000"/>
            </w:tcBorders>
            <w:noWrap/>
            <w:vAlign w:val="center"/>
          </w:tcPr>
          <w:p w:rsidR="00E34AE7" w:rsidRDefault="00B2012A">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1</w:t>
            </w:r>
          </w:p>
        </w:tc>
        <w:tc>
          <w:tcPr>
            <w:tcW w:w="489"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2</w:t>
            </w:r>
          </w:p>
        </w:tc>
        <w:tc>
          <w:tcPr>
            <w:tcW w:w="528"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3</w:t>
            </w:r>
          </w:p>
        </w:tc>
        <w:tc>
          <w:tcPr>
            <w:tcW w:w="534" w:type="pct"/>
            <w:gridSpan w:val="2"/>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4</w:t>
            </w:r>
          </w:p>
        </w:tc>
        <w:tc>
          <w:tcPr>
            <w:tcW w:w="54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5</w:t>
            </w:r>
          </w:p>
        </w:tc>
        <w:tc>
          <w:tcPr>
            <w:tcW w:w="973"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6</w:t>
            </w:r>
          </w:p>
        </w:tc>
      </w:tr>
      <w:tr w:rsidR="00E34AE7">
        <w:trPr>
          <w:trHeight w:val="869"/>
        </w:trPr>
        <w:tc>
          <w:tcPr>
            <w:tcW w:w="1304" w:type="pct"/>
            <w:gridSpan w:val="2"/>
            <w:tcBorders>
              <w:top w:val="single" w:sz="4" w:space="0" w:color="auto"/>
              <w:left w:val="single" w:sz="4" w:space="0" w:color="auto"/>
              <w:bottom w:val="single" w:sz="4" w:space="0" w:color="auto"/>
              <w:right w:val="single" w:sz="4" w:space="0" w:color="auto"/>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623" w:type="pct"/>
            <w:tcBorders>
              <w:top w:val="nil"/>
              <w:left w:val="single" w:sz="4" w:space="0" w:color="auto"/>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255.10</w:t>
            </w:r>
          </w:p>
        </w:tc>
        <w:tc>
          <w:tcPr>
            <w:tcW w:w="489"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238.30</w:t>
            </w:r>
          </w:p>
        </w:tc>
        <w:tc>
          <w:tcPr>
            <w:tcW w:w="528"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488.30</w:t>
            </w:r>
          </w:p>
        </w:tc>
        <w:tc>
          <w:tcPr>
            <w:tcW w:w="534"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488.30</w:t>
            </w:r>
          </w:p>
        </w:tc>
        <w:tc>
          <w:tcPr>
            <w:tcW w:w="97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5.10</w:t>
            </w:r>
          </w:p>
        </w:tc>
      </w:tr>
      <w:tr w:rsidR="00E34AE7">
        <w:trPr>
          <w:trHeight w:val="308"/>
        </w:trPr>
        <w:tc>
          <w:tcPr>
            <w:tcW w:w="601"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w:t>
            </w:r>
          </w:p>
        </w:tc>
        <w:tc>
          <w:tcPr>
            <w:tcW w:w="703"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城乡社区支出</w:t>
            </w:r>
          </w:p>
        </w:tc>
        <w:tc>
          <w:tcPr>
            <w:tcW w:w="62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255.10</w:t>
            </w:r>
          </w:p>
        </w:tc>
        <w:tc>
          <w:tcPr>
            <w:tcW w:w="489"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238.30</w:t>
            </w:r>
          </w:p>
        </w:tc>
        <w:tc>
          <w:tcPr>
            <w:tcW w:w="528"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488.30</w:t>
            </w:r>
          </w:p>
        </w:tc>
        <w:tc>
          <w:tcPr>
            <w:tcW w:w="534"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488.30</w:t>
            </w:r>
          </w:p>
        </w:tc>
        <w:tc>
          <w:tcPr>
            <w:tcW w:w="97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5.10</w:t>
            </w:r>
          </w:p>
        </w:tc>
      </w:tr>
      <w:tr w:rsidR="00E34AE7">
        <w:trPr>
          <w:trHeight w:val="308"/>
        </w:trPr>
        <w:tc>
          <w:tcPr>
            <w:tcW w:w="601"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w:t>
            </w:r>
          </w:p>
        </w:tc>
        <w:tc>
          <w:tcPr>
            <w:tcW w:w="703"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国有土地使用权出让收入安排的支出</w:t>
            </w:r>
          </w:p>
        </w:tc>
        <w:tc>
          <w:tcPr>
            <w:tcW w:w="62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255.10</w:t>
            </w:r>
          </w:p>
        </w:tc>
        <w:tc>
          <w:tcPr>
            <w:tcW w:w="489"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238.30</w:t>
            </w:r>
          </w:p>
        </w:tc>
        <w:tc>
          <w:tcPr>
            <w:tcW w:w="528"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488.30</w:t>
            </w:r>
          </w:p>
        </w:tc>
        <w:tc>
          <w:tcPr>
            <w:tcW w:w="534"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488.30</w:t>
            </w:r>
          </w:p>
        </w:tc>
        <w:tc>
          <w:tcPr>
            <w:tcW w:w="97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5.10</w:t>
            </w:r>
          </w:p>
        </w:tc>
      </w:tr>
      <w:tr w:rsidR="00E34AE7">
        <w:trPr>
          <w:trHeight w:val="308"/>
        </w:trPr>
        <w:tc>
          <w:tcPr>
            <w:tcW w:w="601"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2120801</w:t>
            </w:r>
          </w:p>
        </w:tc>
        <w:tc>
          <w:tcPr>
            <w:tcW w:w="703"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征地和拆迁补偿支出</w:t>
            </w:r>
          </w:p>
        </w:tc>
        <w:tc>
          <w:tcPr>
            <w:tcW w:w="62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250.00</w:t>
            </w:r>
          </w:p>
        </w:tc>
        <w:tc>
          <w:tcPr>
            <w:tcW w:w="489"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8"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250.00</w:t>
            </w:r>
          </w:p>
        </w:tc>
        <w:tc>
          <w:tcPr>
            <w:tcW w:w="534"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250.00</w:t>
            </w:r>
          </w:p>
        </w:tc>
        <w:tc>
          <w:tcPr>
            <w:tcW w:w="973"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601"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2120802</w:t>
            </w:r>
          </w:p>
        </w:tc>
        <w:tc>
          <w:tcPr>
            <w:tcW w:w="703"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土地开发支出</w:t>
            </w:r>
          </w:p>
        </w:tc>
        <w:tc>
          <w:tcPr>
            <w:tcW w:w="62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5.10</w:t>
            </w:r>
          </w:p>
        </w:tc>
        <w:tc>
          <w:tcPr>
            <w:tcW w:w="489"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28"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34"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73"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5.10</w:t>
            </w:r>
          </w:p>
        </w:tc>
      </w:tr>
      <w:tr w:rsidR="00E34AE7">
        <w:trPr>
          <w:trHeight w:val="308"/>
        </w:trPr>
        <w:tc>
          <w:tcPr>
            <w:tcW w:w="601"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2120805</w:t>
            </w:r>
          </w:p>
        </w:tc>
        <w:tc>
          <w:tcPr>
            <w:tcW w:w="703"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补助被征地农民支出</w:t>
            </w:r>
          </w:p>
        </w:tc>
        <w:tc>
          <w:tcPr>
            <w:tcW w:w="623"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489"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108.75</w:t>
            </w:r>
          </w:p>
        </w:tc>
        <w:tc>
          <w:tcPr>
            <w:tcW w:w="528"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108.75</w:t>
            </w:r>
          </w:p>
        </w:tc>
        <w:tc>
          <w:tcPr>
            <w:tcW w:w="534"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108.75</w:t>
            </w:r>
          </w:p>
        </w:tc>
        <w:tc>
          <w:tcPr>
            <w:tcW w:w="973"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601"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2120814</w:t>
            </w:r>
          </w:p>
        </w:tc>
        <w:tc>
          <w:tcPr>
            <w:tcW w:w="703"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农业生产发展支出</w:t>
            </w:r>
          </w:p>
        </w:tc>
        <w:tc>
          <w:tcPr>
            <w:tcW w:w="623"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489"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15.00</w:t>
            </w:r>
          </w:p>
        </w:tc>
        <w:tc>
          <w:tcPr>
            <w:tcW w:w="528"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15.00</w:t>
            </w:r>
          </w:p>
        </w:tc>
        <w:tc>
          <w:tcPr>
            <w:tcW w:w="534"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15.00</w:t>
            </w:r>
          </w:p>
        </w:tc>
        <w:tc>
          <w:tcPr>
            <w:tcW w:w="973"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601" w:type="pct"/>
            <w:tcBorders>
              <w:top w:val="nil"/>
              <w:left w:val="single" w:sz="4" w:space="0" w:color="000000"/>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2120899</w:t>
            </w:r>
          </w:p>
        </w:tc>
        <w:tc>
          <w:tcPr>
            <w:tcW w:w="703" w:type="pct"/>
            <w:tcBorders>
              <w:top w:val="nil"/>
              <w:left w:val="nil"/>
              <w:bottom w:val="single" w:sz="4" w:space="0" w:color="000000"/>
              <w:right w:val="single" w:sz="4" w:space="0" w:color="000000"/>
            </w:tcBorders>
            <w:noWrap/>
            <w:vAlign w:val="center"/>
          </w:tcPr>
          <w:p w:rsidR="00E34AE7" w:rsidRDefault="00B2012A">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其他国有土地使用权出让收入安排的支出</w:t>
            </w:r>
          </w:p>
        </w:tc>
        <w:tc>
          <w:tcPr>
            <w:tcW w:w="623"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489"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114.55</w:t>
            </w:r>
          </w:p>
        </w:tc>
        <w:tc>
          <w:tcPr>
            <w:tcW w:w="528"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114.55</w:t>
            </w:r>
          </w:p>
        </w:tc>
        <w:tc>
          <w:tcPr>
            <w:tcW w:w="534" w:type="pct"/>
            <w:gridSpan w:val="2"/>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114.55</w:t>
            </w:r>
          </w:p>
        </w:tc>
        <w:tc>
          <w:tcPr>
            <w:tcW w:w="973"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5000" w:type="pct"/>
            <w:gridSpan w:val="9"/>
            <w:tcBorders>
              <w:top w:val="nil"/>
              <w:left w:val="nil"/>
              <w:bottom w:val="nil"/>
              <w:right w:val="nil"/>
            </w:tcBorders>
            <w:noWrap/>
            <w:vAlign w:val="center"/>
          </w:tcPr>
          <w:p w:rsidR="00E34AE7" w:rsidRDefault="00B2012A">
            <w:pP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注：本表反映部门本年度政府性基金预算财政拨款收入、支出及结转和结余情况。</w:t>
            </w:r>
            <w:r>
              <w:rPr>
                <w:rFonts w:ascii="方正仿宋_GB2312" w:eastAsia="方正仿宋_GB2312" w:hAnsi="方正仿宋_GB2312" w:cs="方正仿宋_GB2312" w:hint="eastAsia"/>
                <w:color w:val="000000"/>
                <w:sz w:val="20"/>
                <w:szCs w:val="20"/>
              </w:rPr>
              <w:br w:type="page"/>
            </w:r>
          </w:p>
        </w:tc>
      </w:tr>
    </w:tbl>
    <w:p w:rsidR="00E34AE7" w:rsidRDefault="00E34AE7">
      <w:pPr>
        <w:rPr>
          <w:rFonts w:ascii="仿宋_GB2312" w:eastAsia="仿宋_GB2312" w:hAnsi="宋体"/>
          <w:b/>
          <w:sz w:val="32"/>
          <w:szCs w:val="32"/>
        </w:rPr>
      </w:pPr>
    </w:p>
    <w:p w:rsidR="00E34AE7" w:rsidRDefault="00B2012A">
      <w:pPr>
        <w:rPr>
          <w:rFonts w:ascii="仿宋_GB2312" w:eastAsia="仿宋_GB2312" w:hAnsi="宋体"/>
          <w:b/>
          <w:sz w:val="32"/>
          <w:szCs w:val="32"/>
        </w:rPr>
      </w:pPr>
      <w:r>
        <w:rPr>
          <w:rFonts w:ascii="仿宋_GB2312" w:eastAsia="仿宋_GB2312" w:hAnsi="宋体" w:hint="eastAsia"/>
          <w:b/>
          <w:sz w:val="32"/>
          <w:szCs w:val="32"/>
        </w:rPr>
        <w:br w:type="page"/>
      </w:r>
    </w:p>
    <w:tbl>
      <w:tblPr>
        <w:tblW w:w="5863" w:type="pct"/>
        <w:tblInd w:w="-976" w:type="dxa"/>
        <w:tblLayout w:type="fixed"/>
        <w:tblLook w:val="04A0"/>
      </w:tblPr>
      <w:tblGrid>
        <w:gridCol w:w="2992"/>
        <w:gridCol w:w="730"/>
        <w:gridCol w:w="1297"/>
        <w:gridCol w:w="1337"/>
        <w:gridCol w:w="45"/>
        <w:gridCol w:w="1286"/>
        <w:gridCol w:w="6"/>
        <w:gridCol w:w="1735"/>
      </w:tblGrid>
      <w:tr w:rsidR="00E34AE7">
        <w:trPr>
          <w:trHeight w:val="550"/>
        </w:trPr>
        <w:tc>
          <w:tcPr>
            <w:tcW w:w="5000" w:type="pct"/>
            <w:gridSpan w:val="8"/>
            <w:tcBorders>
              <w:top w:val="nil"/>
              <w:left w:val="nil"/>
              <w:bottom w:val="nil"/>
              <w:right w:val="nil"/>
            </w:tcBorders>
            <w:noWrap/>
            <w:vAlign w:val="bottom"/>
          </w:tcPr>
          <w:p w:rsidR="00E34AE7" w:rsidRDefault="00B2012A">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国有资本经营预算财政拨款支出决算表</w:t>
            </w:r>
          </w:p>
        </w:tc>
      </w:tr>
      <w:tr w:rsidR="00E34AE7">
        <w:trPr>
          <w:trHeight w:val="300"/>
        </w:trPr>
        <w:tc>
          <w:tcPr>
            <w:tcW w:w="5000" w:type="pct"/>
            <w:gridSpan w:val="8"/>
            <w:tcBorders>
              <w:top w:val="nil"/>
              <w:left w:val="nil"/>
              <w:bottom w:val="nil"/>
              <w:right w:val="nil"/>
            </w:tcBorders>
            <w:noWrap/>
            <w:vAlign w:val="bottom"/>
          </w:tcPr>
          <w:p w:rsidR="00E34AE7" w:rsidRDefault="00B2012A">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方正仿宋_GB2312" w:hAnsi="Times New Roman" w:cs="Times New Roman"/>
                <w:color w:val="000000"/>
                <w:sz w:val="20"/>
                <w:szCs w:val="20"/>
              </w:rPr>
              <w:t>08</w:t>
            </w:r>
            <w:r>
              <w:rPr>
                <w:rFonts w:ascii="方正仿宋_GB2312" w:eastAsia="方正仿宋_GB2312" w:hAnsi="方正仿宋_GB2312" w:cs="方正仿宋_GB2312" w:hint="eastAsia"/>
                <w:color w:val="000000"/>
                <w:sz w:val="20"/>
                <w:szCs w:val="20"/>
              </w:rPr>
              <w:t>表</w:t>
            </w:r>
          </w:p>
        </w:tc>
      </w:tr>
      <w:tr w:rsidR="00E34AE7">
        <w:trPr>
          <w:trHeight w:val="300"/>
        </w:trPr>
        <w:tc>
          <w:tcPr>
            <w:tcW w:w="1974" w:type="pct"/>
            <w:gridSpan w:val="2"/>
            <w:tcBorders>
              <w:top w:val="nil"/>
              <w:left w:val="nil"/>
              <w:bottom w:val="single" w:sz="4" w:space="0" w:color="auto"/>
              <w:right w:val="nil"/>
            </w:tcBorders>
            <w:noWrap/>
            <w:vAlign w:val="bottom"/>
          </w:tcPr>
          <w:p w:rsidR="00E34AE7" w:rsidRDefault="00B2012A">
            <w:pPr>
              <w:widowControl/>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部门（单位）：青龙满族自治县自然资源和规划局（汇总）</w:t>
            </w:r>
          </w:p>
        </w:tc>
        <w:tc>
          <w:tcPr>
            <w:tcW w:w="1421" w:type="pct"/>
            <w:gridSpan w:val="3"/>
            <w:tcBorders>
              <w:top w:val="nil"/>
              <w:left w:val="nil"/>
              <w:bottom w:val="single" w:sz="4" w:space="0" w:color="auto"/>
              <w:right w:val="nil"/>
            </w:tcBorders>
            <w:noWrap/>
            <w:vAlign w:val="bottom"/>
          </w:tcPr>
          <w:p w:rsidR="00E34AE7" w:rsidRDefault="00B2012A">
            <w:pPr>
              <w:widowControl/>
              <w:jc w:val="center"/>
              <w:textAlignment w:val="bottom"/>
              <w:rPr>
                <w:rFonts w:ascii="宋体" w:eastAsia="宋体" w:hAnsi="宋体"/>
                <w:color w:val="000000"/>
                <w:sz w:val="20"/>
                <w:szCs w:val="20"/>
              </w:rPr>
            </w:pPr>
            <w:r>
              <w:rPr>
                <w:rFonts w:ascii="Times New Roman" w:eastAsia="宋体" w:hAnsi="Times New Roman" w:cs="Times New Roman"/>
                <w:color w:val="000000"/>
                <w:sz w:val="20"/>
                <w:szCs w:val="20"/>
              </w:rPr>
              <w:t>202</w:t>
            </w:r>
            <w:r>
              <w:rPr>
                <w:rFonts w:ascii="Times New Roman" w:eastAsia="宋体"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1603" w:type="pct"/>
            <w:gridSpan w:val="3"/>
            <w:tcBorders>
              <w:top w:val="nil"/>
              <w:left w:val="nil"/>
              <w:bottom w:val="single" w:sz="4" w:space="0" w:color="auto"/>
              <w:right w:val="nil"/>
            </w:tcBorders>
            <w:noWrap/>
            <w:vAlign w:val="bottom"/>
          </w:tcPr>
          <w:p w:rsidR="00E34AE7" w:rsidRDefault="00B2012A">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E34AE7">
        <w:trPr>
          <w:trHeight w:val="312"/>
        </w:trPr>
        <w:tc>
          <w:tcPr>
            <w:tcW w:w="2662" w:type="pct"/>
            <w:gridSpan w:val="3"/>
            <w:vMerge w:val="restart"/>
            <w:tcBorders>
              <w:top w:val="single" w:sz="4" w:space="0" w:color="auto"/>
              <w:left w:val="single" w:sz="4" w:space="0" w:color="auto"/>
              <w:bottom w:val="single" w:sz="4" w:space="0" w:color="auto"/>
              <w:right w:val="single" w:sz="4" w:space="0" w:color="auto"/>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 xml:space="preserve"> 项目</w:t>
            </w:r>
          </w:p>
        </w:tc>
        <w:tc>
          <w:tcPr>
            <w:tcW w:w="2337" w:type="pct"/>
            <w:gridSpan w:val="5"/>
            <w:vMerge w:val="restart"/>
            <w:tcBorders>
              <w:top w:val="single" w:sz="4" w:space="0" w:color="auto"/>
              <w:left w:val="single" w:sz="4" w:space="0" w:color="auto"/>
              <w:right w:val="single" w:sz="4" w:space="0" w:color="000000"/>
            </w:tcBorders>
            <w:vAlign w:val="center"/>
          </w:tcPr>
          <w:p w:rsidR="00E34AE7" w:rsidRDefault="00B2012A">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w:t>
            </w:r>
          </w:p>
        </w:tc>
      </w:tr>
      <w:tr w:rsidR="00E34AE7">
        <w:trPr>
          <w:trHeight w:val="312"/>
        </w:trPr>
        <w:tc>
          <w:tcPr>
            <w:tcW w:w="2662" w:type="pct"/>
            <w:gridSpan w:val="3"/>
            <w:vMerge/>
            <w:tcBorders>
              <w:top w:val="single" w:sz="4" w:space="0" w:color="auto"/>
              <w:left w:val="single" w:sz="4" w:space="0" w:color="auto"/>
              <w:bottom w:val="single" w:sz="4" w:space="0" w:color="auto"/>
              <w:right w:val="single" w:sz="4" w:space="0" w:color="auto"/>
            </w:tcBorders>
            <w:vAlign w:val="center"/>
          </w:tcPr>
          <w:p w:rsidR="00E34AE7" w:rsidRDefault="00E34AE7">
            <w:pPr>
              <w:widowControl/>
              <w:jc w:val="center"/>
              <w:textAlignment w:val="center"/>
              <w:rPr>
                <w:rFonts w:ascii="方正仿宋_GB2312" w:eastAsia="方正仿宋_GB2312" w:hAnsi="方正仿宋_GB2312" w:cs="方正仿宋_GB2312"/>
                <w:color w:val="000000"/>
                <w:sz w:val="20"/>
                <w:szCs w:val="20"/>
              </w:rPr>
            </w:pPr>
          </w:p>
        </w:tc>
        <w:tc>
          <w:tcPr>
            <w:tcW w:w="2337" w:type="pct"/>
            <w:gridSpan w:val="5"/>
            <w:vMerge/>
            <w:tcBorders>
              <w:left w:val="single" w:sz="4" w:space="0" w:color="auto"/>
              <w:bottom w:val="single" w:sz="4" w:space="0" w:color="000000"/>
              <w:right w:val="single" w:sz="4" w:space="0" w:color="000000"/>
            </w:tcBorders>
            <w:vAlign w:val="center"/>
          </w:tcPr>
          <w:p w:rsidR="00E34AE7" w:rsidRDefault="00E34AE7">
            <w:pPr>
              <w:widowControl/>
              <w:jc w:val="center"/>
              <w:textAlignment w:val="center"/>
              <w:rPr>
                <w:rFonts w:ascii="方正仿宋_GB2312" w:eastAsia="方正仿宋_GB2312" w:hAnsi="方正仿宋_GB2312" w:cs="方正仿宋_GB2312"/>
                <w:color w:val="000000"/>
                <w:sz w:val="20"/>
                <w:szCs w:val="20"/>
              </w:rPr>
            </w:pPr>
          </w:p>
        </w:tc>
      </w:tr>
      <w:tr w:rsidR="00E34AE7">
        <w:trPr>
          <w:trHeight w:val="312"/>
        </w:trPr>
        <w:tc>
          <w:tcPr>
            <w:tcW w:w="1587" w:type="pct"/>
            <w:vMerge w:val="restart"/>
            <w:tcBorders>
              <w:top w:val="single" w:sz="4" w:space="0" w:color="auto"/>
              <w:left w:val="single" w:sz="4" w:space="0" w:color="auto"/>
              <w:bottom w:val="single" w:sz="4" w:space="0" w:color="auto"/>
              <w:right w:val="single" w:sz="4" w:space="0" w:color="auto"/>
            </w:tcBorders>
            <w:vAlign w:val="center"/>
          </w:tcPr>
          <w:p w:rsidR="00E34AE7" w:rsidRDefault="00B2012A">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1074" w:type="pct"/>
            <w:gridSpan w:val="2"/>
            <w:vMerge w:val="restart"/>
            <w:tcBorders>
              <w:top w:val="single" w:sz="4" w:space="0" w:color="auto"/>
              <w:left w:val="single" w:sz="4" w:space="0" w:color="auto"/>
              <w:bottom w:val="single" w:sz="4" w:space="0" w:color="auto"/>
              <w:right w:val="single" w:sz="4" w:space="0" w:color="auto"/>
            </w:tcBorders>
            <w:vAlign w:val="center"/>
          </w:tcPr>
          <w:p w:rsidR="00E34AE7" w:rsidRDefault="00B2012A">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709" w:type="pct"/>
            <w:vMerge w:val="restart"/>
            <w:tcBorders>
              <w:top w:val="nil"/>
              <w:left w:val="single" w:sz="4" w:space="0" w:color="auto"/>
              <w:right w:val="single" w:sz="4" w:space="0" w:color="000000"/>
            </w:tcBorders>
            <w:vAlign w:val="center"/>
          </w:tcPr>
          <w:p w:rsidR="00E34AE7" w:rsidRDefault="00B2012A">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709" w:type="pct"/>
            <w:gridSpan w:val="3"/>
            <w:vMerge w:val="restart"/>
            <w:tcBorders>
              <w:top w:val="nil"/>
              <w:left w:val="nil"/>
              <w:right w:val="single" w:sz="4" w:space="0" w:color="000000"/>
            </w:tcBorders>
            <w:vAlign w:val="center"/>
          </w:tcPr>
          <w:p w:rsidR="00E34AE7" w:rsidRDefault="00B2012A">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919" w:type="pct"/>
            <w:vMerge w:val="restart"/>
            <w:tcBorders>
              <w:top w:val="nil"/>
              <w:left w:val="nil"/>
              <w:right w:val="single" w:sz="4" w:space="0" w:color="000000"/>
            </w:tcBorders>
            <w:vAlign w:val="center"/>
          </w:tcPr>
          <w:p w:rsidR="00E34AE7" w:rsidRDefault="00B2012A">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r>
      <w:tr w:rsidR="00E34AE7">
        <w:trPr>
          <w:trHeight w:val="312"/>
        </w:trPr>
        <w:tc>
          <w:tcPr>
            <w:tcW w:w="1587" w:type="pct"/>
            <w:vMerge/>
            <w:tcBorders>
              <w:top w:val="single" w:sz="4" w:space="0" w:color="auto"/>
              <w:left w:val="single" w:sz="4" w:space="0" w:color="auto"/>
              <w:bottom w:val="single" w:sz="4" w:space="0" w:color="auto"/>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1074" w:type="pct"/>
            <w:gridSpan w:val="2"/>
            <w:vMerge/>
            <w:tcBorders>
              <w:top w:val="single" w:sz="4" w:space="0" w:color="auto"/>
              <w:left w:val="nil"/>
              <w:bottom w:val="single" w:sz="4" w:space="0" w:color="auto"/>
              <w:right w:val="single" w:sz="4" w:space="0" w:color="auto"/>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709" w:type="pct"/>
            <w:vMerge/>
            <w:tcBorders>
              <w:left w:val="single" w:sz="4" w:space="0" w:color="auto"/>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709" w:type="pct"/>
            <w:gridSpan w:val="3"/>
            <w:vMerge/>
            <w:tcBorders>
              <w:left w:val="nil"/>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c>
          <w:tcPr>
            <w:tcW w:w="919" w:type="pct"/>
            <w:vMerge/>
            <w:tcBorders>
              <w:left w:val="nil"/>
              <w:bottom w:val="single" w:sz="4" w:space="0" w:color="000000"/>
              <w:right w:val="single" w:sz="4" w:space="0" w:color="000000"/>
            </w:tcBorders>
            <w:vAlign w:val="center"/>
          </w:tcPr>
          <w:p w:rsidR="00E34AE7" w:rsidRDefault="00E34AE7">
            <w:pPr>
              <w:jc w:val="center"/>
              <w:rPr>
                <w:rFonts w:ascii="方正仿宋_GB2312" w:eastAsia="方正仿宋_GB2312" w:hAnsi="方正仿宋_GB2312" w:cs="方正仿宋_GB2312"/>
                <w:color w:val="000000"/>
                <w:sz w:val="20"/>
                <w:szCs w:val="20"/>
              </w:rPr>
            </w:pPr>
          </w:p>
        </w:tc>
      </w:tr>
      <w:tr w:rsidR="00E34AE7">
        <w:trPr>
          <w:trHeight w:val="308"/>
        </w:trPr>
        <w:tc>
          <w:tcPr>
            <w:tcW w:w="2662" w:type="pct"/>
            <w:gridSpan w:val="3"/>
            <w:tcBorders>
              <w:top w:val="single" w:sz="4" w:space="0" w:color="auto"/>
              <w:left w:val="single" w:sz="4" w:space="0" w:color="auto"/>
              <w:bottom w:val="single" w:sz="4" w:space="0" w:color="000000"/>
              <w:right w:val="single" w:sz="4" w:space="0" w:color="auto"/>
            </w:tcBorders>
            <w:noWrap/>
            <w:vAlign w:val="center"/>
          </w:tcPr>
          <w:p w:rsidR="00E34AE7" w:rsidRDefault="00B2012A">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栏次</w:t>
            </w:r>
          </w:p>
        </w:tc>
        <w:tc>
          <w:tcPr>
            <w:tcW w:w="706" w:type="pct"/>
            <w:tcBorders>
              <w:top w:val="nil"/>
              <w:left w:val="single" w:sz="4" w:space="0" w:color="auto"/>
              <w:bottom w:val="single" w:sz="4" w:space="0" w:color="000000"/>
              <w:right w:val="single" w:sz="4" w:space="0" w:color="000000"/>
            </w:tcBorders>
            <w:noWrap/>
            <w:vAlign w:val="center"/>
          </w:tcPr>
          <w:p w:rsidR="00E34AE7" w:rsidRDefault="00B2012A">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1</w:t>
            </w:r>
          </w:p>
        </w:tc>
        <w:tc>
          <w:tcPr>
            <w:tcW w:w="706" w:type="pct"/>
            <w:gridSpan w:val="2"/>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2</w:t>
            </w:r>
          </w:p>
        </w:tc>
        <w:tc>
          <w:tcPr>
            <w:tcW w:w="924" w:type="pct"/>
            <w:gridSpan w:val="2"/>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3</w:t>
            </w:r>
          </w:p>
        </w:tc>
      </w:tr>
      <w:tr w:rsidR="00E34AE7">
        <w:trPr>
          <w:trHeight w:val="308"/>
        </w:trPr>
        <w:tc>
          <w:tcPr>
            <w:tcW w:w="2662" w:type="pct"/>
            <w:gridSpan w:val="3"/>
            <w:tcBorders>
              <w:top w:val="single" w:sz="4" w:space="0" w:color="000000"/>
              <w:left w:val="single" w:sz="4" w:space="0" w:color="000000"/>
              <w:bottom w:val="single" w:sz="4" w:space="0" w:color="000000"/>
              <w:right w:val="single" w:sz="4" w:space="0" w:color="000000"/>
            </w:tcBorders>
            <w:noWrap/>
            <w:vAlign w:val="center"/>
          </w:tcPr>
          <w:p w:rsidR="00E34AE7" w:rsidRDefault="00B2012A">
            <w:pPr>
              <w:jc w:val="center"/>
              <w:rPr>
                <w:rFonts w:ascii="Times New Roman" w:eastAsia="宋体" w:hAnsi="Times New Roman" w:cs="Times New Roman"/>
                <w:color w:val="000000"/>
                <w:sz w:val="20"/>
                <w:szCs w:val="20"/>
              </w:rPr>
            </w:pPr>
            <w:r>
              <w:rPr>
                <w:rFonts w:ascii="Times New Roman" w:eastAsia="方正仿宋_GB2312" w:hAnsi="Times New Roman" w:cs="Times New Roman" w:hint="eastAsia"/>
                <w:color w:val="000000"/>
                <w:sz w:val="20"/>
                <w:szCs w:val="20"/>
              </w:rPr>
              <w:t>合计</w:t>
            </w:r>
          </w:p>
        </w:tc>
        <w:tc>
          <w:tcPr>
            <w:tcW w:w="706" w:type="pct"/>
            <w:tcBorders>
              <w:top w:val="single" w:sz="4" w:space="0" w:color="000000"/>
              <w:left w:val="single" w:sz="4" w:space="0" w:color="000000"/>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706" w:type="pct"/>
            <w:gridSpan w:val="2"/>
            <w:tcBorders>
              <w:top w:val="single" w:sz="4" w:space="0" w:color="000000"/>
              <w:left w:val="single" w:sz="4" w:space="0" w:color="000000"/>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c>
          <w:tcPr>
            <w:tcW w:w="924" w:type="pct"/>
            <w:gridSpan w:val="2"/>
            <w:tcBorders>
              <w:top w:val="single" w:sz="4" w:space="0" w:color="000000"/>
              <w:left w:val="single" w:sz="4" w:space="0" w:color="000000"/>
              <w:bottom w:val="single" w:sz="4" w:space="0" w:color="000000"/>
              <w:right w:val="single" w:sz="4" w:space="0" w:color="000000"/>
            </w:tcBorders>
            <w:noWrap/>
            <w:vAlign w:val="center"/>
          </w:tcPr>
          <w:p w:rsidR="00E34AE7" w:rsidRDefault="00E34AE7">
            <w:pPr>
              <w:jc w:val="right"/>
              <w:rPr>
                <w:rFonts w:ascii="Times New Roman" w:eastAsia="宋体" w:hAnsi="Times New Roman" w:cs="Times New Roman"/>
                <w:color w:val="000000"/>
                <w:sz w:val="20"/>
                <w:szCs w:val="20"/>
              </w:rPr>
            </w:pPr>
          </w:p>
        </w:tc>
      </w:tr>
      <w:tr w:rsidR="00E34AE7">
        <w:trPr>
          <w:trHeight w:val="308"/>
        </w:trPr>
        <w:tc>
          <w:tcPr>
            <w:tcW w:w="5000" w:type="pct"/>
            <w:gridSpan w:val="8"/>
            <w:tcBorders>
              <w:top w:val="nil"/>
              <w:left w:val="nil"/>
              <w:bottom w:val="nil"/>
              <w:right w:val="nil"/>
            </w:tcBorders>
            <w:noWrap/>
            <w:vAlign w:val="center"/>
          </w:tcPr>
          <w:p w:rsidR="00E34AE7" w:rsidRDefault="00B2012A">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注：本表反映部门本年度国有资本经营预算财政拨款支出情况。（如无相关数据，则需注明空表列示）</w:t>
            </w:r>
          </w:p>
        </w:tc>
      </w:tr>
    </w:tbl>
    <w:p w:rsidR="00E34AE7" w:rsidRDefault="00E34AE7">
      <w:pPr>
        <w:rPr>
          <w:rFonts w:ascii="仿宋_GB2312" w:eastAsia="仿宋_GB2312" w:hAnsi="宋体"/>
          <w:b/>
          <w:sz w:val="32"/>
          <w:szCs w:val="32"/>
        </w:rPr>
      </w:pPr>
    </w:p>
    <w:p w:rsidR="00E34AE7" w:rsidRDefault="00B2012A">
      <w:pPr>
        <w:rPr>
          <w:rFonts w:ascii="仿宋_GB2312" w:eastAsia="仿宋_GB2312" w:hAnsi="宋体"/>
          <w:b/>
          <w:sz w:val="32"/>
          <w:szCs w:val="32"/>
        </w:rPr>
      </w:pPr>
      <w:r>
        <w:rPr>
          <w:rFonts w:ascii="仿宋_GB2312" w:eastAsia="仿宋_GB2312" w:hAnsi="宋体" w:hint="eastAsia"/>
          <w:b/>
          <w:sz w:val="32"/>
          <w:szCs w:val="32"/>
        </w:rPr>
        <w:br w:type="page"/>
      </w:r>
    </w:p>
    <w:tbl>
      <w:tblPr>
        <w:tblpPr w:leftFromText="180" w:rightFromText="180" w:vertAnchor="text" w:horzAnchor="page" w:tblpX="282" w:tblpY="39"/>
        <w:tblOverlap w:val="never"/>
        <w:tblW w:w="7211" w:type="pct"/>
        <w:tblLayout w:type="fixed"/>
        <w:tblLook w:val="04A0"/>
      </w:tblPr>
      <w:tblGrid>
        <w:gridCol w:w="985"/>
        <w:gridCol w:w="1224"/>
        <w:gridCol w:w="812"/>
        <w:gridCol w:w="944"/>
        <w:gridCol w:w="524"/>
        <w:gridCol w:w="543"/>
        <w:gridCol w:w="779"/>
        <w:gridCol w:w="849"/>
        <w:gridCol w:w="1132"/>
        <w:gridCol w:w="638"/>
        <w:gridCol w:w="1025"/>
        <w:gridCol w:w="948"/>
        <w:gridCol w:w="1192"/>
      </w:tblGrid>
      <w:tr w:rsidR="00E34AE7">
        <w:trPr>
          <w:trHeight w:val="550"/>
        </w:trPr>
        <w:tc>
          <w:tcPr>
            <w:tcW w:w="5000" w:type="pct"/>
            <w:gridSpan w:val="13"/>
            <w:tcBorders>
              <w:top w:val="nil"/>
              <w:left w:val="nil"/>
              <w:bottom w:val="nil"/>
              <w:right w:val="nil"/>
            </w:tcBorders>
            <w:noWrap/>
            <w:vAlign w:val="bottom"/>
          </w:tcPr>
          <w:p w:rsidR="00E34AE7" w:rsidRDefault="00B2012A">
            <w:pPr>
              <w:widowControl/>
              <w:jc w:val="center"/>
              <w:textAlignment w:val="bottom"/>
              <w:rPr>
                <w:rFonts w:ascii="宋体" w:eastAsia="宋体" w:hAnsi="宋体"/>
                <w:color w:val="000000"/>
                <w:sz w:val="18"/>
                <w:szCs w:val="18"/>
              </w:rPr>
            </w:pPr>
            <w:r>
              <w:rPr>
                <w:rFonts w:ascii="方正仿宋_GB2312" w:eastAsia="方正仿宋_GB2312" w:hAnsi="方正仿宋_GB2312" w:cs="方正仿宋_GB2312" w:hint="eastAsia"/>
                <w:bCs/>
                <w:sz w:val="32"/>
                <w:szCs w:val="32"/>
              </w:rPr>
              <w:lastRenderedPageBreak/>
              <w:t>财政拨款“三公”经费支出决算表</w:t>
            </w:r>
          </w:p>
        </w:tc>
      </w:tr>
      <w:tr w:rsidR="00E34AE7">
        <w:trPr>
          <w:trHeight w:val="260"/>
        </w:trPr>
        <w:tc>
          <w:tcPr>
            <w:tcW w:w="5000" w:type="pct"/>
            <w:gridSpan w:val="13"/>
            <w:tcBorders>
              <w:top w:val="nil"/>
              <w:left w:val="nil"/>
              <w:bottom w:val="nil"/>
              <w:right w:val="nil"/>
            </w:tcBorders>
            <w:noWrap/>
            <w:vAlign w:val="bottom"/>
          </w:tcPr>
          <w:p w:rsidR="00E34AE7" w:rsidRDefault="00B2012A">
            <w:pPr>
              <w:widowControl/>
              <w:jc w:val="right"/>
              <w:textAlignment w:val="bottom"/>
              <w:rPr>
                <w:rFonts w:ascii="宋体" w:eastAsia="宋体" w:hAnsi="宋体"/>
                <w:color w:val="000000"/>
                <w:sz w:val="18"/>
                <w:szCs w:val="18"/>
              </w:rPr>
            </w:pPr>
            <w:r>
              <w:rPr>
                <w:rFonts w:ascii="方正仿宋_GB2312" w:eastAsia="方正仿宋_GB2312" w:hAnsi="方正仿宋_GB2312" w:cs="方正仿宋_GB2312" w:hint="eastAsia"/>
                <w:color w:val="000000"/>
                <w:sz w:val="18"/>
                <w:szCs w:val="18"/>
              </w:rPr>
              <w:t>公开</w:t>
            </w:r>
            <w:r>
              <w:rPr>
                <w:rFonts w:ascii="Times New Roman" w:eastAsia="方正仿宋_GB2312" w:hAnsi="Times New Roman" w:cs="Times New Roman"/>
                <w:color w:val="000000"/>
                <w:sz w:val="18"/>
                <w:szCs w:val="18"/>
              </w:rPr>
              <w:t>09</w:t>
            </w:r>
            <w:r>
              <w:rPr>
                <w:rFonts w:ascii="方正仿宋_GB2312" w:eastAsia="方正仿宋_GB2312" w:hAnsi="方正仿宋_GB2312" w:cs="方正仿宋_GB2312" w:hint="eastAsia"/>
                <w:color w:val="000000"/>
                <w:sz w:val="18"/>
                <w:szCs w:val="18"/>
              </w:rPr>
              <w:t>表</w:t>
            </w:r>
          </w:p>
        </w:tc>
      </w:tr>
      <w:tr w:rsidR="00E34AE7">
        <w:trPr>
          <w:trHeight w:val="260"/>
        </w:trPr>
        <w:tc>
          <w:tcPr>
            <w:tcW w:w="1936" w:type="pct"/>
            <w:gridSpan w:val="5"/>
            <w:tcBorders>
              <w:top w:val="nil"/>
              <w:left w:val="nil"/>
              <w:bottom w:val="single" w:sz="4" w:space="0" w:color="auto"/>
              <w:right w:val="nil"/>
            </w:tcBorders>
            <w:noWrap/>
            <w:vAlign w:val="bottom"/>
          </w:tcPr>
          <w:p w:rsidR="00E34AE7" w:rsidRDefault="00B2012A">
            <w:pPr>
              <w:widowControl/>
              <w:jc w:val="left"/>
              <w:textAlignment w:val="bottom"/>
              <w:rPr>
                <w:rFonts w:ascii="宋体" w:eastAsia="宋体" w:hAnsi="宋体"/>
                <w:color w:val="000000"/>
                <w:sz w:val="18"/>
                <w:szCs w:val="18"/>
              </w:rPr>
            </w:pPr>
            <w:r>
              <w:rPr>
                <w:rFonts w:ascii="方正仿宋_GB2312" w:eastAsia="方正仿宋_GB2312" w:hAnsi="方正仿宋_GB2312" w:cs="方正仿宋_GB2312" w:hint="eastAsia"/>
                <w:color w:val="000000"/>
                <w:sz w:val="18"/>
                <w:szCs w:val="18"/>
              </w:rPr>
              <w:t>部门（单位）：青龙满族自治县自然资源和规划局（汇总）</w:t>
            </w:r>
          </w:p>
        </w:tc>
        <w:tc>
          <w:tcPr>
            <w:tcW w:w="933" w:type="pct"/>
            <w:gridSpan w:val="3"/>
            <w:tcBorders>
              <w:top w:val="nil"/>
              <w:left w:val="nil"/>
              <w:bottom w:val="single" w:sz="4" w:space="0" w:color="auto"/>
              <w:right w:val="nil"/>
            </w:tcBorders>
            <w:noWrap/>
            <w:vAlign w:val="bottom"/>
          </w:tcPr>
          <w:p w:rsidR="00E34AE7" w:rsidRDefault="00B2012A">
            <w:pPr>
              <w:widowControl/>
              <w:jc w:val="center"/>
              <w:textAlignment w:val="bottom"/>
              <w:rPr>
                <w:rFonts w:ascii="宋体" w:eastAsia="宋体" w:hAnsi="宋体"/>
                <w:color w:val="000000"/>
                <w:sz w:val="18"/>
                <w:szCs w:val="18"/>
              </w:rPr>
            </w:pPr>
            <w:r>
              <w:rPr>
                <w:rFonts w:ascii="Times New Roman" w:eastAsia="宋体" w:hAnsi="Times New Roman" w:cs="Times New Roman"/>
                <w:color w:val="000000"/>
                <w:sz w:val="18"/>
                <w:szCs w:val="18"/>
              </w:rPr>
              <w:t>202</w:t>
            </w:r>
            <w:r>
              <w:rPr>
                <w:rFonts w:ascii="Times New Roman" w:eastAsia="宋体" w:hAnsi="Times New Roman" w:cs="Times New Roman" w:hint="eastAsia"/>
                <w:color w:val="000000"/>
                <w:sz w:val="18"/>
                <w:szCs w:val="18"/>
              </w:rPr>
              <w:t>4</w:t>
            </w:r>
            <w:r>
              <w:rPr>
                <w:rFonts w:ascii="方正仿宋_GB2312" w:eastAsia="方正仿宋_GB2312" w:hAnsi="方正仿宋_GB2312" w:cs="方正仿宋_GB2312" w:hint="eastAsia"/>
                <w:color w:val="000000"/>
                <w:sz w:val="18"/>
                <w:szCs w:val="18"/>
              </w:rPr>
              <w:t>年度</w:t>
            </w:r>
          </w:p>
        </w:tc>
        <w:tc>
          <w:tcPr>
            <w:tcW w:w="2129" w:type="pct"/>
            <w:gridSpan w:val="5"/>
            <w:tcBorders>
              <w:top w:val="nil"/>
              <w:left w:val="nil"/>
              <w:bottom w:val="single" w:sz="4" w:space="0" w:color="auto"/>
              <w:right w:val="nil"/>
            </w:tcBorders>
            <w:noWrap/>
            <w:vAlign w:val="bottom"/>
          </w:tcPr>
          <w:p w:rsidR="00E34AE7" w:rsidRDefault="00B2012A">
            <w:pPr>
              <w:widowControl/>
              <w:jc w:val="right"/>
              <w:textAlignment w:val="bottom"/>
              <w:rPr>
                <w:rFonts w:ascii="宋体" w:eastAsia="宋体" w:hAnsi="宋体"/>
                <w:color w:val="000000"/>
                <w:sz w:val="18"/>
                <w:szCs w:val="18"/>
              </w:rPr>
            </w:pPr>
            <w:r>
              <w:rPr>
                <w:rFonts w:ascii="方正仿宋_GB2312" w:eastAsia="方正仿宋_GB2312" w:hAnsi="方正仿宋_GB2312" w:cs="方正仿宋_GB2312" w:hint="eastAsia"/>
                <w:color w:val="000000"/>
                <w:sz w:val="18"/>
                <w:szCs w:val="18"/>
              </w:rPr>
              <w:t>金额单位：万元</w:t>
            </w:r>
          </w:p>
        </w:tc>
      </w:tr>
      <w:tr w:rsidR="00E34AE7">
        <w:trPr>
          <w:trHeight w:val="431"/>
        </w:trPr>
        <w:tc>
          <w:tcPr>
            <w:tcW w:w="2506" w:type="pct"/>
            <w:gridSpan w:val="7"/>
            <w:tcBorders>
              <w:top w:val="single" w:sz="4" w:space="0" w:color="auto"/>
              <w:left w:val="single" w:sz="4" w:space="0" w:color="000000"/>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预算数</w:t>
            </w:r>
          </w:p>
        </w:tc>
        <w:tc>
          <w:tcPr>
            <w:tcW w:w="2493" w:type="pct"/>
            <w:gridSpan w:val="6"/>
            <w:tcBorders>
              <w:top w:val="single" w:sz="4" w:space="0" w:color="auto"/>
              <w:left w:val="nil"/>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决算数</w:t>
            </w:r>
          </w:p>
        </w:tc>
      </w:tr>
      <w:tr w:rsidR="00E34AE7">
        <w:trPr>
          <w:trHeight w:val="431"/>
        </w:trPr>
        <w:tc>
          <w:tcPr>
            <w:tcW w:w="425" w:type="pct"/>
            <w:vMerge w:val="restart"/>
            <w:tcBorders>
              <w:top w:val="nil"/>
              <w:left w:val="single" w:sz="4" w:space="0" w:color="000000"/>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合计</w:t>
            </w:r>
          </w:p>
        </w:tc>
        <w:tc>
          <w:tcPr>
            <w:tcW w:w="528" w:type="pct"/>
            <w:vMerge w:val="restar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因公出国（境）费</w:t>
            </w:r>
          </w:p>
        </w:tc>
        <w:tc>
          <w:tcPr>
            <w:tcW w:w="1217" w:type="pct"/>
            <w:gridSpan w:val="4"/>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公务用车购置及运行维护费</w:t>
            </w:r>
          </w:p>
        </w:tc>
        <w:tc>
          <w:tcPr>
            <w:tcW w:w="335" w:type="pct"/>
            <w:vMerge w:val="restar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公务接待费</w:t>
            </w:r>
          </w:p>
        </w:tc>
        <w:tc>
          <w:tcPr>
            <w:tcW w:w="366" w:type="pct"/>
            <w:vMerge w:val="restar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合计</w:t>
            </w:r>
          </w:p>
        </w:tc>
        <w:tc>
          <w:tcPr>
            <w:tcW w:w="488" w:type="pct"/>
            <w:vMerge w:val="restar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因公出国（境）费</w:t>
            </w:r>
          </w:p>
        </w:tc>
        <w:tc>
          <w:tcPr>
            <w:tcW w:w="1126" w:type="pct"/>
            <w:gridSpan w:val="3"/>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公务用车购置及运行维护费</w:t>
            </w:r>
          </w:p>
        </w:tc>
        <w:tc>
          <w:tcPr>
            <w:tcW w:w="511" w:type="pct"/>
            <w:vMerge w:val="restar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公务接待费</w:t>
            </w:r>
          </w:p>
        </w:tc>
      </w:tr>
      <w:tr w:rsidR="00E34AE7">
        <w:trPr>
          <w:trHeight w:val="431"/>
        </w:trPr>
        <w:tc>
          <w:tcPr>
            <w:tcW w:w="425" w:type="pct"/>
            <w:vMerge/>
            <w:tcBorders>
              <w:top w:val="nil"/>
              <w:left w:val="single" w:sz="4" w:space="0" w:color="000000"/>
              <w:bottom w:val="single" w:sz="4" w:space="0" w:color="000000"/>
              <w:right w:val="single" w:sz="4" w:space="0" w:color="000000"/>
            </w:tcBorders>
            <w:noWrap/>
            <w:vAlign w:val="center"/>
          </w:tcPr>
          <w:p w:rsidR="00E34AE7" w:rsidRDefault="00E34AE7">
            <w:pPr>
              <w:jc w:val="center"/>
              <w:rPr>
                <w:rFonts w:ascii="方正仿宋_GB2312" w:eastAsia="方正仿宋_GB2312" w:hAnsi="方正仿宋_GB2312" w:cs="方正仿宋_GB2312"/>
                <w:color w:val="000000"/>
                <w:sz w:val="18"/>
                <w:szCs w:val="18"/>
              </w:rPr>
            </w:pPr>
          </w:p>
        </w:tc>
        <w:tc>
          <w:tcPr>
            <w:tcW w:w="528" w:type="pct"/>
            <w:vMerge/>
            <w:tcBorders>
              <w:top w:val="nil"/>
              <w:left w:val="nil"/>
              <w:bottom w:val="single" w:sz="4" w:space="0" w:color="000000"/>
              <w:right w:val="single" w:sz="4" w:space="0" w:color="000000"/>
            </w:tcBorders>
            <w:noWrap/>
            <w:vAlign w:val="center"/>
          </w:tcPr>
          <w:p w:rsidR="00E34AE7" w:rsidRDefault="00E34AE7">
            <w:pPr>
              <w:jc w:val="center"/>
              <w:rPr>
                <w:rFonts w:ascii="方正仿宋_GB2312" w:eastAsia="方正仿宋_GB2312" w:hAnsi="方正仿宋_GB2312" w:cs="方正仿宋_GB2312"/>
                <w:color w:val="000000"/>
                <w:sz w:val="18"/>
                <w:szCs w:val="18"/>
              </w:rPr>
            </w:pPr>
          </w:p>
        </w:tc>
        <w:tc>
          <w:tcPr>
            <w:tcW w:w="350"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小计</w:t>
            </w:r>
          </w:p>
        </w:tc>
        <w:tc>
          <w:tcPr>
            <w:tcW w:w="40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公务用车购置费</w:t>
            </w:r>
          </w:p>
        </w:tc>
        <w:tc>
          <w:tcPr>
            <w:tcW w:w="458" w:type="pct"/>
            <w:gridSpan w:val="2"/>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公务用车运行维护费</w:t>
            </w:r>
          </w:p>
        </w:tc>
        <w:tc>
          <w:tcPr>
            <w:tcW w:w="335" w:type="pct"/>
            <w:vMerge/>
            <w:tcBorders>
              <w:top w:val="nil"/>
              <w:left w:val="nil"/>
              <w:bottom w:val="single" w:sz="4" w:space="0" w:color="000000"/>
              <w:right w:val="single" w:sz="4" w:space="0" w:color="000000"/>
            </w:tcBorders>
            <w:noWrap/>
            <w:vAlign w:val="center"/>
          </w:tcPr>
          <w:p w:rsidR="00E34AE7" w:rsidRDefault="00E34AE7">
            <w:pPr>
              <w:jc w:val="center"/>
              <w:rPr>
                <w:rFonts w:ascii="方正仿宋_GB2312" w:eastAsia="方正仿宋_GB2312" w:hAnsi="方正仿宋_GB2312" w:cs="方正仿宋_GB2312"/>
                <w:color w:val="000000"/>
                <w:sz w:val="18"/>
                <w:szCs w:val="18"/>
              </w:rPr>
            </w:pPr>
          </w:p>
        </w:tc>
        <w:tc>
          <w:tcPr>
            <w:tcW w:w="366" w:type="pct"/>
            <w:vMerge/>
            <w:tcBorders>
              <w:top w:val="nil"/>
              <w:left w:val="nil"/>
              <w:bottom w:val="single" w:sz="4" w:space="0" w:color="000000"/>
              <w:right w:val="single" w:sz="4" w:space="0" w:color="000000"/>
            </w:tcBorders>
            <w:noWrap/>
            <w:vAlign w:val="center"/>
          </w:tcPr>
          <w:p w:rsidR="00E34AE7" w:rsidRDefault="00E34AE7">
            <w:pPr>
              <w:jc w:val="center"/>
              <w:rPr>
                <w:rFonts w:ascii="方正仿宋_GB2312" w:eastAsia="方正仿宋_GB2312" w:hAnsi="方正仿宋_GB2312" w:cs="方正仿宋_GB2312"/>
                <w:color w:val="000000"/>
                <w:sz w:val="18"/>
                <w:szCs w:val="18"/>
              </w:rPr>
            </w:pPr>
          </w:p>
        </w:tc>
        <w:tc>
          <w:tcPr>
            <w:tcW w:w="488" w:type="pct"/>
            <w:vMerge/>
            <w:tcBorders>
              <w:top w:val="nil"/>
              <w:left w:val="nil"/>
              <w:bottom w:val="single" w:sz="4" w:space="0" w:color="000000"/>
              <w:right w:val="single" w:sz="4" w:space="0" w:color="000000"/>
            </w:tcBorders>
            <w:noWrap/>
            <w:vAlign w:val="center"/>
          </w:tcPr>
          <w:p w:rsidR="00E34AE7" w:rsidRDefault="00E34AE7">
            <w:pPr>
              <w:jc w:val="center"/>
              <w:rPr>
                <w:rFonts w:ascii="方正仿宋_GB2312" w:eastAsia="方正仿宋_GB2312" w:hAnsi="方正仿宋_GB2312" w:cs="方正仿宋_GB2312"/>
                <w:color w:val="000000"/>
                <w:sz w:val="18"/>
                <w:szCs w:val="18"/>
              </w:rPr>
            </w:pPr>
          </w:p>
        </w:tc>
        <w:tc>
          <w:tcPr>
            <w:tcW w:w="275"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小计</w:t>
            </w:r>
          </w:p>
        </w:tc>
        <w:tc>
          <w:tcPr>
            <w:tcW w:w="442"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公务用车购置费</w:t>
            </w:r>
          </w:p>
        </w:tc>
        <w:tc>
          <w:tcPr>
            <w:tcW w:w="40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公务用车运行维护费</w:t>
            </w:r>
          </w:p>
        </w:tc>
        <w:tc>
          <w:tcPr>
            <w:tcW w:w="511" w:type="pct"/>
            <w:vMerge/>
            <w:tcBorders>
              <w:top w:val="nil"/>
              <w:left w:val="nil"/>
              <w:bottom w:val="single" w:sz="4" w:space="0" w:color="000000"/>
              <w:right w:val="single" w:sz="4" w:space="0" w:color="000000"/>
            </w:tcBorders>
            <w:noWrap/>
            <w:vAlign w:val="center"/>
          </w:tcPr>
          <w:p w:rsidR="00E34AE7" w:rsidRDefault="00E34AE7">
            <w:pPr>
              <w:jc w:val="center"/>
              <w:rPr>
                <w:rFonts w:ascii="方正仿宋_GB2312" w:eastAsia="方正仿宋_GB2312" w:hAnsi="方正仿宋_GB2312" w:cs="方正仿宋_GB2312"/>
                <w:color w:val="000000"/>
                <w:sz w:val="18"/>
                <w:szCs w:val="18"/>
              </w:rPr>
            </w:pPr>
          </w:p>
        </w:tc>
      </w:tr>
      <w:tr w:rsidR="00E34AE7">
        <w:trPr>
          <w:trHeight w:val="431"/>
        </w:trPr>
        <w:tc>
          <w:tcPr>
            <w:tcW w:w="425" w:type="pct"/>
            <w:tcBorders>
              <w:top w:val="nil"/>
              <w:left w:val="single" w:sz="4" w:space="0" w:color="000000"/>
              <w:bottom w:val="single" w:sz="4" w:space="0" w:color="000000"/>
              <w:right w:val="single" w:sz="4" w:space="0" w:color="000000"/>
            </w:tcBorders>
            <w:noWrap/>
            <w:vAlign w:val="center"/>
          </w:tcPr>
          <w:p w:rsidR="00E34AE7" w:rsidRDefault="00B2012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w:t>
            </w:r>
          </w:p>
        </w:tc>
        <w:tc>
          <w:tcPr>
            <w:tcW w:w="528"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2</w:t>
            </w:r>
          </w:p>
        </w:tc>
        <w:tc>
          <w:tcPr>
            <w:tcW w:w="350"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3</w:t>
            </w:r>
          </w:p>
        </w:tc>
        <w:tc>
          <w:tcPr>
            <w:tcW w:w="40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4</w:t>
            </w:r>
          </w:p>
        </w:tc>
        <w:tc>
          <w:tcPr>
            <w:tcW w:w="458" w:type="pct"/>
            <w:gridSpan w:val="2"/>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5</w:t>
            </w:r>
          </w:p>
        </w:tc>
        <w:tc>
          <w:tcPr>
            <w:tcW w:w="335"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6</w:t>
            </w:r>
          </w:p>
        </w:tc>
        <w:tc>
          <w:tcPr>
            <w:tcW w:w="366"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7</w:t>
            </w:r>
          </w:p>
        </w:tc>
        <w:tc>
          <w:tcPr>
            <w:tcW w:w="488"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8</w:t>
            </w:r>
          </w:p>
        </w:tc>
        <w:tc>
          <w:tcPr>
            <w:tcW w:w="275"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9</w:t>
            </w:r>
          </w:p>
        </w:tc>
        <w:tc>
          <w:tcPr>
            <w:tcW w:w="442"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10</w:t>
            </w:r>
          </w:p>
        </w:tc>
        <w:tc>
          <w:tcPr>
            <w:tcW w:w="407"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11</w:t>
            </w:r>
          </w:p>
        </w:tc>
        <w:tc>
          <w:tcPr>
            <w:tcW w:w="511" w:type="pct"/>
            <w:tcBorders>
              <w:top w:val="nil"/>
              <w:left w:val="nil"/>
              <w:bottom w:val="single" w:sz="4" w:space="0" w:color="000000"/>
              <w:right w:val="single" w:sz="4" w:space="0" w:color="000000"/>
            </w:tcBorders>
            <w:noWrap/>
            <w:vAlign w:val="center"/>
          </w:tcPr>
          <w:p w:rsidR="00E34AE7" w:rsidRDefault="00B2012A">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12</w:t>
            </w:r>
          </w:p>
        </w:tc>
      </w:tr>
      <w:tr w:rsidR="00E34AE7">
        <w:trPr>
          <w:trHeight w:val="431"/>
        </w:trPr>
        <w:tc>
          <w:tcPr>
            <w:tcW w:w="425" w:type="pct"/>
            <w:tcBorders>
              <w:top w:val="nil"/>
              <w:left w:val="single" w:sz="4" w:space="0" w:color="000000"/>
              <w:bottom w:val="single" w:sz="4" w:space="0" w:color="000000"/>
              <w:right w:val="single" w:sz="4" w:space="0" w:color="000000"/>
            </w:tcBorders>
            <w:noWrap/>
            <w:vAlign w:val="center"/>
          </w:tcPr>
          <w:p w:rsidR="00E34AE7" w:rsidRDefault="00B2012A">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46.18</w:t>
            </w:r>
          </w:p>
        </w:tc>
        <w:tc>
          <w:tcPr>
            <w:tcW w:w="528"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方正仿宋_GB2312" w:hAnsi="Times New Roman" w:cs="Times New Roman"/>
                <w:color w:val="000000"/>
                <w:sz w:val="18"/>
                <w:szCs w:val="18"/>
              </w:rPr>
            </w:pPr>
          </w:p>
        </w:tc>
        <w:tc>
          <w:tcPr>
            <w:tcW w:w="350"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41.60</w:t>
            </w:r>
          </w:p>
        </w:tc>
        <w:tc>
          <w:tcPr>
            <w:tcW w:w="407"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方正仿宋_GB2312" w:hAnsi="Times New Roman" w:cs="Times New Roman"/>
                <w:color w:val="000000"/>
                <w:sz w:val="18"/>
                <w:szCs w:val="18"/>
              </w:rPr>
            </w:pPr>
          </w:p>
        </w:tc>
        <w:tc>
          <w:tcPr>
            <w:tcW w:w="458" w:type="pct"/>
            <w:gridSpan w:val="2"/>
            <w:tcBorders>
              <w:top w:val="nil"/>
              <w:left w:val="nil"/>
              <w:bottom w:val="single" w:sz="4" w:space="0" w:color="000000"/>
              <w:right w:val="single" w:sz="4" w:space="0" w:color="000000"/>
            </w:tcBorders>
            <w:noWrap/>
            <w:vAlign w:val="center"/>
          </w:tcPr>
          <w:p w:rsidR="00E34AE7" w:rsidRDefault="00B2012A">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41.60</w:t>
            </w:r>
          </w:p>
        </w:tc>
        <w:tc>
          <w:tcPr>
            <w:tcW w:w="335"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4.58</w:t>
            </w:r>
          </w:p>
        </w:tc>
        <w:tc>
          <w:tcPr>
            <w:tcW w:w="366"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46.18</w:t>
            </w:r>
          </w:p>
        </w:tc>
        <w:tc>
          <w:tcPr>
            <w:tcW w:w="488"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方正仿宋_GB2312" w:hAnsi="Times New Roman" w:cs="Times New Roman"/>
                <w:color w:val="000000"/>
                <w:sz w:val="18"/>
                <w:szCs w:val="18"/>
              </w:rPr>
            </w:pPr>
          </w:p>
        </w:tc>
        <w:tc>
          <w:tcPr>
            <w:tcW w:w="275"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41.60</w:t>
            </w:r>
          </w:p>
        </w:tc>
        <w:tc>
          <w:tcPr>
            <w:tcW w:w="442" w:type="pct"/>
            <w:tcBorders>
              <w:top w:val="nil"/>
              <w:left w:val="nil"/>
              <w:bottom w:val="single" w:sz="4" w:space="0" w:color="000000"/>
              <w:right w:val="single" w:sz="4" w:space="0" w:color="000000"/>
            </w:tcBorders>
            <w:noWrap/>
            <w:vAlign w:val="center"/>
          </w:tcPr>
          <w:p w:rsidR="00E34AE7" w:rsidRDefault="00E34AE7">
            <w:pPr>
              <w:jc w:val="right"/>
              <w:rPr>
                <w:rFonts w:ascii="Times New Roman" w:eastAsia="方正仿宋_GB2312" w:hAnsi="Times New Roman" w:cs="Times New Roman"/>
                <w:color w:val="000000"/>
                <w:sz w:val="18"/>
                <w:szCs w:val="18"/>
              </w:rPr>
            </w:pPr>
          </w:p>
        </w:tc>
        <w:tc>
          <w:tcPr>
            <w:tcW w:w="407"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41.60</w:t>
            </w:r>
          </w:p>
        </w:tc>
        <w:tc>
          <w:tcPr>
            <w:tcW w:w="511" w:type="pct"/>
            <w:tcBorders>
              <w:top w:val="nil"/>
              <w:left w:val="nil"/>
              <w:bottom w:val="single" w:sz="4" w:space="0" w:color="000000"/>
              <w:right w:val="single" w:sz="4" w:space="0" w:color="000000"/>
            </w:tcBorders>
            <w:noWrap/>
            <w:vAlign w:val="center"/>
          </w:tcPr>
          <w:p w:rsidR="00E34AE7" w:rsidRDefault="00B2012A">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4.58</w:t>
            </w:r>
          </w:p>
        </w:tc>
      </w:tr>
      <w:tr w:rsidR="00E34AE7">
        <w:trPr>
          <w:trHeight w:val="431"/>
        </w:trPr>
        <w:tc>
          <w:tcPr>
            <w:tcW w:w="5000" w:type="pct"/>
            <w:gridSpan w:val="13"/>
            <w:tcBorders>
              <w:top w:val="nil"/>
              <w:left w:val="nil"/>
              <w:bottom w:val="nil"/>
              <w:right w:val="nil"/>
            </w:tcBorders>
            <w:noWrap/>
            <w:vAlign w:val="center"/>
          </w:tcPr>
          <w:p w:rsidR="00E34AE7" w:rsidRDefault="00B2012A">
            <w:pPr>
              <w:widowControl/>
              <w:jc w:val="left"/>
              <w:textAlignment w:val="center"/>
              <w:rPr>
                <w:rFonts w:ascii="宋体" w:eastAsia="宋体" w:hAnsi="宋体"/>
                <w:color w:val="000000"/>
                <w:sz w:val="18"/>
                <w:szCs w:val="18"/>
              </w:rPr>
            </w:pPr>
            <w:r>
              <w:rPr>
                <w:rFonts w:ascii="方正仿宋_GB2312" w:eastAsia="方正仿宋_GB2312" w:hAnsi="方正仿宋_GB2312" w:cs="方正仿宋_GB2312" w:hint="eastAsia"/>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rsidR="00E34AE7" w:rsidRDefault="00E34AE7">
      <w:pPr>
        <w:rPr>
          <w:rFonts w:ascii="仿宋_GB2312" w:eastAsia="仿宋_GB2312" w:hAnsi="宋体"/>
          <w:b/>
          <w:sz w:val="32"/>
          <w:szCs w:val="32"/>
        </w:rPr>
      </w:pPr>
    </w:p>
    <w:p w:rsidR="00E34AE7" w:rsidRDefault="00B2012A">
      <w:pPr>
        <w:rPr>
          <w:rFonts w:ascii="仿宋_GB2312" w:eastAsia="仿宋_GB2312" w:hAnsi="宋体"/>
          <w:b/>
          <w:sz w:val="32"/>
          <w:szCs w:val="32"/>
        </w:rPr>
      </w:pPr>
      <w:r>
        <w:rPr>
          <w:rFonts w:ascii="仿宋_GB2312" w:eastAsia="仿宋_GB2312" w:hAnsi="宋体" w:hint="eastAsia"/>
          <w:b/>
          <w:sz w:val="32"/>
          <w:szCs w:val="32"/>
        </w:rPr>
        <w:br w:type="page"/>
      </w:r>
    </w:p>
    <w:p w:rsidR="00E34AE7" w:rsidRDefault="00E34AE7">
      <w:pPr>
        <w:rPr>
          <w:rFonts w:ascii="仿宋_GB2312" w:eastAsia="仿宋_GB2312" w:hAnsi="宋体"/>
          <w:b/>
          <w:sz w:val="32"/>
          <w:szCs w:val="32"/>
        </w:rPr>
        <w:sectPr w:rsidR="00E34AE7">
          <w:headerReference w:type="default" r:id="rId15"/>
          <w:footerReference w:type="default" r:id="rId16"/>
          <w:pgSz w:w="11906" w:h="16838"/>
          <w:pgMar w:top="1531" w:right="1984" w:bottom="1531" w:left="2098" w:header="851" w:footer="992" w:gutter="0"/>
          <w:cols w:space="720"/>
          <w:docGrid w:type="lines" w:linePitch="312"/>
        </w:sectPr>
      </w:pPr>
    </w:p>
    <w:p w:rsidR="00E34AE7" w:rsidRDefault="00B2012A">
      <w:pPr>
        <w:widowControl/>
        <w:spacing w:line="360" w:lineRule="auto"/>
        <w:jc w:val="center"/>
        <w:outlineLvl w:val="0"/>
        <w:rPr>
          <w:rFonts w:ascii="Times New Roman" w:eastAsia="黑体"/>
          <w:sz w:val="44"/>
          <w:szCs w:val="44"/>
        </w:rPr>
      </w:pPr>
      <w:r>
        <w:rPr>
          <w:rFonts w:ascii="Times New Roman" w:eastAsia="黑体"/>
          <w:sz w:val="44"/>
          <w:szCs w:val="44"/>
        </w:rPr>
        <w:lastRenderedPageBreak/>
        <w:t>第三部分</w:t>
      </w:r>
      <w:r>
        <w:rPr>
          <w:rFonts w:ascii="Times New Roman" w:eastAsia="仿宋_GB2312"/>
          <w:sz w:val="44"/>
          <w:szCs w:val="44"/>
        </w:rPr>
        <w:t>2024</w:t>
      </w:r>
      <w:r>
        <w:rPr>
          <w:rFonts w:ascii="Times New Roman" w:eastAsia="黑体"/>
          <w:sz w:val="44"/>
          <w:szCs w:val="44"/>
        </w:rPr>
        <w:t>年度部门决算情况说明</w:t>
      </w:r>
    </w:p>
    <w:p w:rsidR="00E34AE7" w:rsidRDefault="00B2012A">
      <w:pPr>
        <w:widowControl/>
        <w:spacing w:line="360" w:lineRule="auto"/>
        <w:jc w:val="left"/>
        <w:outlineLvl w:val="1"/>
        <w:rPr>
          <w:rFonts w:ascii="Times New Roman" w:eastAsia="黑体"/>
          <w:sz w:val="32"/>
          <w:szCs w:val="32"/>
        </w:rPr>
      </w:pPr>
      <w:r>
        <w:rPr>
          <w:rFonts w:ascii="Times New Roman" w:eastAsia="黑体"/>
          <w:sz w:val="32"/>
          <w:szCs w:val="32"/>
        </w:rPr>
        <w:t>一、收入支出决算总体情况说明</w:t>
      </w:r>
    </w:p>
    <w:p w:rsidR="00AD2032" w:rsidRDefault="00B2012A" w:rsidP="00AD2032">
      <w:pPr>
        <w:autoSpaceDE w:val="0"/>
        <w:autoSpaceDN w:val="0"/>
        <w:adjustRightInd w:val="0"/>
        <w:snapToGrid w:val="0"/>
        <w:spacing w:line="360" w:lineRule="auto"/>
        <w:ind w:firstLineChars="200" w:firstLine="640"/>
        <w:jc w:val="left"/>
        <w:rPr>
          <w:rFonts w:ascii="仿宋" w:eastAsia="仿宋" w:hAnsi="仿宋" w:cs="Times New Roman"/>
          <w:kern w:val="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年度收、支总计（含结转和结余）均为</w:t>
      </w:r>
      <w:r>
        <w:rPr>
          <w:rFonts w:ascii="Times New Roman" w:eastAsia="仿宋_GB2312"/>
          <w:sz w:val="32"/>
          <w:szCs w:val="32"/>
        </w:rPr>
        <w:t>14,811.79</w:t>
      </w:r>
      <w:r>
        <w:rPr>
          <w:rFonts w:ascii="Times New Roman" w:eastAsia="仿宋_GB2312"/>
          <w:sz w:val="32"/>
          <w:szCs w:val="32"/>
        </w:rPr>
        <w:t>万元。与</w:t>
      </w:r>
      <w:r>
        <w:rPr>
          <w:rFonts w:ascii="Times New Roman" w:eastAsia="仿宋_GB2312"/>
          <w:sz w:val="32"/>
          <w:szCs w:val="32"/>
        </w:rPr>
        <w:t>2023</w:t>
      </w:r>
      <w:r>
        <w:rPr>
          <w:rFonts w:ascii="Times New Roman" w:eastAsia="仿宋_GB2312"/>
          <w:sz w:val="32"/>
          <w:szCs w:val="32"/>
        </w:rPr>
        <w:t>年度决算相比，收支各减少</w:t>
      </w:r>
      <w:r>
        <w:rPr>
          <w:rFonts w:ascii="Times New Roman" w:eastAsia="仿宋_GB2312"/>
          <w:sz w:val="32"/>
          <w:szCs w:val="32"/>
        </w:rPr>
        <w:t>9,930.11</w:t>
      </w:r>
      <w:r>
        <w:rPr>
          <w:rFonts w:ascii="Times New Roman" w:eastAsia="仿宋_GB2312"/>
          <w:sz w:val="32"/>
          <w:szCs w:val="32"/>
        </w:rPr>
        <w:t>万元，下降</w:t>
      </w:r>
      <w:r>
        <w:rPr>
          <w:rFonts w:ascii="Times New Roman" w:eastAsia="仿宋_GB2312"/>
          <w:sz w:val="32"/>
          <w:szCs w:val="32"/>
        </w:rPr>
        <w:t>40.1%</w:t>
      </w:r>
      <w:r>
        <w:rPr>
          <w:rFonts w:ascii="Times New Roman" w:eastAsia="仿宋_GB2312"/>
          <w:sz w:val="32"/>
          <w:szCs w:val="32"/>
        </w:rPr>
        <w:t>，主要原因是</w:t>
      </w:r>
      <w:r w:rsidR="00AD2032" w:rsidRPr="00AD2032">
        <w:rPr>
          <w:rFonts w:ascii="Times New Roman" w:eastAsia="仿宋_GB2312" w:hint="eastAsia"/>
          <w:sz w:val="32"/>
          <w:szCs w:val="32"/>
        </w:rPr>
        <w:t>财政资金紧张，压缩各预算单位开支，消减预算单位收入指标</w:t>
      </w:r>
      <w:r w:rsidR="00AD2032" w:rsidRPr="00AD2032">
        <w:rPr>
          <w:rFonts w:ascii="Times New Roman" w:eastAsia="仿宋_GB2312"/>
          <w:sz w:val="32"/>
          <w:szCs w:val="32"/>
        </w:rPr>
        <w:t>。</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w:t>
      </w:r>
    </w:p>
    <w:p w:rsidR="00E34AE7" w:rsidRDefault="00B2012A">
      <w:pPr>
        <w:pStyle w:val="a7"/>
        <w:widowControl/>
        <w:spacing w:beforeAutospacing="0" w:afterAutospacing="0"/>
        <w:jc w:val="center"/>
        <w:rPr>
          <w:rFonts w:ascii="Times New Roman" w:eastAsia="Arial" w:hAnsi="Times New Roman"/>
        </w:rPr>
      </w:pPr>
      <w:r>
        <w:rPr>
          <w:rFonts w:ascii="Times New Roman" w:eastAsia="宋体" w:hAnsi="Times New Roman" w:hint="eastAsia"/>
          <w:noProof/>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eastAsia="Arial" w:hAnsi="Times New Roman"/>
          <w:color w:val="000000"/>
          <w:sz w:val="18"/>
          <w:szCs w:val="18"/>
          <w:shd w:val="clear" w:color="auto" w:fill="FFFFFF"/>
        </w:rPr>
        <w:t> </w:t>
      </w:r>
    </w:p>
    <w:p w:rsidR="00E34AE7" w:rsidRDefault="00B2012A">
      <w:pPr>
        <w:widowControl/>
        <w:spacing w:line="360" w:lineRule="auto"/>
        <w:jc w:val="left"/>
        <w:outlineLvl w:val="1"/>
        <w:rPr>
          <w:rFonts w:ascii="Times New Roman" w:eastAsia="黑体"/>
          <w:sz w:val="32"/>
          <w:szCs w:val="32"/>
        </w:rPr>
      </w:pPr>
      <w:r>
        <w:rPr>
          <w:rFonts w:ascii="Times New Roman" w:eastAsia="黑体"/>
          <w:sz w:val="32"/>
          <w:szCs w:val="32"/>
        </w:rPr>
        <w:t>二、收入决算情况说明</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年度本年收入合计</w:t>
      </w:r>
      <w:r>
        <w:rPr>
          <w:rFonts w:ascii="Times New Roman" w:eastAsia="仿宋_GB2312"/>
          <w:sz w:val="32"/>
          <w:szCs w:val="32"/>
        </w:rPr>
        <w:t>11,709.78</w:t>
      </w:r>
      <w:r>
        <w:rPr>
          <w:rFonts w:ascii="Times New Roman" w:eastAsia="仿宋_GB2312"/>
          <w:sz w:val="32"/>
          <w:szCs w:val="32"/>
        </w:rPr>
        <w:t>万元，其中：财政拨款收入</w:t>
      </w:r>
      <w:r>
        <w:rPr>
          <w:rFonts w:ascii="Times New Roman" w:eastAsia="仿宋_GB2312"/>
          <w:sz w:val="32"/>
          <w:szCs w:val="32"/>
        </w:rPr>
        <w:t>11,709.78</w:t>
      </w:r>
      <w:r>
        <w:rPr>
          <w:rFonts w:ascii="Times New Roman" w:eastAsia="仿宋_GB2312"/>
          <w:sz w:val="32"/>
          <w:szCs w:val="32"/>
        </w:rPr>
        <w:t>万元，占</w:t>
      </w:r>
      <w:r>
        <w:rPr>
          <w:rFonts w:ascii="Times New Roman" w:eastAsia="仿宋_GB2312"/>
          <w:sz w:val="32"/>
          <w:szCs w:val="32"/>
        </w:rPr>
        <w:t>100.0%</w:t>
      </w:r>
      <w:r>
        <w:rPr>
          <w:rFonts w:ascii="Times New Roman" w:eastAsia="仿宋_GB2312"/>
          <w:sz w:val="32"/>
          <w:szCs w:val="32"/>
        </w:rPr>
        <w:t>；上级补助收入</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；事业收入</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；经营收入</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lastRenderedPageBreak/>
        <w:t>0.0%</w:t>
      </w:r>
      <w:r>
        <w:rPr>
          <w:rFonts w:ascii="Times New Roman" w:eastAsia="仿宋_GB2312"/>
          <w:sz w:val="32"/>
          <w:szCs w:val="32"/>
        </w:rPr>
        <w:t>；附属单位上缴收入</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；其他收入</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w:t>
      </w:r>
    </w:p>
    <w:p w:rsidR="00E34AE7" w:rsidRDefault="00B2012A">
      <w:pPr>
        <w:adjustRightInd w:val="0"/>
        <w:snapToGrid w:val="0"/>
        <w:spacing w:line="580" w:lineRule="exact"/>
        <w:rPr>
          <w:rFonts w:ascii="Times New Roman" w:eastAsia="仿宋_GB2312" w:hAnsi="Times New Roman" w:cs="Times New Roman"/>
          <w:kern w:val="2"/>
          <w:sz w:val="32"/>
          <w:szCs w:val="32"/>
          <w:highlight w:val="yellow"/>
          <w:lang w:val="zh-CN"/>
        </w:rPr>
      </w:pPr>
      <w:r>
        <w:rPr>
          <w:rFonts w:ascii="Times New Roman" w:eastAsia="仿宋_GB2312" w:hAnsi="Times New Roman"/>
          <w:noProof/>
          <w:kern w:val="2"/>
          <w:sz w:val="32"/>
          <w:szCs w:val="32"/>
          <w:highlight w:val="yellow"/>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E34AE7" w:rsidRDefault="00B2012A">
      <w:pPr>
        <w:widowControl/>
        <w:spacing w:line="360" w:lineRule="auto"/>
        <w:jc w:val="left"/>
        <w:outlineLvl w:val="1"/>
        <w:rPr>
          <w:rFonts w:ascii="Times New Roman" w:eastAsia="黑体"/>
          <w:sz w:val="32"/>
          <w:szCs w:val="32"/>
        </w:rPr>
      </w:pPr>
      <w:r>
        <w:rPr>
          <w:rFonts w:ascii="Times New Roman" w:eastAsia="黑体"/>
          <w:sz w:val="32"/>
          <w:szCs w:val="32"/>
        </w:rPr>
        <w:t>三、支出决算情况说明</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年度本年支出合计</w:t>
      </w:r>
      <w:r>
        <w:rPr>
          <w:rFonts w:ascii="Times New Roman" w:eastAsia="仿宋_GB2312"/>
          <w:sz w:val="32"/>
          <w:szCs w:val="32"/>
        </w:rPr>
        <w:t>14,307.85</w:t>
      </w:r>
      <w:r>
        <w:rPr>
          <w:rFonts w:ascii="Times New Roman" w:eastAsia="仿宋_GB2312"/>
          <w:sz w:val="32"/>
          <w:szCs w:val="32"/>
        </w:rPr>
        <w:t>万元，其中：基本支出</w:t>
      </w:r>
      <w:r>
        <w:rPr>
          <w:rFonts w:ascii="Times New Roman" w:eastAsia="仿宋_GB2312"/>
          <w:sz w:val="32"/>
          <w:szCs w:val="32"/>
        </w:rPr>
        <w:t>1,270.45</w:t>
      </w:r>
      <w:r>
        <w:rPr>
          <w:rFonts w:ascii="Times New Roman" w:eastAsia="仿宋_GB2312"/>
          <w:sz w:val="32"/>
          <w:szCs w:val="32"/>
        </w:rPr>
        <w:t>万元，占</w:t>
      </w:r>
      <w:r>
        <w:rPr>
          <w:rFonts w:ascii="Times New Roman" w:eastAsia="仿宋_GB2312"/>
          <w:sz w:val="32"/>
          <w:szCs w:val="32"/>
        </w:rPr>
        <w:t>8.9%</w:t>
      </w:r>
      <w:r>
        <w:rPr>
          <w:rFonts w:ascii="Times New Roman" w:eastAsia="仿宋_GB2312"/>
          <w:sz w:val="32"/>
          <w:szCs w:val="32"/>
        </w:rPr>
        <w:t>；项目支出</w:t>
      </w:r>
      <w:r>
        <w:rPr>
          <w:rFonts w:ascii="Times New Roman" w:eastAsia="仿宋_GB2312"/>
          <w:sz w:val="32"/>
          <w:szCs w:val="32"/>
        </w:rPr>
        <w:t>13,037.40</w:t>
      </w:r>
      <w:r>
        <w:rPr>
          <w:rFonts w:ascii="Times New Roman" w:eastAsia="仿宋_GB2312"/>
          <w:sz w:val="32"/>
          <w:szCs w:val="32"/>
        </w:rPr>
        <w:t>万元，占</w:t>
      </w:r>
      <w:r>
        <w:rPr>
          <w:rFonts w:ascii="Times New Roman" w:eastAsia="仿宋_GB2312"/>
          <w:sz w:val="32"/>
          <w:szCs w:val="32"/>
        </w:rPr>
        <w:t>91.1%</w:t>
      </w:r>
      <w:r>
        <w:rPr>
          <w:rFonts w:ascii="Times New Roman" w:eastAsia="仿宋_GB2312"/>
          <w:sz w:val="32"/>
          <w:szCs w:val="32"/>
        </w:rPr>
        <w:t>；上缴上级支出</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；经营支出</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；对附属单位补助支出</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w:t>
      </w:r>
    </w:p>
    <w:p w:rsidR="00E34AE7" w:rsidRDefault="00B2012A">
      <w:pPr>
        <w:autoSpaceDE w:val="0"/>
        <w:autoSpaceDN w:val="0"/>
        <w:adjustRightInd w:val="0"/>
        <w:jc w:val="center"/>
        <w:rPr>
          <w:rFonts w:ascii="Times New Roman" w:eastAsia="仿宋_GB2312" w:hAnsi="Times New Roman" w:cs="Times New Roman"/>
          <w:sz w:val="32"/>
          <w:szCs w:val="32"/>
        </w:rPr>
      </w:pPr>
      <w:r>
        <w:rPr>
          <w:rFonts w:ascii="Times New Roman" w:eastAsia="仿宋_GB2312" w:hAnsi="Times New Roman" w:cs="Times New Roman"/>
          <w:noProof/>
          <w:sz w:val="32"/>
          <w:szCs w:val="32"/>
        </w:rPr>
        <w:lastRenderedPageBreak/>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34AE7" w:rsidRDefault="00B2012A" w:rsidP="009D692D">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四、财政拨款收入支出决算总体情况说明</w:t>
      </w:r>
    </w:p>
    <w:p w:rsidR="00E34AE7" w:rsidRDefault="00B2012A" w:rsidP="009D692D">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年度财政拨款收、支总计（含结转和结余）均为</w:t>
      </w:r>
      <w:r>
        <w:rPr>
          <w:rFonts w:ascii="Times New Roman" w:eastAsia="仿宋_GB2312"/>
          <w:sz w:val="32"/>
          <w:szCs w:val="32"/>
        </w:rPr>
        <w:t>14,811.79</w:t>
      </w:r>
      <w:r>
        <w:rPr>
          <w:rFonts w:ascii="Times New Roman" w:eastAsia="仿宋_GB2312"/>
          <w:sz w:val="32"/>
          <w:szCs w:val="32"/>
        </w:rPr>
        <w:t>万元。与</w:t>
      </w:r>
      <w:r>
        <w:rPr>
          <w:rFonts w:ascii="Times New Roman" w:eastAsia="仿宋_GB2312"/>
          <w:sz w:val="32"/>
          <w:szCs w:val="32"/>
        </w:rPr>
        <w:t>2023</w:t>
      </w:r>
      <w:r>
        <w:rPr>
          <w:rFonts w:ascii="Times New Roman" w:eastAsia="仿宋_GB2312"/>
          <w:sz w:val="32"/>
          <w:szCs w:val="32"/>
        </w:rPr>
        <w:t>年度相比，财政拨款收支各减少</w:t>
      </w:r>
      <w:r>
        <w:rPr>
          <w:rFonts w:ascii="Times New Roman" w:eastAsia="仿宋_GB2312"/>
          <w:sz w:val="32"/>
          <w:szCs w:val="32"/>
        </w:rPr>
        <w:t>9,924.61</w:t>
      </w:r>
      <w:r>
        <w:rPr>
          <w:rFonts w:ascii="Times New Roman" w:eastAsia="仿宋_GB2312"/>
          <w:sz w:val="32"/>
          <w:szCs w:val="32"/>
        </w:rPr>
        <w:t>万元，降低</w:t>
      </w:r>
      <w:r>
        <w:rPr>
          <w:rFonts w:ascii="Times New Roman" w:eastAsia="仿宋_GB2312"/>
          <w:sz w:val="32"/>
          <w:szCs w:val="32"/>
        </w:rPr>
        <w:t>40.1%</w:t>
      </w:r>
      <w:r>
        <w:rPr>
          <w:rFonts w:ascii="Times New Roman" w:eastAsia="仿宋_GB2312"/>
          <w:sz w:val="32"/>
          <w:szCs w:val="32"/>
        </w:rPr>
        <w:t>，主要原因是</w:t>
      </w:r>
      <w:r w:rsidR="00AD2032" w:rsidRPr="00AD2032">
        <w:rPr>
          <w:rFonts w:ascii="Times New Roman" w:eastAsia="仿宋_GB2312" w:hint="eastAsia"/>
          <w:sz w:val="32"/>
          <w:szCs w:val="32"/>
        </w:rPr>
        <w:t>财政资金紧张，压缩各预算单位开支，消减预算单位收入指标</w:t>
      </w:r>
      <w:r>
        <w:rPr>
          <w:rFonts w:ascii="Times New Roman" w:eastAsia="仿宋_GB2312"/>
          <w:sz w:val="32"/>
          <w:szCs w:val="32"/>
        </w:rPr>
        <w:t>。</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年度财政拨款本年收入</w:t>
      </w:r>
      <w:r>
        <w:rPr>
          <w:rFonts w:ascii="Times New Roman" w:eastAsia="仿宋_GB2312"/>
          <w:sz w:val="32"/>
          <w:szCs w:val="32"/>
        </w:rPr>
        <w:t>11,709.78</w:t>
      </w:r>
      <w:r>
        <w:rPr>
          <w:rFonts w:ascii="Times New Roman" w:eastAsia="仿宋_GB2312"/>
          <w:sz w:val="32"/>
          <w:szCs w:val="32"/>
        </w:rPr>
        <w:t>万元</w:t>
      </w:r>
      <w:r>
        <w:rPr>
          <w:rFonts w:ascii="Times New Roman" w:eastAsia="仿宋_GB2312"/>
          <w:sz w:val="32"/>
          <w:szCs w:val="32"/>
        </w:rPr>
        <w:t>,</w:t>
      </w:r>
      <w:r>
        <w:rPr>
          <w:rFonts w:ascii="Times New Roman" w:eastAsia="仿宋_GB2312"/>
          <w:sz w:val="32"/>
          <w:szCs w:val="32"/>
        </w:rPr>
        <w:t>比上年减少</w:t>
      </w:r>
      <w:r>
        <w:rPr>
          <w:rFonts w:ascii="Times New Roman" w:eastAsia="仿宋_GB2312"/>
          <w:sz w:val="32"/>
          <w:szCs w:val="32"/>
        </w:rPr>
        <w:t>8,777.68</w:t>
      </w:r>
      <w:r>
        <w:rPr>
          <w:rFonts w:ascii="Times New Roman" w:eastAsia="仿宋_GB2312"/>
          <w:sz w:val="32"/>
          <w:szCs w:val="32"/>
        </w:rPr>
        <w:t>万元，降低</w:t>
      </w:r>
      <w:r>
        <w:rPr>
          <w:rFonts w:ascii="Times New Roman" w:eastAsia="仿宋_GB2312"/>
          <w:sz w:val="32"/>
          <w:szCs w:val="32"/>
        </w:rPr>
        <w:t>42.8%</w:t>
      </w:r>
      <w:r>
        <w:rPr>
          <w:rFonts w:ascii="Times New Roman" w:eastAsia="仿宋_GB2312"/>
          <w:sz w:val="32"/>
          <w:szCs w:val="32"/>
        </w:rPr>
        <w:t>，主要原因是</w:t>
      </w:r>
      <w:r w:rsidR="001C2385" w:rsidRPr="00AD2032">
        <w:rPr>
          <w:rFonts w:ascii="Times New Roman" w:eastAsia="仿宋_GB2312" w:hint="eastAsia"/>
          <w:sz w:val="32"/>
          <w:szCs w:val="32"/>
        </w:rPr>
        <w:t>财政资金紧张，压缩各预算单位开支，消减预算单位收入指标</w:t>
      </w:r>
      <w:r>
        <w:rPr>
          <w:rFonts w:ascii="Times New Roman" w:eastAsia="仿宋_GB2312"/>
          <w:sz w:val="32"/>
          <w:szCs w:val="32"/>
        </w:rPr>
        <w:t>；本年支出</w:t>
      </w:r>
      <w:r>
        <w:rPr>
          <w:rFonts w:ascii="Times New Roman" w:eastAsia="仿宋_GB2312"/>
          <w:sz w:val="32"/>
          <w:szCs w:val="32"/>
        </w:rPr>
        <w:t>14,307.85</w:t>
      </w:r>
      <w:r>
        <w:rPr>
          <w:rFonts w:ascii="Times New Roman" w:eastAsia="仿宋_GB2312"/>
          <w:sz w:val="32"/>
          <w:szCs w:val="32"/>
        </w:rPr>
        <w:t>万元，比上年减少</w:t>
      </w:r>
      <w:r>
        <w:rPr>
          <w:rFonts w:ascii="Times New Roman" w:eastAsia="仿宋_GB2312"/>
          <w:sz w:val="32"/>
          <w:szCs w:val="32"/>
        </w:rPr>
        <w:t>10,020.27</w:t>
      </w:r>
      <w:r>
        <w:rPr>
          <w:rFonts w:ascii="Times New Roman" w:eastAsia="仿宋_GB2312"/>
          <w:sz w:val="32"/>
          <w:szCs w:val="32"/>
        </w:rPr>
        <w:t>万元，降低</w:t>
      </w:r>
      <w:r>
        <w:rPr>
          <w:rFonts w:ascii="Times New Roman" w:eastAsia="仿宋_GB2312"/>
          <w:sz w:val="32"/>
          <w:szCs w:val="32"/>
        </w:rPr>
        <w:t>41.2%</w:t>
      </w:r>
      <w:r>
        <w:rPr>
          <w:rFonts w:ascii="Times New Roman" w:eastAsia="仿宋_GB2312"/>
          <w:sz w:val="32"/>
          <w:szCs w:val="32"/>
        </w:rPr>
        <w:t>，主要原因是</w:t>
      </w:r>
      <w:r w:rsidR="001C2385" w:rsidRPr="00AD2032">
        <w:rPr>
          <w:rFonts w:ascii="Times New Roman" w:eastAsia="仿宋_GB2312" w:hint="eastAsia"/>
          <w:sz w:val="32"/>
          <w:szCs w:val="32"/>
        </w:rPr>
        <w:t>财政资金紧张，压缩各预算单位开支，消减预算单位收入指标</w:t>
      </w:r>
      <w:r>
        <w:rPr>
          <w:rFonts w:ascii="Times New Roman" w:eastAsia="仿宋_GB2312"/>
          <w:sz w:val="32"/>
          <w:szCs w:val="32"/>
        </w:rPr>
        <w:t>。具体情况如下：</w:t>
      </w:r>
    </w:p>
    <w:p w:rsidR="00E34AE7" w:rsidRDefault="00B2012A" w:rsidP="009D692D">
      <w:pPr>
        <w:widowControl/>
        <w:spacing w:line="360" w:lineRule="auto"/>
        <w:ind w:firstLineChars="200" w:firstLine="640"/>
        <w:jc w:val="left"/>
        <w:outlineLvl w:val="1"/>
        <w:rPr>
          <w:rFonts w:ascii="Times New Roman" w:eastAsia="仿宋_GB2312"/>
          <w:sz w:val="32"/>
          <w:szCs w:val="32"/>
        </w:rPr>
      </w:pPr>
      <w:r>
        <w:rPr>
          <w:rFonts w:ascii="Times New Roman" w:eastAsia="仿宋_GB2312"/>
          <w:sz w:val="32"/>
          <w:szCs w:val="32"/>
        </w:rPr>
        <w:lastRenderedPageBreak/>
        <w:t xml:space="preserve">1. </w:t>
      </w:r>
      <w:r>
        <w:rPr>
          <w:rFonts w:ascii="Times New Roman" w:eastAsia="仿宋_GB2312"/>
          <w:sz w:val="32"/>
          <w:szCs w:val="32"/>
        </w:rPr>
        <w:t>一般公共预算财政拨款本年收入</w:t>
      </w:r>
      <w:r>
        <w:rPr>
          <w:rFonts w:ascii="Times New Roman" w:eastAsia="仿宋_GB2312"/>
          <w:sz w:val="32"/>
          <w:szCs w:val="32"/>
        </w:rPr>
        <w:t>11,471.48</w:t>
      </w:r>
      <w:r>
        <w:rPr>
          <w:rFonts w:ascii="Times New Roman" w:eastAsia="仿宋_GB2312"/>
          <w:sz w:val="32"/>
          <w:szCs w:val="32"/>
        </w:rPr>
        <w:t>万元</w:t>
      </w:r>
      <w:r>
        <w:rPr>
          <w:rFonts w:ascii="Times New Roman" w:eastAsia="仿宋_GB2312"/>
          <w:sz w:val="32"/>
          <w:szCs w:val="32"/>
        </w:rPr>
        <w:t>,</w:t>
      </w:r>
      <w:r>
        <w:rPr>
          <w:rFonts w:ascii="Times New Roman" w:eastAsia="仿宋_GB2312"/>
          <w:sz w:val="32"/>
          <w:szCs w:val="32"/>
        </w:rPr>
        <w:t>比上年减少</w:t>
      </w:r>
      <w:r>
        <w:rPr>
          <w:rFonts w:ascii="Times New Roman" w:eastAsia="仿宋_GB2312"/>
          <w:sz w:val="32"/>
          <w:szCs w:val="32"/>
        </w:rPr>
        <w:t>301.36</w:t>
      </w:r>
      <w:r>
        <w:rPr>
          <w:rFonts w:ascii="Times New Roman" w:eastAsia="仿宋_GB2312"/>
          <w:sz w:val="32"/>
          <w:szCs w:val="32"/>
        </w:rPr>
        <w:t>万元，降低</w:t>
      </w:r>
      <w:r>
        <w:rPr>
          <w:rFonts w:ascii="Times New Roman" w:eastAsia="仿宋_GB2312"/>
          <w:sz w:val="32"/>
          <w:szCs w:val="32"/>
        </w:rPr>
        <w:t>2.6%</w:t>
      </w:r>
      <w:r>
        <w:rPr>
          <w:rFonts w:ascii="Times New Roman" w:eastAsia="仿宋_GB2312"/>
          <w:sz w:val="32"/>
          <w:szCs w:val="32"/>
        </w:rPr>
        <w:t>，主要原因是</w:t>
      </w:r>
      <w:r w:rsidR="001C2385" w:rsidRPr="00AD2032">
        <w:rPr>
          <w:rFonts w:ascii="Times New Roman" w:eastAsia="仿宋_GB2312" w:hint="eastAsia"/>
          <w:sz w:val="32"/>
          <w:szCs w:val="32"/>
        </w:rPr>
        <w:t>财政资金紧张，压缩各预算单位开支，消减预算单位收入指标</w:t>
      </w:r>
      <w:r>
        <w:rPr>
          <w:rFonts w:ascii="Times New Roman" w:eastAsia="仿宋_GB2312"/>
          <w:sz w:val="32"/>
          <w:szCs w:val="32"/>
        </w:rPr>
        <w:t>；本年支出</w:t>
      </w:r>
      <w:r>
        <w:rPr>
          <w:rFonts w:ascii="Times New Roman" w:eastAsia="仿宋_GB2312"/>
          <w:sz w:val="32"/>
          <w:szCs w:val="32"/>
        </w:rPr>
        <w:t>13,819.55</w:t>
      </w:r>
      <w:r>
        <w:rPr>
          <w:rFonts w:ascii="Times New Roman" w:eastAsia="仿宋_GB2312"/>
          <w:sz w:val="32"/>
          <w:szCs w:val="32"/>
        </w:rPr>
        <w:t>万元，比上年减少</w:t>
      </w:r>
      <w:r>
        <w:rPr>
          <w:rFonts w:ascii="Times New Roman" w:eastAsia="仿宋_GB2312"/>
          <w:sz w:val="32"/>
          <w:szCs w:val="32"/>
        </w:rPr>
        <w:t>1,785.81</w:t>
      </w:r>
      <w:r>
        <w:rPr>
          <w:rFonts w:ascii="Times New Roman" w:eastAsia="仿宋_GB2312"/>
          <w:sz w:val="32"/>
          <w:szCs w:val="32"/>
        </w:rPr>
        <w:t>万元，降低</w:t>
      </w:r>
      <w:r>
        <w:rPr>
          <w:rFonts w:ascii="Times New Roman" w:eastAsia="仿宋_GB2312"/>
          <w:sz w:val="32"/>
          <w:szCs w:val="32"/>
        </w:rPr>
        <w:t>11.4%</w:t>
      </w:r>
      <w:r>
        <w:rPr>
          <w:rFonts w:ascii="Times New Roman" w:eastAsia="仿宋_GB2312"/>
          <w:sz w:val="32"/>
          <w:szCs w:val="32"/>
        </w:rPr>
        <w:t>，主要原因是</w:t>
      </w:r>
      <w:r w:rsidR="001C2385" w:rsidRPr="00AD2032">
        <w:rPr>
          <w:rFonts w:ascii="Times New Roman" w:eastAsia="仿宋_GB2312" w:hint="eastAsia"/>
          <w:sz w:val="32"/>
          <w:szCs w:val="32"/>
        </w:rPr>
        <w:t>财政资金紧张，压缩各预算单位开支，消减预算单位收入指标</w:t>
      </w:r>
      <w:r>
        <w:rPr>
          <w:rFonts w:ascii="Times New Roman" w:eastAsia="仿宋_GB2312"/>
          <w:sz w:val="32"/>
          <w:szCs w:val="32"/>
        </w:rPr>
        <w:t>。</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2. </w:t>
      </w:r>
      <w:r>
        <w:rPr>
          <w:rFonts w:ascii="Times New Roman" w:eastAsia="仿宋_GB2312"/>
          <w:sz w:val="32"/>
          <w:szCs w:val="32"/>
        </w:rPr>
        <w:t>政府性基金预算财政拨款本年收入</w:t>
      </w:r>
      <w:r>
        <w:rPr>
          <w:rFonts w:ascii="Times New Roman" w:eastAsia="仿宋_GB2312"/>
          <w:sz w:val="32"/>
          <w:szCs w:val="32"/>
        </w:rPr>
        <w:t>238.30</w:t>
      </w:r>
      <w:r>
        <w:rPr>
          <w:rFonts w:ascii="Times New Roman" w:eastAsia="仿宋_GB2312"/>
          <w:sz w:val="32"/>
          <w:szCs w:val="32"/>
        </w:rPr>
        <w:t>万元，比上年减少</w:t>
      </w:r>
      <w:r>
        <w:rPr>
          <w:rFonts w:ascii="Times New Roman" w:eastAsia="仿宋_GB2312"/>
          <w:sz w:val="32"/>
          <w:szCs w:val="32"/>
        </w:rPr>
        <w:t>8,476.32</w:t>
      </w:r>
      <w:r>
        <w:rPr>
          <w:rFonts w:ascii="Times New Roman" w:eastAsia="仿宋_GB2312"/>
          <w:sz w:val="32"/>
          <w:szCs w:val="32"/>
        </w:rPr>
        <w:t>万元，降低</w:t>
      </w:r>
      <w:r>
        <w:rPr>
          <w:rFonts w:ascii="Times New Roman" w:eastAsia="仿宋_GB2312"/>
          <w:sz w:val="32"/>
          <w:szCs w:val="32"/>
        </w:rPr>
        <w:t>97.3%</w:t>
      </w:r>
      <w:r>
        <w:rPr>
          <w:rFonts w:ascii="Times New Roman" w:eastAsia="仿宋_GB2312"/>
          <w:sz w:val="32"/>
          <w:szCs w:val="32"/>
        </w:rPr>
        <w:t>，主要原因是</w:t>
      </w:r>
      <w:r w:rsidR="001C2385" w:rsidRPr="00AD2032">
        <w:rPr>
          <w:rFonts w:ascii="Times New Roman" w:eastAsia="仿宋_GB2312" w:hint="eastAsia"/>
          <w:sz w:val="32"/>
          <w:szCs w:val="32"/>
        </w:rPr>
        <w:t>财政资金紧张，压缩各预算单位开支，消减预算单位收入指标</w:t>
      </w:r>
      <w:r>
        <w:rPr>
          <w:rFonts w:ascii="Times New Roman" w:eastAsia="仿宋_GB2312"/>
          <w:sz w:val="32"/>
          <w:szCs w:val="32"/>
        </w:rPr>
        <w:t>；本年支出</w:t>
      </w:r>
      <w:r>
        <w:rPr>
          <w:rFonts w:ascii="Times New Roman" w:eastAsia="仿宋_GB2312"/>
          <w:sz w:val="32"/>
          <w:szCs w:val="32"/>
        </w:rPr>
        <w:t>488.30</w:t>
      </w:r>
      <w:r>
        <w:rPr>
          <w:rFonts w:ascii="Times New Roman" w:eastAsia="仿宋_GB2312"/>
          <w:sz w:val="32"/>
          <w:szCs w:val="32"/>
        </w:rPr>
        <w:t>万元，比上年减少</w:t>
      </w:r>
      <w:r>
        <w:rPr>
          <w:rFonts w:ascii="Times New Roman" w:eastAsia="仿宋_GB2312"/>
          <w:sz w:val="32"/>
          <w:szCs w:val="32"/>
        </w:rPr>
        <w:t>8,234.46</w:t>
      </w:r>
      <w:r>
        <w:rPr>
          <w:rFonts w:ascii="Times New Roman" w:eastAsia="仿宋_GB2312"/>
          <w:sz w:val="32"/>
          <w:szCs w:val="32"/>
        </w:rPr>
        <w:t>万元，降低</w:t>
      </w:r>
      <w:r>
        <w:rPr>
          <w:rFonts w:ascii="Times New Roman" w:eastAsia="仿宋_GB2312"/>
          <w:sz w:val="32"/>
          <w:szCs w:val="32"/>
        </w:rPr>
        <w:t>94.4%</w:t>
      </w:r>
      <w:r>
        <w:rPr>
          <w:rFonts w:ascii="Times New Roman" w:eastAsia="仿宋_GB2312"/>
          <w:sz w:val="32"/>
          <w:szCs w:val="32"/>
        </w:rPr>
        <w:t>，主要原因是</w:t>
      </w:r>
      <w:r w:rsidR="001C2385" w:rsidRPr="00AD2032">
        <w:rPr>
          <w:rFonts w:ascii="Times New Roman" w:eastAsia="仿宋_GB2312" w:hint="eastAsia"/>
          <w:sz w:val="32"/>
          <w:szCs w:val="32"/>
        </w:rPr>
        <w:t>财政资金紧张，压缩各预算单位开支，消减预算单位收入指标</w:t>
      </w:r>
      <w:r>
        <w:rPr>
          <w:rFonts w:ascii="Times New Roman" w:eastAsia="仿宋_GB2312"/>
          <w:sz w:val="32"/>
          <w:szCs w:val="32"/>
        </w:rPr>
        <w:t>。</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3. </w:t>
      </w:r>
      <w:r>
        <w:rPr>
          <w:rFonts w:ascii="Times New Roman" w:eastAsia="仿宋_GB2312"/>
          <w:sz w:val="32"/>
          <w:szCs w:val="32"/>
        </w:rPr>
        <w:t>国有资本经营预算财政拨款本年收入</w:t>
      </w:r>
      <w:r>
        <w:rPr>
          <w:rFonts w:ascii="Times New Roman" w:eastAsia="仿宋_GB2312"/>
          <w:sz w:val="32"/>
          <w:szCs w:val="32"/>
        </w:rPr>
        <w:t>0.00</w:t>
      </w:r>
      <w:r>
        <w:rPr>
          <w:rFonts w:ascii="Times New Roman" w:eastAsia="仿宋_GB2312"/>
          <w:sz w:val="32"/>
          <w:szCs w:val="32"/>
        </w:rPr>
        <w:t>万元，</w:t>
      </w:r>
      <w:r w:rsidR="001C2385" w:rsidRPr="001C2385">
        <w:rPr>
          <w:rFonts w:ascii="Times New Roman" w:eastAsia="仿宋_GB2312"/>
          <w:sz w:val="32"/>
          <w:szCs w:val="32"/>
        </w:rPr>
        <w:t>与上年持平</w:t>
      </w:r>
      <w:r>
        <w:rPr>
          <w:rFonts w:ascii="Times New Roman" w:eastAsia="仿宋_GB2312"/>
          <w:sz w:val="32"/>
          <w:szCs w:val="32"/>
        </w:rPr>
        <w:t>；本年支出</w:t>
      </w:r>
      <w:r>
        <w:rPr>
          <w:rFonts w:ascii="Times New Roman" w:eastAsia="仿宋_GB2312"/>
          <w:sz w:val="32"/>
          <w:szCs w:val="32"/>
        </w:rPr>
        <w:t>0.00</w:t>
      </w:r>
      <w:r>
        <w:rPr>
          <w:rFonts w:ascii="Times New Roman" w:eastAsia="仿宋_GB2312"/>
          <w:sz w:val="32"/>
          <w:szCs w:val="32"/>
        </w:rPr>
        <w:t>万元，</w:t>
      </w:r>
      <w:r w:rsidR="001C2385" w:rsidRPr="001C2385">
        <w:rPr>
          <w:rFonts w:ascii="Times New Roman" w:eastAsia="仿宋_GB2312"/>
          <w:sz w:val="32"/>
          <w:szCs w:val="32"/>
        </w:rPr>
        <w:t>与上年持平</w:t>
      </w:r>
      <w:r>
        <w:rPr>
          <w:rFonts w:ascii="Times New Roman" w:eastAsia="仿宋_GB2312"/>
          <w:sz w:val="32"/>
          <w:szCs w:val="32"/>
        </w:rPr>
        <w:t>。</w:t>
      </w:r>
    </w:p>
    <w:p w:rsidR="00E34AE7" w:rsidRDefault="00B2012A">
      <w:pPr>
        <w:pStyle w:val="a7"/>
        <w:widowControl/>
        <w:spacing w:beforeAutospacing="0" w:afterAutospacing="0"/>
        <w:jc w:val="center"/>
        <w:rPr>
          <w:rFonts w:ascii="Times New Roman" w:eastAsia="仿宋_GB2312" w:hAnsi="Times New Roman"/>
          <w:sz w:val="32"/>
          <w:szCs w:val="32"/>
        </w:rPr>
      </w:pPr>
      <w:r>
        <w:rPr>
          <w:rFonts w:ascii="Times New Roman" w:eastAsia="仿宋_GB2312" w:hAnsi="Times New Roman"/>
          <w:noProof/>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34AE7" w:rsidRDefault="00B2012A" w:rsidP="009D692D">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lastRenderedPageBreak/>
        <w:t>（二）财政拨款收支与年初预算数对比情况</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年度财政拨款本年收入</w:t>
      </w:r>
      <w:r>
        <w:rPr>
          <w:rFonts w:ascii="Times New Roman" w:eastAsia="仿宋_GB2312"/>
          <w:sz w:val="32"/>
          <w:szCs w:val="32"/>
        </w:rPr>
        <w:t>11,709.78</w:t>
      </w:r>
      <w:r>
        <w:rPr>
          <w:rFonts w:ascii="Times New Roman" w:eastAsia="仿宋_GB2312"/>
          <w:sz w:val="32"/>
          <w:szCs w:val="32"/>
        </w:rPr>
        <w:t>万元，完成年初预算的</w:t>
      </w:r>
      <w:r>
        <w:rPr>
          <w:rFonts w:ascii="Times New Roman" w:eastAsia="仿宋_GB2312"/>
          <w:sz w:val="32"/>
          <w:szCs w:val="32"/>
        </w:rPr>
        <w:t>65.9%</w:t>
      </w:r>
      <w:r>
        <w:rPr>
          <w:rFonts w:ascii="Times New Roman" w:eastAsia="仿宋_GB2312"/>
          <w:sz w:val="32"/>
          <w:szCs w:val="32"/>
        </w:rPr>
        <w:t>，比年初预算减少</w:t>
      </w:r>
      <w:r>
        <w:rPr>
          <w:rFonts w:ascii="Times New Roman" w:eastAsia="仿宋_GB2312"/>
          <w:sz w:val="32"/>
          <w:szCs w:val="32"/>
        </w:rPr>
        <w:t>6,054.12</w:t>
      </w:r>
      <w:r>
        <w:rPr>
          <w:rFonts w:ascii="Times New Roman" w:eastAsia="仿宋_GB2312"/>
          <w:sz w:val="32"/>
          <w:szCs w:val="32"/>
        </w:rPr>
        <w:t>万元，决算数小于预算数主要原因是</w:t>
      </w:r>
      <w:r w:rsidR="00DE0BCF" w:rsidRPr="00DE0BCF">
        <w:rPr>
          <w:rFonts w:ascii="Times New Roman" w:eastAsia="仿宋_GB2312" w:hint="eastAsia"/>
          <w:sz w:val="32"/>
          <w:szCs w:val="32"/>
        </w:rPr>
        <w:t>财政资金紧张，压缩各预算单位开支，消减预算单位收入指标</w:t>
      </w:r>
      <w:r>
        <w:rPr>
          <w:rFonts w:ascii="Times New Roman" w:eastAsia="仿宋_GB2312"/>
          <w:sz w:val="32"/>
          <w:szCs w:val="32"/>
        </w:rPr>
        <w:t>；本年支出</w:t>
      </w:r>
      <w:r>
        <w:rPr>
          <w:rFonts w:ascii="Times New Roman" w:eastAsia="仿宋_GB2312"/>
          <w:sz w:val="32"/>
          <w:szCs w:val="32"/>
        </w:rPr>
        <w:t>14,307.85</w:t>
      </w:r>
      <w:r>
        <w:rPr>
          <w:rFonts w:ascii="Times New Roman" w:eastAsia="仿宋_GB2312"/>
          <w:sz w:val="32"/>
          <w:szCs w:val="32"/>
        </w:rPr>
        <w:t>万元，完成年初预算的</w:t>
      </w:r>
      <w:r>
        <w:rPr>
          <w:rFonts w:ascii="Times New Roman" w:eastAsia="仿宋_GB2312"/>
          <w:sz w:val="32"/>
          <w:szCs w:val="32"/>
        </w:rPr>
        <w:t>62.4%</w:t>
      </w:r>
      <w:r>
        <w:rPr>
          <w:rFonts w:ascii="Times New Roman" w:eastAsia="仿宋_GB2312"/>
          <w:sz w:val="32"/>
          <w:szCs w:val="32"/>
        </w:rPr>
        <w:t>，比年初预算减少</w:t>
      </w:r>
      <w:r>
        <w:rPr>
          <w:rFonts w:ascii="Times New Roman" w:eastAsia="仿宋_GB2312"/>
          <w:sz w:val="32"/>
          <w:szCs w:val="32"/>
        </w:rPr>
        <w:t>8,629.52</w:t>
      </w:r>
      <w:r>
        <w:rPr>
          <w:rFonts w:ascii="Times New Roman" w:eastAsia="仿宋_GB2312"/>
          <w:sz w:val="32"/>
          <w:szCs w:val="32"/>
        </w:rPr>
        <w:t>万元，决算数小于预算数主要原因是</w:t>
      </w:r>
      <w:r w:rsidR="00DE0BCF" w:rsidRPr="00DE0BCF">
        <w:rPr>
          <w:rFonts w:ascii="Times New Roman" w:eastAsia="仿宋_GB2312" w:hint="eastAsia"/>
          <w:sz w:val="32"/>
          <w:szCs w:val="32"/>
        </w:rPr>
        <w:t>财政资金紧张，压缩各预算单位开支，消减预算单位收入指标</w:t>
      </w:r>
      <w:r>
        <w:rPr>
          <w:rFonts w:ascii="Times New Roman" w:eastAsia="仿宋_GB2312"/>
          <w:sz w:val="32"/>
          <w:szCs w:val="32"/>
        </w:rPr>
        <w:t>。具体情况如下：</w:t>
      </w:r>
    </w:p>
    <w:p w:rsidR="00E34AE7" w:rsidRPr="00DE0BCF" w:rsidRDefault="00B2012A" w:rsidP="00DE0BCF">
      <w:pPr>
        <w:autoSpaceDE w:val="0"/>
        <w:autoSpaceDN w:val="0"/>
        <w:adjustRightInd w:val="0"/>
        <w:snapToGrid w:val="0"/>
        <w:spacing w:line="360" w:lineRule="auto"/>
        <w:ind w:firstLineChars="200" w:firstLine="640"/>
        <w:jc w:val="left"/>
        <w:rPr>
          <w:rFonts w:ascii="仿宋" w:eastAsia="仿宋" w:hAnsi="仿宋" w:cs="Times New Roman"/>
          <w:kern w:val="2"/>
          <w:sz w:val="32"/>
          <w:szCs w:val="32"/>
        </w:rPr>
      </w:pPr>
      <w:r>
        <w:rPr>
          <w:rFonts w:ascii="Times New Roman" w:eastAsia="仿宋_GB2312"/>
          <w:sz w:val="32"/>
          <w:szCs w:val="32"/>
        </w:rPr>
        <w:t xml:space="preserve">1. </w:t>
      </w:r>
      <w:r>
        <w:rPr>
          <w:rFonts w:ascii="Times New Roman" w:eastAsia="仿宋_GB2312"/>
          <w:sz w:val="32"/>
          <w:szCs w:val="32"/>
        </w:rPr>
        <w:t>一般公共预算财政拨款本年收入完成年初预算的</w:t>
      </w:r>
      <w:r>
        <w:rPr>
          <w:rFonts w:ascii="Times New Roman" w:eastAsia="仿宋_GB2312"/>
          <w:sz w:val="32"/>
          <w:szCs w:val="32"/>
        </w:rPr>
        <w:t>194.4%</w:t>
      </w:r>
      <w:r>
        <w:rPr>
          <w:rFonts w:ascii="Times New Roman" w:eastAsia="仿宋_GB2312"/>
          <w:sz w:val="32"/>
          <w:szCs w:val="32"/>
        </w:rPr>
        <w:t>，比年初预算增加</w:t>
      </w:r>
      <w:r>
        <w:rPr>
          <w:rFonts w:ascii="Times New Roman" w:eastAsia="仿宋_GB2312"/>
          <w:sz w:val="32"/>
          <w:szCs w:val="32"/>
        </w:rPr>
        <w:t>5,569.58</w:t>
      </w:r>
      <w:r>
        <w:rPr>
          <w:rFonts w:ascii="Times New Roman" w:eastAsia="仿宋_GB2312"/>
          <w:sz w:val="32"/>
          <w:szCs w:val="32"/>
        </w:rPr>
        <w:t>万元，主要原因是</w:t>
      </w:r>
      <w:r w:rsidR="00DE0BCF" w:rsidRPr="00DE0BCF">
        <w:rPr>
          <w:rFonts w:ascii="Times New Roman" w:eastAsia="仿宋_GB2312" w:hint="eastAsia"/>
          <w:sz w:val="32"/>
          <w:szCs w:val="32"/>
        </w:rPr>
        <w:t>土地出让金增加</w:t>
      </w:r>
      <w:r>
        <w:rPr>
          <w:rFonts w:ascii="Times New Roman" w:eastAsia="仿宋_GB2312"/>
          <w:sz w:val="32"/>
          <w:szCs w:val="32"/>
        </w:rPr>
        <w:t>；支出完成年初预算的</w:t>
      </w:r>
      <w:r>
        <w:rPr>
          <w:rFonts w:ascii="Times New Roman" w:eastAsia="仿宋_GB2312"/>
          <w:sz w:val="32"/>
          <w:szCs w:val="32"/>
        </w:rPr>
        <w:t>124.8%</w:t>
      </w:r>
      <w:r>
        <w:rPr>
          <w:rFonts w:ascii="Times New Roman" w:eastAsia="仿宋_GB2312"/>
          <w:sz w:val="32"/>
          <w:szCs w:val="32"/>
        </w:rPr>
        <w:t>，比年初预算增加</w:t>
      </w:r>
      <w:r>
        <w:rPr>
          <w:rFonts w:ascii="Times New Roman" w:eastAsia="仿宋_GB2312"/>
          <w:sz w:val="32"/>
          <w:szCs w:val="32"/>
        </w:rPr>
        <w:t>2,744.18</w:t>
      </w:r>
      <w:r>
        <w:rPr>
          <w:rFonts w:ascii="Times New Roman" w:eastAsia="仿宋_GB2312"/>
          <w:sz w:val="32"/>
          <w:szCs w:val="32"/>
        </w:rPr>
        <w:t>万元，主要原因是</w:t>
      </w:r>
      <w:r w:rsidR="00DE0BCF" w:rsidRPr="00DE0BCF">
        <w:rPr>
          <w:rFonts w:ascii="Times New Roman" w:eastAsia="仿宋_GB2312" w:hint="eastAsia"/>
          <w:sz w:val="32"/>
          <w:szCs w:val="32"/>
        </w:rPr>
        <w:t>土地收储成本增加</w:t>
      </w:r>
      <w:r w:rsidR="00DE0BCF" w:rsidRPr="003F4BEC">
        <w:rPr>
          <w:rFonts w:ascii="仿宋" w:eastAsia="仿宋" w:hAnsi="仿宋" w:cs="Times New Roman"/>
          <w:kern w:val="2"/>
          <w:sz w:val="32"/>
          <w:szCs w:val="32"/>
          <w:lang w:val="zh-CN"/>
        </w:rPr>
        <w:t>。</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2. </w:t>
      </w:r>
      <w:r w:rsidR="00077816">
        <w:rPr>
          <w:rFonts w:ascii="Times New Roman" w:eastAsia="仿宋_GB2312"/>
          <w:sz w:val="32"/>
          <w:szCs w:val="32"/>
        </w:rPr>
        <w:t>政府性基金预算财政拨款本年收入完成年初预算</w:t>
      </w:r>
      <w:r>
        <w:rPr>
          <w:rFonts w:ascii="Times New Roman" w:eastAsia="仿宋_GB2312"/>
          <w:sz w:val="32"/>
          <w:szCs w:val="32"/>
        </w:rPr>
        <w:t>2.0%</w:t>
      </w:r>
      <w:r>
        <w:rPr>
          <w:rFonts w:ascii="Times New Roman" w:eastAsia="仿宋_GB2312"/>
          <w:sz w:val="32"/>
          <w:szCs w:val="32"/>
        </w:rPr>
        <w:t>，比年初预算减少</w:t>
      </w:r>
      <w:r>
        <w:rPr>
          <w:rFonts w:ascii="Times New Roman" w:eastAsia="仿宋_GB2312"/>
          <w:sz w:val="32"/>
          <w:szCs w:val="32"/>
        </w:rPr>
        <w:t>11,623.70</w:t>
      </w:r>
      <w:r>
        <w:rPr>
          <w:rFonts w:ascii="Times New Roman" w:eastAsia="仿宋_GB2312"/>
          <w:sz w:val="32"/>
          <w:szCs w:val="32"/>
        </w:rPr>
        <w:t>万元，主要原因是</w:t>
      </w:r>
      <w:r w:rsidR="00DE0BCF" w:rsidRPr="00DE0BCF">
        <w:rPr>
          <w:rFonts w:ascii="Times New Roman" w:eastAsia="仿宋_GB2312" w:hint="eastAsia"/>
          <w:sz w:val="32"/>
          <w:szCs w:val="32"/>
        </w:rPr>
        <w:t>财政资金紧张，压缩各预算单位开支，消减预算单位收入指标</w:t>
      </w:r>
      <w:r>
        <w:rPr>
          <w:rFonts w:ascii="Times New Roman" w:eastAsia="仿宋_GB2312"/>
          <w:sz w:val="32"/>
          <w:szCs w:val="32"/>
        </w:rPr>
        <w:t>；支出完成年初预算的</w:t>
      </w:r>
      <w:r>
        <w:rPr>
          <w:rFonts w:ascii="Times New Roman" w:eastAsia="仿宋_GB2312"/>
          <w:sz w:val="32"/>
          <w:szCs w:val="32"/>
        </w:rPr>
        <w:t>4.1%</w:t>
      </w:r>
      <w:r>
        <w:rPr>
          <w:rFonts w:ascii="Times New Roman" w:eastAsia="仿宋_GB2312"/>
          <w:sz w:val="32"/>
          <w:szCs w:val="32"/>
        </w:rPr>
        <w:t>，比年初预算减少</w:t>
      </w:r>
      <w:r>
        <w:rPr>
          <w:rFonts w:ascii="Times New Roman" w:eastAsia="仿宋_GB2312"/>
          <w:sz w:val="32"/>
          <w:szCs w:val="32"/>
        </w:rPr>
        <w:t>11,373.70</w:t>
      </w:r>
      <w:r>
        <w:rPr>
          <w:rFonts w:ascii="Times New Roman" w:eastAsia="仿宋_GB2312"/>
          <w:sz w:val="32"/>
          <w:szCs w:val="32"/>
        </w:rPr>
        <w:t>万元，主要原因是</w:t>
      </w:r>
      <w:r w:rsidR="00DE0BCF" w:rsidRPr="00DE0BCF">
        <w:rPr>
          <w:rFonts w:ascii="Times New Roman" w:eastAsia="仿宋_GB2312" w:hint="eastAsia"/>
          <w:sz w:val="32"/>
          <w:szCs w:val="32"/>
        </w:rPr>
        <w:t>财政资金紧张，压缩各预算单位开支，消减预算单位收入指标</w:t>
      </w:r>
      <w:r>
        <w:rPr>
          <w:rFonts w:ascii="Times New Roman" w:eastAsia="仿宋_GB2312"/>
          <w:sz w:val="32"/>
          <w:szCs w:val="32"/>
        </w:rPr>
        <w:t>。</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3. </w:t>
      </w:r>
      <w:r>
        <w:rPr>
          <w:rFonts w:ascii="Times New Roman" w:eastAsia="仿宋_GB2312"/>
          <w:sz w:val="32"/>
          <w:szCs w:val="32"/>
        </w:rPr>
        <w:t>国有资本经营预算财政拨款本年收入完成年初预算的</w:t>
      </w:r>
      <w:r>
        <w:rPr>
          <w:rFonts w:ascii="Times New Roman" w:eastAsia="仿宋_GB2312"/>
          <w:sz w:val="32"/>
          <w:szCs w:val="32"/>
        </w:rPr>
        <w:t>0.0%</w:t>
      </w:r>
      <w:r>
        <w:rPr>
          <w:rFonts w:ascii="Times New Roman" w:eastAsia="仿宋_GB2312"/>
          <w:sz w:val="32"/>
          <w:szCs w:val="32"/>
        </w:rPr>
        <w:t>，</w:t>
      </w:r>
      <w:r w:rsidR="00DE0BCF" w:rsidRPr="001C2385">
        <w:rPr>
          <w:rFonts w:ascii="Times New Roman" w:eastAsia="仿宋_GB2312"/>
          <w:sz w:val="32"/>
          <w:szCs w:val="32"/>
        </w:rPr>
        <w:t>与上年持平</w:t>
      </w:r>
      <w:r>
        <w:rPr>
          <w:rFonts w:ascii="Times New Roman" w:eastAsia="仿宋_GB2312"/>
          <w:sz w:val="32"/>
          <w:szCs w:val="32"/>
        </w:rPr>
        <w:t>；支出完成年初预算的</w:t>
      </w:r>
      <w:r>
        <w:rPr>
          <w:rFonts w:ascii="Times New Roman" w:eastAsia="仿宋_GB2312"/>
          <w:sz w:val="32"/>
          <w:szCs w:val="32"/>
        </w:rPr>
        <w:t>0.0%</w:t>
      </w:r>
      <w:r>
        <w:rPr>
          <w:rFonts w:ascii="Times New Roman" w:eastAsia="仿宋_GB2312"/>
          <w:sz w:val="32"/>
          <w:szCs w:val="32"/>
        </w:rPr>
        <w:t>，</w:t>
      </w:r>
      <w:r w:rsidR="00DE0BCF" w:rsidRPr="001C2385">
        <w:rPr>
          <w:rFonts w:ascii="Times New Roman" w:eastAsia="仿宋_GB2312"/>
          <w:sz w:val="32"/>
          <w:szCs w:val="32"/>
        </w:rPr>
        <w:t>与上年持平</w:t>
      </w:r>
      <w:r>
        <w:rPr>
          <w:rFonts w:ascii="Times New Roman" w:eastAsia="仿宋_GB2312"/>
          <w:sz w:val="32"/>
          <w:szCs w:val="32"/>
        </w:rPr>
        <w:t>。</w:t>
      </w:r>
    </w:p>
    <w:p w:rsidR="00E34AE7" w:rsidRDefault="00E34AE7">
      <w:pPr>
        <w:pStyle w:val="a7"/>
        <w:widowControl/>
        <w:spacing w:beforeAutospacing="0" w:afterAutospacing="0"/>
        <w:rPr>
          <w:rFonts w:ascii="Times New Roman" w:eastAsia="Arial" w:hAnsi="Times New Roman"/>
        </w:rPr>
      </w:pPr>
    </w:p>
    <w:p w:rsidR="00E34AE7" w:rsidRDefault="00B2012A">
      <w:pPr>
        <w:pStyle w:val="a7"/>
        <w:widowControl/>
        <w:spacing w:beforeAutospacing="0" w:afterAutospacing="0"/>
        <w:jc w:val="center"/>
        <w:rPr>
          <w:rFonts w:ascii="Times New Roman" w:eastAsia="仿宋_GB2312" w:hAnsi="Times New Roman"/>
          <w:sz w:val="32"/>
          <w:szCs w:val="32"/>
        </w:rPr>
      </w:pPr>
      <w:r>
        <w:rPr>
          <w:rFonts w:ascii="Times New Roman" w:eastAsia="仿宋_GB2312" w:hAnsi="Times New Roman"/>
          <w:noProof/>
          <w:sz w:val="32"/>
          <w:szCs w:val="32"/>
        </w:rPr>
        <w:lastRenderedPageBreak/>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34AE7" w:rsidRDefault="00B2012A" w:rsidP="009D692D">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t>（三）财政拨款支出决算结构情况</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2024</w:t>
      </w:r>
      <w:r>
        <w:rPr>
          <w:rFonts w:ascii="Times New Roman" w:eastAsia="仿宋_GB2312"/>
          <w:sz w:val="32"/>
          <w:szCs w:val="32"/>
        </w:rPr>
        <w:t>年度财政拨款支出</w:t>
      </w:r>
      <w:r>
        <w:rPr>
          <w:rFonts w:ascii="Times New Roman" w:eastAsia="仿宋_GB2312"/>
          <w:sz w:val="32"/>
          <w:szCs w:val="32"/>
        </w:rPr>
        <w:t>14,307.85</w:t>
      </w:r>
      <w:r>
        <w:rPr>
          <w:rFonts w:ascii="Times New Roman" w:eastAsia="仿宋_GB2312"/>
          <w:sz w:val="32"/>
          <w:szCs w:val="32"/>
        </w:rPr>
        <w:t>万元，主要用于以下方面：</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一般公共预算财政拨款支出：</w:t>
      </w:r>
    </w:p>
    <w:p w:rsidR="00E34AE7" w:rsidRPr="005179CE" w:rsidRDefault="00B2012A" w:rsidP="009D692D">
      <w:pPr>
        <w:widowControl/>
        <w:spacing w:line="360" w:lineRule="auto"/>
        <w:ind w:firstLineChars="200" w:firstLine="640"/>
        <w:jc w:val="left"/>
        <w:rPr>
          <w:rFonts w:ascii="宋体" w:eastAsia="宋体" w:hAnsi="宋体"/>
          <w:sz w:val="32"/>
          <w:szCs w:val="32"/>
        </w:rPr>
      </w:pPr>
      <w:r>
        <w:rPr>
          <w:rFonts w:ascii="Times New Roman" w:eastAsia="仿宋_GB2312"/>
          <w:sz w:val="32"/>
          <w:szCs w:val="32"/>
        </w:rPr>
        <w:t>社会保障和就业</w:t>
      </w:r>
      <w:r>
        <w:rPr>
          <w:rFonts w:ascii="Times New Roman" w:eastAsia="仿宋_GB2312"/>
          <w:sz w:val="32"/>
          <w:szCs w:val="32"/>
        </w:rPr>
        <w:t xml:space="preserve"> </w:t>
      </w:r>
      <w:r>
        <w:rPr>
          <w:rFonts w:ascii="Times New Roman" w:eastAsia="仿宋_GB2312"/>
          <w:sz w:val="32"/>
          <w:szCs w:val="32"/>
        </w:rPr>
        <w:t>（类）支出</w:t>
      </w:r>
      <w:r>
        <w:rPr>
          <w:rFonts w:ascii="Times New Roman" w:eastAsia="仿宋_GB2312"/>
          <w:sz w:val="32"/>
          <w:szCs w:val="32"/>
        </w:rPr>
        <w:t>228.34</w:t>
      </w:r>
      <w:r>
        <w:rPr>
          <w:rFonts w:ascii="Times New Roman" w:eastAsia="仿宋_GB2312"/>
          <w:sz w:val="32"/>
          <w:szCs w:val="32"/>
        </w:rPr>
        <w:t>万元，占</w:t>
      </w:r>
      <w:r>
        <w:rPr>
          <w:rFonts w:ascii="Times New Roman" w:eastAsia="仿宋_GB2312"/>
          <w:sz w:val="32"/>
          <w:szCs w:val="32"/>
        </w:rPr>
        <w:t>1.6%</w:t>
      </w:r>
      <w:r>
        <w:rPr>
          <w:rFonts w:ascii="Times New Roman" w:eastAsia="仿宋_GB2312"/>
          <w:sz w:val="32"/>
          <w:szCs w:val="32"/>
        </w:rPr>
        <w:t>，主要用于</w:t>
      </w:r>
      <w:r w:rsidR="005179CE" w:rsidRPr="00304905">
        <w:rPr>
          <w:rFonts w:ascii="Times New Roman" w:eastAsia="仿宋_GB2312"/>
          <w:sz w:val="32"/>
          <w:szCs w:val="32"/>
        </w:rPr>
        <w:t>职工养老保险支出</w:t>
      </w:r>
      <w:r w:rsidR="005179CE" w:rsidRPr="00304905">
        <w:rPr>
          <w:rFonts w:ascii="Times New Roman" w:eastAsia="仿宋_GB2312" w:hint="eastAsia"/>
          <w:sz w:val="32"/>
          <w:szCs w:val="32"/>
        </w:rPr>
        <w:t>、职业年金缴费、其他社会保障和就业、退休费</w:t>
      </w:r>
      <w:r>
        <w:rPr>
          <w:rFonts w:ascii="Times New Roman" w:eastAsia="仿宋_GB2312"/>
          <w:sz w:val="32"/>
          <w:szCs w:val="32"/>
        </w:rPr>
        <w:t>等支出；卫生健康（类）支出</w:t>
      </w:r>
      <w:r>
        <w:rPr>
          <w:rFonts w:ascii="Times New Roman" w:eastAsia="仿宋_GB2312"/>
          <w:sz w:val="32"/>
          <w:szCs w:val="32"/>
        </w:rPr>
        <w:t>64.35</w:t>
      </w:r>
      <w:r>
        <w:rPr>
          <w:rFonts w:ascii="Times New Roman" w:eastAsia="仿宋_GB2312"/>
          <w:sz w:val="32"/>
          <w:szCs w:val="32"/>
        </w:rPr>
        <w:t>万元，占</w:t>
      </w:r>
      <w:r>
        <w:rPr>
          <w:rFonts w:ascii="Times New Roman" w:eastAsia="仿宋_GB2312"/>
          <w:sz w:val="32"/>
          <w:szCs w:val="32"/>
        </w:rPr>
        <w:t>0.4%</w:t>
      </w:r>
      <w:r>
        <w:rPr>
          <w:rFonts w:ascii="Times New Roman" w:eastAsia="仿宋_GB2312"/>
          <w:sz w:val="32"/>
          <w:szCs w:val="32"/>
        </w:rPr>
        <w:t>，主要用于</w:t>
      </w:r>
      <w:r w:rsidR="005179CE" w:rsidRPr="00304905">
        <w:rPr>
          <w:rFonts w:ascii="Times New Roman" w:eastAsia="仿宋_GB2312"/>
          <w:sz w:val="32"/>
          <w:szCs w:val="32"/>
        </w:rPr>
        <w:t>职工</w:t>
      </w:r>
      <w:r w:rsidR="005179CE" w:rsidRPr="00304905">
        <w:rPr>
          <w:rFonts w:ascii="Times New Roman" w:eastAsia="仿宋_GB2312" w:hint="eastAsia"/>
          <w:sz w:val="32"/>
          <w:szCs w:val="32"/>
        </w:rPr>
        <w:t>基本</w:t>
      </w:r>
      <w:r w:rsidR="005179CE" w:rsidRPr="00304905">
        <w:rPr>
          <w:rFonts w:ascii="Times New Roman" w:eastAsia="仿宋_GB2312"/>
          <w:sz w:val="32"/>
          <w:szCs w:val="32"/>
        </w:rPr>
        <w:t>医疗保险</w:t>
      </w:r>
      <w:r>
        <w:rPr>
          <w:rFonts w:ascii="Times New Roman" w:eastAsia="仿宋_GB2312"/>
          <w:sz w:val="32"/>
          <w:szCs w:val="32"/>
        </w:rPr>
        <w:t>等支出；节能环保（类）支出</w:t>
      </w:r>
      <w:r>
        <w:rPr>
          <w:rFonts w:ascii="Times New Roman" w:eastAsia="仿宋_GB2312"/>
          <w:sz w:val="32"/>
          <w:szCs w:val="32"/>
        </w:rPr>
        <w:t>495.00</w:t>
      </w:r>
      <w:r>
        <w:rPr>
          <w:rFonts w:ascii="Times New Roman" w:eastAsia="仿宋_GB2312"/>
          <w:sz w:val="32"/>
          <w:szCs w:val="32"/>
        </w:rPr>
        <w:t>万元，占</w:t>
      </w:r>
      <w:r>
        <w:rPr>
          <w:rFonts w:ascii="Times New Roman" w:eastAsia="仿宋_GB2312"/>
          <w:sz w:val="32"/>
          <w:szCs w:val="32"/>
        </w:rPr>
        <w:t>3.5%</w:t>
      </w:r>
      <w:r>
        <w:rPr>
          <w:rFonts w:ascii="Times New Roman" w:eastAsia="仿宋_GB2312"/>
          <w:sz w:val="32"/>
          <w:szCs w:val="32"/>
        </w:rPr>
        <w:t>，主要用于</w:t>
      </w:r>
      <w:r w:rsidR="005179CE" w:rsidRPr="00304905">
        <w:rPr>
          <w:rFonts w:ascii="Times New Roman" w:eastAsia="仿宋_GB2312" w:hint="eastAsia"/>
          <w:sz w:val="32"/>
          <w:szCs w:val="32"/>
        </w:rPr>
        <w:t>其他个人对家庭的补助、生活补助</w:t>
      </w:r>
      <w:r>
        <w:rPr>
          <w:rFonts w:ascii="Times New Roman" w:eastAsia="仿宋_GB2312"/>
          <w:sz w:val="32"/>
          <w:szCs w:val="32"/>
        </w:rPr>
        <w:t>等支出；城乡社区（类）支出</w:t>
      </w:r>
      <w:r>
        <w:rPr>
          <w:rFonts w:ascii="Times New Roman" w:eastAsia="仿宋_GB2312"/>
          <w:sz w:val="32"/>
          <w:szCs w:val="32"/>
        </w:rPr>
        <w:t>78.36</w:t>
      </w:r>
      <w:r>
        <w:rPr>
          <w:rFonts w:ascii="Times New Roman" w:eastAsia="仿宋_GB2312"/>
          <w:sz w:val="32"/>
          <w:szCs w:val="32"/>
        </w:rPr>
        <w:t>万元，占</w:t>
      </w:r>
      <w:r>
        <w:rPr>
          <w:rFonts w:ascii="Times New Roman" w:eastAsia="仿宋_GB2312"/>
          <w:sz w:val="32"/>
          <w:szCs w:val="32"/>
        </w:rPr>
        <w:t>0.5%</w:t>
      </w:r>
      <w:r>
        <w:rPr>
          <w:rFonts w:ascii="Times New Roman" w:eastAsia="仿宋_GB2312"/>
          <w:sz w:val="32"/>
          <w:szCs w:val="32"/>
        </w:rPr>
        <w:t>，主要用于</w:t>
      </w:r>
      <w:r w:rsidR="005179CE" w:rsidRPr="00304905">
        <w:rPr>
          <w:rFonts w:ascii="Times New Roman" w:eastAsia="仿宋_GB2312"/>
          <w:sz w:val="32"/>
          <w:szCs w:val="32"/>
        </w:rPr>
        <w:t>土地收储成本</w:t>
      </w:r>
      <w:r>
        <w:rPr>
          <w:rFonts w:ascii="Times New Roman" w:eastAsia="仿宋_GB2312"/>
          <w:sz w:val="32"/>
          <w:szCs w:val="32"/>
        </w:rPr>
        <w:t>等支出；农林水（类）支出</w:t>
      </w:r>
      <w:r>
        <w:rPr>
          <w:rFonts w:ascii="Times New Roman" w:eastAsia="仿宋_GB2312"/>
          <w:sz w:val="32"/>
          <w:szCs w:val="32"/>
        </w:rPr>
        <w:t>2,468.47</w:t>
      </w:r>
      <w:r>
        <w:rPr>
          <w:rFonts w:ascii="Times New Roman" w:eastAsia="仿宋_GB2312"/>
          <w:sz w:val="32"/>
          <w:szCs w:val="32"/>
        </w:rPr>
        <w:t>万元，占</w:t>
      </w:r>
      <w:r>
        <w:rPr>
          <w:rFonts w:ascii="Times New Roman" w:eastAsia="仿宋_GB2312"/>
          <w:sz w:val="32"/>
          <w:szCs w:val="32"/>
        </w:rPr>
        <w:t>17.3%</w:t>
      </w:r>
      <w:r>
        <w:rPr>
          <w:rFonts w:ascii="Times New Roman" w:eastAsia="仿宋_GB2312"/>
          <w:sz w:val="32"/>
          <w:szCs w:val="32"/>
        </w:rPr>
        <w:t>，主要用于</w:t>
      </w:r>
      <w:r w:rsidR="005179CE" w:rsidRPr="00304905">
        <w:rPr>
          <w:rFonts w:ascii="Times New Roman" w:eastAsia="仿宋_GB2312"/>
          <w:sz w:val="32"/>
          <w:szCs w:val="32"/>
        </w:rPr>
        <w:t>森林资源培育、森林生态效益补偿</w:t>
      </w:r>
      <w:r w:rsidR="005179CE" w:rsidRPr="00304905">
        <w:rPr>
          <w:rFonts w:ascii="Times New Roman" w:eastAsia="仿宋_GB2312" w:hint="eastAsia"/>
          <w:sz w:val="32"/>
          <w:szCs w:val="32"/>
        </w:rPr>
        <w:t>等支出；</w:t>
      </w:r>
      <w:r>
        <w:rPr>
          <w:rFonts w:ascii="Times New Roman" w:eastAsia="仿宋_GB2312"/>
          <w:sz w:val="32"/>
          <w:szCs w:val="32"/>
        </w:rPr>
        <w:t>自然资源海洋气象等</w:t>
      </w:r>
      <w:r>
        <w:rPr>
          <w:rFonts w:ascii="Times New Roman" w:eastAsia="仿宋_GB2312"/>
          <w:sz w:val="32"/>
          <w:szCs w:val="32"/>
        </w:rPr>
        <w:lastRenderedPageBreak/>
        <w:t>（类）支出</w:t>
      </w:r>
      <w:r>
        <w:rPr>
          <w:rFonts w:ascii="Times New Roman" w:eastAsia="仿宋_GB2312"/>
          <w:sz w:val="32"/>
          <w:szCs w:val="32"/>
        </w:rPr>
        <w:t>10,390.66</w:t>
      </w:r>
      <w:r>
        <w:rPr>
          <w:rFonts w:ascii="Times New Roman" w:eastAsia="仿宋_GB2312"/>
          <w:sz w:val="32"/>
          <w:szCs w:val="32"/>
        </w:rPr>
        <w:t>万元，占</w:t>
      </w:r>
      <w:r>
        <w:rPr>
          <w:rFonts w:ascii="Times New Roman" w:eastAsia="仿宋_GB2312"/>
          <w:sz w:val="32"/>
          <w:szCs w:val="32"/>
        </w:rPr>
        <w:t>72.6%</w:t>
      </w:r>
      <w:r>
        <w:rPr>
          <w:rFonts w:ascii="Times New Roman" w:eastAsia="仿宋_GB2312"/>
          <w:sz w:val="32"/>
          <w:szCs w:val="32"/>
        </w:rPr>
        <w:t>，主要用于</w:t>
      </w:r>
      <w:r w:rsidR="005179CE" w:rsidRPr="00304905">
        <w:rPr>
          <w:rFonts w:ascii="Times New Roman" w:eastAsia="仿宋_GB2312"/>
          <w:sz w:val="32"/>
          <w:szCs w:val="32"/>
        </w:rPr>
        <w:t>自然资源自用与保护、土地资源储备</w:t>
      </w:r>
      <w:r>
        <w:rPr>
          <w:rFonts w:ascii="Times New Roman" w:eastAsia="仿宋_GB2312"/>
          <w:sz w:val="32"/>
          <w:szCs w:val="32"/>
        </w:rPr>
        <w:t>等支出；住房保障（类）支出</w:t>
      </w:r>
      <w:r>
        <w:rPr>
          <w:rFonts w:ascii="Times New Roman" w:eastAsia="仿宋_GB2312"/>
          <w:sz w:val="32"/>
          <w:szCs w:val="32"/>
        </w:rPr>
        <w:t>94.38</w:t>
      </w:r>
      <w:r>
        <w:rPr>
          <w:rFonts w:ascii="Times New Roman" w:eastAsia="仿宋_GB2312"/>
          <w:sz w:val="32"/>
          <w:szCs w:val="32"/>
        </w:rPr>
        <w:t>万元，占</w:t>
      </w:r>
      <w:r>
        <w:rPr>
          <w:rFonts w:ascii="Times New Roman" w:eastAsia="仿宋_GB2312"/>
          <w:sz w:val="32"/>
          <w:szCs w:val="32"/>
        </w:rPr>
        <w:t>0.7%</w:t>
      </w:r>
      <w:r>
        <w:rPr>
          <w:rFonts w:ascii="Times New Roman" w:eastAsia="仿宋_GB2312"/>
          <w:sz w:val="32"/>
          <w:szCs w:val="32"/>
        </w:rPr>
        <w:t>，主要用于</w:t>
      </w:r>
      <w:r w:rsidR="005179CE" w:rsidRPr="00304905">
        <w:rPr>
          <w:rFonts w:ascii="Times New Roman" w:eastAsia="仿宋_GB2312"/>
          <w:sz w:val="32"/>
          <w:szCs w:val="32"/>
        </w:rPr>
        <w:t>职工住房公积金</w:t>
      </w:r>
      <w:r w:rsidR="005179CE">
        <w:rPr>
          <w:rFonts w:ascii="Times New Roman" w:eastAsia="仿宋_GB2312"/>
          <w:sz w:val="32"/>
          <w:szCs w:val="32"/>
        </w:rPr>
        <w:t>等支出</w:t>
      </w:r>
      <w:r w:rsidR="005179CE" w:rsidRPr="00304905">
        <w:rPr>
          <w:rFonts w:ascii="Times New Roman" w:eastAsia="仿宋_GB2312" w:hint="eastAsia"/>
          <w:sz w:val="32"/>
          <w:szCs w:val="32"/>
        </w:rPr>
        <w:t>。</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政府性基金预算财政拨款支出：</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城乡社区（类）支出</w:t>
      </w:r>
      <w:r>
        <w:rPr>
          <w:rFonts w:ascii="Times New Roman" w:eastAsia="仿宋_GB2312"/>
          <w:sz w:val="32"/>
          <w:szCs w:val="32"/>
        </w:rPr>
        <w:t>488.30</w:t>
      </w:r>
      <w:r>
        <w:rPr>
          <w:rFonts w:ascii="Times New Roman" w:eastAsia="仿宋_GB2312"/>
          <w:sz w:val="32"/>
          <w:szCs w:val="32"/>
        </w:rPr>
        <w:t>万元，占</w:t>
      </w:r>
      <w:r>
        <w:rPr>
          <w:rFonts w:ascii="Times New Roman" w:eastAsia="仿宋_GB2312"/>
          <w:sz w:val="32"/>
          <w:szCs w:val="32"/>
        </w:rPr>
        <w:t>3.4%</w:t>
      </w:r>
      <w:r>
        <w:rPr>
          <w:rFonts w:ascii="Times New Roman" w:eastAsia="仿宋_GB2312"/>
          <w:sz w:val="32"/>
          <w:szCs w:val="32"/>
        </w:rPr>
        <w:t>，主要用于</w:t>
      </w:r>
      <w:r w:rsidR="002677FB" w:rsidRPr="002677FB">
        <w:rPr>
          <w:rFonts w:ascii="Times New Roman" w:eastAsia="仿宋_GB2312"/>
          <w:sz w:val="32"/>
          <w:szCs w:val="32"/>
        </w:rPr>
        <w:t>土地收储成本</w:t>
      </w:r>
      <w:r>
        <w:rPr>
          <w:rFonts w:ascii="Times New Roman" w:eastAsia="仿宋_GB2312"/>
          <w:sz w:val="32"/>
          <w:szCs w:val="32"/>
        </w:rPr>
        <w:t>等支出。</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国有资本经营预算财政拨款支出：</w:t>
      </w:r>
    </w:p>
    <w:p w:rsidR="00E34AE7" w:rsidRPr="002677FB" w:rsidRDefault="002677FB" w:rsidP="009D692D">
      <w:pPr>
        <w:widowControl/>
        <w:spacing w:line="360" w:lineRule="auto"/>
        <w:ind w:firstLineChars="200" w:firstLine="640"/>
        <w:jc w:val="left"/>
        <w:rPr>
          <w:rFonts w:ascii="宋体" w:eastAsia="宋体" w:hAnsi="宋体"/>
          <w:sz w:val="32"/>
          <w:szCs w:val="32"/>
        </w:rPr>
      </w:pPr>
      <w:r>
        <w:rPr>
          <w:rFonts w:ascii="Times New Roman" w:eastAsia="仿宋_GB2312" w:hint="eastAsia"/>
          <w:sz w:val="32"/>
          <w:szCs w:val="32"/>
        </w:rPr>
        <w:t>国有资本经营</w:t>
      </w:r>
      <w:r w:rsidR="00B2012A">
        <w:rPr>
          <w:rFonts w:ascii="Times New Roman" w:eastAsia="仿宋_GB2312"/>
          <w:sz w:val="32"/>
          <w:szCs w:val="32"/>
        </w:rPr>
        <w:t>支出</w:t>
      </w:r>
      <w:r w:rsidR="00B2012A">
        <w:rPr>
          <w:rFonts w:ascii="Times New Roman" w:eastAsia="仿宋_GB2312"/>
          <w:sz w:val="32"/>
          <w:szCs w:val="32"/>
        </w:rPr>
        <w:t>0.00</w:t>
      </w:r>
      <w:r w:rsidR="00B2012A">
        <w:rPr>
          <w:rFonts w:ascii="Times New Roman" w:eastAsia="仿宋_GB2312"/>
          <w:sz w:val="32"/>
          <w:szCs w:val="32"/>
        </w:rPr>
        <w:t>万元，占</w:t>
      </w:r>
      <w:r w:rsidR="00B2012A">
        <w:rPr>
          <w:rFonts w:ascii="Times New Roman" w:eastAsia="仿宋_GB2312"/>
          <w:sz w:val="32"/>
          <w:szCs w:val="32"/>
        </w:rPr>
        <w:t>0.0%</w:t>
      </w:r>
      <w:r w:rsidR="00B2012A">
        <w:rPr>
          <w:rFonts w:ascii="Times New Roman" w:eastAsia="仿宋_GB2312"/>
          <w:sz w:val="32"/>
          <w:szCs w:val="32"/>
        </w:rPr>
        <w:t>，</w:t>
      </w:r>
      <w:r w:rsidRPr="001C2385">
        <w:rPr>
          <w:rFonts w:ascii="Times New Roman" w:eastAsia="仿宋_GB2312"/>
          <w:sz w:val="32"/>
          <w:szCs w:val="32"/>
        </w:rPr>
        <w:t>与上年持平</w:t>
      </w:r>
      <w:r>
        <w:rPr>
          <w:rFonts w:ascii="宋体" w:eastAsia="宋体" w:hAnsi="宋体" w:hint="eastAsia"/>
          <w:sz w:val="32"/>
          <w:szCs w:val="32"/>
        </w:rPr>
        <w:t>。</w:t>
      </w:r>
    </w:p>
    <w:p w:rsidR="00E34AE7" w:rsidRDefault="00B2012A">
      <w:pPr>
        <w:pStyle w:val="a7"/>
        <w:widowControl/>
        <w:spacing w:beforeAutospacing="0" w:afterAutospacing="0"/>
        <w:rPr>
          <w:rFonts w:ascii="Times New Roman" w:eastAsia="仿宋_GB2312" w:hAnsi="Times New Roman"/>
          <w:kern w:val="2"/>
          <w:sz w:val="32"/>
          <w:szCs w:val="32"/>
          <w:lang w:val="zh-CN"/>
        </w:rPr>
      </w:pPr>
      <w:bookmarkStart w:id="0" w:name="_GoBack"/>
      <w:r>
        <w:rPr>
          <w:rFonts w:ascii="Times New Roman" w:eastAsia="仿宋_GB2312" w:hAnsi="Times New Roman"/>
          <w:noProof/>
          <w:kern w:val="2"/>
          <w:sz w:val="32"/>
          <w:szCs w:val="32"/>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0"/>
    </w:p>
    <w:p w:rsidR="00E34AE7" w:rsidRDefault="00B2012A" w:rsidP="009D692D">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t>（四）一般公共预算基本支出决算情况说明</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2024</w:t>
      </w:r>
      <w:r>
        <w:rPr>
          <w:rFonts w:ascii="Times New Roman" w:eastAsia="仿宋_GB2312"/>
          <w:sz w:val="32"/>
          <w:szCs w:val="32"/>
        </w:rPr>
        <w:t>年度财政拨款基本支出</w:t>
      </w:r>
      <w:r>
        <w:rPr>
          <w:rFonts w:ascii="Times New Roman" w:eastAsia="仿宋_GB2312"/>
          <w:sz w:val="32"/>
          <w:szCs w:val="32"/>
        </w:rPr>
        <w:t>1,270.45</w:t>
      </w:r>
      <w:r>
        <w:rPr>
          <w:rFonts w:ascii="Times New Roman" w:eastAsia="仿宋_GB2312"/>
          <w:sz w:val="32"/>
          <w:szCs w:val="32"/>
        </w:rPr>
        <w:t>万元，其中：</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人员经费</w:t>
      </w:r>
      <w:r>
        <w:rPr>
          <w:rFonts w:ascii="Times New Roman" w:eastAsia="仿宋_GB2312"/>
          <w:sz w:val="32"/>
          <w:szCs w:val="32"/>
        </w:rPr>
        <w:t>1,138.14</w:t>
      </w:r>
      <w:r w:rsidR="00E32282">
        <w:rPr>
          <w:rFonts w:ascii="Times New Roman" w:eastAsia="仿宋_GB2312"/>
          <w:sz w:val="32"/>
          <w:szCs w:val="32"/>
        </w:rPr>
        <w:t>万元，主要包括基本工资、津贴补贴、奖金</w:t>
      </w:r>
      <w:r>
        <w:rPr>
          <w:rFonts w:ascii="Times New Roman" w:eastAsia="仿宋_GB2312"/>
          <w:sz w:val="32"/>
          <w:szCs w:val="32"/>
        </w:rPr>
        <w:t>、绩效工资、机</w:t>
      </w:r>
      <w:r w:rsidR="00E32282">
        <w:rPr>
          <w:rFonts w:ascii="Times New Roman" w:eastAsia="仿宋_GB2312"/>
          <w:sz w:val="32"/>
          <w:szCs w:val="32"/>
        </w:rPr>
        <w:t>关事业部门基本养老保险缴费、职业年金缴</w:t>
      </w:r>
      <w:r w:rsidR="00E32282">
        <w:rPr>
          <w:rFonts w:ascii="Times New Roman" w:eastAsia="仿宋_GB2312"/>
          <w:sz w:val="32"/>
          <w:szCs w:val="32"/>
        </w:rPr>
        <w:lastRenderedPageBreak/>
        <w:t>费、职工基本医疗保险缴费、住房公积金</w:t>
      </w:r>
      <w:r>
        <w:rPr>
          <w:rFonts w:ascii="Times New Roman" w:eastAsia="仿宋_GB2312"/>
          <w:sz w:val="32"/>
          <w:szCs w:val="32"/>
        </w:rPr>
        <w:t>、其他社会保障缴费、其他</w:t>
      </w:r>
      <w:r w:rsidR="00E32282">
        <w:rPr>
          <w:rFonts w:ascii="Times New Roman" w:eastAsia="仿宋_GB2312"/>
          <w:sz w:val="32"/>
          <w:szCs w:val="32"/>
        </w:rPr>
        <w:t>工资福利支出</w:t>
      </w:r>
      <w:r>
        <w:rPr>
          <w:rFonts w:ascii="Times New Roman" w:eastAsia="仿宋_GB2312"/>
          <w:sz w:val="32"/>
          <w:szCs w:val="32"/>
        </w:rPr>
        <w:t>、</w:t>
      </w:r>
      <w:r w:rsidR="00E32282">
        <w:rPr>
          <w:rFonts w:ascii="Times New Roman" w:eastAsia="仿宋_GB2312"/>
          <w:sz w:val="32"/>
          <w:szCs w:val="32"/>
        </w:rPr>
        <w:t>退休费</w:t>
      </w:r>
      <w:r w:rsidR="00E32282">
        <w:rPr>
          <w:rFonts w:ascii="宋体" w:eastAsia="宋体" w:hAnsi="宋体" w:hint="eastAsia"/>
          <w:sz w:val="32"/>
          <w:szCs w:val="32"/>
        </w:rPr>
        <w:t>、</w:t>
      </w:r>
      <w:r>
        <w:rPr>
          <w:rFonts w:ascii="Times New Roman" w:eastAsia="仿宋_GB2312"/>
          <w:sz w:val="32"/>
          <w:szCs w:val="32"/>
        </w:rPr>
        <w:t>抚恤金、生活补助、其他对个人和家庭的补助支出。</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公用经费</w:t>
      </w:r>
      <w:r>
        <w:rPr>
          <w:rFonts w:ascii="Times New Roman" w:eastAsia="仿宋_GB2312"/>
          <w:sz w:val="32"/>
          <w:szCs w:val="32"/>
        </w:rPr>
        <w:t>132.31</w:t>
      </w:r>
      <w:r>
        <w:rPr>
          <w:rFonts w:ascii="Times New Roman" w:eastAsia="仿宋_GB2312"/>
          <w:sz w:val="32"/>
          <w:szCs w:val="32"/>
        </w:rPr>
        <w:t>万元，主要包括办公费、印刷费、咨询费、水费、电费、邮电费、取</w:t>
      </w:r>
      <w:r w:rsidR="00E32282">
        <w:rPr>
          <w:rFonts w:ascii="Times New Roman" w:eastAsia="仿宋_GB2312"/>
          <w:sz w:val="32"/>
          <w:szCs w:val="32"/>
        </w:rPr>
        <w:t>暖费、物业管理费、差旅费</w:t>
      </w:r>
      <w:r>
        <w:rPr>
          <w:rFonts w:ascii="Times New Roman" w:eastAsia="仿宋_GB2312"/>
          <w:sz w:val="32"/>
          <w:szCs w:val="32"/>
        </w:rPr>
        <w:t>、维修（护）费、会议费</w:t>
      </w:r>
      <w:r w:rsidR="00E32282">
        <w:rPr>
          <w:rFonts w:ascii="Times New Roman" w:eastAsia="仿宋_GB2312"/>
          <w:sz w:val="32"/>
          <w:szCs w:val="32"/>
        </w:rPr>
        <w:t>、培训费、公务接待费、劳务费、委托业务费、工会经费、公务用车运行维护费、其他交通费用</w:t>
      </w:r>
      <w:r>
        <w:rPr>
          <w:rFonts w:ascii="Times New Roman" w:eastAsia="仿宋_GB2312"/>
          <w:sz w:val="32"/>
          <w:szCs w:val="32"/>
        </w:rPr>
        <w:t>、其他商品</w:t>
      </w:r>
      <w:r w:rsidR="00E32282">
        <w:rPr>
          <w:rFonts w:ascii="Times New Roman" w:eastAsia="仿宋_GB2312"/>
          <w:sz w:val="32"/>
          <w:szCs w:val="32"/>
        </w:rPr>
        <w:t>和服务支出、办公设备购置、信息网络及软件购置更新</w:t>
      </w:r>
      <w:r>
        <w:rPr>
          <w:rFonts w:ascii="Times New Roman" w:eastAsia="仿宋_GB2312"/>
          <w:sz w:val="32"/>
          <w:szCs w:val="32"/>
        </w:rPr>
        <w:t>、其他资本性支出。</w:t>
      </w:r>
    </w:p>
    <w:p w:rsidR="00E34AE7" w:rsidRDefault="00B2012A" w:rsidP="009D692D">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五、财政拨款</w:t>
      </w:r>
      <w:r>
        <w:rPr>
          <w:rFonts w:ascii="Times New Roman" w:eastAsia="黑体"/>
          <w:sz w:val="32"/>
          <w:szCs w:val="32"/>
        </w:rPr>
        <w:t>“</w:t>
      </w:r>
      <w:r>
        <w:rPr>
          <w:rFonts w:ascii="Times New Roman" w:eastAsia="黑体"/>
          <w:sz w:val="32"/>
          <w:szCs w:val="32"/>
        </w:rPr>
        <w:t>三公</w:t>
      </w:r>
      <w:r>
        <w:rPr>
          <w:rFonts w:ascii="Times New Roman" w:eastAsia="黑体"/>
          <w:sz w:val="32"/>
          <w:szCs w:val="32"/>
        </w:rPr>
        <w:t>”</w:t>
      </w:r>
      <w:r>
        <w:rPr>
          <w:rFonts w:ascii="Times New Roman" w:eastAsia="黑体"/>
          <w:sz w:val="32"/>
          <w:szCs w:val="32"/>
        </w:rPr>
        <w:t xml:space="preserve"> </w:t>
      </w:r>
      <w:r>
        <w:rPr>
          <w:rFonts w:ascii="Times New Roman" w:eastAsia="黑体"/>
          <w:sz w:val="32"/>
          <w:szCs w:val="32"/>
        </w:rPr>
        <w:t>经费支出决算情况说明</w:t>
      </w:r>
    </w:p>
    <w:p w:rsidR="00E34AE7" w:rsidRDefault="00B2012A" w:rsidP="009D692D">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t>（一）</w:t>
      </w:r>
      <w:r>
        <w:rPr>
          <w:rFonts w:ascii="Times New Roman" w:eastAsia="楷体_GB2312"/>
          <w:b/>
          <w:sz w:val="32"/>
          <w:szCs w:val="32"/>
        </w:rPr>
        <w:t>“</w:t>
      </w:r>
      <w:r>
        <w:rPr>
          <w:rFonts w:ascii="Times New Roman" w:eastAsia="楷体_GB2312"/>
          <w:b/>
          <w:sz w:val="32"/>
          <w:szCs w:val="32"/>
        </w:rPr>
        <w:t>三公</w:t>
      </w:r>
      <w:r>
        <w:rPr>
          <w:rFonts w:ascii="Times New Roman" w:eastAsia="楷体_GB2312"/>
          <w:b/>
          <w:sz w:val="32"/>
          <w:szCs w:val="32"/>
        </w:rPr>
        <w:t>”</w:t>
      </w:r>
      <w:r>
        <w:rPr>
          <w:rFonts w:ascii="Times New Roman" w:eastAsia="楷体_GB2312"/>
          <w:b/>
          <w:sz w:val="32"/>
          <w:szCs w:val="32"/>
        </w:rPr>
        <w:t>经费财政拨款支出决算总体情况说明</w:t>
      </w:r>
    </w:p>
    <w:p w:rsidR="00E34AE7" w:rsidRDefault="00B2012A" w:rsidP="003249E9">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w:t>
      </w:r>
      <w:r>
        <w:rPr>
          <w:rFonts w:ascii="Times New Roman" w:eastAsia="仿宋_GB2312"/>
          <w:sz w:val="32"/>
          <w:szCs w:val="32"/>
        </w:rPr>
        <w:t>“</w:t>
      </w:r>
      <w:r>
        <w:rPr>
          <w:rFonts w:ascii="Times New Roman" w:eastAsia="仿宋_GB2312"/>
          <w:sz w:val="32"/>
          <w:szCs w:val="32"/>
        </w:rPr>
        <w:t>三公</w:t>
      </w:r>
      <w:r>
        <w:rPr>
          <w:rFonts w:ascii="Times New Roman" w:eastAsia="仿宋_GB2312"/>
          <w:sz w:val="32"/>
          <w:szCs w:val="32"/>
        </w:rPr>
        <w:t>”</w:t>
      </w:r>
      <w:r>
        <w:rPr>
          <w:rFonts w:ascii="Times New Roman" w:eastAsia="仿宋_GB2312"/>
          <w:sz w:val="32"/>
          <w:szCs w:val="32"/>
        </w:rPr>
        <w:t>经费财政拨款支出预算为</w:t>
      </w:r>
      <w:r>
        <w:rPr>
          <w:rFonts w:ascii="Times New Roman" w:eastAsia="仿宋_GB2312"/>
          <w:sz w:val="32"/>
          <w:szCs w:val="32"/>
        </w:rPr>
        <w:t>46.18</w:t>
      </w:r>
      <w:r>
        <w:rPr>
          <w:rFonts w:ascii="Times New Roman" w:eastAsia="仿宋_GB2312"/>
          <w:sz w:val="32"/>
          <w:szCs w:val="32"/>
        </w:rPr>
        <w:t>万元，支出决算为</w:t>
      </w:r>
      <w:r>
        <w:rPr>
          <w:rFonts w:ascii="Times New Roman" w:eastAsia="仿宋_GB2312"/>
          <w:sz w:val="32"/>
          <w:szCs w:val="32"/>
        </w:rPr>
        <w:t>46.18</w:t>
      </w:r>
      <w:r>
        <w:rPr>
          <w:rFonts w:ascii="Times New Roman" w:eastAsia="仿宋_GB2312"/>
          <w:sz w:val="32"/>
          <w:szCs w:val="32"/>
        </w:rPr>
        <w:t>万元，完成预算的</w:t>
      </w:r>
      <w:r>
        <w:rPr>
          <w:rFonts w:ascii="Times New Roman" w:eastAsia="仿宋_GB2312"/>
          <w:sz w:val="32"/>
          <w:szCs w:val="32"/>
        </w:rPr>
        <w:t>100.0%</w:t>
      </w:r>
      <w:r>
        <w:rPr>
          <w:rFonts w:ascii="Times New Roman" w:eastAsia="仿宋_GB2312"/>
          <w:sz w:val="32"/>
          <w:szCs w:val="32"/>
        </w:rPr>
        <w:t>，</w:t>
      </w:r>
      <w:r w:rsidR="003249E9" w:rsidRPr="003249E9">
        <w:rPr>
          <w:rFonts w:ascii="Times New Roman" w:eastAsia="仿宋_GB2312"/>
          <w:sz w:val="32"/>
          <w:szCs w:val="32"/>
        </w:rPr>
        <w:t>与预算持平</w:t>
      </w:r>
      <w:r>
        <w:rPr>
          <w:rFonts w:ascii="Times New Roman" w:eastAsia="仿宋_GB2312"/>
          <w:sz w:val="32"/>
          <w:szCs w:val="32"/>
        </w:rPr>
        <w:t>；较</w:t>
      </w:r>
      <w:r>
        <w:rPr>
          <w:rFonts w:ascii="Times New Roman" w:eastAsia="仿宋_GB2312"/>
          <w:sz w:val="32"/>
          <w:szCs w:val="32"/>
        </w:rPr>
        <w:t>2023</w:t>
      </w:r>
      <w:r>
        <w:rPr>
          <w:rFonts w:ascii="Times New Roman" w:eastAsia="仿宋_GB2312"/>
          <w:sz w:val="32"/>
          <w:szCs w:val="32"/>
        </w:rPr>
        <w:t>年度决算减少</w:t>
      </w:r>
      <w:r>
        <w:rPr>
          <w:rFonts w:ascii="Times New Roman" w:eastAsia="仿宋_GB2312"/>
          <w:sz w:val="32"/>
          <w:szCs w:val="32"/>
        </w:rPr>
        <w:t>56.07</w:t>
      </w:r>
      <w:r>
        <w:rPr>
          <w:rFonts w:ascii="Times New Roman" w:eastAsia="仿宋_GB2312"/>
          <w:sz w:val="32"/>
          <w:szCs w:val="32"/>
        </w:rPr>
        <w:t>万元，降低</w:t>
      </w:r>
      <w:r>
        <w:rPr>
          <w:rFonts w:ascii="Times New Roman" w:eastAsia="仿宋_GB2312"/>
          <w:sz w:val="32"/>
          <w:szCs w:val="32"/>
        </w:rPr>
        <w:t>54.8%</w:t>
      </w:r>
      <w:r>
        <w:rPr>
          <w:rFonts w:ascii="Times New Roman" w:eastAsia="仿宋_GB2312"/>
          <w:sz w:val="32"/>
          <w:szCs w:val="32"/>
        </w:rPr>
        <w:t>，主要原因是</w:t>
      </w:r>
      <w:r w:rsidR="003249E9" w:rsidRPr="00DE0BCF">
        <w:rPr>
          <w:rFonts w:ascii="Times New Roman" w:eastAsia="仿宋_GB2312" w:hint="eastAsia"/>
          <w:sz w:val="32"/>
          <w:szCs w:val="32"/>
        </w:rPr>
        <w:t>财政资金紧张，压缩各预算单位开支，消减预算单位收入指标</w:t>
      </w:r>
      <w:r w:rsidR="003249E9">
        <w:rPr>
          <w:rFonts w:ascii="Times New Roman" w:eastAsia="仿宋_GB2312"/>
          <w:sz w:val="32"/>
          <w:szCs w:val="32"/>
        </w:rPr>
        <w:t>。</w:t>
      </w:r>
    </w:p>
    <w:p w:rsidR="00E34AE7" w:rsidRDefault="00B2012A" w:rsidP="009D692D">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t>（二）</w:t>
      </w:r>
      <w:r>
        <w:rPr>
          <w:rFonts w:ascii="Times New Roman" w:eastAsia="楷体_GB2312"/>
          <w:b/>
          <w:sz w:val="32"/>
          <w:szCs w:val="32"/>
        </w:rPr>
        <w:t>“</w:t>
      </w:r>
      <w:r>
        <w:rPr>
          <w:rFonts w:ascii="Times New Roman" w:eastAsia="楷体_GB2312"/>
          <w:b/>
          <w:sz w:val="32"/>
          <w:szCs w:val="32"/>
        </w:rPr>
        <w:t>三公</w:t>
      </w:r>
      <w:r>
        <w:rPr>
          <w:rFonts w:ascii="Times New Roman" w:eastAsia="楷体_GB2312"/>
          <w:b/>
          <w:sz w:val="32"/>
          <w:szCs w:val="32"/>
        </w:rPr>
        <w:t>”</w:t>
      </w:r>
      <w:r>
        <w:rPr>
          <w:rFonts w:ascii="Times New Roman" w:eastAsia="楷体_GB2312"/>
          <w:b/>
          <w:sz w:val="32"/>
          <w:szCs w:val="32"/>
        </w:rPr>
        <w:t>经费财政拨款支出决算具体情况说明</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楷体_GB2312"/>
          <w:b/>
          <w:sz w:val="32"/>
          <w:szCs w:val="32"/>
        </w:rPr>
        <w:t>1.</w:t>
      </w:r>
      <w:r>
        <w:rPr>
          <w:rFonts w:ascii="Times New Roman" w:eastAsia="楷体_GB2312"/>
          <w:b/>
          <w:sz w:val="32"/>
          <w:szCs w:val="32"/>
        </w:rPr>
        <w:t>因公出国（境）费支出情况。</w:t>
      </w: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年度因公出国（境）费支出预算为</w:t>
      </w:r>
      <w:r>
        <w:rPr>
          <w:rFonts w:ascii="Times New Roman" w:eastAsia="仿宋_GB2312"/>
          <w:sz w:val="32"/>
          <w:szCs w:val="32"/>
        </w:rPr>
        <w:t>0.00</w:t>
      </w:r>
      <w:r>
        <w:rPr>
          <w:rFonts w:ascii="Times New Roman" w:eastAsia="仿宋_GB2312"/>
          <w:sz w:val="32"/>
          <w:szCs w:val="32"/>
        </w:rPr>
        <w:t>万元</w:t>
      </w:r>
      <w:r>
        <w:rPr>
          <w:rFonts w:ascii="Times New Roman" w:eastAsia="仿宋_GB2312"/>
          <w:sz w:val="32"/>
          <w:szCs w:val="32"/>
        </w:rPr>
        <w:t>,</w:t>
      </w:r>
      <w:r>
        <w:rPr>
          <w:rFonts w:ascii="Times New Roman" w:eastAsia="仿宋_GB2312"/>
          <w:sz w:val="32"/>
          <w:szCs w:val="32"/>
        </w:rPr>
        <w:t>支出决算</w:t>
      </w:r>
      <w:r>
        <w:rPr>
          <w:rFonts w:ascii="Times New Roman" w:eastAsia="仿宋_GB2312"/>
          <w:sz w:val="32"/>
          <w:szCs w:val="32"/>
        </w:rPr>
        <w:t>0.00</w:t>
      </w:r>
      <w:r w:rsidR="003249E9">
        <w:rPr>
          <w:rFonts w:ascii="Times New Roman" w:eastAsia="仿宋_GB2312"/>
          <w:sz w:val="32"/>
          <w:szCs w:val="32"/>
        </w:rPr>
        <w:t>万元</w:t>
      </w:r>
      <w:r w:rsidR="003249E9">
        <w:rPr>
          <w:rFonts w:ascii="宋体" w:eastAsia="宋体" w:hAnsi="宋体" w:hint="eastAsia"/>
          <w:sz w:val="32"/>
          <w:szCs w:val="32"/>
        </w:rPr>
        <w:t>，</w:t>
      </w:r>
      <w:r>
        <w:rPr>
          <w:rFonts w:ascii="Times New Roman" w:eastAsia="仿宋_GB2312"/>
          <w:sz w:val="32"/>
          <w:szCs w:val="32"/>
        </w:rPr>
        <w:t>完成预算的</w:t>
      </w:r>
      <w:r>
        <w:rPr>
          <w:rFonts w:ascii="Times New Roman" w:eastAsia="仿宋_GB2312"/>
          <w:sz w:val="32"/>
          <w:szCs w:val="32"/>
        </w:rPr>
        <w:t>0.0%</w:t>
      </w:r>
      <w:r w:rsidR="003249E9">
        <w:rPr>
          <w:rFonts w:ascii="宋体" w:eastAsia="宋体" w:hAnsi="宋体" w:hint="eastAsia"/>
          <w:sz w:val="32"/>
          <w:szCs w:val="32"/>
        </w:rPr>
        <w:t>，</w:t>
      </w:r>
      <w:r w:rsidR="003249E9">
        <w:rPr>
          <w:rFonts w:ascii="Times New Roman" w:eastAsia="仿宋_GB2312"/>
          <w:sz w:val="32"/>
          <w:szCs w:val="32"/>
        </w:rPr>
        <w:t>因公出国（境）费支出</w:t>
      </w:r>
      <w:r w:rsidR="003249E9">
        <w:rPr>
          <w:rFonts w:ascii="宋体" w:eastAsia="宋体" w:hAnsi="宋体" w:hint="eastAsia"/>
          <w:sz w:val="32"/>
          <w:szCs w:val="32"/>
        </w:rPr>
        <w:t>与</w:t>
      </w:r>
      <w:r>
        <w:rPr>
          <w:rFonts w:ascii="Times New Roman" w:eastAsia="仿宋_GB2312"/>
          <w:sz w:val="32"/>
          <w:szCs w:val="32"/>
        </w:rPr>
        <w:t>预算</w:t>
      </w:r>
      <w:r w:rsidR="003249E9">
        <w:rPr>
          <w:rFonts w:ascii="Times New Roman" w:eastAsia="仿宋_GB2312" w:hint="eastAsia"/>
          <w:sz w:val="32"/>
          <w:szCs w:val="32"/>
        </w:rPr>
        <w:t>持平</w:t>
      </w:r>
      <w:r>
        <w:rPr>
          <w:rFonts w:ascii="Times New Roman" w:eastAsia="仿宋_GB2312"/>
          <w:sz w:val="32"/>
          <w:szCs w:val="32"/>
        </w:rPr>
        <w:t>；较上年增加</w:t>
      </w:r>
      <w:r>
        <w:rPr>
          <w:rFonts w:ascii="Times New Roman" w:eastAsia="仿宋_GB2312"/>
          <w:sz w:val="32"/>
          <w:szCs w:val="32"/>
        </w:rPr>
        <w:t>0.00</w:t>
      </w:r>
      <w:r>
        <w:rPr>
          <w:rFonts w:ascii="Times New Roman" w:eastAsia="仿宋_GB2312"/>
          <w:sz w:val="32"/>
          <w:szCs w:val="32"/>
        </w:rPr>
        <w:t>万</w:t>
      </w:r>
      <w:r>
        <w:rPr>
          <w:rFonts w:ascii="Times New Roman" w:eastAsia="仿宋_GB2312"/>
          <w:sz w:val="32"/>
          <w:szCs w:val="32"/>
        </w:rPr>
        <w:lastRenderedPageBreak/>
        <w:t>元，</w:t>
      </w:r>
      <w:r w:rsidR="003249E9">
        <w:rPr>
          <w:rFonts w:ascii="宋体" w:eastAsia="宋体" w:hAnsi="宋体" w:hint="eastAsia"/>
          <w:sz w:val="32"/>
          <w:szCs w:val="32"/>
        </w:rPr>
        <w:t>与上年持平</w:t>
      </w:r>
      <w:r>
        <w:rPr>
          <w:rFonts w:ascii="Times New Roman" w:eastAsia="仿宋_GB2312"/>
          <w:sz w:val="32"/>
          <w:szCs w:val="32"/>
        </w:rPr>
        <w:t>。因公出国（境）团组</w:t>
      </w:r>
      <w:r>
        <w:rPr>
          <w:rFonts w:ascii="Times New Roman" w:eastAsia="仿宋_GB2312"/>
          <w:sz w:val="32"/>
          <w:szCs w:val="32"/>
        </w:rPr>
        <w:t>0</w:t>
      </w:r>
      <w:r>
        <w:rPr>
          <w:rFonts w:ascii="Times New Roman" w:eastAsia="仿宋_GB2312"/>
          <w:sz w:val="32"/>
          <w:szCs w:val="32"/>
        </w:rPr>
        <w:t>个、共</w:t>
      </w:r>
      <w:r>
        <w:rPr>
          <w:rFonts w:ascii="Times New Roman" w:eastAsia="仿宋_GB2312"/>
          <w:sz w:val="32"/>
          <w:szCs w:val="32"/>
        </w:rPr>
        <w:t>0</w:t>
      </w:r>
      <w:r>
        <w:rPr>
          <w:rFonts w:ascii="Times New Roman" w:eastAsia="仿宋_GB2312"/>
          <w:sz w:val="32"/>
          <w:szCs w:val="32"/>
        </w:rPr>
        <w:t>人、参加其他单位组织的因公出国（境）团组</w:t>
      </w:r>
      <w:r w:rsidR="003249E9">
        <w:rPr>
          <w:rFonts w:ascii="宋体" w:eastAsia="宋体" w:hAnsi="宋体" w:hint="eastAsia"/>
          <w:sz w:val="32"/>
          <w:szCs w:val="32"/>
        </w:rPr>
        <w:t>0</w:t>
      </w:r>
      <w:r>
        <w:rPr>
          <w:rFonts w:ascii="Times New Roman" w:eastAsia="仿宋_GB2312"/>
          <w:sz w:val="32"/>
          <w:szCs w:val="32"/>
        </w:rPr>
        <w:t>个、共</w:t>
      </w:r>
      <w:r w:rsidR="003249E9">
        <w:rPr>
          <w:rFonts w:ascii="宋体" w:eastAsia="宋体" w:hAnsi="宋体" w:hint="eastAsia"/>
          <w:sz w:val="32"/>
          <w:szCs w:val="32"/>
        </w:rPr>
        <w:t>0</w:t>
      </w:r>
      <w:r>
        <w:rPr>
          <w:rFonts w:ascii="Times New Roman" w:eastAsia="仿宋_GB2312"/>
          <w:sz w:val="32"/>
          <w:szCs w:val="32"/>
        </w:rPr>
        <w:t>人</w:t>
      </w:r>
      <w:r w:rsidR="003249E9">
        <w:rPr>
          <w:rFonts w:ascii="宋体" w:eastAsia="宋体" w:hAnsi="宋体" w:hint="eastAsia"/>
          <w:sz w:val="32"/>
          <w:szCs w:val="32"/>
        </w:rPr>
        <w:t>；</w:t>
      </w:r>
      <w:r>
        <w:rPr>
          <w:rFonts w:ascii="Times New Roman" w:eastAsia="仿宋_GB2312"/>
          <w:sz w:val="32"/>
          <w:szCs w:val="32"/>
        </w:rPr>
        <w:t>无本部门组织的出国（境）团组。</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楷体_GB2312"/>
          <w:b/>
          <w:sz w:val="32"/>
          <w:szCs w:val="32"/>
        </w:rPr>
        <w:t>2.</w:t>
      </w:r>
      <w:r>
        <w:rPr>
          <w:rFonts w:ascii="Times New Roman" w:eastAsia="楷体_GB2312"/>
          <w:b/>
          <w:sz w:val="32"/>
          <w:szCs w:val="32"/>
        </w:rPr>
        <w:t>公务用车购置及运行维护费支出情况。</w:t>
      </w: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年度公务用车购置及运行维护费预算为</w:t>
      </w:r>
      <w:r>
        <w:rPr>
          <w:rFonts w:ascii="Times New Roman" w:eastAsia="仿宋_GB2312"/>
          <w:sz w:val="32"/>
          <w:szCs w:val="32"/>
        </w:rPr>
        <w:t>41.60</w:t>
      </w:r>
      <w:r>
        <w:rPr>
          <w:rFonts w:ascii="Times New Roman" w:eastAsia="仿宋_GB2312"/>
          <w:sz w:val="32"/>
          <w:szCs w:val="32"/>
        </w:rPr>
        <w:t>万元，支出决算</w:t>
      </w:r>
      <w:r>
        <w:rPr>
          <w:rFonts w:ascii="Times New Roman" w:eastAsia="仿宋_GB2312"/>
          <w:sz w:val="32"/>
          <w:szCs w:val="32"/>
        </w:rPr>
        <w:t>41.60</w:t>
      </w:r>
      <w:r>
        <w:rPr>
          <w:rFonts w:ascii="Times New Roman" w:eastAsia="仿宋_GB2312"/>
          <w:sz w:val="32"/>
          <w:szCs w:val="32"/>
        </w:rPr>
        <w:t>万元，完成预算的</w:t>
      </w:r>
      <w:r>
        <w:rPr>
          <w:rFonts w:ascii="Times New Roman" w:eastAsia="仿宋_GB2312"/>
          <w:sz w:val="32"/>
          <w:szCs w:val="32"/>
        </w:rPr>
        <w:t>100.0%,</w:t>
      </w:r>
      <w:r>
        <w:rPr>
          <w:rFonts w:ascii="Times New Roman" w:eastAsia="仿宋_GB2312"/>
          <w:sz w:val="32"/>
          <w:szCs w:val="32"/>
        </w:rPr>
        <w:t>较预算增加</w:t>
      </w:r>
      <w:r>
        <w:rPr>
          <w:rFonts w:ascii="Times New Roman" w:eastAsia="仿宋_GB2312"/>
          <w:sz w:val="32"/>
          <w:szCs w:val="32"/>
        </w:rPr>
        <w:t>0.00</w:t>
      </w:r>
      <w:r>
        <w:rPr>
          <w:rFonts w:ascii="Times New Roman" w:eastAsia="仿宋_GB2312"/>
          <w:sz w:val="32"/>
          <w:szCs w:val="32"/>
        </w:rPr>
        <w:t>万元，增长</w:t>
      </w:r>
      <w:r>
        <w:rPr>
          <w:rFonts w:ascii="Times New Roman" w:eastAsia="仿宋_GB2312"/>
          <w:sz w:val="32"/>
          <w:szCs w:val="32"/>
        </w:rPr>
        <w:t>0.0%,</w:t>
      </w:r>
      <w:r w:rsidR="00077816">
        <w:rPr>
          <w:rFonts w:ascii="Times New Roman" w:eastAsia="仿宋_GB2312"/>
          <w:sz w:val="32"/>
          <w:szCs w:val="32"/>
        </w:rPr>
        <w:t>公务用车购置及运行维护费</w:t>
      </w:r>
      <w:r w:rsidR="00077816">
        <w:rPr>
          <w:rFonts w:ascii="Times New Roman" w:eastAsia="仿宋_GB2312" w:hint="eastAsia"/>
          <w:sz w:val="32"/>
          <w:szCs w:val="32"/>
        </w:rPr>
        <w:t>与预算持平</w:t>
      </w:r>
      <w:r>
        <w:rPr>
          <w:rFonts w:ascii="Times New Roman" w:eastAsia="仿宋_GB2312"/>
          <w:sz w:val="32"/>
          <w:szCs w:val="32"/>
        </w:rPr>
        <w:t>；较上年减少</w:t>
      </w:r>
      <w:r>
        <w:rPr>
          <w:rFonts w:ascii="Times New Roman" w:eastAsia="仿宋_GB2312"/>
          <w:sz w:val="32"/>
          <w:szCs w:val="32"/>
        </w:rPr>
        <w:t>45.23</w:t>
      </w:r>
      <w:r>
        <w:rPr>
          <w:rFonts w:ascii="Times New Roman" w:eastAsia="仿宋_GB2312"/>
          <w:sz w:val="32"/>
          <w:szCs w:val="32"/>
        </w:rPr>
        <w:t>万元，降低</w:t>
      </w:r>
      <w:r>
        <w:rPr>
          <w:rFonts w:ascii="Times New Roman" w:eastAsia="仿宋_GB2312"/>
          <w:sz w:val="32"/>
          <w:szCs w:val="32"/>
        </w:rPr>
        <w:t>52.1%,</w:t>
      </w:r>
      <w:r>
        <w:rPr>
          <w:rFonts w:ascii="Times New Roman" w:eastAsia="仿宋_GB2312"/>
          <w:sz w:val="32"/>
          <w:szCs w:val="32"/>
        </w:rPr>
        <w:t>主要原因是</w:t>
      </w:r>
      <w:r w:rsidR="00077816" w:rsidRPr="00DE0BCF">
        <w:rPr>
          <w:rFonts w:ascii="Times New Roman" w:eastAsia="仿宋_GB2312" w:hint="eastAsia"/>
          <w:sz w:val="32"/>
          <w:szCs w:val="32"/>
        </w:rPr>
        <w:t>财政资金紧张，压缩各预算单位开支，消减预算单位收入指标</w:t>
      </w:r>
      <w:r>
        <w:rPr>
          <w:rFonts w:ascii="Times New Roman" w:eastAsia="仿宋_GB2312"/>
          <w:sz w:val="32"/>
          <w:szCs w:val="32"/>
        </w:rPr>
        <w:t>。其中：</w:t>
      </w:r>
    </w:p>
    <w:p w:rsidR="00E34AE7" w:rsidRPr="00571A02" w:rsidRDefault="00B2012A" w:rsidP="009D692D">
      <w:pPr>
        <w:widowControl/>
        <w:spacing w:line="360" w:lineRule="auto"/>
        <w:ind w:firstLineChars="200" w:firstLine="641"/>
        <w:jc w:val="left"/>
        <w:rPr>
          <w:rFonts w:ascii="宋体" w:eastAsia="宋体" w:hAnsi="宋体"/>
          <w:sz w:val="32"/>
          <w:szCs w:val="32"/>
        </w:rPr>
      </w:pPr>
      <w:r>
        <w:rPr>
          <w:rFonts w:ascii="Times New Roman" w:eastAsia="仿宋_GB2312"/>
          <w:b/>
          <w:sz w:val="32"/>
          <w:szCs w:val="32"/>
        </w:rPr>
        <w:t>公务用车购置费支出</w:t>
      </w:r>
      <w:r>
        <w:rPr>
          <w:rFonts w:ascii="Times New Roman" w:eastAsia="仿宋_GB2312"/>
          <w:b/>
          <w:sz w:val="32"/>
          <w:szCs w:val="32"/>
        </w:rPr>
        <w:t>0.00</w:t>
      </w:r>
      <w:r>
        <w:rPr>
          <w:rFonts w:ascii="Times New Roman" w:eastAsia="仿宋_GB2312"/>
          <w:b/>
          <w:sz w:val="32"/>
          <w:szCs w:val="32"/>
        </w:rPr>
        <w:t>万元：</w:t>
      </w: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年度公务用车购置量</w:t>
      </w:r>
      <w:r>
        <w:rPr>
          <w:rFonts w:ascii="Times New Roman" w:eastAsia="仿宋_GB2312"/>
          <w:sz w:val="32"/>
          <w:szCs w:val="32"/>
        </w:rPr>
        <w:t>0</w:t>
      </w:r>
      <w:r>
        <w:rPr>
          <w:rFonts w:ascii="Times New Roman" w:eastAsia="仿宋_GB2312"/>
          <w:sz w:val="32"/>
          <w:szCs w:val="32"/>
        </w:rPr>
        <w:t>辆，发生</w:t>
      </w:r>
      <w:r>
        <w:rPr>
          <w:rFonts w:ascii="Times New Roman" w:eastAsia="仿宋_GB2312"/>
          <w:sz w:val="32"/>
          <w:szCs w:val="32"/>
        </w:rPr>
        <w:t>“</w:t>
      </w:r>
      <w:r>
        <w:rPr>
          <w:rFonts w:ascii="Times New Roman" w:eastAsia="仿宋_GB2312"/>
          <w:sz w:val="32"/>
          <w:szCs w:val="32"/>
        </w:rPr>
        <w:t>公务用车购置</w:t>
      </w:r>
      <w:r>
        <w:rPr>
          <w:rFonts w:ascii="Times New Roman" w:eastAsia="仿宋_GB2312"/>
          <w:sz w:val="32"/>
          <w:szCs w:val="32"/>
        </w:rPr>
        <w:t>”</w:t>
      </w:r>
      <w:r>
        <w:rPr>
          <w:rFonts w:ascii="Times New Roman" w:eastAsia="仿宋_GB2312"/>
          <w:sz w:val="32"/>
          <w:szCs w:val="32"/>
        </w:rPr>
        <w:t>经费支出</w:t>
      </w:r>
      <w:r>
        <w:rPr>
          <w:rFonts w:ascii="Times New Roman" w:eastAsia="仿宋_GB2312"/>
          <w:sz w:val="32"/>
          <w:szCs w:val="32"/>
        </w:rPr>
        <w:t>0.00</w:t>
      </w:r>
      <w:r>
        <w:rPr>
          <w:rFonts w:ascii="Times New Roman" w:eastAsia="仿宋_GB2312"/>
          <w:sz w:val="32"/>
          <w:szCs w:val="32"/>
        </w:rPr>
        <w:t>万元。公务用车购置费支出较预算</w:t>
      </w:r>
      <w:r w:rsidR="00571A02">
        <w:rPr>
          <w:rFonts w:ascii="Times New Roman" w:eastAsia="仿宋_GB2312" w:hint="eastAsia"/>
          <w:sz w:val="32"/>
          <w:szCs w:val="32"/>
        </w:rPr>
        <w:t>持平</w:t>
      </w:r>
      <w:r>
        <w:rPr>
          <w:rFonts w:ascii="Times New Roman" w:eastAsia="仿宋_GB2312"/>
          <w:sz w:val="32"/>
          <w:szCs w:val="32"/>
        </w:rPr>
        <w:t>；较上年增加</w:t>
      </w:r>
      <w:r>
        <w:rPr>
          <w:rFonts w:ascii="Times New Roman" w:eastAsia="仿宋_GB2312"/>
          <w:sz w:val="32"/>
          <w:szCs w:val="32"/>
        </w:rPr>
        <w:t>0.00</w:t>
      </w:r>
      <w:r>
        <w:rPr>
          <w:rFonts w:ascii="Times New Roman" w:eastAsia="仿宋_GB2312"/>
          <w:sz w:val="32"/>
          <w:szCs w:val="32"/>
        </w:rPr>
        <w:t>万元，</w:t>
      </w:r>
      <w:r w:rsidR="00571A02">
        <w:rPr>
          <w:rFonts w:ascii="宋体" w:eastAsia="宋体" w:hAnsi="宋体" w:hint="eastAsia"/>
          <w:sz w:val="32"/>
          <w:szCs w:val="32"/>
        </w:rPr>
        <w:t>与上年持平。</w:t>
      </w:r>
    </w:p>
    <w:p w:rsidR="00E34AE7" w:rsidRDefault="00B2012A" w:rsidP="00571A02">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公务用车运行维护费支出</w:t>
      </w:r>
      <w:r>
        <w:rPr>
          <w:rFonts w:ascii="Times New Roman" w:eastAsia="仿宋_GB2312"/>
          <w:b/>
          <w:sz w:val="32"/>
          <w:szCs w:val="32"/>
        </w:rPr>
        <w:t>41.60</w:t>
      </w:r>
      <w:r>
        <w:rPr>
          <w:rFonts w:ascii="Times New Roman" w:eastAsia="仿宋_GB2312"/>
          <w:b/>
          <w:sz w:val="32"/>
          <w:szCs w:val="32"/>
        </w:rPr>
        <w:t>万元：</w:t>
      </w: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年度单位公务用车保有量</w:t>
      </w:r>
      <w:r>
        <w:rPr>
          <w:rFonts w:ascii="Times New Roman" w:eastAsia="仿宋_GB2312"/>
          <w:sz w:val="32"/>
          <w:szCs w:val="32"/>
        </w:rPr>
        <w:t>33</w:t>
      </w:r>
      <w:r>
        <w:rPr>
          <w:rFonts w:ascii="Times New Roman" w:eastAsia="仿宋_GB2312"/>
          <w:sz w:val="32"/>
          <w:szCs w:val="32"/>
        </w:rPr>
        <w:t>辆，发生运行维护费支出</w:t>
      </w:r>
      <w:r>
        <w:rPr>
          <w:rFonts w:ascii="Times New Roman" w:eastAsia="仿宋_GB2312"/>
          <w:sz w:val="32"/>
          <w:szCs w:val="32"/>
        </w:rPr>
        <w:t>41.60</w:t>
      </w:r>
      <w:r>
        <w:rPr>
          <w:rFonts w:ascii="Times New Roman" w:eastAsia="仿宋_GB2312"/>
          <w:sz w:val="32"/>
          <w:szCs w:val="32"/>
        </w:rPr>
        <w:t>万元。公车运行维护费支出较预算增加</w:t>
      </w:r>
      <w:r>
        <w:rPr>
          <w:rFonts w:ascii="Times New Roman" w:eastAsia="仿宋_GB2312"/>
          <w:sz w:val="32"/>
          <w:szCs w:val="32"/>
        </w:rPr>
        <w:t>0.00</w:t>
      </w:r>
      <w:r>
        <w:rPr>
          <w:rFonts w:ascii="Times New Roman" w:eastAsia="仿宋_GB2312"/>
          <w:sz w:val="32"/>
          <w:szCs w:val="32"/>
        </w:rPr>
        <w:t>万元，增长</w:t>
      </w:r>
      <w:r>
        <w:rPr>
          <w:rFonts w:ascii="Times New Roman" w:eastAsia="仿宋_GB2312"/>
          <w:sz w:val="32"/>
          <w:szCs w:val="32"/>
        </w:rPr>
        <w:t>0.0%,</w:t>
      </w:r>
      <w:r w:rsidR="00571A02">
        <w:rPr>
          <w:rFonts w:ascii="Times New Roman" w:eastAsia="仿宋_GB2312"/>
          <w:sz w:val="32"/>
          <w:szCs w:val="32"/>
        </w:rPr>
        <w:t>公车运行维护费支出</w:t>
      </w:r>
      <w:r w:rsidR="00571A02">
        <w:rPr>
          <w:rFonts w:ascii="宋体" w:eastAsia="宋体" w:hAnsi="宋体" w:hint="eastAsia"/>
          <w:sz w:val="32"/>
          <w:szCs w:val="32"/>
        </w:rPr>
        <w:t>与</w:t>
      </w:r>
      <w:r w:rsidR="00571A02">
        <w:rPr>
          <w:rFonts w:ascii="Times New Roman" w:eastAsia="仿宋_GB2312"/>
          <w:sz w:val="32"/>
          <w:szCs w:val="32"/>
        </w:rPr>
        <w:t>预算</w:t>
      </w:r>
      <w:r w:rsidR="00571A02">
        <w:rPr>
          <w:rFonts w:ascii="Times New Roman" w:eastAsia="仿宋_GB2312" w:hint="eastAsia"/>
          <w:sz w:val="32"/>
          <w:szCs w:val="32"/>
        </w:rPr>
        <w:t>持平</w:t>
      </w:r>
      <w:r>
        <w:rPr>
          <w:rFonts w:ascii="Times New Roman" w:eastAsia="仿宋_GB2312"/>
          <w:sz w:val="32"/>
          <w:szCs w:val="32"/>
        </w:rPr>
        <w:t>；较上年减少</w:t>
      </w:r>
      <w:r>
        <w:rPr>
          <w:rFonts w:ascii="Times New Roman" w:eastAsia="仿宋_GB2312"/>
          <w:sz w:val="32"/>
          <w:szCs w:val="32"/>
        </w:rPr>
        <w:t>45.23</w:t>
      </w:r>
      <w:r>
        <w:rPr>
          <w:rFonts w:ascii="Times New Roman" w:eastAsia="仿宋_GB2312"/>
          <w:sz w:val="32"/>
          <w:szCs w:val="32"/>
        </w:rPr>
        <w:t>万元，降低</w:t>
      </w:r>
      <w:r>
        <w:rPr>
          <w:rFonts w:ascii="Times New Roman" w:eastAsia="仿宋_GB2312"/>
          <w:sz w:val="32"/>
          <w:szCs w:val="32"/>
        </w:rPr>
        <w:t>52.1%</w:t>
      </w:r>
      <w:r>
        <w:rPr>
          <w:rFonts w:ascii="Times New Roman" w:eastAsia="仿宋_GB2312"/>
          <w:sz w:val="32"/>
          <w:szCs w:val="32"/>
        </w:rPr>
        <w:t>，主要原因是</w:t>
      </w:r>
      <w:r w:rsidR="00571A02" w:rsidRPr="00DE0BCF">
        <w:rPr>
          <w:rFonts w:ascii="Times New Roman" w:eastAsia="仿宋_GB2312" w:hint="eastAsia"/>
          <w:sz w:val="32"/>
          <w:szCs w:val="32"/>
        </w:rPr>
        <w:t>财政资金紧张，压缩各预算单位开支，消减预算单位收入指标</w:t>
      </w:r>
      <w:r w:rsidR="00571A02">
        <w:rPr>
          <w:rFonts w:ascii="Times New Roman" w:eastAsia="仿宋_GB2312"/>
          <w:sz w:val="32"/>
          <w:szCs w:val="32"/>
        </w:rPr>
        <w:t>。</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楷体_GB2312"/>
          <w:b/>
          <w:sz w:val="32"/>
          <w:szCs w:val="32"/>
        </w:rPr>
        <w:lastRenderedPageBreak/>
        <w:t>3.</w:t>
      </w:r>
      <w:r>
        <w:rPr>
          <w:rFonts w:ascii="Times New Roman" w:eastAsia="楷体_GB2312"/>
          <w:b/>
          <w:sz w:val="32"/>
          <w:szCs w:val="32"/>
        </w:rPr>
        <w:t>公务接待费支出情况。</w:t>
      </w: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年度公务接待费支出预算为</w:t>
      </w:r>
      <w:r>
        <w:rPr>
          <w:rFonts w:ascii="Times New Roman" w:eastAsia="仿宋_GB2312"/>
          <w:sz w:val="32"/>
          <w:szCs w:val="32"/>
        </w:rPr>
        <w:t>4.58</w:t>
      </w:r>
      <w:r>
        <w:rPr>
          <w:rFonts w:ascii="Times New Roman" w:eastAsia="仿宋_GB2312"/>
          <w:sz w:val="32"/>
          <w:szCs w:val="32"/>
        </w:rPr>
        <w:t>万元，支出决算</w:t>
      </w:r>
      <w:r>
        <w:rPr>
          <w:rFonts w:ascii="Times New Roman" w:eastAsia="仿宋_GB2312"/>
          <w:sz w:val="32"/>
          <w:szCs w:val="32"/>
        </w:rPr>
        <w:t>4.58</w:t>
      </w:r>
      <w:r>
        <w:rPr>
          <w:rFonts w:ascii="Times New Roman" w:eastAsia="仿宋_GB2312"/>
          <w:sz w:val="32"/>
          <w:szCs w:val="32"/>
        </w:rPr>
        <w:t>万元，完成预算的</w:t>
      </w:r>
      <w:r>
        <w:rPr>
          <w:rFonts w:ascii="Times New Roman" w:eastAsia="仿宋_GB2312"/>
          <w:sz w:val="32"/>
          <w:szCs w:val="32"/>
        </w:rPr>
        <w:t>100.0%</w:t>
      </w:r>
      <w:r>
        <w:rPr>
          <w:rFonts w:ascii="Times New Roman" w:eastAsia="仿宋_GB2312"/>
          <w:sz w:val="32"/>
          <w:szCs w:val="32"/>
        </w:rPr>
        <w:t>。公务接待费支出</w:t>
      </w:r>
      <w:r w:rsidR="00571A02">
        <w:rPr>
          <w:rFonts w:ascii="宋体" w:eastAsia="宋体" w:hAnsi="宋体" w:hint="eastAsia"/>
          <w:sz w:val="32"/>
          <w:szCs w:val="32"/>
        </w:rPr>
        <w:t>与</w:t>
      </w:r>
      <w:r>
        <w:rPr>
          <w:rFonts w:ascii="Times New Roman" w:eastAsia="仿宋_GB2312"/>
          <w:sz w:val="32"/>
          <w:szCs w:val="32"/>
        </w:rPr>
        <w:t>预算</w:t>
      </w:r>
      <w:r w:rsidR="00571A02">
        <w:rPr>
          <w:rFonts w:ascii="Times New Roman" w:eastAsia="仿宋_GB2312" w:hint="eastAsia"/>
          <w:sz w:val="32"/>
          <w:szCs w:val="32"/>
        </w:rPr>
        <w:t>持平</w:t>
      </w:r>
      <w:r>
        <w:rPr>
          <w:rFonts w:ascii="Times New Roman" w:eastAsia="仿宋_GB2312"/>
          <w:sz w:val="32"/>
          <w:szCs w:val="32"/>
        </w:rPr>
        <w:t>；较上年度减少</w:t>
      </w:r>
      <w:r>
        <w:rPr>
          <w:rFonts w:ascii="Times New Roman" w:eastAsia="仿宋_GB2312"/>
          <w:sz w:val="32"/>
          <w:szCs w:val="32"/>
        </w:rPr>
        <w:t>10.84</w:t>
      </w:r>
      <w:r>
        <w:rPr>
          <w:rFonts w:ascii="Times New Roman" w:eastAsia="仿宋_GB2312"/>
          <w:sz w:val="32"/>
          <w:szCs w:val="32"/>
        </w:rPr>
        <w:t>万元，降低</w:t>
      </w:r>
      <w:r>
        <w:rPr>
          <w:rFonts w:ascii="Times New Roman" w:eastAsia="仿宋_GB2312"/>
          <w:sz w:val="32"/>
          <w:szCs w:val="32"/>
        </w:rPr>
        <w:t>70.3%,</w:t>
      </w:r>
      <w:r>
        <w:rPr>
          <w:rFonts w:ascii="Times New Roman" w:eastAsia="仿宋_GB2312"/>
          <w:sz w:val="32"/>
          <w:szCs w:val="32"/>
        </w:rPr>
        <w:t>主要原因是</w:t>
      </w:r>
      <w:r w:rsidR="00986944" w:rsidRPr="00DE0BCF">
        <w:rPr>
          <w:rFonts w:ascii="Times New Roman" w:eastAsia="仿宋_GB2312" w:hint="eastAsia"/>
          <w:sz w:val="32"/>
          <w:szCs w:val="32"/>
        </w:rPr>
        <w:t>财政资金紧张，压缩各预算单位开支，消减预算单位收入指标</w:t>
      </w:r>
      <w:r>
        <w:rPr>
          <w:rFonts w:ascii="Times New Roman" w:eastAsia="仿宋_GB2312"/>
          <w:sz w:val="32"/>
          <w:szCs w:val="32"/>
        </w:rPr>
        <w:t>。本年度共发生公务接待</w:t>
      </w:r>
      <w:r>
        <w:rPr>
          <w:rFonts w:ascii="Times New Roman" w:eastAsia="仿宋_GB2312"/>
          <w:sz w:val="32"/>
          <w:szCs w:val="32"/>
        </w:rPr>
        <w:t>135</w:t>
      </w:r>
      <w:r>
        <w:rPr>
          <w:rFonts w:ascii="Times New Roman" w:eastAsia="仿宋_GB2312"/>
          <w:sz w:val="32"/>
          <w:szCs w:val="32"/>
        </w:rPr>
        <w:t>批次、</w:t>
      </w:r>
      <w:r>
        <w:rPr>
          <w:rFonts w:ascii="Times New Roman" w:eastAsia="仿宋_GB2312"/>
          <w:sz w:val="32"/>
          <w:szCs w:val="32"/>
        </w:rPr>
        <w:t>1,685</w:t>
      </w:r>
      <w:r>
        <w:rPr>
          <w:rFonts w:ascii="Times New Roman" w:eastAsia="仿宋_GB2312"/>
          <w:sz w:val="32"/>
          <w:szCs w:val="32"/>
        </w:rPr>
        <w:t>人次。</w:t>
      </w:r>
    </w:p>
    <w:p w:rsidR="00E34AE7" w:rsidRDefault="00B2012A" w:rsidP="009D692D">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六、机关运行经费支出说明</w:t>
      </w:r>
    </w:p>
    <w:p w:rsidR="00E34AE7" w:rsidRPr="00930114" w:rsidRDefault="00B2012A" w:rsidP="00930114">
      <w:pPr>
        <w:pStyle w:val="a7"/>
        <w:widowControl/>
        <w:snapToGrid w:val="0"/>
        <w:spacing w:beforeAutospacing="0" w:afterAutospacing="0" w:line="360" w:lineRule="auto"/>
        <w:ind w:firstLineChars="100" w:firstLine="320"/>
        <w:jc w:val="both"/>
        <w:rPr>
          <w:rFonts w:ascii="宋体" w:eastAsia="宋体" w:hAnsi="宋体" w:cs="宋体"/>
          <w:sz w:val="32"/>
          <w:szCs w:val="32"/>
        </w:rPr>
      </w:pPr>
      <w:r w:rsidRPr="00930114">
        <w:rPr>
          <w:rFonts w:ascii="宋体" w:eastAsia="宋体" w:hAnsi="宋体" w:cs="宋体"/>
          <w:sz w:val="32"/>
          <w:szCs w:val="32"/>
        </w:rPr>
        <w:t>本</w:t>
      </w:r>
      <w:r>
        <w:rPr>
          <w:rFonts w:ascii="宋体" w:eastAsia="宋体" w:hAnsi="宋体" w:cs="宋体" w:hint="eastAsia"/>
          <w:sz w:val="32"/>
          <w:szCs w:val="32"/>
        </w:rPr>
        <w:t>部门</w:t>
      </w:r>
      <w:r w:rsidRPr="00930114">
        <w:rPr>
          <w:rFonts w:ascii="宋体" w:eastAsia="宋体" w:hAnsi="宋体" w:cs="宋体"/>
          <w:sz w:val="32"/>
          <w:szCs w:val="32"/>
        </w:rPr>
        <w:t>2024</w:t>
      </w:r>
      <w:r>
        <w:rPr>
          <w:rFonts w:ascii="宋体" w:eastAsia="宋体" w:hAnsi="宋体" w:cs="宋体" w:hint="eastAsia"/>
          <w:sz w:val="32"/>
          <w:szCs w:val="32"/>
        </w:rPr>
        <w:t>年度机关运行</w:t>
      </w:r>
      <w:r w:rsidRPr="00930114">
        <w:rPr>
          <w:rFonts w:ascii="宋体" w:eastAsia="宋体" w:hAnsi="宋体" w:cs="宋体" w:hint="eastAsia"/>
          <w:sz w:val="32"/>
          <w:szCs w:val="32"/>
        </w:rPr>
        <w:t>经费</w:t>
      </w:r>
      <w:r>
        <w:rPr>
          <w:rFonts w:ascii="宋体" w:eastAsia="宋体" w:hAnsi="宋体" w:cs="宋体" w:hint="eastAsia"/>
          <w:sz w:val="32"/>
          <w:szCs w:val="32"/>
        </w:rPr>
        <w:t>支出</w:t>
      </w:r>
      <w:r w:rsidRPr="00930114">
        <w:rPr>
          <w:rFonts w:ascii="宋体" w:eastAsia="宋体" w:hAnsi="宋体" w:cs="宋体"/>
          <w:sz w:val="32"/>
          <w:szCs w:val="32"/>
        </w:rPr>
        <w:t>105.45</w:t>
      </w:r>
      <w:r>
        <w:rPr>
          <w:rFonts w:ascii="宋体" w:eastAsia="宋体" w:hAnsi="宋体" w:cs="宋体" w:hint="eastAsia"/>
          <w:sz w:val="32"/>
          <w:szCs w:val="32"/>
        </w:rPr>
        <w:t>万元，较</w:t>
      </w:r>
      <w:r w:rsidRPr="00930114">
        <w:rPr>
          <w:rFonts w:ascii="宋体" w:eastAsia="宋体" w:hAnsi="宋体" w:cs="宋体"/>
          <w:sz w:val="32"/>
          <w:szCs w:val="32"/>
        </w:rPr>
        <w:t>2023</w:t>
      </w:r>
      <w:r>
        <w:rPr>
          <w:rFonts w:ascii="宋体" w:eastAsia="宋体" w:hAnsi="宋体" w:cs="宋体" w:hint="eastAsia"/>
          <w:sz w:val="32"/>
          <w:szCs w:val="32"/>
        </w:rPr>
        <w:t>年度减少</w:t>
      </w:r>
      <w:r w:rsidRPr="00930114">
        <w:rPr>
          <w:rFonts w:ascii="宋体" w:eastAsia="宋体" w:hAnsi="宋体" w:cs="宋体"/>
          <w:sz w:val="32"/>
          <w:szCs w:val="32"/>
        </w:rPr>
        <w:t>142.59</w:t>
      </w:r>
      <w:r>
        <w:rPr>
          <w:rFonts w:ascii="宋体" w:eastAsia="宋体" w:hAnsi="宋体" w:cs="宋体" w:hint="eastAsia"/>
          <w:sz w:val="32"/>
          <w:szCs w:val="32"/>
        </w:rPr>
        <w:t>万元，降低</w:t>
      </w:r>
      <w:r w:rsidRPr="00930114">
        <w:rPr>
          <w:rFonts w:ascii="宋体" w:eastAsia="宋体" w:hAnsi="宋体" w:cs="宋体"/>
          <w:sz w:val="32"/>
          <w:szCs w:val="32"/>
        </w:rPr>
        <w:t>57.5%</w:t>
      </w:r>
      <w:r>
        <w:rPr>
          <w:rFonts w:ascii="宋体" w:eastAsia="宋体" w:hAnsi="宋体" w:cs="宋体" w:hint="eastAsia"/>
          <w:sz w:val="32"/>
          <w:szCs w:val="32"/>
        </w:rPr>
        <w:t>。主要原因是</w:t>
      </w:r>
      <w:r w:rsidR="00986944" w:rsidRPr="00930114">
        <w:rPr>
          <w:rFonts w:ascii="宋体" w:eastAsia="宋体" w:hAnsi="宋体" w:cs="宋体" w:hint="eastAsia"/>
          <w:sz w:val="32"/>
          <w:szCs w:val="32"/>
        </w:rPr>
        <w:t>2023年支出包含2022年结转结余支出</w:t>
      </w:r>
      <w:r w:rsidR="00986944" w:rsidRPr="00930114">
        <w:rPr>
          <w:rFonts w:ascii="宋体" w:eastAsia="宋体" w:hAnsi="宋体" w:cs="宋体"/>
          <w:sz w:val="32"/>
          <w:szCs w:val="32"/>
        </w:rPr>
        <w:t>。</w:t>
      </w:r>
    </w:p>
    <w:p w:rsidR="00E34AE7" w:rsidRDefault="00B2012A" w:rsidP="009D692D">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七、政府采购支出说明</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年度政府采购支出总额</w:t>
      </w:r>
      <w:r>
        <w:rPr>
          <w:rFonts w:ascii="Times New Roman" w:eastAsia="仿宋_GB2312"/>
          <w:sz w:val="32"/>
          <w:szCs w:val="32"/>
        </w:rPr>
        <w:t>845.95</w:t>
      </w:r>
      <w:r>
        <w:rPr>
          <w:rFonts w:ascii="Times New Roman" w:eastAsia="仿宋_GB2312"/>
          <w:sz w:val="32"/>
          <w:szCs w:val="32"/>
        </w:rPr>
        <w:t>万元，从采购类型来看，政府采购货物支出</w:t>
      </w:r>
      <w:r>
        <w:rPr>
          <w:rFonts w:ascii="Times New Roman" w:eastAsia="仿宋_GB2312"/>
          <w:sz w:val="32"/>
          <w:szCs w:val="32"/>
        </w:rPr>
        <w:t>0.00</w:t>
      </w:r>
      <w:r>
        <w:rPr>
          <w:rFonts w:ascii="Times New Roman" w:eastAsia="仿宋_GB2312"/>
          <w:sz w:val="32"/>
          <w:szCs w:val="32"/>
        </w:rPr>
        <w:t>万元、政府采购工程支出</w:t>
      </w:r>
      <w:r>
        <w:rPr>
          <w:rFonts w:ascii="Times New Roman" w:eastAsia="仿宋_GB2312"/>
          <w:sz w:val="32"/>
          <w:szCs w:val="32"/>
        </w:rPr>
        <w:t>379.90</w:t>
      </w:r>
      <w:r>
        <w:rPr>
          <w:rFonts w:ascii="Times New Roman" w:eastAsia="仿宋_GB2312"/>
          <w:sz w:val="32"/>
          <w:szCs w:val="32"/>
        </w:rPr>
        <w:t>万元、政府采购服务支出</w:t>
      </w:r>
      <w:r>
        <w:rPr>
          <w:rFonts w:ascii="Times New Roman" w:eastAsia="仿宋_GB2312"/>
          <w:sz w:val="32"/>
          <w:szCs w:val="32"/>
        </w:rPr>
        <w:t>466.05</w:t>
      </w:r>
      <w:r>
        <w:rPr>
          <w:rFonts w:ascii="Times New Roman" w:eastAsia="仿宋_GB2312"/>
          <w:sz w:val="32"/>
          <w:szCs w:val="32"/>
        </w:rPr>
        <w:t>万元。授予中小企业合同金额</w:t>
      </w:r>
      <w:r>
        <w:rPr>
          <w:rFonts w:ascii="Times New Roman" w:eastAsia="仿宋_GB2312"/>
          <w:sz w:val="32"/>
          <w:szCs w:val="32"/>
        </w:rPr>
        <w:t>845.95</w:t>
      </w:r>
      <w:r>
        <w:rPr>
          <w:rFonts w:ascii="Times New Roman" w:eastAsia="仿宋_GB2312"/>
          <w:sz w:val="32"/>
          <w:szCs w:val="32"/>
        </w:rPr>
        <w:t>万元，占政府采购支出总额的</w:t>
      </w:r>
      <w:r>
        <w:rPr>
          <w:rFonts w:ascii="Times New Roman" w:eastAsia="仿宋_GB2312"/>
          <w:sz w:val="32"/>
          <w:szCs w:val="32"/>
        </w:rPr>
        <w:t>100.0%</w:t>
      </w:r>
      <w:r>
        <w:rPr>
          <w:rFonts w:ascii="Times New Roman" w:eastAsia="仿宋_GB2312"/>
          <w:sz w:val="32"/>
          <w:szCs w:val="32"/>
        </w:rPr>
        <w:t>，其中授予小微企业合同金额</w:t>
      </w:r>
      <w:r>
        <w:rPr>
          <w:rFonts w:ascii="Times New Roman" w:eastAsia="仿宋_GB2312"/>
          <w:sz w:val="32"/>
          <w:szCs w:val="32"/>
        </w:rPr>
        <w:t>845.95</w:t>
      </w:r>
      <w:r>
        <w:rPr>
          <w:rFonts w:ascii="Times New Roman" w:eastAsia="仿宋_GB2312"/>
          <w:sz w:val="32"/>
          <w:szCs w:val="32"/>
        </w:rPr>
        <w:t>万元，占政府采购支出总额的</w:t>
      </w:r>
      <w:r>
        <w:rPr>
          <w:rFonts w:ascii="Times New Roman" w:eastAsia="仿宋_GB2312"/>
          <w:sz w:val="32"/>
          <w:szCs w:val="32"/>
        </w:rPr>
        <w:t>100.0%</w:t>
      </w:r>
      <w:r>
        <w:rPr>
          <w:rFonts w:ascii="Times New Roman" w:eastAsia="仿宋_GB2312"/>
          <w:sz w:val="32"/>
          <w:szCs w:val="32"/>
        </w:rPr>
        <w:t>。</w:t>
      </w:r>
    </w:p>
    <w:p w:rsidR="00E34AE7" w:rsidRDefault="00B2012A" w:rsidP="009D692D">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八、国有资产占用情况说明</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截至</w:t>
      </w:r>
      <w:r>
        <w:rPr>
          <w:rFonts w:ascii="Times New Roman" w:eastAsia="仿宋_GB2312"/>
          <w:sz w:val="32"/>
          <w:szCs w:val="32"/>
        </w:rPr>
        <w:t>2024</w:t>
      </w:r>
      <w:r>
        <w:rPr>
          <w:rFonts w:ascii="Times New Roman" w:eastAsia="仿宋_GB2312"/>
          <w:sz w:val="32"/>
          <w:szCs w:val="32"/>
        </w:rPr>
        <w:t>年</w:t>
      </w:r>
      <w:r>
        <w:rPr>
          <w:rFonts w:ascii="Times New Roman" w:eastAsia="仿宋_GB2312"/>
          <w:sz w:val="32"/>
          <w:szCs w:val="32"/>
        </w:rPr>
        <w:t>12</w:t>
      </w:r>
      <w:r>
        <w:rPr>
          <w:rFonts w:ascii="Times New Roman" w:eastAsia="仿宋_GB2312"/>
          <w:sz w:val="32"/>
          <w:szCs w:val="32"/>
        </w:rPr>
        <w:t>月</w:t>
      </w:r>
      <w:r>
        <w:rPr>
          <w:rFonts w:ascii="Times New Roman" w:eastAsia="仿宋_GB2312"/>
          <w:sz w:val="32"/>
          <w:szCs w:val="32"/>
        </w:rPr>
        <w:t>31</w:t>
      </w:r>
      <w:r>
        <w:rPr>
          <w:rFonts w:ascii="Times New Roman" w:eastAsia="仿宋_GB2312"/>
          <w:sz w:val="32"/>
          <w:szCs w:val="32"/>
        </w:rPr>
        <w:t>日，本部门共有车辆</w:t>
      </w:r>
      <w:r>
        <w:rPr>
          <w:rFonts w:ascii="Times New Roman" w:eastAsia="仿宋_GB2312"/>
          <w:sz w:val="32"/>
          <w:szCs w:val="32"/>
        </w:rPr>
        <w:t>33</w:t>
      </w:r>
      <w:r>
        <w:rPr>
          <w:rFonts w:ascii="Times New Roman" w:eastAsia="仿宋_GB2312"/>
          <w:sz w:val="32"/>
          <w:szCs w:val="32"/>
        </w:rPr>
        <w:t>辆，比上年减少</w:t>
      </w:r>
      <w:r>
        <w:rPr>
          <w:rFonts w:ascii="Times New Roman" w:eastAsia="仿宋_GB2312"/>
          <w:sz w:val="32"/>
          <w:szCs w:val="32"/>
        </w:rPr>
        <w:t>47</w:t>
      </w:r>
      <w:r>
        <w:rPr>
          <w:rFonts w:ascii="Times New Roman" w:eastAsia="仿宋_GB2312"/>
          <w:sz w:val="32"/>
          <w:szCs w:val="32"/>
        </w:rPr>
        <w:t>辆，主要</w:t>
      </w:r>
      <w:r w:rsidR="00986944">
        <w:rPr>
          <w:rFonts w:ascii="Times New Roman" w:eastAsia="仿宋_GB2312" w:hint="eastAsia"/>
          <w:sz w:val="32"/>
          <w:szCs w:val="32"/>
        </w:rPr>
        <w:t>原因</w:t>
      </w:r>
      <w:r>
        <w:rPr>
          <w:rFonts w:ascii="Times New Roman" w:eastAsia="仿宋_GB2312"/>
          <w:sz w:val="32"/>
          <w:szCs w:val="32"/>
        </w:rPr>
        <w:t>是</w:t>
      </w:r>
      <w:r w:rsidR="00986944">
        <w:rPr>
          <w:rFonts w:ascii="Times New Roman" w:eastAsia="仿宋_GB2312" w:hint="eastAsia"/>
          <w:sz w:val="32"/>
          <w:szCs w:val="32"/>
        </w:rPr>
        <w:t>机构改革，</w:t>
      </w:r>
      <w:r w:rsidR="0048245C">
        <w:rPr>
          <w:rFonts w:ascii="Times New Roman" w:eastAsia="仿宋_GB2312" w:hint="eastAsia"/>
          <w:sz w:val="32"/>
          <w:szCs w:val="32"/>
        </w:rPr>
        <w:t>移交</w:t>
      </w:r>
      <w:r w:rsidR="00986944">
        <w:rPr>
          <w:rFonts w:ascii="Times New Roman" w:eastAsia="仿宋_GB2312" w:hint="eastAsia"/>
          <w:sz w:val="32"/>
          <w:szCs w:val="32"/>
        </w:rPr>
        <w:t>林业局</w:t>
      </w:r>
      <w:r w:rsidR="0048245C">
        <w:rPr>
          <w:rFonts w:ascii="宋体" w:eastAsia="宋体" w:hAnsi="宋体" w:hint="eastAsia"/>
          <w:sz w:val="32"/>
          <w:szCs w:val="32"/>
        </w:rPr>
        <w:t>、应急局总共47辆</w:t>
      </w:r>
      <w:r>
        <w:rPr>
          <w:rFonts w:ascii="Times New Roman" w:eastAsia="仿宋_GB2312"/>
          <w:sz w:val="32"/>
          <w:szCs w:val="32"/>
        </w:rPr>
        <w:t>。其中，副部（省）级及以上领导用车</w:t>
      </w:r>
      <w:r>
        <w:rPr>
          <w:rFonts w:ascii="Times New Roman" w:eastAsia="仿宋_GB2312"/>
          <w:sz w:val="32"/>
          <w:szCs w:val="32"/>
        </w:rPr>
        <w:t>0</w:t>
      </w:r>
      <w:r>
        <w:rPr>
          <w:rFonts w:ascii="Times New Roman" w:eastAsia="仿宋_GB2312"/>
          <w:sz w:val="32"/>
          <w:szCs w:val="32"/>
        </w:rPr>
        <w:t>辆，主要负责人用车</w:t>
      </w:r>
      <w:r>
        <w:rPr>
          <w:rFonts w:ascii="Times New Roman" w:eastAsia="仿宋_GB2312"/>
          <w:sz w:val="32"/>
          <w:szCs w:val="32"/>
        </w:rPr>
        <w:t>0</w:t>
      </w:r>
      <w:r>
        <w:rPr>
          <w:rFonts w:ascii="Times New Roman" w:eastAsia="仿宋_GB2312"/>
          <w:sz w:val="32"/>
          <w:szCs w:val="32"/>
        </w:rPr>
        <w:lastRenderedPageBreak/>
        <w:t>辆，机要通信用车</w:t>
      </w:r>
      <w:r>
        <w:rPr>
          <w:rFonts w:ascii="Times New Roman" w:eastAsia="仿宋_GB2312"/>
          <w:sz w:val="32"/>
          <w:szCs w:val="32"/>
        </w:rPr>
        <w:t>1</w:t>
      </w:r>
      <w:r>
        <w:rPr>
          <w:rFonts w:ascii="Times New Roman" w:eastAsia="仿宋_GB2312"/>
          <w:sz w:val="32"/>
          <w:szCs w:val="32"/>
        </w:rPr>
        <w:t>辆，应急保障用车</w:t>
      </w:r>
      <w:r>
        <w:rPr>
          <w:rFonts w:ascii="Times New Roman" w:eastAsia="仿宋_GB2312"/>
          <w:sz w:val="32"/>
          <w:szCs w:val="32"/>
        </w:rPr>
        <w:t>2</w:t>
      </w:r>
      <w:r>
        <w:rPr>
          <w:rFonts w:ascii="Times New Roman" w:eastAsia="仿宋_GB2312"/>
          <w:sz w:val="32"/>
          <w:szCs w:val="32"/>
        </w:rPr>
        <w:t>辆，执法执勤用车</w:t>
      </w:r>
      <w:r>
        <w:rPr>
          <w:rFonts w:ascii="Times New Roman" w:eastAsia="仿宋_GB2312"/>
          <w:sz w:val="32"/>
          <w:szCs w:val="32"/>
        </w:rPr>
        <w:t>12</w:t>
      </w:r>
      <w:r>
        <w:rPr>
          <w:rFonts w:ascii="Times New Roman" w:eastAsia="仿宋_GB2312"/>
          <w:sz w:val="32"/>
          <w:szCs w:val="32"/>
        </w:rPr>
        <w:t>辆，特种专业技术用车</w:t>
      </w:r>
      <w:r>
        <w:rPr>
          <w:rFonts w:ascii="Times New Roman" w:eastAsia="仿宋_GB2312"/>
          <w:sz w:val="32"/>
          <w:szCs w:val="32"/>
        </w:rPr>
        <w:t>17</w:t>
      </w:r>
      <w:r>
        <w:rPr>
          <w:rFonts w:ascii="Times New Roman" w:eastAsia="仿宋_GB2312"/>
          <w:sz w:val="32"/>
          <w:szCs w:val="32"/>
        </w:rPr>
        <w:t>辆，离退休干部用车</w:t>
      </w:r>
      <w:r>
        <w:rPr>
          <w:rFonts w:ascii="Times New Roman" w:eastAsia="仿宋_GB2312"/>
          <w:sz w:val="32"/>
          <w:szCs w:val="32"/>
        </w:rPr>
        <w:t>0</w:t>
      </w:r>
      <w:r>
        <w:rPr>
          <w:rFonts w:ascii="Times New Roman" w:eastAsia="仿宋_GB2312"/>
          <w:sz w:val="32"/>
          <w:szCs w:val="32"/>
        </w:rPr>
        <w:t>辆，其他用车</w:t>
      </w:r>
      <w:r>
        <w:rPr>
          <w:rFonts w:ascii="Times New Roman" w:eastAsia="仿宋_GB2312"/>
          <w:sz w:val="32"/>
          <w:szCs w:val="32"/>
        </w:rPr>
        <w:t>1</w:t>
      </w:r>
      <w:r>
        <w:rPr>
          <w:rFonts w:ascii="Times New Roman" w:eastAsia="仿宋_GB2312"/>
          <w:sz w:val="32"/>
          <w:szCs w:val="32"/>
        </w:rPr>
        <w:t>辆，其他用车主要是。单位价值</w:t>
      </w:r>
      <w:r>
        <w:rPr>
          <w:rFonts w:ascii="Times New Roman" w:eastAsia="仿宋_GB2312"/>
          <w:sz w:val="32"/>
          <w:szCs w:val="32"/>
        </w:rPr>
        <w:t>100</w:t>
      </w:r>
      <w:r>
        <w:rPr>
          <w:rFonts w:ascii="Times New Roman" w:eastAsia="仿宋_GB2312"/>
          <w:sz w:val="32"/>
          <w:szCs w:val="32"/>
        </w:rPr>
        <w:t>万元（含）以上设备（不含车辆）</w:t>
      </w:r>
      <w:r>
        <w:rPr>
          <w:rFonts w:ascii="Times New Roman" w:eastAsia="仿宋_GB2312"/>
          <w:sz w:val="32"/>
          <w:szCs w:val="32"/>
        </w:rPr>
        <w:t>2</w:t>
      </w:r>
      <w:r>
        <w:rPr>
          <w:rFonts w:ascii="Times New Roman" w:eastAsia="仿宋_GB2312"/>
          <w:sz w:val="32"/>
          <w:szCs w:val="32"/>
        </w:rPr>
        <w:t>台（套）。</w:t>
      </w:r>
    </w:p>
    <w:p w:rsidR="00E34AE7" w:rsidRDefault="00B2012A" w:rsidP="009D692D">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九、关于</w:t>
      </w:r>
      <w:r>
        <w:rPr>
          <w:rFonts w:ascii="Times New Roman" w:eastAsia="黑体"/>
          <w:sz w:val="32"/>
          <w:szCs w:val="32"/>
        </w:rPr>
        <w:t>2024</w:t>
      </w:r>
      <w:r>
        <w:rPr>
          <w:rFonts w:ascii="Times New Roman" w:eastAsia="黑体"/>
          <w:sz w:val="32"/>
          <w:szCs w:val="32"/>
        </w:rPr>
        <w:t>年度绩效评价情况的说明</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（一）绩效评价工作开展情况</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根据预算绩效管理要求，本部门组织对</w:t>
      </w:r>
      <w:r>
        <w:rPr>
          <w:rFonts w:ascii="Times New Roman" w:eastAsia="仿宋_GB2312"/>
          <w:sz w:val="32"/>
          <w:szCs w:val="32"/>
        </w:rPr>
        <w:t>2024</w:t>
      </w:r>
      <w:r>
        <w:rPr>
          <w:rFonts w:ascii="Times New Roman" w:eastAsia="仿宋_GB2312"/>
          <w:sz w:val="32"/>
          <w:szCs w:val="32"/>
        </w:rPr>
        <w:t>年度本级预算项目支出全面开展绩效自评，共涉及资金</w:t>
      </w:r>
      <w:r w:rsidR="002631E6">
        <w:rPr>
          <w:rFonts w:ascii="Times New Roman" w:eastAsia="仿宋_GB2312" w:hint="eastAsia"/>
          <w:sz w:val="32"/>
          <w:szCs w:val="32"/>
        </w:rPr>
        <w:t>13037.41</w:t>
      </w:r>
      <w:r>
        <w:rPr>
          <w:rFonts w:ascii="Times New Roman" w:eastAsia="仿宋_GB2312"/>
          <w:sz w:val="32"/>
          <w:szCs w:val="32"/>
        </w:rPr>
        <w:t>万元（决算金额）。其中，一般公共预算项目</w:t>
      </w:r>
      <w:r w:rsidR="00804805">
        <w:rPr>
          <w:rFonts w:ascii="Times New Roman" w:eastAsia="仿宋_GB2312" w:hint="eastAsia"/>
          <w:sz w:val="32"/>
          <w:szCs w:val="32"/>
        </w:rPr>
        <w:t>47</w:t>
      </w:r>
      <w:r>
        <w:rPr>
          <w:rFonts w:ascii="Times New Roman" w:eastAsia="仿宋_GB2312"/>
          <w:sz w:val="32"/>
          <w:szCs w:val="32"/>
        </w:rPr>
        <w:t>个，涉及资金</w:t>
      </w:r>
      <w:r w:rsidR="002631E6">
        <w:rPr>
          <w:rFonts w:ascii="Times New Roman" w:eastAsia="仿宋_GB2312" w:hint="eastAsia"/>
          <w:sz w:val="32"/>
          <w:szCs w:val="32"/>
        </w:rPr>
        <w:t>12549.11</w:t>
      </w:r>
      <w:r>
        <w:rPr>
          <w:rFonts w:ascii="Times New Roman" w:eastAsia="仿宋_GB2312"/>
          <w:sz w:val="32"/>
          <w:szCs w:val="32"/>
        </w:rPr>
        <w:t>万元，占一般公共预算项目支出总额的</w:t>
      </w:r>
      <w:r w:rsidR="00E267F4">
        <w:rPr>
          <w:rFonts w:ascii="Times New Roman" w:eastAsia="仿宋_GB2312" w:hint="eastAsia"/>
          <w:sz w:val="32"/>
          <w:szCs w:val="32"/>
        </w:rPr>
        <w:t>100</w:t>
      </w:r>
      <w:r>
        <w:rPr>
          <w:rFonts w:ascii="Times New Roman" w:eastAsia="仿宋_GB2312"/>
          <w:sz w:val="32"/>
          <w:szCs w:val="32"/>
        </w:rPr>
        <w:t>%</w:t>
      </w:r>
      <w:r>
        <w:rPr>
          <w:rFonts w:ascii="Times New Roman" w:eastAsia="仿宋_GB2312"/>
          <w:sz w:val="32"/>
          <w:szCs w:val="32"/>
        </w:rPr>
        <w:t>；政府性基金预算项目</w:t>
      </w:r>
      <w:r w:rsidR="00804805">
        <w:rPr>
          <w:rFonts w:ascii="宋体" w:eastAsia="宋体" w:hAnsi="宋体" w:hint="eastAsia"/>
          <w:sz w:val="32"/>
          <w:szCs w:val="32"/>
        </w:rPr>
        <w:t>8</w:t>
      </w:r>
      <w:r>
        <w:rPr>
          <w:rFonts w:ascii="Times New Roman" w:eastAsia="仿宋_GB2312"/>
          <w:sz w:val="32"/>
          <w:szCs w:val="32"/>
        </w:rPr>
        <w:t>个，涉及资金</w:t>
      </w:r>
      <w:r w:rsidR="00E267F4">
        <w:rPr>
          <w:rFonts w:ascii="宋体" w:eastAsia="宋体" w:hAnsi="宋体" w:hint="eastAsia"/>
          <w:sz w:val="32"/>
          <w:szCs w:val="32"/>
        </w:rPr>
        <w:t>488.30</w:t>
      </w:r>
      <w:r>
        <w:rPr>
          <w:rFonts w:ascii="Times New Roman" w:eastAsia="仿宋_GB2312"/>
          <w:sz w:val="32"/>
          <w:szCs w:val="32"/>
        </w:rPr>
        <w:t>万元，占政府性基金预算项目支出总额的</w:t>
      </w:r>
      <w:r w:rsidR="00E267F4">
        <w:rPr>
          <w:rFonts w:ascii="Times New Roman" w:eastAsia="仿宋_GB2312" w:hint="eastAsia"/>
          <w:sz w:val="32"/>
          <w:szCs w:val="32"/>
        </w:rPr>
        <w:t>100</w:t>
      </w:r>
      <w:r>
        <w:rPr>
          <w:rFonts w:ascii="Times New Roman" w:eastAsia="仿宋_GB2312"/>
          <w:sz w:val="32"/>
          <w:szCs w:val="32"/>
        </w:rPr>
        <w:t>%</w:t>
      </w:r>
      <w:r>
        <w:rPr>
          <w:rFonts w:ascii="Times New Roman" w:eastAsia="仿宋_GB2312"/>
          <w:sz w:val="32"/>
          <w:szCs w:val="32"/>
        </w:rPr>
        <w:t>；国有资本经营预算项目</w:t>
      </w:r>
      <w:r w:rsidR="00E267F4">
        <w:rPr>
          <w:rFonts w:ascii="宋体" w:eastAsia="宋体" w:hAnsi="宋体" w:hint="eastAsia"/>
          <w:sz w:val="32"/>
          <w:szCs w:val="32"/>
        </w:rPr>
        <w:t>0</w:t>
      </w:r>
      <w:r>
        <w:rPr>
          <w:rFonts w:ascii="Times New Roman" w:eastAsia="仿宋_GB2312"/>
          <w:sz w:val="32"/>
          <w:szCs w:val="32"/>
        </w:rPr>
        <w:t>个，涉及资金</w:t>
      </w:r>
      <w:r w:rsidR="00E267F4">
        <w:rPr>
          <w:rFonts w:ascii="宋体" w:eastAsia="宋体" w:hAnsi="宋体" w:hint="eastAsia"/>
          <w:sz w:val="32"/>
          <w:szCs w:val="32"/>
        </w:rPr>
        <w:t>0</w:t>
      </w:r>
      <w:r>
        <w:rPr>
          <w:rFonts w:ascii="Times New Roman" w:eastAsia="仿宋_GB2312"/>
          <w:sz w:val="32"/>
          <w:szCs w:val="32"/>
        </w:rPr>
        <w:t>万元，占国有资本经营预算项目支出总额的</w:t>
      </w:r>
      <w:r w:rsidR="00E267F4">
        <w:rPr>
          <w:rFonts w:ascii="宋体" w:eastAsia="宋体" w:hAnsi="宋体" w:hint="eastAsia"/>
          <w:sz w:val="32"/>
          <w:szCs w:val="32"/>
        </w:rPr>
        <w:t>0</w:t>
      </w:r>
      <w:r>
        <w:rPr>
          <w:rFonts w:ascii="Times New Roman" w:eastAsia="仿宋_GB2312"/>
          <w:sz w:val="32"/>
          <w:szCs w:val="32"/>
        </w:rPr>
        <w:t>%</w:t>
      </w:r>
      <w:r>
        <w:rPr>
          <w:rFonts w:ascii="Times New Roman" w:eastAsia="仿宋_GB2312"/>
          <w:sz w:val="32"/>
          <w:szCs w:val="32"/>
        </w:rPr>
        <w:t>。</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组织对</w:t>
      </w:r>
      <w:r w:rsidR="00930114">
        <w:rPr>
          <w:rFonts w:ascii="Times New Roman" w:eastAsia="仿宋_GB2312" w:hint="eastAsia"/>
          <w:sz w:val="32"/>
          <w:szCs w:val="32"/>
        </w:rPr>
        <w:t>55</w:t>
      </w:r>
      <w:r>
        <w:rPr>
          <w:rFonts w:ascii="Times New Roman" w:eastAsia="仿宋_GB2312"/>
          <w:sz w:val="32"/>
          <w:szCs w:val="32"/>
        </w:rPr>
        <w:t>个项目开展了部门重点评价，涉及一般公共预算支出</w:t>
      </w:r>
      <w:r w:rsidR="00E267F4">
        <w:rPr>
          <w:rFonts w:ascii="Times New Roman" w:eastAsia="仿宋_GB2312" w:hint="eastAsia"/>
          <w:sz w:val="32"/>
          <w:szCs w:val="32"/>
        </w:rPr>
        <w:t>12549.11</w:t>
      </w:r>
      <w:r>
        <w:rPr>
          <w:rFonts w:ascii="Times New Roman" w:eastAsia="仿宋_GB2312"/>
          <w:sz w:val="32"/>
          <w:szCs w:val="32"/>
        </w:rPr>
        <w:t>万元，政府性基金预算支出</w:t>
      </w:r>
      <w:r w:rsidR="00E267F4">
        <w:rPr>
          <w:rFonts w:ascii="宋体" w:eastAsia="宋体" w:hAnsi="宋体" w:hint="eastAsia"/>
          <w:sz w:val="32"/>
          <w:szCs w:val="32"/>
        </w:rPr>
        <w:t>488.3</w:t>
      </w:r>
      <w:r>
        <w:rPr>
          <w:rFonts w:ascii="Times New Roman" w:eastAsia="仿宋_GB2312"/>
          <w:sz w:val="32"/>
          <w:szCs w:val="32"/>
        </w:rPr>
        <w:t>万元，国有资本经营预算支出</w:t>
      </w:r>
      <w:r w:rsidR="00E267F4">
        <w:rPr>
          <w:rFonts w:ascii="宋体" w:eastAsia="宋体" w:hAnsi="宋体" w:hint="eastAsia"/>
          <w:sz w:val="32"/>
          <w:szCs w:val="32"/>
        </w:rPr>
        <w:t>0</w:t>
      </w:r>
      <w:r>
        <w:rPr>
          <w:rFonts w:ascii="Times New Roman" w:eastAsia="仿宋_GB2312"/>
          <w:sz w:val="32"/>
          <w:szCs w:val="32"/>
        </w:rPr>
        <w:t>万元，从评价情况来看，</w:t>
      </w:r>
      <w:r w:rsidR="00E267F4" w:rsidRPr="00E267F4">
        <w:rPr>
          <w:rFonts w:ascii="Times New Roman" w:eastAsia="仿宋_GB2312"/>
          <w:sz w:val="32"/>
          <w:szCs w:val="32"/>
        </w:rPr>
        <w:t>按照青龙满族自治县财政局关于开展</w:t>
      </w:r>
      <w:r w:rsidR="00E267F4" w:rsidRPr="00E267F4">
        <w:rPr>
          <w:rFonts w:ascii="Times New Roman" w:eastAsia="仿宋_GB2312"/>
          <w:sz w:val="32"/>
          <w:szCs w:val="32"/>
        </w:rPr>
        <w:t xml:space="preserve"> 202</w:t>
      </w:r>
      <w:r w:rsidR="000C6912">
        <w:rPr>
          <w:rFonts w:ascii="Times New Roman" w:eastAsia="仿宋_GB2312" w:hint="eastAsia"/>
          <w:sz w:val="32"/>
          <w:szCs w:val="32"/>
        </w:rPr>
        <w:t>4</w:t>
      </w:r>
      <w:r w:rsidR="00E267F4" w:rsidRPr="00E267F4">
        <w:rPr>
          <w:rFonts w:ascii="Times New Roman" w:eastAsia="仿宋_GB2312"/>
          <w:sz w:val="32"/>
          <w:szCs w:val="32"/>
        </w:rPr>
        <w:t>年度预算绩效自评工作要求，我局认真组织本部门及所属预算单位开展绩效自评工作。专门成立由办公室、财务审计股等科室人员组成的绩效自评工作组织机构，明确了绩效</w:t>
      </w:r>
      <w:r w:rsidR="00E267F4" w:rsidRPr="00E267F4">
        <w:rPr>
          <w:rFonts w:ascii="Times New Roman" w:eastAsia="仿宋_GB2312"/>
          <w:sz w:val="32"/>
          <w:szCs w:val="32"/>
        </w:rPr>
        <w:lastRenderedPageBreak/>
        <w:t>自评职责及人员分工，按照既定绩效目标、指标实施自我评价，圆满完成了</w:t>
      </w:r>
      <w:r w:rsidR="00E267F4" w:rsidRPr="00E267F4">
        <w:rPr>
          <w:rFonts w:ascii="Times New Roman" w:eastAsia="仿宋_GB2312"/>
          <w:sz w:val="32"/>
          <w:szCs w:val="32"/>
        </w:rPr>
        <w:t xml:space="preserve"> 202</w:t>
      </w:r>
      <w:r w:rsidR="00E267F4">
        <w:rPr>
          <w:rFonts w:ascii="Times New Roman" w:eastAsia="仿宋_GB2312" w:hint="eastAsia"/>
          <w:sz w:val="32"/>
          <w:szCs w:val="32"/>
        </w:rPr>
        <w:t>4</w:t>
      </w:r>
      <w:r w:rsidR="00E267F4">
        <w:rPr>
          <w:rFonts w:ascii="Times New Roman" w:eastAsia="仿宋_GB2312"/>
          <w:sz w:val="32"/>
          <w:szCs w:val="32"/>
        </w:rPr>
        <w:t>年度预算绩效自评任务</w:t>
      </w:r>
      <w:r>
        <w:rPr>
          <w:rFonts w:ascii="Times New Roman" w:eastAsia="仿宋_GB2312"/>
          <w:sz w:val="32"/>
          <w:szCs w:val="32"/>
        </w:rPr>
        <w:t>。</w:t>
      </w:r>
    </w:p>
    <w:p w:rsidR="00E34AE7" w:rsidRDefault="00B2012A" w:rsidP="009D692D">
      <w:pPr>
        <w:widowControl/>
        <w:spacing w:line="360" w:lineRule="auto"/>
        <w:ind w:firstLineChars="200" w:firstLine="641"/>
        <w:jc w:val="left"/>
        <w:rPr>
          <w:rFonts w:ascii="Times New Roman" w:eastAsia="仿宋_GB2312"/>
          <w:b/>
          <w:sz w:val="32"/>
          <w:szCs w:val="32"/>
        </w:rPr>
      </w:pPr>
      <w:r>
        <w:rPr>
          <w:rFonts w:ascii="Times New Roman" w:eastAsia="仿宋_GB2312"/>
          <w:b/>
          <w:sz w:val="32"/>
          <w:szCs w:val="32"/>
        </w:rPr>
        <w:t>（二）部门决算中项目绩效自评结果</w:t>
      </w:r>
    </w:p>
    <w:p w:rsidR="00D92766" w:rsidRPr="00565B1C" w:rsidRDefault="00D92766" w:rsidP="00D92766">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w:t>
      </w:r>
      <w:r w:rsidRPr="00565B1C">
        <w:rPr>
          <w:rFonts w:ascii="Times New Roman" w:eastAsia="仿宋_GB2312" w:hint="eastAsia"/>
          <w:sz w:val="32"/>
          <w:szCs w:val="32"/>
        </w:rPr>
        <w:t>部门</w:t>
      </w:r>
      <w:r>
        <w:rPr>
          <w:rFonts w:ascii="Times New Roman" w:eastAsia="仿宋_GB2312"/>
          <w:sz w:val="32"/>
          <w:szCs w:val="32"/>
        </w:rPr>
        <w:t>在今年部门决算</w:t>
      </w:r>
      <w:r w:rsidRPr="00565B1C">
        <w:rPr>
          <w:rFonts w:ascii="Times New Roman" w:eastAsia="仿宋_GB2312"/>
          <w:sz w:val="32"/>
          <w:szCs w:val="32"/>
        </w:rPr>
        <w:t>公开中反映关于下达土地整治项目资金的通知（秦财建【</w:t>
      </w:r>
      <w:r w:rsidRPr="00565B1C">
        <w:rPr>
          <w:rFonts w:ascii="Times New Roman" w:eastAsia="仿宋_GB2312"/>
          <w:sz w:val="32"/>
          <w:szCs w:val="32"/>
        </w:rPr>
        <w:t>2023</w:t>
      </w:r>
      <w:r w:rsidRPr="00565B1C">
        <w:rPr>
          <w:rFonts w:ascii="Times New Roman" w:eastAsia="仿宋_GB2312"/>
          <w:sz w:val="32"/>
          <w:szCs w:val="32"/>
        </w:rPr>
        <w:t>】</w:t>
      </w:r>
      <w:r w:rsidRPr="00565B1C">
        <w:rPr>
          <w:rFonts w:ascii="Times New Roman" w:eastAsia="仿宋_GB2312"/>
          <w:sz w:val="32"/>
          <w:szCs w:val="32"/>
        </w:rPr>
        <w:t>417</w:t>
      </w:r>
      <w:r w:rsidRPr="00565B1C">
        <w:rPr>
          <w:rFonts w:ascii="Times New Roman" w:eastAsia="仿宋_GB2312"/>
          <w:sz w:val="32"/>
          <w:szCs w:val="32"/>
        </w:rPr>
        <w:t>号）</w:t>
      </w:r>
      <w:r>
        <w:rPr>
          <w:rFonts w:ascii="Times New Roman" w:eastAsia="仿宋_GB2312"/>
          <w:sz w:val="32"/>
          <w:szCs w:val="32"/>
        </w:rPr>
        <w:t>等</w:t>
      </w:r>
      <w:r>
        <w:rPr>
          <w:rFonts w:ascii="Times New Roman" w:eastAsia="仿宋_GB2312" w:hint="eastAsia"/>
          <w:sz w:val="32"/>
          <w:szCs w:val="32"/>
        </w:rPr>
        <w:t>10</w:t>
      </w:r>
      <w:r>
        <w:rPr>
          <w:rFonts w:ascii="Times New Roman" w:eastAsia="仿宋_GB2312"/>
          <w:sz w:val="32"/>
          <w:szCs w:val="32"/>
        </w:rPr>
        <w:t>个项目绩效自评结果。</w:t>
      </w:r>
    </w:p>
    <w:p w:rsidR="00D92766" w:rsidRPr="00565B1C" w:rsidRDefault="00D92766" w:rsidP="00D92766">
      <w:pPr>
        <w:widowControl/>
        <w:spacing w:line="360" w:lineRule="auto"/>
        <w:ind w:firstLineChars="200" w:firstLine="640"/>
        <w:jc w:val="left"/>
        <w:rPr>
          <w:rFonts w:ascii="Times New Roman" w:eastAsia="仿宋_GB2312"/>
          <w:sz w:val="32"/>
          <w:szCs w:val="32"/>
        </w:rPr>
      </w:pPr>
      <w:r>
        <w:rPr>
          <w:rFonts w:ascii="Times New Roman" w:eastAsia="仿宋_GB2312" w:hint="eastAsia"/>
          <w:sz w:val="32"/>
          <w:szCs w:val="32"/>
        </w:rPr>
        <w:t>1</w:t>
      </w:r>
      <w:r>
        <w:rPr>
          <w:rFonts w:ascii="Times New Roman" w:eastAsia="仿宋_GB2312" w:hint="eastAsia"/>
          <w:sz w:val="32"/>
          <w:szCs w:val="32"/>
        </w:rPr>
        <w:t>、</w:t>
      </w:r>
      <w:r w:rsidRPr="00565B1C">
        <w:rPr>
          <w:rFonts w:ascii="Times New Roman" w:eastAsia="仿宋_GB2312"/>
          <w:sz w:val="32"/>
          <w:szCs w:val="32"/>
        </w:rPr>
        <w:t>关于下达土地整治项目资金的通知（秦财建【</w:t>
      </w:r>
      <w:r w:rsidRPr="00565B1C">
        <w:rPr>
          <w:rFonts w:ascii="Times New Roman" w:eastAsia="仿宋_GB2312"/>
          <w:sz w:val="32"/>
          <w:szCs w:val="32"/>
        </w:rPr>
        <w:t>2023</w:t>
      </w:r>
      <w:r w:rsidRPr="00565B1C">
        <w:rPr>
          <w:rFonts w:ascii="Times New Roman" w:eastAsia="仿宋_GB2312"/>
          <w:sz w:val="32"/>
          <w:szCs w:val="32"/>
        </w:rPr>
        <w:t>】</w:t>
      </w:r>
      <w:r w:rsidRPr="00565B1C">
        <w:rPr>
          <w:rFonts w:ascii="Times New Roman" w:eastAsia="仿宋_GB2312"/>
          <w:sz w:val="32"/>
          <w:szCs w:val="32"/>
        </w:rPr>
        <w:t>417</w:t>
      </w:r>
      <w:r w:rsidRPr="00565B1C">
        <w:rPr>
          <w:rFonts w:ascii="Times New Roman" w:eastAsia="仿宋_GB2312"/>
          <w:sz w:val="32"/>
          <w:szCs w:val="32"/>
        </w:rPr>
        <w:t>号）项目绩效自评情况：根据年初设定的绩效目标，项目绩效自评得分为</w:t>
      </w:r>
      <w:r w:rsidRPr="00565B1C">
        <w:rPr>
          <w:rFonts w:ascii="Times New Roman" w:eastAsia="仿宋_GB2312" w:hint="eastAsia"/>
          <w:sz w:val="32"/>
          <w:szCs w:val="32"/>
        </w:rPr>
        <w:t>92.78</w:t>
      </w:r>
      <w:r w:rsidRPr="00565B1C">
        <w:rPr>
          <w:rFonts w:ascii="Times New Roman" w:eastAsia="仿宋_GB2312"/>
          <w:sz w:val="32"/>
          <w:szCs w:val="32"/>
        </w:rPr>
        <w:t>分（绩效自评表附后）。全年预算数为</w:t>
      </w:r>
      <w:r w:rsidRPr="00565B1C">
        <w:rPr>
          <w:rFonts w:ascii="Times New Roman" w:eastAsia="仿宋_GB2312" w:hint="eastAsia"/>
          <w:sz w:val="32"/>
          <w:szCs w:val="32"/>
        </w:rPr>
        <w:t>539.85</w:t>
      </w:r>
      <w:r w:rsidRPr="00565B1C">
        <w:rPr>
          <w:rFonts w:ascii="Times New Roman" w:eastAsia="仿宋_GB2312"/>
          <w:sz w:val="32"/>
          <w:szCs w:val="32"/>
        </w:rPr>
        <w:t>万元，执行数为</w:t>
      </w:r>
      <w:r w:rsidRPr="00565B1C">
        <w:rPr>
          <w:rFonts w:ascii="Times New Roman" w:eastAsia="仿宋_GB2312" w:hint="eastAsia"/>
          <w:sz w:val="32"/>
          <w:szCs w:val="32"/>
        </w:rPr>
        <w:t>331.98</w:t>
      </w:r>
      <w:r w:rsidRPr="00565B1C">
        <w:rPr>
          <w:rFonts w:ascii="Times New Roman" w:eastAsia="仿宋_GB2312"/>
          <w:sz w:val="32"/>
          <w:szCs w:val="32"/>
        </w:rPr>
        <w:t>万元，完成预算的</w:t>
      </w:r>
      <w:r w:rsidRPr="00565B1C">
        <w:rPr>
          <w:rFonts w:ascii="Times New Roman" w:eastAsia="仿宋_GB2312" w:hint="eastAsia"/>
          <w:sz w:val="32"/>
          <w:szCs w:val="32"/>
        </w:rPr>
        <w:t>27.79</w:t>
      </w:r>
      <w:r w:rsidRPr="00565B1C">
        <w:rPr>
          <w:rFonts w:ascii="Times New Roman" w:eastAsia="仿宋_GB2312"/>
          <w:sz w:val="32"/>
          <w:szCs w:val="32"/>
        </w:rPr>
        <w:t>%</w:t>
      </w:r>
      <w:r w:rsidRPr="00565B1C">
        <w:rPr>
          <w:rFonts w:ascii="Times New Roman" w:eastAsia="仿宋_GB2312"/>
          <w:sz w:val="32"/>
          <w:szCs w:val="32"/>
        </w:rPr>
        <w:t>。项目绩效目标完成情况：</w:t>
      </w:r>
      <w:r w:rsidRPr="00565B1C">
        <w:rPr>
          <w:rFonts w:ascii="Times New Roman" w:eastAsia="仿宋_GB2312" w:hint="eastAsia"/>
          <w:sz w:val="32"/>
          <w:szCs w:val="32"/>
        </w:rPr>
        <w:t>一是</w:t>
      </w:r>
      <w:r w:rsidRPr="00565B1C">
        <w:rPr>
          <w:rFonts w:ascii="Times New Roman" w:eastAsia="仿宋_GB2312"/>
          <w:sz w:val="32"/>
          <w:szCs w:val="32"/>
        </w:rPr>
        <w:t>通过项目实施，开展土地</w:t>
      </w:r>
      <w:r w:rsidRPr="00565B1C">
        <w:rPr>
          <w:rFonts w:ascii="Times New Roman" w:eastAsia="仿宋_GB2312" w:hint="eastAsia"/>
          <w:sz w:val="32"/>
          <w:szCs w:val="32"/>
        </w:rPr>
        <w:t>整治项目工作，达到新增耕地，增加耕种面积，增加政府财政收入的目的；二是</w:t>
      </w:r>
      <w:r w:rsidRPr="00565B1C">
        <w:rPr>
          <w:rFonts w:ascii="Times New Roman" w:eastAsia="仿宋_GB2312"/>
          <w:sz w:val="32"/>
          <w:szCs w:val="32"/>
        </w:rPr>
        <w:t>通过开展土地</w:t>
      </w:r>
      <w:r w:rsidRPr="00565B1C">
        <w:rPr>
          <w:rFonts w:ascii="Times New Roman" w:eastAsia="仿宋_GB2312" w:hint="eastAsia"/>
          <w:sz w:val="32"/>
          <w:szCs w:val="32"/>
        </w:rPr>
        <w:t>整治项目工作，对草地</w:t>
      </w:r>
      <w:r w:rsidRPr="00565B1C">
        <w:rPr>
          <w:rFonts w:ascii="Times New Roman" w:eastAsia="仿宋_GB2312"/>
          <w:sz w:val="32"/>
          <w:szCs w:val="32"/>
        </w:rPr>
        <w:t>、交通运</w:t>
      </w:r>
      <w:r w:rsidRPr="00565B1C">
        <w:rPr>
          <w:rFonts w:ascii="Times New Roman" w:eastAsia="仿宋_GB2312" w:hint="eastAsia"/>
          <w:sz w:val="32"/>
          <w:szCs w:val="32"/>
        </w:rPr>
        <w:t>输用地进行施工达到耕种标准，完成土地平整及配套设施施工的目的。</w:t>
      </w:r>
    </w:p>
    <w:p w:rsidR="00D92766" w:rsidRPr="00565B1C" w:rsidRDefault="00D92766" w:rsidP="00D92766">
      <w:pPr>
        <w:widowControl/>
        <w:spacing w:line="360" w:lineRule="auto"/>
        <w:ind w:firstLineChars="200" w:firstLine="640"/>
        <w:jc w:val="left"/>
        <w:rPr>
          <w:rFonts w:ascii="Times New Roman" w:eastAsia="仿宋_GB2312"/>
          <w:sz w:val="32"/>
          <w:szCs w:val="32"/>
        </w:rPr>
      </w:pPr>
      <w:r w:rsidRPr="00565B1C">
        <w:rPr>
          <w:rFonts w:ascii="Times New Roman" w:eastAsia="仿宋_GB2312" w:hint="eastAsia"/>
          <w:sz w:val="32"/>
          <w:szCs w:val="32"/>
        </w:rPr>
        <w:t>下一步改进措施：由于财政资金紧张，部分资金暂时未支付到位，财政拨付后及时支付。</w:t>
      </w:r>
    </w:p>
    <w:p w:rsidR="00D92766" w:rsidRDefault="00D92766" w:rsidP="00D92766">
      <w:pPr>
        <w:widowControl/>
        <w:spacing w:line="360" w:lineRule="auto"/>
        <w:ind w:firstLineChars="200" w:firstLine="640"/>
        <w:jc w:val="left"/>
        <w:rPr>
          <w:rFonts w:ascii="Times New Roman" w:eastAsia="仿宋_GB2312"/>
          <w:sz w:val="32"/>
          <w:szCs w:val="32"/>
        </w:rPr>
      </w:pPr>
      <w:r w:rsidRPr="0038725B">
        <w:rPr>
          <w:rFonts w:ascii="Times New Roman" w:eastAsia="仿宋_GB2312"/>
          <w:sz w:val="32"/>
          <w:szCs w:val="32"/>
        </w:rPr>
        <w:t>通过项目实施，完成了年初设定的各项绩效目标，未发现问题</w:t>
      </w:r>
      <w:r>
        <w:rPr>
          <w:rFonts w:ascii="Times New Roman" w:eastAsia="仿宋_GB2312" w:hint="eastAsia"/>
          <w:sz w:val="32"/>
          <w:szCs w:val="32"/>
        </w:rPr>
        <w:t>。</w:t>
      </w:r>
    </w:p>
    <w:p w:rsidR="00D92766" w:rsidRPr="00510926" w:rsidRDefault="00626B84" w:rsidP="00D92766">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object w:dxaOrig="22730" w:dyaOrig="11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6.05pt;height:221.15pt" o:ole="">
            <v:imagedata r:id="rId23" o:title=""/>
          </v:shape>
          <o:OLEObject Type="Embed" ProgID="Excel.Sheet.12" ShapeID="_x0000_i1026" DrawAspect="Content" ObjectID="_1822478593" r:id="rId24"/>
        </w:object>
      </w:r>
      <w:r w:rsidR="00D92766" w:rsidRPr="00510926">
        <w:rPr>
          <w:rFonts w:ascii="Times New Roman" w:eastAsia="仿宋_GB2312" w:hint="eastAsia"/>
          <w:sz w:val="32"/>
          <w:szCs w:val="32"/>
        </w:rPr>
        <w:t>2</w:t>
      </w:r>
      <w:r w:rsidR="00D92766" w:rsidRPr="00510926">
        <w:rPr>
          <w:rFonts w:ascii="Times New Roman" w:eastAsia="仿宋_GB2312" w:hint="eastAsia"/>
          <w:sz w:val="32"/>
          <w:szCs w:val="32"/>
        </w:rPr>
        <w:t>、</w:t>
      </w:r>
      <w:r w:rsidR="00D92766" w:rsidRPr="00510926">
        <w:rPr>
          <w:rFonts w:ascii="Times New Roman" w:eastAsia="仿宋_GB2312"/>
          <w:sz w:val="32"/>
          <w:szCs w:val="32"/>
        </w:rPr>
        <w:t>自然资源确权登记费</w:t>
      </w:r>
    </w:p>
    <w:p w:rsidR="00D92766" w:rsidRPr="00510926" w:rsidRDefault="00D92766" w:rsidP="00D92766">
      <w:pPr>
        <w:widowControl/>
        <w:spacing w:line="360" w:lineRule="auto"/>
        <w:ind w:firstLineChars="200" w:firstLine="640"/>
        <w:jc w:val="left"/>
        <w:rPr>
          <w:rFonts w:ascii="Times New Roman" w:eastAsia="仿宋_GB2312"/>
          <w:sz w:val="32"/>
          <w:szCs w:val="32"/>
        </w:rPr>
      </w:pPr>
      <w:r w:rsidRPr="00510926">
        <w:rPr>
          <w:rFonts w:ascii="Times New Roman" w:eastAsia="仿宋_GB2312"/>
          <w:sz w:val="32"/>
          <w:szCs w:val="32"/>
        </w:rPr>
        <w:t>项目绩效自评情况</w:t>
      </w:r>
      <w:r>
        <w:rPr>
          <w:rFonts w:ascii="Times New Roman" w:eastAsia="仿宋_GB2312"/>
          <w:sz w:val="32"/>
          <w:szCs w:val="32"/>
        </w:rPr>
        <w:t>：根据年初设定的绩效目标，项目绩效自评得分为</w:t>
      </w:r>
      <w:r>
        <w:rPr>
          <w:rFonts w:ascii="Times New Roman" w:eastAsia="仿宋_GB2312" w:hint="eastAsia"/>
          <w:sz w:val="32"/>
          <w:szCs w:val="32"/>
        </w:rPr>
        <w:t>100</w:t>
      </w:r>
      <w:r>
        <w:rPr>
          <w:rFonts w:ascii="Times New Roman" w:eastAsia="仿宋_GB2312"/>
          <w:sz w:val="32"/>
          <w:szCs w:val="32"/>
        </w:rPr>
        <w:t>分（绩效自评表附后）。全年预算数为</w:t>
      </w:r>
      <w:r>
        <w:rPr>
          <w:rFonts w:ascii="Times New Roman" w:eastAsia="仿宋_GB2312" w:hint="eastAsia"/>
          <w:sz w:val="32"/>
          <w:szCs w:val="32"/>
        </w:rPr>
        <w:t>15</w:t>
      </w:r>
      <w:r>
        <w:rPr>
          <w:rFonts w:ascii="Times New Roman" w:eastAsia="仿宋_GB2312"/>
          <w:sz w:val="32"/>
          <w:szCs w:val="32"/>
        </w:rPr>
        <w:t>万元，执行数为</w:t>
      </w:r>
      <w:r>
        <w:rPr>
          <w:rFonts w:ascii="Times New Roman" w:eastAsia="仿宋_GB2312" w:hint="eastAsia"/>
          <w:sz w:val="32"/>
          <w:szCs w:val="32"/>
        </w:rPr>
        <w:t>15</w:t>
      </w:r>
      <w:r>
        <w:rPr>
          <w:rFonts w:ascii="Times New Roman" w:eastAsia="仿宋_GB2312"/>
          <w:sz w:val="32"/>
          <w:szCs w:val="32"/>
        </w:rPr>
        <w:t>万元，完成预算的</w:t>
      </w:r>
      <w:r>
        <w:rPr>
          <w:rFonts w:ascii="Times New Roman" w:eastAsia="仿宋_GB2312" w:hint="eastAsia"/>
          <w:sz w:val="32"/>
          <w:szCs w:val="32"/>
        </w:rPr>
        <w:t>100</w:t>
      </w:r>
      <w:r>
        <w:rPr>
          <w:rFonts w:ascii="Times New Roman" w:eastAsia="仿宋_GB2312"/>
          <w:sz w:val="32"/>
          <w:szCs w:val="32"/>
        </w:rPr>
        <w:t>%</w:t>
      </w:r>
      <w:r>
        <w:rPr>
          <w:rFonts w:ascii="Times New Roman" w:eastAsia="仿宋_GB2312"/>
          <w:sz w:val="32"/>
          <w:szCs w:val="32"/>
        </w:rPr>
        <w:t>。项目绩效目标完成情况：</w:t>
      </w:r>
      <w:r>
        <w:rPr>
          <w:rFonts w:ascii="Times New Roman" w:eastAsia="仿宋_GB2312" w:hint="eastAsia"/>
          <w:sz w:val="32"/>
          <w:szCs w:val="32"/>
        </w:rPr>
        <w:t>一是</w:t>
      </w:r>
      <w:r w:rsidRPr="00510926">
        <w:rPr>
          <w:rFonts w:ascii="Times New Roman" w:eastAsia="仿宋_GB2312"/>
          <w:sz w:val="32"/>
          <w:szCs w:val="32"/>
        </w:rPr>
        <w:t>通过开展自然资源确权登记工作，实现我县辖区内自然</w:t>
      </w:r>
      <w:r>
        <w:rPr>
          <w:rFonts w:ascii="Times New Roman" w:eastAsia="仿宋_GB2312"/>
          <w:sz w:val="32"/>
          <w:szCs w:val="32"/>
        </w:rPr>
        <w:t>保护地、主要河流湖泊水库、湿地和草原及国有林场开展统一确权登记</w:t>
      </w:r>
      <w:r w:rsidRPr="00510926">
        <w:rPr>
          <w:rFonts w:ascii="Times New Roman" w:eastAsia="仿宋_GB2312"/>
          <w:sz w:val="32"/>
          <w:szCs w:val="32"/>
        </w:rPr>
        <w:t xml:space="preserve"> </w:t>
      </w:r>
      <w:r>
        <w:rPr>
          <w:rFonts w:ascii="Times New Roman" w:eastAsia="仿宋_GB2312" w:hint="eastAsia"/>
          <w:sz w:val="32"/>
          <w:szCs w:val="32"/>
        </w:rPr>
        <w:t>；</w:t>
      </w:r>
      <w:r w:rsidRPr="0038725B">
        <w:rPr>
          <w:rFonts w:ascii="Times New Roman" w:eastAsia="仿宋_GB2312" w:hint="eastAsia"/>
          <w:sz w:val="32"/>
          <w:szCs w:val="32"/>
        </w:rPr>
        <w:t>二是</w:t>
      </w:r>
      <w:r w:rsidRPr="00510926">
        <w:rPr>
          <w:rFonts w:ascii="Times New Roman" w:eastAsia="仿宋_GB2312"/>
          <w:sz w:val="32"/>
          <w:szCs w:val="32"/>
        </w:rPr>
        <w:t>通过开展自然资源确权登记工作，实现国土空间内的自然资源登记全覆盖，清晰界定各类自然资源资产的产权主体，划清边界。</w:t>
      </w:r>
      <w:r w:rsidRPr="00510926">
        <w:rPr>
          <w:rFonts w:ascii="Times New Roman" w:eastAsia="仿宋_GB2312"/>
          <w:sz w:val="32"/>
          <w:szCs w:val="32"/>
        </w:rPr>
        <w:t xml:space="preserve"> </w:t>
      </w:r>
    </w:p>
    <w:p w:rsidR="00D92766" w:rsidRPr="0038725B" w:rsidRDefault="00D92766" w:rsidP="00D92766">
      <w:pPr>
        <w:widowControl/>
        <w:spacing w:line="360" w:lineRule="auto"/>
        <w:ind w:firstLineChars="200" w:firstLine="640"/>
        <w:jc w:val="left"/>
        <w:rPr>
          <w:rFonts w:ascii="Times New Roman" w:eastAsia="仿宋_GB2312"/>
          <w:sz w:val="32"/>
          <w:szCs w:val="32"/>
        </w:rPr>
      </w:pPr>
      <w:r w:rsidRPr="0038725B">
        <w:rPr>
          <w:rFonts w:ascii="Times New Roman" w:eastAsia="仿宋_GB2312" w:hint="eastAsia"/>
          <w:sz w:val="32"/>
          <w:szCs w:val="32"/>
        </w:rPr>
        <w:t>下一</w:t>
      </w:r>
      <w:r w:rsidRPr="00510926">
        <w:rPr>
          <w:rFonts w:ascii="Times New Roman" w:eastAsia="仿宋_GB2312" w:hint="eastAsia"/>
          <w:sz w:val="32"/>
          <w:szCs w:val="32"/>
        </w:rPr>
        <w:t>步</w:t>
      </w:r>
      <w:r w:rsidRPr="0038725B">
        <w:rPr>
          <w:rFonts w:ascii="Times New Roman" w:eastAsia="仿宋_GB2312" w:hint="eastAsia"/>
          <w:sz w:val="32"/>
          <w:szCs w:val="32"/>
        </w:rPr>
        <w:t>改</w:t>
      </w:r>
      <w:r w:rsidRPr="00510926">
        <w:rPr>
          <w:rFonts w:ascii="Times New Roman" w:eastAsia="仿宋_GB2312" w:hint="eastAsia"/>
          <w:sz w:val="32"/>
          <w:szCs w:val="32"/>
        </w:rPr>
        <w:t>进措施</w:t>
      </w:r>
      <w:r w:rsidRPr="0038725B">
        <w:rPr>
          <w:rFonts w:ascii="Times New Roman" w:eastAsia="仿宋_GB2312" w:hint="eastAsia"/>
          <w:sz w:val="32"/>
          <w:szCs w:val="32"/>
        </w:rPr>
        <w:t>：</w:t>
      </w:r>
      <w:r>
        <w:rPr>
          <w:rFonts w:ascii="Times New Roman" w:eastAsia="仿宋_GB2312" w:hint="eastAsia"/>
          <w:sz w:val="32"/>
          <w:szCs w:val="32"/>
        </w:rPr>
        <w:t>优化登记流程，提升确权效率与精准度，完善数据管理，确保登记成果高质量。</w:t>
      </w:r>
    </w:p>
    <w:p w:rsidR="00D92766" w:rsidRDefault="00D92766" w:rsidP="00D92766">
      <w:pPr>
        <w:widowControl/>
        <w:spacing w:line="360" w:lineRule="auto"/>
        <w:ind w:firstLineChars="200" w:firstLine="640"/>
        <w:jc w:val="left"/>
        <w:rPr>
          <w:rFonts w:ascii="Times New Roman" w:eastAsia="仿宋_GB2312"/>
          <w:sz w:val="32"/>
          <w:szCs w:val="32"/>
        </w:rPr>
      </w:pPr>
      <w:r w:rsidRPr="0038725B">
        <w:rPr>
          <w:rFonts w:ascii="Times New Roman" w:eastAsia="仿宋_GB2312"/>
          <w:sz w:val="32"/>
          <w:szCs w:val="32"/>
        </w:rPr>
        <w:lastRenderedPageBreak/>
        <w:t>通过项目实施，完成了年初设定的各项绩效目标，未发现问题</w:t>
      </w:r>
      <w:r>
        <w:rPr>
          <w:rFonts w:ascii="Times New Roman" w:eastAsia="仿宋_GB2312" w:hint="eastAsia"/>
          <w:sz w:val="32"/>
          <w:szCs w:val="32"/>
        </w:rPr>
        <w:t>。</w:t>
      </w:r>
    </w:p>
    <w:p w:rsidR="00D92766" w:rsidRPr="00565B1C" w:rsidRDefault="00626B84" w:rsidP="00D92766">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object w:dxaOrig="22730" w:dyaOrig="11757">
          <v:shape id="_x0000_i1027" type="#_x0000_t75" style="width:427.25pt;height:221.55pt" o:ole="">
            <v:imagedata r:id="rId25" o:title=""/>
          </v:shape>
          <o:OLEObject Type="Embed" ProgID="Excel.Sheet.12" ShapeID="_x0000_i1027" DrawAspect="Content" ObjectID="_1822478594" r:id="rId26"/>
        </w:object>
      </w:r>
      <w:r w:rsidR="00D92766" w:rsidRPr="00565B1C">
        <w:rPr>
          <w:rFonts w:ascii="Times New Roman" w:eastAsia="仿宋_GB2312" w:hint="eastAsia"/>
          <w:sz w:val="32"/>
          <w:szCs w:val="32"/>
        </w:rPr>
        <w:t>3</w:t>
      </w:r>
      <w:r w:rsidR="00D92766" w:rsidRPr="00565B1C">
        <w:rPr>
          <w:rFonts w:ascii="Times New Roman" w:eastAsia="仿宋_GB2312" w:hint="eastAsia"/>
          <w:sz w:val="32"/>
          <w:szCs w:val="32"/>
        </w:rPr>
        <w:t>、</w:t>
      </w:r>
      <w:r w:rsidR="00D92766" w:rsidRPr="00565B1C">
        <w:rPr>
          <w:rFonts w:ascii="Times New Roman" w:eastAsia="仿宋_GB2312"/>
          <w:sz w:val="32"/>
          <w:szCs w:val="32"/>
        </w:rPr>
        <w:t>南山公园裸岩绿化</w:t>
      </w:r>
    </w:p>
    <w:p w:rsidR="00D92766" w:rsidRPr="00565B1C" w:rsidRDefault="00D92766" w:rsidP="00D92766">
      <w:pPr>
        <w:widowControl/>
        <w:spacing w:line="360" w:lineRule="auto"/>
        <w:ind w:firstLineChars="200" w:firstLine="640"/>
        <w:jc w:val="left"/>
        <w:rPr>
          <w:rFonts w:ascii="Times New Roman" w:eastAsia="仿宋_GB2312"/>
          <w:sz w:val="32"/>
          <w:szCs w:val="32"/>
        </w:rPr>
      </w:pPr>
      <w:r w:rsidRPr="00510926">
        <w:rPr>
          <w:rFonts w:ascii="Times New Roman" w:eastAsia="仿宋_GB2312"/>
          <w:sz w:val="32"/>
          <w:szCs w:val="32"/>
        </w:rPr>
        <w:t>项目绩效自评情况</w:t>
      </w:r>
      <w:r>
        <w:rPr>
          <w:rFonts w:ascii="Times New Roman" w:eastAsia="仿宋_GB2312"/>
          <w:sz w:val="32"/>
          <w:szCs w:val="32"/>
        </w:rPr>
        <w:t>：根据年初设定的绩效目标，项目绩效自评得分为</w:t>
      </w:r>
      <w:r>
        <w:rPr>
          <w:rFonts w:ascii="Times New Roman" w:eastAsia="仿宋_GB2312" w:hint="eastAsia"/>
          <w:sz w:val="32"/>
          <w:szCs w:val="32"/>
        </w:rPr>
        <w:t>98</w:t>
      </w:r>
      <w:r>
        <w:rPr>
          <w:rFonts w:ascii="Times New Roman" w:eastAsia="仿宋_GB2312"/>
          <w:sz w:val="32"/>
          <w:szCs w:val="32"/>
        </w:rPr>
        <w:t>分（绩效自评表附后）。全年预算数为</w:t>
      </w:r>
      <w:r>
        <w:rPr>
          <w:rFonts w:ascii="Times New Roman" w:eastAsia="仿宋_GB2312" w:hint="eastAsia"/>
          <w:sz w:val="32"/>
          <w:szCs w:val="32"/>
        </w:rPr>
        <w:t>100</w:t>
      </w:r>
      <w:r>
        <w:rPr>
          <w:rFonts w:ascii="Times New Roman" w:eastAsia="仿宋_GB2312"/>
          <w:sz w:val="32"/>
          <w:szCs w:val="32"/>
        </w:rPr>
        <w:t>万元，执行数为</w:t>
      </w:r>
      <w:r>
        <w:rPr>
          <w:rFonts w:ascii="Times New Roman" w:eastAsia="仿宋_GB2312" w:hint="eastAsia"/>
          <w:sz w:val="32"/>
          <w:szCs w:val="32"/>
        </w:rPr>
        <w:t>80</w:t>
      </w:r>
      <w:r>
        <w:rPr>
          <w:rFonts w:ascii="Times New Roman" w:eastAsia="仿宋_GB2312"/>
          <w:sz w:val="32"/>
          <w:szCs w:val="32"/>
        </w:rPr>
        <w:t>万元，完成预算的</w:t>
      </w:r>
      <w:r>
        <w:rPr>
          <w:rFonts w:ascii="Times New Roman" w:eastAsia="仿宋_GB2312" w:hint="eastAsia"/>
          <w:sz w:val="32"/>
          <w:szCs w:val="32"/>
        </w:rPr>
        <w:t>80</w:t>
      </w:r>
      <w:r>
        <w:rPr>
          <w:rFonts w:ascii="Times New Roman" w:eastAsia="仿宋_GB2312"/>
          <w:sz w:val="32"/>
          <w:szCs w:val="32"/>
        </w:rPr>
        <w:t>%</w:t>
      </w:r>
      <w:r>
        <w:rPr>
          <w:rFonts w:ascii="Times New Roman" w:eastAsia="仿宋_GB2312"/>
          <w:sz w:val="32"/>
          <w:szCs w:val="32"/>
        </w:rPr>
        <w:t>。项目绩效目标完成情况：</w:t>
      </w:r>
      <w:r>
        <w:rPr>
          <w:rFonts w:ascii="Times New Roman" w:eastAsia="仿宋_GB2312" w:hint="eastAsia"/>
          <w:sz w:val="32"/>
          <w:szCs w:val="32"/>
        </w:rPr>
        <w:t>一是</w:t>
      </w:r>
      <w:r w:rsidRPr="00565B1C">
        <w:rPr>
          <w:rFonts w:ascii="Times New Roman" w:eastAsia="仿宋_GB2312"/>
          <w:sz w:val="32"/>
          <w:szCs w:val="32"/>
        </w:rPr>
        <w:t>通过开展裸岩绿化，达到造林绿化成果，保证造林绿化面积的效果</w:t>
      </w:r>
      <w:r w:rsidRPr="00565B1C">
        <w:rPr>
          <w:rFonts w:ascii="Times New Roman" w:eastAsia="仿宋_GB2312" w:hint="eastAsia"/>
          <w:sz w:val="32"/>
          <w:szCs w:val="32"/>
        </w:rPr>
        <w:t>；</w:t>
      </w:r>
      <w:r w:rsidRPr="0038725B">
        <w:rPr>
          <w:rFonts w:ascii="Times New Roman" w:eastAsia="仿宋_GB2312" w:hint="eastAsia"/>
          <w:sz w:val="32"/>
          <w:szCs w:val="32"/>
        </w:rPr>
        <w:t>二是</w:t>
      </w:r>
      <w:r w:rsidRPr="00565B1C">
        <w:rPr>
          <w:rFonts w:ascii="Times New Roman" w:eastAsia="仿宋_GB2312"/>
          <w:sz w:val="32"/>
          <w:szCs w:val="32"/>
        </w:rPr>
        <w:t>通过裸岩绿化，达到景观绿化的效果。</w:t>
      </w:r>
      <w:r w:rsidRPr="00565B1C">
        <w:rPr>
          <w:rFonts w:ascii="Times New Roman" w:eastAsia="仿宋_GB2312"/>
          <w:sz w:val="32"/>
          <w:szCs w:val="32"/>
        </w:rPr>
        <w:t xml:space="preserve"> </w:t>
      </w:r>
    </w:p>
    <w:p w:rsidR="00D92766" w:rsidRPr="0038725B" w:rsidRDefault="00D92766" w:rsidP="00D92766">
      <w:pPr>
        <w:widowControl/>
        <w:spacing w:line="360" w:lineRule="auto"/>
        <w:ind w:firstLineChars="200" w:firstLine="640"/>
        <w:jc w:val="left"/>
        <w:rPr>
          <w:rFonts w:ascii="Times New Roman" w:eastAsia="仿宋_GB2312"/>
          <w:sz w:val="32"/>
          <w:szCs w:val="32"/>
        </w:rPr>
      </w:pPr>
      <w:r w:rsidRPr="0038725B">
        <w:rPr>
          <w:rFonts w:ascii="Times New Roman" w:eastAsia="仿宋_GB2312" w:hint="eastAsia"/>
          <w:sz w:val="32"/>
          <w:szCs w:val="32"/>
        </w:rPr>
        <w:t>下一</w:t>
      </w:r>
      <w:r w:rsidRPr="00565B1C">
        <w:rPr>
          <w:rFonts w:ascii="Times New Roman" w:eastAsia="仿宋_GB2312" w:hint="eastAsia"/>
          <w:sz w:val="32"/>
          <w:szCs w:val="32"/>
        </w:rPr>
        <w:t>步</w:t>
      </w:r>
      <w:r w:rsidRPr="0038725B">
        <w:rPr>
          <w:rFonts w:ascii="Times New Roman" w:eastAsia="仿宋_GB2312" w:hint="eastAsia"/>
          <w:sz w:val="32"/>
          <w:szCs w:val="32"/>
        </w:rPr>
        <w:t>改</w:t>
      </w:r>
      <w:r w:rsidRPr="00565B1C">
        <w:rPr>
          <w:rFonts w:ascii="Times New Roman" w:eastAsia="仿宋_GB2312" w:hint="eastAsia"/>
          <w:sz w:val="32"/>
          <w:szCs w:val="32"/>
        </w:rPr>
        <w:t>进措施</w:t>
      </w:r>
      <w:r w:rsidRPr="0038725B">
        <w:rPr>
          <w:rFonts w:ascii="Times New Roman" w:eastAsia="仿宋_GB2312" w:hint="eastAsia"/>
          <w:sz w:val="32"/>
          <w:szCs w:val="32"/>
        </w:rPr>
        <w:t>：</w:t>
      </w:r>
      <w:r w:rsidRPr="00565B1C">
        <w:rPr>
          <w:rFonts w:ascii="Times New Roman" w:eastAsia="仿宋_GB2312" w:hint="eastAsia"/>
          <w:sz w:val="32"/>
          <w:szCs w:val="32"/>
        </w:rPr>
        <w:t>由于财政资金紧张，部分资金暂时未支付到位，财政拨付后及时支付</w:t>
      </w:r>
    </w:p>
    <w:p w:rsidR="00D92766" w:rsidRDefault="00D92766" w:rsidP="00D92766">
      <w:pPr>
        <w:widowControl/>
        <w:spacing w:line="360" w:lineRule="auto"/>
        <w:ind w:firstLineChars="200" w:firstLine="640"/>
        <w:jc w:val="left"/>
        <w:rPr>
          <w:rFonts w:ascii="Times New Roman" w:eastAsia="仿宋_GB2312"/>
          <w:sz w:val="32"/>
          <w:szCs w:val="32"/>
        </w:rPr>
      </w:pPr>
      <w:r w:rsidRPr="0038725B">
        <w:rPr>
          <w:rFonts w:ascii="Times New Roman" w:eastAsia="仿宋_GB2312"/>
          <w:sz w:val="32"/>
          <w:szCs w:val="32"/>
        </w:rPr>
        <w:t>通过项目实施，完成了年初设定的各项绩效目标，未发现问题</w:t>
      </w:r>
      <w:r>
        <w:rPr>
          <w:rFonts w:ascii="Times New Roman" w:eastAsia="仿宋_GB2312" w:hint="eastAsia"/>
          <w:sz w:val="32"/>
          <w:szCs w:val="32"/>
        </w:rPr>
        <w:t>。</w:t>
      </w:r>
    </w:p>
    <w:bookmarkStart w:id="1" w:name="_MON_1822478046"/>
    <w:bookmarkEnd w:id="1"/>
    <w:p w:rsidR="00626B84" w:rsidRDefault="00626B84" w:rsidP="00D92766">
      <w:pPr>
        <w:widowControl/>
        <w:spacing w:line="360" w:lineRule="auto"/>
        <w:ind w:firstLineChars="200" w:firstLine="640"/>
        <w:jc w:val="left"/>
        <w:rPr>
          <w:rFonts w:ascii="Times New Roman" w:eastAsia="仿宋_GB2312" w:hint="eastAsia"/>
          <w:sz w:val="32"/>
          <w:szCs w:val="32"/>
        </w:rPr>
      </w:pPr>
      <w:r w:rsidRPr="00AE4A57">
        <w:rPr>
          <w:rFonts w:ascii="Times New Roman" w:eastAsia="仿宋_GB2312"/>
          <w:sz w:val="32"/>
          <w:szCs w:val="32"/>
        </w:rPr>
        <w:object w:dxaOrig="22730" w:dyaOrig="13111">
          <v:shape id="_x0000_i1025" type="#_x0000_t75" style="width:367.1pt;height:213.25pt" o:ole="">
            <v:imagedata r:id="rId27" o:title=""/>
          </v:shape>
          <o:OLEObject Type="Embed" ProgID="Excel.Sheet.12" ShapeID="_x0000_i1025" DrawAspect="Content" ObjectID="_1822478595" r:id="rId28"/>
        </w:object>
      </w:r>
    </w:p>
    <w:p w:rsidR="00D92766" w:rsidRPr="00565B1C" w:rsidRDefault="00D92766" w:rsidP="00D92766">
      <w:pPr>
        <w:widowControl/>
        <w:spacing w:line="360" w:lineRule="auto"/>
        <w:ind w:firstLineChars="200" w:firstLine="640"/>
        <w:jc w:val="left"/>
        <w:rPr>
          <w:rFonts w:ascii="Times New Roman" w:eastAsia="仿宋_GB2312"/>
          <w:sz w:val="32"/>
          <w:szCs w:val="32"/>
        </w:rPr>
      </w:pPr>
      <w:r w:rsidRPr="00565B1C">
        <w:rPr>
          <w:rFonts w:ascii="Times New Roman" w:eastAsia="仿宋_GB2312" w:hint="eastAsia"/>
          <w:sz w:val="32"/>
          <w:szCs w:val="32"/>
        </w:rPr>
        <w:t>4</w:t>
      </w:r>
      <w:r w:rsidRPr="00565B1C">
        <w:rPr>
          <w:rFonts w:ascii="Times New Roman" w:eastAsia="仿宋_GB2312" w:hint="eastAsia"/>
          <w:sz w:val="32"/>
          <w:szCs w:val="32"/>
        </w:rPr>
        <w:t>、</w:t>
      </w:r>
      <w:r w:rsidRPr="00565B1C">
        <w:rPr>
          <w:rFonts w:ascii="Times New Roman" w:eastAsia="仿宋_GB2312"/>
          <w:sz w:val="32"/>
          <w:szCs w:val="32"/>
        </w:rPr>
        <w:t>关于下达</w:t>
      </w:r>
      <w:r w:rsidRPr="00565B1C">
        <w:rPr>
          <w:rFonts w:ascii="Times New Roman" w:eastAsia="仿宋_GB2312"/>
          <w:sz w:val="32"/>
          <w:szCs w:val="32"/>
        </w:rPr>
        <w:t>2023</w:t>
      </w:r>
      <w:r w:rsidRPr="00565B1C">
        <w:rPr>
          <w:rFonts w:ascii="Times New Roman" w:eastAsia="仿宋_GB2312"/>
          <w:sz w:val="32"/>
          <w:szCs w:val="32"/>
        </w:rPr>
        <w:t>年中央财政林业草原生态保护恢复资金预算的通知（冀财资环【</w:t>
      </w:r>
      <w:r w:rsidRPr="00565B1C">
        <w:rPr>
          <w:rFonts w:ascii="Times New Roman" w:eastAsia="仿宋_GB2312"/>
          <w:sz w:val="32"/>
          <w:szCs w:val="32"/>
        </w:rPr>
        <w:t>2023</w:t>
      </w:r>
      <w:r w:rsidRPr="00565B1C">
        <w:rPr>
          <w:rFonts w:ascii="Times New Roman" w:eastAsia="仿宋_GB2312"/>
          <w:sz w:val="32"/>
          <w:szCs w:val="32"/>
        </w:rPr>
        <w:t>】</w:t>
      </w:r>
      <w:r w:rsidRPr="00565B1C">
        <w:rPr>
          <w:rFonts w:ascii="Times New Roman" w:eastAsia="仿宋_GB2312"/>
          <w:sz w:val="32"/>
          <w:szCs w:val="32"/>
        </w:rPr>
        <w:t>87</w:t>
      </w:r>
      <w:r w:rsidRPr="00565B1C">
        <w:rPr>
          <w:rFonts w:ascii="Times New Roman" w:eastAsia="仿宋_GB2312"/>
          <w:sz w:val="32"/>
          <w:szCs w:val="32"/>
        </w:rPr>
        <w:t>号）</w:t>
      </w:r>
      <w:r w:rsidRPr="00565B1C">
        <w:rPr>
          <w:rFonts w:ascii="Times New Roman" w:eastAsia="仿宋_GB2312"/>
          <w:sz w:val="32"/>
          <w:szCs w:val="32"/>
        </w:rPr>
        <w:t>-</w:t>
      </w:r>
      <w:r w:rsidRPr="00565B1C">
        <w:rPr>
          <w:rFonts w:ascii="Times New Roman" w:eastAsia="仿宋_GB2312"/>
          <w:sz w:val="32"/>
          <w:szCs w:val="32"/>
        </w:rPr>
        <w:t>国有国家级公益林项目</w:t>
      </w:r>
    </w:p>
    <w:p w:rsidR="00D92766" w:rsidRPr="00565B1C" w:rsidRDefault="00D92766" w:rsidP="00D92766">
      <w:pPr>
        <w:widowControl/>
        <w:spacing w:line="360" w:lineRule="auto"/>
        <w:ind w:firstLineChars="200" w:firstLine="640"/>
        <w:jc w:val="left"/>
        <w:rPr>
          <w:rFonts w:ascii="Times New Roman" w:eastAsia="仿宋_GB2312"/>
          <w:sz w:val="32"/>
          <w:szCs w:val="32"/>
        </w:rPr>
      </w:pPr>
      <w:r w:rsidRPr="00510926">
        <w:rPr>
          <w:rFonts w:ascii="Times New Roman" w:eastAsia="仿宋_GB2312"/>
          <w:sz w:val="32"/>
          <w:szCs w:val="32"/>
        </w:rPr>
        <w:t>项目绩效自评情况</w:t>
      </w:r>
      <w:r>
        <w:rPr>
          <w:rFonts w:ascii="Times New Roman" w:eastAsia="仿宋_GB2312"/>
          <w:sz w:val="32"/>
          <w:szCs w:val="32"/>
        </w:rPr>
        <w:t>：根据年初设定的绩效目标，项目绩效自评得分为</w:t>
      </w:r>
      <w:r>
        <w:rPr>
          <w:rFonts w:ascii="Times New Roman" w:eastAsia="仿宋_GB2312" w:hint="eastAsia"/>
          <w:sz w:val="32"/>
          <w:szCs w:val="32"/>
        </w:rPr>
        <w:t>94.73</w:t>
      </w:r>
      <w:r>
        <w:rPr>
          <w:rFonts w:ascii="Times New Roman" w:eastAsia="仿宋_GB2312"/>
          <w:sz w:val="32"/>
          <w:szCs w:val="32"/>
        </w:rPr>
        <w:t>分（绩效自评表附后）。全年预算数为</w:t>
      </w:r>
      <w:r>
        <w:rPr>
          <w:rFonts w:ascii="Times New Roman" w:eastAsia="仿宋_GB2312" w:hint="eastAsia"/>
          <w:sz w:val="32"/>
          <w:szCs w:val="32"/>
        </w:rPr>
        <w:t>42.26</w:t>
      </w:r>
      <w:r>
        <w:rPr>
          <w:rFonts w:ascii="Times New Roman" w:eastAsia="仿宋_GB2312"/>
          <w:sz w:val="32"/>
          <w:szCs w:val="32"/>
        </w:rPr>
        <w:t>万元，执行数为</w:t>
      </w:r>
      <w:r>
        <w:rPr>
          <w:rFonts w:ascii="Times New Roman" w:eastAsia="仿宋_GB2312" w:hint="eastAsia"/>
          <w:sz w:val="32"/>
          <w:szCs w:val="32"/>
        </w:rPr>
        <w:t>20</w:t>
      </w:r>
      <w:r>
        <w:rPr>
          <w:rFonts w:ascii="Times New Roman" w:eastAsia="仿宋_GB2312"/>
          <w:sz w:val="32"/>
          <w:szCs w:val="32"/>
        </w:rPr>
        <w:t>万元，完成预算的</w:t>
      </w:r>
      <w:r>
        <w:rPr>
          <w:rFonts w:ascii="Times New Roman" w:eastAsia="仿宋_GB2312" w:hint="eastAsia"/>
          <w:sz w:val="32"/>
          <w:szCs w:val="32"/>
        </w:rPr>
        <w:t>47.33</w:t>
      </w:r>
      <w:r>
        <w:rPr>
          <w:rFonts w:ascii="Times New Roman" w:eastAsia="仿宋_GB2312"/>
          <w:sz w:val="32"/>
          <w:szCs w:val="32"/>
        </w:rPr>
        <w:t>%</w:t>
      </w:r>
      <w:r>
        <w:rPr>
          <w:rFonts w:ascii="Times New Roman" w:eastAsia="仿宋_GB2312"/>
          <w:sz w:val="32"/>
          <w:szCs w:val="32"/>
        </w:rPr>
        <w:t>。项目绩效目标完成情况：</w:t>
      </w:r>
      <w:r>
        <w:rPr>
          <w:rFonts w:ascii="Times New Roman" w:eastAsia="仿宋_GB2312" w:hint="eastAsia"/>
          <w:sz w:val="32"/>
          <w:szCs w:val="32"/>
        </w:rPr>
        <w:t>一是</w:t>
      </w:r>
      <w:r w:rsidRPr="00565B1C">
        <w:rPr>
          <w:rFonts w:ascii="Times New Roman" w:eastAsia="仿宋_GB2312"/>
          <w:sz w:val="32"/>
          <w:szCs w:val="32"/>
        </w:rPr>
        <w:t>通过开展公益林管护，促进国有林场健康发展</w:t>
      </w:r>
      <w:r w:rsidRPr="00565B1C">
        <w:rPr>
          <w:rFonts w:ascii="Times New Roman" w:eastAsia="仿宋_GB2312" w:hint="eastAsia"/>
          <w:sz w:val="32"/>
          <w:szCs w:val="32"/>
        </w:rPr>
        <w:t>；</w:t>
      </w:r>
      <w:r w:rsidRPr="0038725B">
        <w:rPr>
          <w:rFonts w:ascii="Times New Roman" w:eastAsia="仿宋_GB2312" w:hint="eastAsia"/>
          <w:sz w:val="32"/>
          <w:szCs w:val="32"/>
        </w:rPr>
        <w:t>二</w:t>
      </w:r>
      <w:r>
        <w:rPr>
          <w:rFonts w:ascii="Times New Roman" w:eastAsia="仿宋_GB2312" w:hint="eastAsia"/>
          <w:sz w:val="32"/>
          <w:szCs w:val="32"/>
        </w:rPr>
        <w:t>是</w:t>
      </w:r>
      <w:r w:rsidRPr="00565B1C">
        <w:rPr>
          <w:rFonts w:ascii="Times New Roman" w:eastAsia="仿宋_GB2312"/>
          <w:sz w:val="32"/>
          <w:szCs w:val="32"/>
        </w:rPr>
        <w:t>通过公益林管护</w:t>
      </w:r>
      <w:r w:rsidRPr="00565B1C">
        <w:rPr>
          <w:rFonts w:ascii="Times New Roman" w:eastAsia="仿宋_GB2312"/>
          <w:sz w:val="32"/>
          <w:szCs w:val="32"/>
        </w:rPr>
        <w:t>,</w:t>
      </w:r>
      <w:r w:rsidRPr="00565B1C">
        <w:rPr>
          <w:rFonts w:ascii="Times New Roman" w:eastAsia="仿宋_GB2312"/>
          <w:sz w:val="32"/>
          <w:szCs w:val="32"/>
        </w:rPr>
        <w:t>确保森林资源系统生态安全和物种多样性。</w:t>
      </w:r>
      <w:r w:rsidRPr="00565B1C">
        <w:rPr>
          <w:rFonts w:ascii="Times New Roman" w:eastAsia="仿宋_GB2312"/>
          <w:sz w:val="32"/>
          <w:szCs w:val="32"/>
        </w:rPr>
        <w:t xml:space="preserve"> </w:t>
      </w:r>
    </w:p>
    <w:p w:rsidR="00D92766" w:rsidRPr="0038725B" w:rsidRDefault="00D92766" w:rsidP="00D92766">
      <w:pPr>
        <w:widowControl/>
        <w:spacing w:line="360" w:lineRule="auto"/>
        <w:ind w:firstLineChars="200" w:firstLine="640"/>
        <w:jc w:val="left"/>
        <w:rPr>
          <w:rFonts w:ascii="Times New Roman" w:eastAsia="仿宋_GB2312"/>
          <w:sz w:val="32"/>
          <w:szCs w:val="32"/>
        </w:rPr>
      </w:pPr>
      <w:r w:rsidRPr="0038725B">
        <w:rPr>
          <w:rFonts w:ascii="Times New Roman" w:eastAsia="仿宋_GB2312" w:hint="eastAsia"/>
          <w:sz w:val="32"/>
          <w:szCs w:val="32"/>
        </w:rPr>
        <w:t>下一</w:t>
      </w:r>
      <w:r w:rsidRPr="00565B1C">
        <w:rPr>
          <w:rFonts w:ascii="Times New Roman" w:eastAsia="仿宋_GB2312" w:hint="eastAsia"/>
          <w:sz w:val="32"/>
          <w:szCs w:val="32"/>
        </w:rPr>
        <w:t>步</w:t>
      </w:r>
      <w:r w:rsidRPr="0038725B">
        <w:rPr>
          <w:rFonts w:ascii="Times New Roman" w:eastAsia="仿宋_GB2312" w:hint="eastAsia"/>
          <w:sz w:val="32"/>
          <w:szCs w:val="32"/>
        </w:rPr>
        <w:t>改</w:t>
      </w:r>
      <w:r w:rsidRPr="00565B1C">
        <w:rPr>
          <w:rFonts w:ascii="Times New Roman" w:eastAsia="仿宋_GB2312" w:hint="eastAsia"/>
          <w:sz w:val="32"/>
          <w:szCs w:val="32"/>
        </w:rPr>
        <w:t>进措施</w:t>
      </w:r>
      <w:r w:rsidRPr="0038725B">
        <w:rPr>
          <w:rFonts w:ascii="Times New Roman" w:eastAsia="仿宋_GB2312" w:hint="eastAsia"/>
          <w:sz w:val="32"/>
          <w:szCs w:val="32"/>
        </w:rPr>
        <w:t>：</w:t>
      </w:r>
      <w:r w:rsidRPr="00565B1C">
        <w:rPr>
          <w:rFonts w:ascii="Times New Roman" w:eastAsia="仿宋_GB2312" w:hint="eastAsia"/>
          <w:sz w:val="32"/>
          <w:szCs w:val="32"/>
        </w:rPr>
        <w:t>由于财政资金紧张，部分资金暂时未支付到位，财政拨付后及时支付</w:t>
      </w:r>
    </w:p>
    <w:p w:rsidR="00D92766" w:rsidRDefault="00D92766" w:rsidP="00D92766">
      <w:pPr>
        <w:widowControl/>
        <w:spacing w:line="360" w:lineRule="auto"/>
        <w:ind w:firstLineChars="200" w:firstLine="640"/>
        <w:jc w:val="left"/>
        <w:rPr>
          <w:rFonts w:ascii="Times New Roman" w:eastAsia="仿宋_GB2312"/>
          <w:sz w:val="32"/>
          <w:szCs w:val="32"/>
        </w:rPr>
      </w:pPr>
      <w:r w:rsidRPr="0038725B">
        <w:rPr>
          <w:rFonts w:ascii="Times New Roman" w:eastAsia="仿宋_GB2312"/>
          <w:sz w:val="32"/>
          <w:szCs w:val="32"/>
        </w:rPr>
        <w:t>通过项目实施，完成了年初设定的各项绩效目标，未发现问题</w:t>
      </w:r>
      <w:r>
        <w:rPr>
          <w:rFonts w:ascii="Times New Roman" w:eastAsia="仿宋_GB2312" w:hint="eastAsia"/>
          <w:sz w:val="32"/>
          <w:szCs w:val="32"/>
        </w:rPr>
        <w:t>。</w:t>
      </w:r>
    </w:p>
    <w:p w:rsidR="00D92766" w:rsidRPr="00D5613A" w:rsidRDefault="00626B84" w:rsidP="00D92766">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object w:dxaOrig="22730" w:dyaOrig="11757">
          <v:shape id="_x0000_i1028" type="#_x0000_t75" style="width:410.25pt;height:212.05pt" o:ole="">
            <v:imagedata r:id="rId29" o:title=""/>
          </v:shape>
          <o:OLEObject Type="Embed" ProgID="Excel.Sheet.12" ShapeID="_x0000_i1028" DrawAspect="Content" ObjectID="_1822478596" r:id="rId30"/>
        </w:object>
      </w:r>
      <w:r w:rsidR="00D92766" w:rsidRPr="00D5613A">
        <w:rPr>
          <w:rFonts w:ascii="Times New Roman" w:eastAsia="仿宋_GB2312" w:hint="eastAsia"/>
          <w:sz w:val="32"/>
          <w:szCs w:val="32"/>
        </w:rPr>
        <w:t>5</w:t>
      </w:r>
      <w:r w:rsidR="00D92766" w:rsidRPr="00D5613A">
        <w:rPr>
          <w:rFonts w:ascii="Times New Roman" w:eastAsia="仿宋_GB2312" w:hint="eastAsia"/>
          <w:sz w:val="32"/>
          <w:szCs w:val="32"/>
        </w:rPr>
        <w:t>、</w:t>
      </w:r>
      <w:r w:rsidR="00D92766" w:rsidRPr="00D5613A">
        <w:rPr>
          <w:rFonts w:ascii="Times New Roman" w:eastAsia="仿宋_GB2312"/>
          <w:sz w:val="32"/>
          <w:szCs w:val="32"/>
        </w:rPr>
        <w:t>关于下达</w:t>
      </w:r>
      <w:r w:rsidR="00D92766" w:rsidRPr="00D5613A">
        <w:rPr>
          <w:rFonts w:ascii="Times New Roman" w:eastAsia="仿宋_GB2312"/>
          <w:sz w:val="32"/>
          <w:szCs w:val="32"/>
        </w:rPr>
        <w:t>2023</w:t>
      </w:r>
      <w:r w:rsidR="00D92766" w:rsidRPr="00D5613A">
        <w:rPr>
          <w:rFonts w:ascii="Times New Roman" w:eastAsia="仿宋_GB2312"/>
          <w:sz w:val="32"/>
          <w:szCs w:val="32"/>
        </w:rPr>
        <w:t>年中央财政林业草原生态保护恢复资金预算的通知（冀财资环【</w:t>
      </w:r>
      <w:r w:rsidR="00D92766" w:rsidRPr="00D5613A">
        <w:rPr>
          <w:rFonts w:ascii="Times New Roman" w:eastAsia="仿宋_GB2312"/>
          <w:sz w:val="32"/>
          <w:szCs w:val="32"/>
        </w:rPr>
        <w:t>2023</w:t>
      </w:r>
      <w:r w:rsidR="00D92766" w:rsidRPr="00D5613A">
        <w:rPr>
          <w:rFonts w:ascii="Times New Roman" w:eastAsia="仿宋_GB2312"/>
          <w:sz w:val="32"/>
          <w:szCs w:val="32"/>
        </w:rPr>
        <w:t>】</w:t>
      </w:r>
      <w:r w:rsidR="00D92766" w:rsidRPr="00D5613A">
        <w:rPr>
          <w:rFonts w:ascii="Times New Roman" w:eastAsia="仿宋_GB2312"/>
          <w:sz w:val="32"/>
          <w:szCs w:val="32"/>
        </w:rPr>
        <w:t>87</w:t>
      </w:r>
      <w:r w:rsidR="00D92766" w:rsidRPr="00D5613A">
        <w:rPr>
          <w:rFonts w:ascii="Times New Roman" w:eastAsia="仿宋_GB2312"/>
          <w:sz w:val="32"/>
          <w:szCs w:val="32"/>
        </w:rPr>
        <w:t>号）</w:t>
      </w:r>
      <w:r w:rsidR="00D92766" w:rsidRPr="00D5613A">
        <w:rPr>
          <w:rFonts w:ascii="Times New Roman" w:eastAsia="仿宋_GB2312"/>
          <w:sz w:val="32"/>
          <w:szCs w:val="32"/>
        </w:rPr>
        <w:t>-</w:t>
      </w:r>
      <w:r w:rsidR="00D92766" w:rsidRPr="00D5613A">
        <w:rPr>
          <w:rFonts w:ascii="Times New Roman" w:eastAsia="仿宋_GB2312"/>
          <w:sz w:val="32"/>
          <w:szCs w:val="32"/>
        </w:rPr>
        <w:t>全面停止天然林商业性采伐项目</w:t>
      </w:r>
    </w:p>
    <w:p w:rsidR="00D92766" w:rsidRPr="00D5613A" w:rsidRDefault="00D92766" w:rsidP="00D92766">
      <w:pPr>
        <w:widowControl/>
        <w:spacing w:line="360" w:lineRule="auto"/>
        <w:ind w:firstLineChars="200" w:firstLine="640"/>
        <w:jc w:val="left"/>
        <w:rPr>
          <w:rFonts w:ascii="Times New Roman" w:eastAsia="仿宋_GB2312"/>
          <w:sz w:val="32"/>
          <w:szCs w:val="32"/>
        </w:rPr>
      </w:pPr>
      <w:r w:rsidRPr="00510926">
        <w:rPr>
          <w:rFonts w:ascii="Times New Roman" w:eastAsia="仿宋_GB2312"/>
          <w:sz w:val="32"/>
          <w:szCs w:val="32"/>
        </w:rPr>
        <w:t>项目绩效自评情况</w:t>
      </w:r>
      <w:r>
        <w:rPr>
          <w:rFonts w:ascii="Times New Roman" w:eastAsia="仿宋_GB2312"/>
          <w:sz w:val="32"/>
          <w:szCs w:val="32"/>
        </w:rPr>
        <w:t>：根据年初设定的绩效目标，项目绩效自评得分为</w:t>
      </w:r>
      <w:r>
        <w:rPr>
          <w:rFonts w:ascii="Times New Roman" w:eastAsia="仿宋_GB2312" w:hint="eastAsia"/>
          <w:sz w:val="32"/>
          <w:szCs w:val="32"/>
        </w:rPr>
        <w:t>93.84</w:t>
      </w:r>
      <w:r>
        <w:rPr>
          <w:rFonts w:ascii="Times New Roman" w:eastAsia="仿宋_GB2312"/>
          <w:sz w:val="32"/>
          <w:szCs w:val="32"/>
        </w:rPr>
        <w:t>分（绩效自评表附后）。全年预算数为</w:t>
      </w:r>
      <w:r>
        <w:rPr>
          <w:rFonts w:ascii="Times New Roman" w:eastAsia="仿宋_GB2312" w:hint="eastAsia"/>
          <w:sz w:val="32"/>
          <w:szCs w:val="32"/>
        </w:rPr>
        <w:t>156.33</w:t>
      </w:r>
      <w:r>
        <w:rPr>
          <w:rFonts w:ascii="Times New Roman" w:eastAsia="仿宋_GB2312"/>
          <w:sz w:val="32"/>
          <w:szCs w:val="32"/>
        </w:rPr>
        <w:t>万元，执行数为</w:t>
      </w:r>
      <w:r>
        <w:rPr>
          <w:rFonts w:ascii="Times New Roman" w:eastAsia="仿宋_GB2312" w:hint="eastAsia"/>
          <w:sz w:val="32"/>
          <w:szCs w:val="32"/>
        </w:rPr>
        <w:t>60</w:t>
      </w:r>
      <w:r>
        <w:rPr>
          <w:rFonts w:ascii="Times New Roman" w:eastAsia="仿宋_GB2312"/>
          <w:sz w:val="32"/>
          <w:szCs w:val="32"/>
        </w:rPr>
        <w:t>万元，完成预算的</w:t>
      </w:r>
      <w:r>
        <w:rPr>
          <w:rFonts w:ascii="Times New Roman" w:eastAsia="仿宋_GB2312" w:hint="eastAsia"/>
          <w:sz w:val="32"/>
          <w:szCs w:val="32"/>
        </w:rPr>
        <w:t>38.38</w:t>
      </w:r>
      <w:r>
        <w:rPr>
          <w:rFonts w:ascii="Times New Roman" w:eastAsia="仿宋_GB2312"/>
          <w:sz w:val="32"/>
          <w:szCs w:val="32"/>
        </w:rPr>
        <w:t>%</w:t>
      </w:r>
      <w:r>
        <w:rPr>
          <w:rFonts w:ascii="Times New Roman" w:eastAsia="仿宋_GB2312"/>
          <w:sz w:val="32"/>
          <w:szCs w:val="32"/>
        </w:rPr>
        <w:t>。项目绩效目标完成情况：</w:t>
      </w:r>
      <w:r>
        <w:rPr>
          <w:rFonts w:ascii="Times New Roman" w:eastAsia="仿宋_GB2312" w:hint="eastAsia"/>
          <w:sz w:val="32"/>
          <w:szCs w:val="32"/>
        </w:rPr>
        <w:t>一是</w:t>
      </w:r>
      <w:r w:rsidRPr="00D5613A">
        <w:rPr>
          <w:rFonts w:ascii="Times New Roman" w:eastAsia="仿宋_GB2312"/>
          <w:sz w:val="32"/>
          <w:szCs w:val="32"/>
        </w:rPr>
        <w:t>通过两个林场的天然林停伐管护补助，减少森林的砍伐，提高森林覆盖率，改善生态环境</w:t>
      </w:r>
      <w:r w:rsidRPr="00565B1C">
        <w:rPr>
          <w:rFonts w:ascii="Times New Roman" w:eastAsia="仿宋_GB2312" w:hint="eastAsia"/>
          <w:sz w:val="32"/>
          <w:szCs w:val="32"/>
        </w:rPr>
        <w:t>；</w:t>
      </w:r>
      <w:r w:rsidRPr="0038725B">
        <w:rPr>
          <w:rFonts w:ascii="Times New Roman" w:eastAsia="仿宋_GB2312" w:hint="eastAsia"/>
          <w:sz w:val="32"/>
          <w:szCs w:val="32"/>
        </w:rPr>
        <w:t>二</w:t>
      </w:r>
      <w:r>
        <w:rPr>
          <w:rFonts w:ascii="Times New Roman" w:eastAsia="仿宋_GB2312" w:hint="eastAsia"/>
          <w:sz w:val="32"/>
          <w:szCs w:val="32"/>
        </w:rPr>
        <w:t>是</w:t>
      </w:r>
      <w:r w:rsidRPr="00D5613A">
        <w:rPr>
          <w:rFonts w:ascii="Times New Roman" w:eastAsia="仿宋_GB2312"/>
          <w:sz w:val="32"/>
          <w:szCs w:val="32"/>
        </w:rPr>
        <w:t>通过资金及时到位，解决群众就业问题。</w:t>
      </w:r>
    </w:p>
    <w:p w:rsidR="00D92766" w:rsidRPr="0038725B" w:rsidRDefault="00D92766" w:rsidP="00D92766">
      <w:pPr>
        <w:widowControl/>
        <w:spacing w:line="360" w:lineRule="auto"/>
        <w:ind w:firstLineChars="200" w:firstLine="640"/>
        <w:jc w:val="left"/>
        <w:rPr>
          <w:rFonts w:ascii="Times New Roman" w:eastAsia="仿宋_GB2312"/>
          <w:sz w:val="32"/>
          <w:szCs w:val="32"/>
        </w:rPr>
      </w:pPr>
      <w:r w:rsidRPr="0038725B">
        <w:rPr>
          <w:rFonts w:ascii="Times New Roman" w:eastAsia="仿宋_GB2312" w:hint="eastAsia"/>
          <w:sz w:val="32"/>
          <w:szCs w:val="32"/>
        </w:rPr>
        <w:t>下一</w:t>
      </w:r>
      <w:r w:rsidRPr="00D5613A">
        <w:rPr>
          <w:rFonts w:ascii="Times New Roman" w:eastAsia="仿宋_GB2312" w:hint="eastAsia"/>
          <w:sz w:val="32"/>
          <w:szCs w:val="32"/>
        </w:rPr>
        <w:t>步</w:t>
      </w:r>
      <w:r w:rsidRPr="0038725B">
        <w:rPr>
          <w:rFonts w:ascii="Times New Roman" w:eastAsia="仿宋_GB2312" w:hint="eastAsia"/>
          <w:sz w:val="32"/>
          <w:szCs w:val="32"/>
        </w:rPr>
        <w:t>改</w:t>
      </w:r>
      <w:r w:rsidRPr="00D5613A">
        <w:rPr>
          <w:rFonts w:ascii="Times New Roman" w:eastAsia="仿宋_GB2312" w:hint="eastAsia"/>
          <w:sz w:val="32"/>
          <w:szCs w:val="32"/>
        </w:rPr>
        <w:t>进措施</w:t>
      </w:r>
      <w:r w:rsidRPr="0038725B">
        <w:rPr>
          <w:rFonts w:ascii="Times New Roman" w:eastAsia="仿宋_GB2312" w:hint="eastAsia"/>
          <w:sz w:val="32"/>
          <w:szCs w:val="32"/>
        </w:rPr>
        <w:t>：</w:t>
      </w:r>
      <w:r w:rsidRPr="00565B1C">
        <w:rPr>
          <w:rFonts w:ascii="Times New Roman" w:eastAsia="仿宋_GB2312" w:hint="eastAsia"/>
          <w:sz w:val="32"/>
          <w:szCs w:val="32"/>
        </w:rPr>
        <w:t>由于财政资金紧张，部分资金</w:t>
      </w:r>
      <w:r w:rsidRPr="00D5613A">
        <w:rPr>
          <w:rFonts w:ascii="Times New Roman" w:eastAsia="仿宋_GB2312" w:hint="eastAsia"/>
          <w:sz w:val="32"/>
          <w:szCs w:val="32"/>
        </w:rPr>
        <w:t>暂时</w:t>
      </w:r>
      <w:r w:rsidRPr="00565B1C">
        <w:rPr>
          <w:rFonts w:ascii="Times New Roman" w:eastAsia="仿宋_GB2312" w:hint="eastAsia"/>
          <w:sz w:val="32"/>
          <w:szCs w:val="32"/>
        </w:rPr>
        <w:t>未支</w:t>
      </w:r>
      <w:r w:rsidRPr="00D5613A">
        <w:rPr>
          <w:rFonts w:ascii="Times New Roman" w:eastAsia="仿宋_GB2312" w:hint="eastAsia"/>
          <w:sz w:val="32"/>
          <w:szCs w:val="32"/>
        </w:rPr>
        <w:t>付</w:t>
      </w:r>
      <w:r w:rsidRPr="00565B1C">
        <w:rPr>
          <w:rFonts w:ascii="Times New Roman" w:eastAsia="仿宋_GB2312" w:hint="eastAsia"/>
          <w:sz w:val="32"/>
          <w:szCs w:val="32"/>
        </w:rPr>
        <w:t>到位，财政拨</w:t>
      </w:r>
      <w:r w:rsidRPr="00D5613A">
        <w:rPr>
          <w:rFonts w:ascii="Times New Roman" w:eastAsia="仿宋_GB2312" w:hint="eastAsia"/>
          <w:sz w:val="32"/>
          <w:szCs w:val="32"/>
        </w:rPr>
        <w:t>付</w:t>
      </w:r>
      <w:r w:rsidRPr="00565B1C">
        <w:rPr>
          <w:rFonts w:ascii="Times New Roman" w:eastAsia="仿宋_GB2312" w:hint="eastAsia"/>
          <w:sz w:val="32"/>
          <w:szCs w:val="32"/>
        </w:rPr>
        <w:t>后及</w:t>
      </w:r>
      <w:r w:rsidRPr="00D5613A">
        <w:rPr>
          <w:rFonts w:ascii="Times New Roman" w:eastAsia="仿宋_GB2312" w:hint="eastAsia"/>
          <w:sz w:val="32"/>
          <w:szCs w:val="32"/>
        </w:rPr>
        <w:t>时</w:t>
      </w:r>
      <w:r w:rsidRPr="00565B1C">
        <w:rPr>
          <w:rFonts w:ascii="Times New Roman" w:eastAsia="仿宋_GB2312" w:hint="eastAsia"/>
          <w:sz w:val="32"/>
          <w:szCs w:val="32"/>
        </w:rPr>
        <w:t>支</w:t>
      </w:r>
      <w:r w:rsidRPr="00D5613A">
        <w:rPr>
          <w:rFonts w:ascii="Times New Roman" w:eastAsia="仿宋_GB2312" w:hint="eastAsia"/>
          <w:sz w:val="32"/>
          <w:szCs w:val="32"/>
        </w:rPr>
        <w:t>付</w:t>
      </w:r>
    </w:p>
    <w:p w:rsidR="00D92766" w:rsidRDefault="00D92766" w:rsidP="00D92766">
      <w:pPr>
        <w:widowControl/>
        <w:spacing w:line="360" w:lineRule="auto"/>
        <w:ind w:firstLineChars="200" w:firstLine="640"/>
        <w:jc w:val="left"/>
        <w:rPr>
          <w:rFonts w:ascii="Times New Roman" w:eastAsia="仿宋_GB2312"/>
          <w:sz w:val="32"/>
          <w:szCs w:val="32"/>
        </w:rPr>
      </w:pPr>
      <w:r w:rsidRPr="0038725B">
        <w:rPr>
          <w:rFonts w:ascii="Times New Roman" w:eastAsia="仿宋_GB2312"/>
          <w:sz w:val="32"/>
          <w:szCs w:val="32"/>
        </w:rPr>
        <w:t>通过项目实施，完成了年初设定的各项绩效目标，未发现问题</w:t>
      </w:r>
      <w:r>
        <w:rPr>
          <w:rFonts w:ascii="Times New Roman" w:eastAsia="仿宋_GB2312" w:hint="eastAsia"/>
          <w:sz w:val="32"/>
          <w:szCs w:val="32"/>
        </w:rPr>
        <w:t>。</w:t>
      </w:r>
    </w:p>
    <w:p w:rsidR="006B1473" w:rsidRDefault="006B1473" w:rsidP="00D92766">
      <w:pPr>
        <w:widowControl/>
        <w:spacing w:line="360" w:lineRule="auto"/>
        <w:ind w:firstLineChars="200" w:firstLine="640"/>
        <w:jc w:val="left"/>
        <w:rPr>
          <w:rFonts w:ascii="Times New Roman" w:eastAsia="仿宋_GB2312" w:hint="eastAsia"/>
          <w:sz w:val="32"/>
          <w:szCs w:val="32"/>
        </w:rPr>
      </w:pPr>
      <w:r>
        <w:rPr>
          <w:rFonts w:ascii="Times New Roman" w:eastAsia="仿宋_GB2312"/>
          <w:sz w:val="32"/>
          <w:szCs w:val="32"/>
        </w:rPr>
        <w:object w:dxaOrig="22730" w:dyaOrig="11757">
          <v:shape id="_x0000_i1029" type="#_x0000_t75" style="width:393.25pt;height:203.35pt" o:ole="">
            <v:imagedata r:id="rId31" o:title=""/>
          </v:shape>
          <o:OLEObject Type="Embed" ProgID="Excel.Sheet.12" ShapeID="_x0000_i1029" DrawAspect="Content" ObjectID="_1822478597" r:id="rId32"/>
        </w:object>
      </w:r>
    </w:p>
    <w:p w:rsidR="00D92766" w:rsidRPr="00D5613A" w:rsidRDefault="00D92766" w:rsidP="00D92766">
      <w:pPr>
        <w:widowControl/>
        <w:spacing w:line="360" w:lineRule="auto"/>
        <w:ind w:firstLineChars="200" w:firstLine="640"/>
        <w:jc w:val="left"/>
        <w:rPr>
          <w:rFonts w:ascii="Times New Roman" w:eastAsia="仿宋_GB2312"/>
          <w:sz w:val="32"/>
          <w:szCs w:val="32"/>
        </w:rPr>
      </w:pPr>
      <w:r w:rsidRPr="00D5613A">
        <w:rPr>
          <w:rFonts w:ascii="Times New Roman" w:eastAsia="仿宋_GB2312" w:hint="eastAsia"/>
          <w:sz w:val="32"/>
          <w:szCs w:val="32"/>
        </w:rPr>
        <w:t>6</w:t>
      </w:r>
      <w:r w:rsidRPr="00D5613A">
        <w:rPr>
          <w:rFonts w:ascii="Times New Roman" w:eastAsia="仿宋_GB2312" w:hint="eastAsia"/>
          <w:sz w:val="32"/>
          <w:szCs w:val="32"/>
        </w:rPr>
        <w:t>、</w:t>
      </w:r>
      <w:r w:rsidRPr="00D5613A">
        <w:rPr>
          <w:rFonts w:ascii="Times New Roman" w:eastAsia="仿宋_GB2312"/>
          <w:sz w:val="32"/>
          <w:szCs w:val="32"/>
        </w:rPr>
        <w:t>2021</w:t>
      </w:r>
      <w:r w:rsidRPr="00D5613A">
        <w:rPr>
          <w:rFonts w:ascii="Times New Roman" w:eastAsia="仿宋_GB2312"/>
          <w:sz w:val="32"/>
          <w:szCs w:val="32"/>
        </w:rPr>
        <w:t>年造林绿化验收</w:t>
      </w:r>
    </w:p>
    <w:p w:rsidR="00D92766" w:rsidRPr="00D5613A" w:rsidRDefault="00D92766" w:rsidP="00D92766">
      <w:pPr>
        <w:widowControl/>
        <w:spacing w:line="360" w:lineRule="auto"/>
        <w:ind w:firstLineChars="200" w:firstLine="640"/>
        <w:jc w:val="left"/>
        <w:rPr>
          <w:rFonts w:ascii="Times New Roman" w:eastAsia="仿宋_GB2312"/>
          <w:sz w:val="32"/>
          <w:szCs w:val="32"/>
        </w:rPr>
      </w:pPr>
      <w:r w:rsidRPr="00510926">
        <w:rPr>
          <w:rFonts w:ascii="Times New Roman" w:eastAsia="仿宋_GB2312"/>
          <w:sz w:val="32"/>
          <w:szCs w:val="32"/>
        </w:rPr>
        <w:t>项目绩效自评情况</w:t>
      </w:r>
      <w:r>
        <w:rPr>
          <w:rFonts w:ascii="Times New Roman" w:eastAsia="仿宋_GB2312"/>
          <w:sz w:val="32"/>
          <w:szCs w:val="32"/>
        </w:rPr>
        <w:t>：根据年初设定的绩效目标，项目绩效自评得分为</w:t>
      </w:r>
      <w:r>
        <w:rPr>
          <w:rFonts w:ascii="Times New Roman" w:eastAsia="仿宋_GB2312" w:hint="eastAsia"/>
          <w:sz w:val="32"/>
          <w:szCs w:val="32"/>
        </w:rPr>
        <w:t>96.67</w:t>
      </w:r>
      <w:r>
        <w:rPr>
          <w:rFonts w:ascii="Times New Roman" w:eastAsia="仿宋_GB2312"/>
          <w:sz w:val="32"/>
          <w:szCs w:val="32"/>
        </w:rPr>
        <w:t>分（绩效自评表附后）。全年预算数为</w:t>
      </w:r>
      <w:r>
        <w:rPr>
          <w:rFonts w:ascii="Times New Roman" w:eastAsia="仿宋_GB2312" w:hint="eastAsia"/>
          <w:sz w:val="32"/>
          <w:szCs w:val="32"/>
        </w:rPr>
        <w:t>150</w:t>
      </w:r>
      <w:r>
        <w:rPr>
          <w:rFonts w:ascii="Times New Roman" w:eastAsia="仿宋_GB2312"/>
          <w:sz w:val="32"/>
          <w:szCs w:val="32"/>
        </w:rPr>
        <w:t>万元，执行数为</w:t>
      </w:r>
      <w:r>
        <w:rPr>
          <w:rFonts w:ascii="Times New Roman" w:eastAsia="仿宋_GB2312" w:hint="eastAsia"/>
          <w:sz w:val="32"/>
          <w:szCs w:val="32"/>
        </w:rPr>
        <w:t>100</w:t>
      </w:r>
      <w:r>
        <w:rPr>
          <w:rFonts w:ascii="Times New Roman" w:eastAsia="仿宋_GB2312"/>
          <w:sz w:val="32"/>
          <w:szCs w:val="32"/>
        </w:rPr>
        <w:t>万元，完成预算的</w:t>
      </w:r>
      <w:r>
        <w:rPr>
          <w:rFonts w:ascii="Times New Roman" w:eastAsia="仿宋_GB2312" w:hint="eastAsia"/>
          <w:sz w:val="32"/>
          <w:szCs w:val="32"/>
        </w:rPr>
        <w:t>66.67</w:t>
      </w:r>
      <w:r>
        <w:rPr>
          <w:rFonts w:ascii="Times New Roman" w:eastAsia="仿宋_GB2312"/>
          <w:sz w:val="32"/>
          <w:szCs w:val="32"/>
        </w:rPr>
        <w:t>%</w:t>
      </w:r>
      <w:r>
        <w:rPr>
          <w:rFonts w:ascii="Times New Roman" w:eastAsia="仿宋_GB2312"/>
          <w:sz w:val="32"/>
          <w:szCs w:val="32"/>
        </w:rPr>
        <w:t>。项目绩效目标完成情况：</w:t>
      </w:r>
      <w:r>
        <w:rPr>
          <w:rFonts w:ascii="Times New Roman" w:eastAsia="仿宋_GB2312" w:hint="eastAsia"/>
          <w:sz w:val="32"/>
          <w:szCs w:val="32"/>
        </w:rPr>
        <w:t>一是</w:t>
      </w:r>
      <w:r w:rsidRPr="00D5613A">
        <w:rPr>
          <w:rFonts w:ascii="Times New Roman" w:eastAsia="仿宋_GB2312"/>
          <w:sz w:val="32"/>
          <w:szCs w:val="32"/>
        </w:rPr>
        <w:t>通过开展造林绿化验收工作，达到监控造林绿化成果，保证造林绿化面积的效果</w:t>
      </w:r>
      <w:r w:rsidRPr="00565B1C">
        <w:rPr>
          <w:rFonts w:ascii="Times New Roman" w:eastAsia="仿宋_GB2312" w:hint="eastAsia"/>
          <w:sz w:val="32"/>
          <w:szCs w:val="32"/>
        </w:rPr>
        <w:t>；</w:t>
      </w:r>
      <w:r w:rsidRPr="0038725B">
        <w:rPr>
          <w:rFonts w:ascii="Times New Roman" w:eastAsia="仿宋_GB2312" w:hint="eastAsia"/>
          <w:sz w:val="32"/>
          <w:szCs w:val="32"/>
        </w:rPr>
        <w:t>二</w:t>
      </w:r>
      <w:r>
        <w:rPr>
          <w:rFonts w:ascii="Times New Roman" w:eastAsia="仿宋_GB2312" w:hint="eastAsia"/>
          <w:sz w:val="32"/>
          <w:szCs w:val="32"/>
        </w:rPr>
        <w:t>是</w:t>
      </w:r>
      <w:r w:rsidRPr="00D5613A">
        <w:rPr>
          <w:rFonts w:ascii="Times New Roman" w:eastAsia="仿宋_GB2312"/>
          <w:sz w:val="32"/>
          <w:szCs w:val="32"/>
        </w:rPr>
        <w:t>通过开展造林绿化验收工作，达到为发放造林绿化补助提供依据的效果。</w:t>
      </w:r>
    </w:p>
    <w:p w:rsidR="00D92766" w:rsidRPr="0038725B" w:rsidRDefault="00D92766" w:rsidP="00D92766">
      <w:pPr>
        <w:widowControl/>
        <w:spacing w:line="360" w:lineRule="auto"/>
        <w:ind w:firstLineChars="200" w:firstLine="640"/>
        <w:jc w:val="left"/>
        <w:rPr>
          <w:rFonts w:ascii="Times New Roman" w:eastAsia="仿宋_GB2312"/>
          <w:sz w:val="32"/>
          <w:szCs w:val="32"/>
        </w:rPr>
      </w:pPr>
      <w:r w:rsidRPr="0038725B">
        <w:rPr>
          <w:rFonts w:ascii="Times New Roman" w:eastAsia="仿宋_GB2312" w:hint="eastAsia"/>
          <w:sz w:val="32"/>
          <w:szCs w:val="32"/>
        </w:rPr>
        <w:t>下一</w:t>
      </w:r>
      <w:r w:rsidRPr="00D5613A">
        <w:rPr>
          <w:rFonts w:ascii="Times New Roman" w:eastAsia="仿宋_GB2312" w:hint="eastAsia"/>
          <w:sz w:val="32"/>
          <w:szCs w:val="32"/>
        </w:rPr>
        <w:t>步</w:t>
      </w:r>
      <w:r w:rsidRPr="0038725B">
        <w:rPr>
          <w:rFonts w:ascii="Times New Roman" w:eastAsia="仿宋_GB2312" w:hint="eastAsia"/>
          <w:sz w:val="32"/>
          <w:szCs w:val="32"/>
        </w:rPr>
        <w:t>改</w:t>
      </w:r>
      <w:r w:rsidRPr="00D5613A">
        <w:rPr>
          <w:rFonts w:ascii="Times New Roman" w:eastAsia="仿宋_GB2312" w:hint="eastAsia"/>
          <w:sz w:val="32"/>
          <w:szCs w:val="32"/>
        </w:rPr>
        <w:t>进措施</w:t>
      </w:r>
      <w:r w:rsidRPr="0038725B">
        <w:rPr>
          <w:rFonts w:ascii="Times New Roman" w:eastAsia="仿宋_GB2312" w:hint="eastAsia"/>
          <w:sz w:val="32"/>
          <w:szCs w:val="32"/>
        </w:rPr>
        <w:t>：</w:t>
      </w:r>
      <w:r w:rsidRPr="00565B1C">
        <w:rPr>
          <w:rFonts w:ascii="Times New Roman" w:eastAsia="仿宋_GB2312" w:hint="eastAsia"/>
          <w:sz w:val="32"/>
          <w:szCs w:val="32"/>
        </w:rPr>
        <w:t>由于财政资金紧张，部分资金</w:t>
      </w:r>
      <w:r w:rsidRPr="00D5613A">
        <w:rPr>
          <w:rFonts w:ascii="Times New Roman" w:eastAsia="仿宋_GB2312" w:hint="eastAsia"/>
          <w:sz w:val="32"/>
          <w:szCs w:val="32"/>
        </w:rPr>
        <w:t>暂时</w:t>
      </w:r>
      <w:r w:rsidRPr="00565B1C">
        <w:rPr>
          <w:rFonts w:ascii="Times New Roman" w:eastAsia="仿宋_GB2312" w:hint="eastAsia"/>
          <w:sz w:val="32"/>
          <w:szCs w:val="32"/>
        </w:rPr>
        <w:t>未支</w:t>
      </w:r>
      <w:r w:rsidRPr="00D5613A">
        <w:rPr>
          <w:rFonts w:ascii="Times New Roman" w:eastAsia="仿宋_GB2312" w:hint="eastAsia"/>
          <w:sz w:val="32"/>
          <w:szCs w:val="32"/>
        </w:rPr>
        <w:t>付</w:t>
      </w:r>
      <w:r w:rsidRPr="00565B1C">
        <w:rPr>
          <w:rFonts w:ascii="Times New Roman" w:eastAsia="仿宋_GB2312" w:hint="eastAsia"/>
          <w:sz w:val="32"/>
          <w:szCs w:val="32"/>
        </w:rPr>
        <w:t>到位，财政拨</w:t>
      </w:r>
      <w:r w:rsidRPr="00D5613A">
        <w:rPr>
          <w:rFonts w:ascii="Times New Roman" w:eastAsia="仿宋_GB2312" w:hint="eastAsia"/>
          <w:sz w:val="32"/>
          <w:szCs w:val="32"/>
        </w:rPr>
        <w:t>付</w:t>
      </w:r>
      <w:r w:rsidRPr="00565B1C">
        <w:rPr>
          <w:rFonts w:ascii="Times New Roman" w:eastAsia="仿宋_GB2312" w:hint="eastAsia"/>
          <w:sz w:val="32"/>
          <w:szCs w:val="32"/>
        </w:rPr>
        <w:t>后及</w:t>
      </w:r>
      <w:r w:rsidRPr="00D5613A">
        <w:rPr>
          <w:rFonts w:ascii="Times New Roman" w:eastAsia="仿宋_GB2312" w:hint="eastAsia"/>
          <w:sz w:val="32"/>
          <w:szCs w:val="32"/>
        </w:rPr>
        <w:t>时</w:t>
      </w:r>
      <w:r w:rsidRPr="00565B1C">
        <w:rPr>
          <w:rFonts w:ascii="Times New Roman" w:eastAsia="仿宋_GB2312" w:hint="eastAsia"/>
          <w:sz w:val="32"/>
          <w:szCs w:val="32"/>
        </w:rPr>
        <w:t>支</w:t>
      </w:r>
      <w:r w:rsidRPr="00D5613A">
        <w:rPr>
          <w:rFonts w:ascii="Times New Roman" w:eastAsia="仿宋_GB2312" w:hint="eastAsia"/>
          <w:sz w:val="32"/>
          <w:szCs w:val="32"/>
        </w:rPr>
        <w:t>付</w:t>
      </w:r>
    </w:p>
    <w:p w:rsidR="00D92766" w:rsidRDefault="00D92766" w:rsidP="00D92766">
      <w:pPr>
        <w:widowControl/>
        <w:spacing w:line="360" w:lineRule="auto"/>
        <w:ind w:firstLineChars="200" w:firstLine="640"/>
        <w:jc w:val="left"/>
        <w:rPr>
          <w:rFonts w:ascii="Times New Roman" w:eastAsia="仿宋_GB2312"/>
          <w:sz w:val="32"/>
          <w:szCs w:val="32"/>
        </w:rPr>
      </w:pPr>
      <w:r w:rsidRPr="0038725B">
        <w:rPr>
          <w:rFonts w:ascii="Times New Roman" w:eastAsia="仿宋_GB2312"/>
          <w:sz w:val="32"/>
          <w:szCs w:val="32"/>
        </w:rPr>
        <w:t>通过项目实施，完成了年初设定的各项绩效目标，未发现问题</w:t>
      </w:r>
      <w:r>
        <w:rPr>
          <w:rFonts w:ascii="Times New Roman" w:eastAsia="仿宋_GB2312" w:hint="eastAsia"/>
          <w:sz w:val="32"/>
          <w:szCs w:val="32"/>
        </w:rPr>
        <w:t>。</w:t>
      </w:r>
    </w:p>
    <w:p w:rsidR="00D92766" w:rsidRPr="00D5613A" w:rsidRDefault="006B1473" w:rsidP="00D92766">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object w:dxaOrig="22730" w:dyaOrig="14917">
          <v:shape id="_x0000_i1030" type="#_x0000_t75" style="width:402.35pt;height:264.65pt" o:ole="">
            <v:imagedata r:id="rId33" o:title=""/>
          </v:shape>
          <o:OLEObject Type="Embed" ProgID="Excel.Sheet.12" ShapeID="_x0000_i1030" DrawAspect="Content" ObjectID="_1822478598" r:id="rId34"/>
        </w:object>
      </w:r>
      <w:r w:rsidR="00D92766" w:rsidRPr="00D5613A">
        <w:rPr>
          <w:rFonts w:ascii="Times New Roman" w:eastAsia="仿宋_GB2312" w:hint="eastAsia"/>
          <w:sz w:val="32"/>
          <w:szCs w:val="32"/>
        </w:rPr>
        <w:t>7</w:t>
      </w:r>
      <w:r w:rsidR="00D92766" w:rsidRPr="00D5613A">
        <w:rPr>
          <w:rFonts w:ascii="Times New Roman" w:eastAsia="仿宋_GB2312" w:hint="eastAsia"/>
          <w:sz w:val="32"/>
          <w:szCs w:val="32"/>
        </w:rPr>
        <w:t>、</w:t>
      </w:r>
      <w:r w:rsidR="00D92766" w:rsidRPr="00D5613A">
        <w:rPr>
          <w:rFonts w:ascii="Times New Roman" w:eastAsia="仿宋_GB2312"/>
          <w:sz w:val="32"/>
          <w:szCs w:val="32"/>
        </w:rPr>
        <w:t>关于下达</w:t>
      </w:r>
      <w:r w:rsidR="00D92766" w:rsidRPr="00D5613A">
        <w:rPr>
          <w:rFonts w:ascii="Times New Roman" w:eastAsia="仿宋_GB2312"/>
          <w:sz w:val="32"/>
          <w:szCs w:val="32"/>
        </w:rPr>
        <w:t>2023</w:t>
      </w:r>
      <w:r w:rsidR="00D92766" w:rsidRPr="00D5613A">
        <w:rPr>
          <w:rFonts w:ascii="Times New Roman" w:eastAsia="仿宋_GB2312"/>
          <w:sz w:val="32"/>
          <w:szCs w:val="32"/>
        </w:rPr>
        <w:t>年中央财政林业草原改革发展资金预算的通知</w:t>
      </w:r>
      <w:r w:rsidR="00D92766" w:rsidRPr="00D5613A">
        <w:rPr>
          <w:rFonts w:ascii="Times New Roman" w:eastAsia="仿宋_GB2312"/>
          <w:sz w:val="32"/>
          <w:szCs w:val="32"/>
        </w:rPr>
        <w:t>——</w:t>
      </w:r>
      <w:r w:rsidR="00D92766" w:rsidRPr="00D5613A">
        <w:rPr>
          <w:rFonts w:ascii="Times New Roman" w:eastAsia="仿宋_GB2312"/>
          <w:sz w:val="32"/>
          <w:szCs w:val="32"/>
        </w:rPr>
        <w:t>林业草原支撑保障体系支出林业有害生物防治项目</w:t>
      </w:r>
    </w:p>
    <w:p w:rsidR="00D92766" w:rsidRPr="00D5613A" w:rsidRDefault="00D92766" w:rsidP="00D92766">
      <w:pPr>
        <w:widowControl/>
        <w:spacing w:line="360" w:lineRule="auto"/>
        <w:ind w:firstLineChars="200" w:firstLine="640"/>
        <w:jc w:val="left"/>
        <w:rPr>
          <w:rFonts w:ascii="Times New Roman" w:eastAsia="仿宋_GB2312"/>
          <w:sz w:val="32"/>
          <w:szCs w:val="32"/>
        </w:rPr>
      </w:pPr>
      <w:r w:rsidRPr="00510926">
        <w:rPr>
          <w:rFonts w:ascii="Times New Roman" w:eastAsia="仿宋_GB2312"/>
          <w:sz w:val="32"/>
          <w:szCs w:val="32"/>
        </w:rPr>
        <w:t>项目绩效自评情况</w:t>
      </w:r>
      <w:r>
        <w:rPr>
          <w:rFonts w:ascii="Times New Roman" w:eastAsia="仿宋_GB2312"/>
          <w:sz w:val="32"/>
          <w:szCs w:val="32"/>
        </w:rPr>
        <w:t>：根据年初设定的绩效目标，项目绩效自评得分为</w:t>
      </w:r>
      <w:r>
        <w:rPr>
          <w:rFonts w:ascii="Times New Roman" w:eastAsia="仿宋_GB2312" w:hint="eastAsia"/>
          <w:sz w:val="32"/>
          <w:szCs w:val="32"/>
        </w:rPr>
        <w:t>100</w:t>
      </w:r>
      <w:r>
        <w:rPr>
          <w:rFonts w:ascii="Times New Roman" w:eastAsia="仿宋_GB2312"/>
          <w:sz w:val="32"/>
          <w:szCs w:val="32"/>
        </w:rPr>
        <w:t>分（绩效自评表附后）。全年预算数为</w:t>
      </w:r>
      <w:r>
        <w:rPr>
          <w:rFonts w:ascii="Times New Roman" w:eastAsia="仿宋_GB2312" w:hint="eastAsia"/>
          <w:sz w:val="32"/>
          <w:szCs w:val="32"/>
        </w:rPr>
        <w:t>30</w:t>
      </w:r>
      <w:r>
        <w:rPr>
          <w:rFonts w:ascii="Times New Roman" w:eastAsia="仿宋_GB2312"/>
          <w:sz w:val="32"/>
          <w:szCs w:val="32"/>
        </w:rPr>
        <w:t>万元，执行数为</w:t>
      </w:r>
      <w:r>
        <w:rPr>
          <w:rFonts w:ascii="Times New Roman" w:eastAsia="仿宋_GB2312" w:hint="eastAsia"/>
          <w:sz w:val="32"/>
          <w:szCs w:val="32"/>
        </w:rPr>
        <w:t>30</w:t>
      </w:r>
      <w:r>
        <w:rPr>
          <w:rFonts w:ascii="Times New Roman" w:eastAsia="仿宋_GB2312"/>
          <w:sz w:val="32"/>
          <w:szCs w:val="32"/>
        </w:rPr>
        <w:t>万元，完成预算的</w:t>
      </w:r>
      <w:r>
        <w:rPr>
          <w:rFonts w:ascii="Times New Roman" w:eastAsia="仿宋_GB2312" w:hint="eastAsia"/>
          <w:sz w:val="32"/>
          <w:szCs w:val="32"/>
        </w:rPr>
        <w:t>100</w:t>
      </w:r>
      <w:r>
        <w:rPr>
          <w:rFonts w:ascii="Times New Roman" w:eastAsia="仿宋_GB2312"/>
          <w:sz w:val="32"/>
          <w:szCs w:val="32"/>
        </w:rPr>
        <w:t>%</w:t>
      </w:r>
      <w:r>
        <w:rPr>
          <w:rFonts w:ascii="Times New Roman" w:eastAsia="仿宋_GB2312"/>
          <w:sz w:val="32"/>
          <w:szCs w:val="32"/>
        </w:rPr>
        <w:t>。项目绩效目标完成情况：</w:t>
      </w:r>
      <w:r>
        <w:rPr>
          <w:rFonts w:ascii="Times New Roman" w:eastAsia="仿宋_GB2312" w:hint="eastAsia"/>
          <w:sz w:val="32"/>
          <w:szCs w:val="32"/>
        </w:rPr>
        <w:t>一是</w:t>
      </w:r>
      <w:r w:rsidRPr="00D5613A">
        <w:rPr>
          <w:rFonts w:ascii="Times New Roman" w:eastAsia="仿宋_GB2312"/>
          <w:sz w:val="32"/>
          <w:szCs w:val="32"/>
        </w:rPr>
        <w:t>通过开展全县美国白蛾调查防治、松树松材线虫病普查防控、名木古树调查防治等林业有害生物防治。</w:t>
      </w:r>
      <w:r w:rsidRPr="00565B1C">
        <w:rPr>
          <w:rFonts w:ascii="Times New Roman" w:eastAsia="仿宋_GB2312" w:hint="eastAsia"/>
          <w:sz w:val="32"/>
          <w:szCs w:val="32"/>
        </w:rPr>
        <w:t>；</w:t>
      </w:r>
      <w:r w:rsidRPr="0038725B">
        <w:rPr>
          <w:rFonts w:ascii="Times New Roman" w:eastAsia="仿宋_GB2312" w:hint="eastAsia"/>
          <w:sz w:val="32"/>
          <w:szCs w:val="32"/>
        </w:rPr>
        <w:t>二</w:t>
      </w:r>
      <w:r>
        <w:rPr>
          <w:rFonts w:ascii="Times New Roman" w:eastAsia="仿宋_GB2312" w:hint="eastAsia"/>
          <w:sz w:val="32"/>
          <w:szCs w:val="32"/>
        </w:rPr>
        <w:t>是</w:t>
      </w:r>
      <w:r w:rsidRPr="00D5613A">
        <w:rPr>
          <w:rFonts w:ascii="Times New Roman" w:eastAsia="仿宋_GB2312"/>
          <w:sz w:val="32"/>
          <w:szCs w:val="32"/>
        </w:rPr>
        <w:t>通过开展林业有害生物防治，促进林业健康发展，保障林业生态安全。</w:t>
      </w:r>
    </w:p>
    <w:p w:rsidR="00D92766" w:rsidRPr="0038725B" w:rsidRDefault="00D92766" w:rsidP="00D92766">
      <w:pPr>
        <w:widowControl/>
        <w:spacing w:line="360" w:lineRule="auto"/>
        <w:ind w:firstLineChars="200" w:firstLine="640"/>
        <w:jc w:val="left"/>
        <w:rPr>
          <w:rFonts w:ascii="Times New Roman" w:eastAsia="仿宋_GB2312"/>
          <w:sz w:val="32"/>
          <w:szCs w:val="32"/>
        </w:rPr>
      </w:pPr>
      <w:r w:rsidRPr="0038725B">
        <w:rPr>
          <w:rFonts w:ascii="Times New Roman" w:eastAsia="仿宋_GB2312" w:hint="eastAsia"/>
          <w:sz w:val="32"/>
          <w:szCs w:val="32"/>
        </w:rPr>
        <w:t>下一</w:t>
      </w:r>
      <w:r w:rsidRPr="00D5613A">
        <w:rPr>
          <w:rFonts w:ascii="Times New Roman" w:eastAsia="仿宋_GB2312" w:hint="eastAsia"/>
          <w:sz w:val="32"/>
          <w:szCs w:val="32"/>
        </w:rPr>
        <w:t>步</w:t>
      </w:r>
      <w:r w:rsidRPr="0038725B">
        <w:rPr>
          <w:rFonts w:ascii="Times New Roman" w:eastAsia="仿宋_GB2312" w:hint="eastAsia"/>
          <w:sz w:val="32"/>
          <w:szCs w:val="32"/>
        </w:rPr>
        <w:t>改</w:t>
      </w:r>
      <w:r w:rsidRPr="00D5613A">
        <w:rPr>
          <w:rFonts w:ascii="Times New Roman" w:eastAsia="仿宋_GB2312" w:hint="eastAsia"/>
          <w:sz w:val="32"/>
          <w:szCs w:val="32"/>
        </w:rPr>
        <w:t>进措施</w:t>
      </w:r>
      <w:r w:rsidRPr="0038725B">
        <w:rPr>
          <w:rFonts w:ascii="Times New Roman" w:eastAsia="仿宋_GB2312" w:hint="eastAsia"/>
          <w:sz w:val="32"/>
          <w:szCs w:val="32"/>
        </w:rPr>
        <w:t>：</w:t>
      </w:r>
      <w:r>
        <w:rPr>
          <w:rFonts w:ascii="Times New Roman" w:eastAsia="仿宋_GB2312" w:hint="eastAsia"/>
          <w:sz w:val="32"/>
          <w:szCs w:val="32"/>
        </w:rPr>
        <w:t>加强监测预警，优化防治方案，提升虫害处置时效性；推动生物防治，建立联动机制，减少虫害扩散风险。</w:t>
      </w:r>
    </w:p>
    <w:p w:rsidR="00D92766" w:rsidRDefault="00D92766" w:rsidP="00D92766">
      <w:pPr>
        <w:widowControl/>
        <w:spacing w:line="360" w:lineRule="auto"/>
        <w:ind w:firstLineChars="200" w:firstLine="640"/>
        <w:jc w:val="left"/>
        <w:rPr>
          <w:rFonts w:ascii="Times New Roman" w:eastAsia="仿宋_GB2312"/>
          <w:sz w:val="32"/>
          <w:szCs w:val="32"/>
        </w:rPr>
      </w:pPr>
      <w:r w:rsidRPr="0038725B">
        <w:rPr>
          <w:rFonts w:ascii="Times New Roman" w:eastAsia="仿宋_GB2312"/>
          <w:sz w:val="32"/>
          <w:szCs w:val="32"/>
        </w:rPr>
        <w:lastRenderedPageBreak/>
        <w:t>通过项目实施，完成了年初设定的各项绩效目标，未发现问题</w:t>
      </w:r>
      <w:r>
        <w:rPr>
          <w:rFonts w:ascii="Times New Roman" w:eastAsia="仿宋_GB2312" w:hint="eastAsia"/>
          <w:sz w:val="32"/>
          <w:szCs w:val="32"/>
        </w:rPr>
        <w:t>。</w:t>
      </w:r>
    </w:p>
    <w:p w:rsidR="00D92766" w:rsidRPr="00D5613A" w:rsidRDefault="006B1473" w:rsidP="00D92766">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object w:dxaOrig="22730" w:dyaOrig="12208">
          <v:shape id="_x0000_i1031" type="#_x0000_t75" style="width:424.9pt;height:227.85pt" o:ole="">
            <v:imagedata r:id="rId35" o:title=""/>
          </v:shape>
          <o:OLEObject Type="Embed" ProgID="Excel.Sheet.12" ShapeID="_x0000_i1031" DrawAspect="Content" ObjectID="_1822478599" r:id="rId36"/>
        </w:object>
      </w:r>
      <w:r w:rsidR="00D92766" w:rsidRPr="00D5613A">
        <w:rPr>
          <w:rFonts w:ascii="Times New Roman" w:eastAsia="仿宋_GB2312" w:hint="eastAsia"/>
          <w:sz w:val="32"/>
          <w:szCs w:val="32"/>
        </w:rPr>
        <w:t>8</w:t>
      </w:r>
      <w:r w:rsidR="00D92766" w:rsidRPr="00D5613A">
        <w:rPr>
          <w:rFonts w:ascii="Times New Roman" w:eastAsia="仿宋_GB2312" w:hint="eastAsia"/>
          <w:sz w:val="32"/>
          <w:szCs w:val="32"/>
        </w:rPr>
        <w:t>、</w:t>
      </w:r>
      <w:r w:rsidR="00D92766" w:rsidRPr="00D5613A">
        <w:rPr>
          <w:rFonts w:ascii="Times New Roman" w:eastAsia="仿宋_GB2312"/>
          <w:sz w:val="32"/>
          <w:szCs w:val="32"/>
        </w:rPr>
        <w:t>关于下达</w:t>
      </w:r>
      <w:r w:rsidR="00D92766" w:rsidRPr="00D5613A">
        <w:rPr>
          <w:rFonts w:ascii="Times New Roman" w:eastAsia="仿宋_GB2312"/>
          <w:sz w:val="32"/>
          <w:szCs w:val="32"/>
        </w:rPr>
        <w:t>2023</w:t>
      </w:r>
      <w:r w:rsidR="00D92766" w:rsidRPr="00D5613A">
        <w:rPr>
          <w:rFonts w:ascii="Times New Roman" w:eastAsia="仿宋_GB2312"/>
          <w:sz w:val="32"/>
          <w:szCs w:val="32"/>
        </w:rPr>
        <w:t>年省级自然资源重点生态保护修复资金的通知（冀财资环【</w:t>
      </w:r>
      <w:r w:rsidR="00D92766" w:rsidRPr="00D5613A">
        <w:rPr>
          <w:rFonts w:ascii="Times New Roman" w:eastAsia="仿宋_GB2312"/>
          <w:sz w:val="32"/>
          <w:szCs w:val="32"/>
        </w:rPr>
        <w:t>2023</w:t>
      </w:r>
      <w:r w:rsidR="00D92766" w:rsidRPr="00D5613A">
        <w:rPr>
          <w:rFonts w:ascii="Times New Roman" w:eastAsia="仿宋_GB2312"/>
          <w:sz w:val="32"/>
          <w:szCs w:val="32"/>
        </w:rPr>
        <w:t>】</w:t>
      </w:r>
      <w:r w:rsidR="00D92766" w:rsidRPr="00D5613A">
        <w:rPr>
          <w:rFonts w:ascii="Times New Roman" w:eastAsia="仿宋_GB2312"/>
          <w:sz w:val="32"/>
          <w:szCs w:val="32"/>
        </w:rPr>
        <w:t>73</w:t>
      </w:r>
      <w:r w:rsidR="00D92766" w:rsidRPr="00D5613A">
        <w:rPr>
          <w:rFonts w:ascii="Times New Roman" w:eastAsia="仿宋_GB2312"/>
          <w:sz w:val="32"/>
          <w:szCs w:val="32"/>
        </w:rPr>
        <w:t>号</w:t>
      </w:r>
      <w:r w:rsidR="00D92766" w:rsidRPr="00D5613A">
        <w:rPr>
          <w:rFonts w:ascii="Times New Roman" w:eastAsia="仿宋_GB2312"/>
          <w:sz w:val="32"/>
          <w:szCs w:val="32"/>
        </w:rPr>
        <w:t>-</w:t>
      </w:r>
      <w:r w:rsidR="00D92766" w:rsidRPr="00D5613A">
        <w:rPr>
          <w:rFonts w:ascii="Times New Roman" w:eastAsia="仿宋_GB2312"/>
          <w:sz w:val="32"/>
          <w:szCs w:val="32"/>
        </w:rPr>
        <w:t>青龙县特大型泥石流地质灾害治理工程项目</w:t>
      </w:r>
    </w:p>
    <w:p w:rsidR="00D92766" w:rsidRPr="00D5613A" w:rsidRDefault="00D92766" w:rsidP="00D92766">
      <w:pPr>
        <w:widowControl/>
        <w:spacing w:line="360" w:lineRule="auto"/>
        <w:ind w:firstLineChars="200" w:firstLine="640"/>
        <w:jc w:val="left"/>
        <w:rPr>
          <w:rFonts w:ascii="Times New Roman" w:eastAsia="仿宋_GB2312"/>
          <w:sz w:val="32"/>
          <w:szCs w:val="32"/>
        </w:rPr>
      </w:pPr>
      <w:r w:rsidRPr="00510926">
        <w:rPr>
          <w:rFonts w:ascii="Times New Roman" w:eastAsia="仿宋_GB2312"/>
          <w:sz w:val="32"/>
          <w:szCs w:val="32"/>
        </w:rPr>
        <w:t>项目绩效自评情况</w:t>
      </w:r>
      <w:r>
        <w:rPr>
          <w:rFonts w:ascii="Times New Roman" w:eastAsia="仿宋_GB2312"/>
          <w:sz w:val="32"/>
          <w:szCs w:val="32"/>
        </w:rPr>
        <w:t>：根据年初设定的绩效目标，项目绩效自评得分为</w:t>
      </w:r>
      <w:r>
        <w:rPr>
          <w:rFonts w:ascii="Times New Roman" w:eastAsia="仿宋_GB2312" w:hint="eastAsia"/>
          <w:sz w:val="32"/>
          <w:szCs w:val="32"/>
        </w:rPr>
        <w:t>91.43</w:t>
      </w:r>
      <w:r>
        <w:rPr>
          <w:rFonts w:ascii="Times New Roman" w:eastAsia="仿宋_GB2312"/>
          <w:sz w:val="32"/>
          <w:szCs w:val="32"/>
        </w:rPr>
        <w:t>分（绩效自评表附后）。全年预算数为</w:t>
      </w:r>
      <w:r>
        <w:rPr>
          <w:rFonts w:ascii="Times New Roman" w:eastAsia="仿宋_GB2312" w:hint="eastAsia"/>
          <w:sz w:val="32"/>
          <w:szCs w:val="32"/>
        </w:rPr>
        <w:t>700</w:t>
      </w:r>
      <w:r>
        <w:rPr>
          <w:rFonts w:ascii="Times New Roman" w:eastAsia="仿宋_GB2312"/>
          <w:sz w:val="32"/>
          <w:szCs w:val="32"/>
        </w:rPr>
        <w:t>万元，执行数为</w:t>
      </w:r>
      <w:r>
        <w:rPr>
          <w:rFonts w:ascii="Times New Roman" w:eastAsia="仿宋_GB2312" w:hint="eastAsia"/>
          <w:sz w:val="32"/>
          <w:szCs w:val="32"/>
        </w:rPr>
        <w:t>100</w:t>
      </w:r>
      <w:r>
        <w:rPr>
          <w:rFonts w:ascii="Times New Roman" w:eastAsia="仿宋_GB2312"/>
          <w:sz w:val="32"/>
          <w:szCs w:val="32"/>
        </w:rPr>
        <w:t>万元，完成预算的</w:t>
      </w:r>
      <w:r>
        <w:rPr>
          <w:rFonts w:ascii="Times New Roman" w:eastAsia="仿宋_GB2312" w:hint="eastAsia"/>
          <w:sz w:val="32"/>
          <w:szCs w:val="32"/>
        </w:rPr>
        <w:t>14.29</w:t>
      </w:r>
      <w:r>
        <w:rPr>
          <w:rFonts w:ascii="Times New Roman" w:eastAsia="仿宋_GB2312"/>
          <w:sz w:val="32"/>
          <w:szCs w:val="32"/>
        </w:rPr>
        <w:t>%</w:t>
      </w:r>
      <w:r>
        <w:rPr>
          <w:rFonts w:ascii="Times New Roman" w:eastAsia="仿宋_GB2312"/>
          <w:sz w:val="32"/>
          <w:szCs w:val="32"/>
        </w:rPr>
        <w:t>。项目绩效目标完成情况：</w:t>
      </w:r>
      <w:r>
        <w:rPr>
          <w:rFonts w:ascii="Times New Roman" w:eastAsia="仿宋_GB2312" w:hint="eastAsia"/>
          <w:sz w:val="32"/>
          <w:szCs w:val="32"/>
        </w:rPr>
        <w:t>一是</w:t>
      </w:r>
      <w:r w:rsidRPr="00D5613A">
        <w:rPr>
          <w:rFonts w:ascii="Times New Roman" w:eastAsia="仿宋_GB2312"/>
          <w:sz w:val="32"/>
          <w:szCs w:val="32"/>
        </w:rPr>
        <w:t>通过开展地质灾害治理工作，减轻地质灾害对人民生命和财产安全的威胁</w:t>
      </w:r>
      <w:r w:rsidRPr="00565B1C">
        <w:rPr>
          <w:rFonts w:ascii="Times New Roman" w:eastAsia="仿宋_GB2312" w:hint="eastAsia"/>
          <w:sz w:val="32"/>
          <w:szCs w:val="32"/>
        </w:rPr>
        <w:t>；</w:t>
      </w:r>
      <w:r w:rsidRPr="0038725B">
        <w:rPr>
          <w:rFonts w:ascii="Times New Roman" w:eastAsia="仿宋_GB2312" w:hint="eastAsia"/>
          <w:sz w:val="32"/>
          <w:szCs w:val="32"/>
        </w:rPr>
        <w:t>二</w:t>
      </w:r>
      <w:r>
        <w:rPr>
          <w:rFonts w:ascii="Times New Roman" w:eastAsia="仿宋_GB2312" w:hint="eastAsia"/>
          <w:sz w:val="32"/>
          <w:szCs w:val="32"/>
        </w:rPr>
        <w:t>是</w:t>
      </w:r>
      <w:r w:rsidRPr="00D5613A">
        <w:rPr>
          <w:rFonts w:ascii="Times New Roman" w:eastAsia="仿宋_GB2312"/>
          <w:sz w:val="32"/>
          <w:szCs w:val="32"/>
        </w:rPr>
        <w:t>通过开展地质灾害治理工作，环境得到美化，治理后景观得到较大的提升。</w:t>
      </w:r>
    </w:p>
    <w:p w:rsidR="00D92766" w:rsidRPr="0038725B" w:rsidRDefault="00D92766" w:rsidP="00D92766">
      <w:pPr>
        <w:widowControl/>
        <w:spacing w:line="360" w:lineRule="auto"/>
        <w:ind w:firstLineChars="200" w:firstLine="640"/>
        <w:jc w:val="left"/>
        <w:rPr>
          <w:rFonts w:ascii="Times New Roman" w:eastAsia="仿宋_GB2312"/>
          <w:sz w:val="32"/>
          <w:szCs w:val="32"/>
        </w:rPr>
      </w:pPr>
      <w:r w:rsidRPr="0038725B">
        <w:rPr>
          <w:rFonts w:ascii="Times New Roman" w:eastAsia="仿宋_GB2312" w:hint="eastAsia"/>
          <w:sz w:val="32"/>
          <w:szCs w:val="32"/>
        </w:rPr>
        <w:lastRenderedPageBreak/>
        <w:t>下一</w:t>
      </w:r>
      <w:r w:rsidRPr="00D5613A">
        <w:rPr>
          <w:rFonts w:ascii="Times New Roman" w:eastAsia="仿宋_GB2312" w:hint="eastAsia"/>
          <w:sz w:val="32"/>
          <w:szCs w:val="32"/>
        </w:rPr>
        <w:t>步</w:t>
      </w:r>
      <w:r w:rsidRPr="0038725B">
        <w:rPr>
          <w:rFonts w:ascii="Times New Roman" w:eastAsia="仿宋_GB2312" w:hint="eastAsia"/>
          <w:sz w:val="32"/>
          <w:szCs w:val="32"/>
        </w:rPr>
        <w:t>改</w:t>
      </w:r>
      <w:r w:rsidRPr="00D5613A">
        <w:rPr>
          <w:rFonts w:ascii="Times New Roman" w:eastAsia="仿宋_GB2312" w:hint="eastAsia"/>
          <w:sz w:val="32"/>
          <w:szCs w:val="32"/>
        </w:rPr>
        <w:t>进措施</w:t>
      </w:r>
      <w:r w:rsidRPr="0038725B">
        <w:rPr>
          <w:rFonts w:ascii="Times New Roman" w:eastAsia="仿宋_GB2312" w:hint="eastAsia"/>
          <w:sz w:val="32"/>
          <w:szCs w:val="32"/>
        </w:rPr>
        <w:t>：</w:t>
      </w:r>
      <w:r w:rsidRPr="00565B1C">
        <w:rPr>
          <w:rFonts w:ascii="Times New Roman" w:eastAsia="仿宋_GB2312" w:hint="eastAsia"/>
          <w:sz w:val="32"/>
          <w:szCs w:val="32"/>
        </w:rPr>
        <w:t>由于财政资金紧张，部分资金</w:t>
      </w:r>
      <w:r w:rsidRPr="00D5613A">
        <w:rPr>
          <w:rFonts w:ascii="Times New Roman" w:eastAsia="仿宋_GB2312" w:hint="eastAsia"/>
          <w:sz w:val="32"/>
          <w:szCs w:val="32"/>
        </w:rPr>
        <w:t>暂时</w:t>
      </w:r>
      <w:r w:rsidRPr="00565B1C">
        <w:rPr>
          <w:rFonts w:ascii="Times New Roman" w:eastAsia="仿宋_GB2312" w:hint="eastAsia"/>
          <w:sz w:val="32"/>
          <w:szCs w:val="32"/>
        </w:rPr>
        <w:t>未支</w:t>
      </w:r>
      <w:r w:rsidRPr="00D5613A">
        <w:rPr>
          <w:rFonts w:ascii="Times New Roman" w:eastAsia="仿宋_GB2312" w:hint="eastAsia"/>
          <w:sz w:val="32"/>
          <w:szCs w:val="32"/>
        </w:rPr>
        <w:t>付</w:t>
      </w:r>
      <w:r w:rsidRPr="00565B1C">
        <w:rPr>
          <w:rFonts w:ascii="Times New Roman" w:eastAsia="仿宋_GB2312" w:hint="eastAsia"/>
          <w:sz w:val="32"/>
          <w:szCs w:val="32"/>
        </w:rPr>
        <w:t>到位，财政拨</w:t>
      </w:r>
      <w:r w:rsidRPr="00D5613A">
        <w:rPr>
          <w:rFonts w:ascii="Times New Roman" w:eastAsia="仿宋_GB2312" w:hint="eastAsia"/>
          <w:sz w:val="32"/>
          <w:szCs w:val="32"/>
        </w:rPr>
        <w:t>付</w:t>
      </w:r>
      <w:r w:rsidRPr="00565B1C">
        <w:rPr>
          <w:rFonts w:ascii="Times New Roman" w:eastAsia="仿宋_GB2312" w:hint="eastAsia"/>
          <w:sz w:val="32"/>
          <w:szCs w:val="32"/>
        </w:rPr>
        <w:t>后及</w:t>
      </w:r>
      <w:r w:rsidRPr="00D5613A">
        <w:rPr>
          <w:rFonts w:ascii="Times New Roman" w:eastAsia="仿宋_GB2312" w:hint="eastAsia"/>
          <w:sz w:val="32"/>
          <w:szCs w:val="32"/>
        </w:rPr>
        <w:t>时</w:t>
      </w:r>
      <w:r w:rsidRPr="00565B1C">
        <w:rPr>
          <w:rFonts w:ascii="Times New Roman" w:eastAsia="仿宋_GB2312" w:hint="eastAsia"/>
          <w:sz w:val="32"/>
          <w:szCs w:val="32"/>
        </w:rPr>
        <w:t>支</w:t>
      </w:r>
      <w:r w:rsidRPr="00D5613A">
        <w:rPr>
          <w:rFonts w:ascii="Times New Roman" w:eastAsia="仿宋_GB2312" w:hint="eastAsia"/>
          <w:sz w:val="32"/>
          <w:szCs w:val="32"/>
        </w:rPr>
        <w:t>付</w:t>
      </w:r>
    </w:p>
    <w:p w:rsidR="00D92766" w:rsidRDefault="00D92766" w:rsidP="00D92766">
      <w:pPr>
        <w:widowControl/>
        <w:spacing w:line="360" w:lineRule="auto"/>
        <w:ind w:firstLineChars="200" w:firstLine="640"/>
        <w:jc w:val="left"/>
        <w:rPr>
          <w:rFonts w:ascii="Times New Roman" w:eastAsia="仿宋_GB2312"/>
          <w:sz w:val="32"/>
          <w:szCs w:val="32"/>
        </w:rPr>
      </w:pPr>
      <w:r w:rsidRPr="0038725B">
        <w:rPr>
          <w:rFonts w:ascii="Times New Roman" w:eastAsia="仿宋_GB2312"/>
          <w:sz w:val="32"/>
          <w:szCs w:val="32"/>
        </w:rPr>
        <w:t>通过项目实施，完成了年初设定的各项绩效目标，未发现问题</w:t>
      </w:r>
      <w:r>
        <w:rPr>
          <w:rFonts w:ascii="Times New Roman" w:eastAsia="仿宋_GB2312" w:hint="eastAsia"/>
          <w:sz w:val="32"/>
          <w:szCs w:val="32"/>
        </w:rPr>
        <w:t>。</w:t>
      </w:r>
    </w:p>
    <w:p w:rsidR="00D92766" w:rsidRPr="00B92D32" w:rsidRDefault="006B1473" w:rsidP="00D92766">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object w:dxaOrig="22730" w:dyaOrig="13563">
          <v:shape id="_x0000_i1032" type="#_x0000_t75" style="width:428.45pt;height:255.15pt" o:ole="">
            <v:imagedata r:id="rId37" o:title=""/>
          </v:shape>
          <o:OLEObject Type="Embed" ProgID="Excel.Sheet.12" ShapeID="_x0000_i1032" DrawAspect="Content" ObjectID="_1822478600" r:id="rId38"/>
        </w:object>
      </w:r>
      <w:r w:rsidR="00D92766" w:rsidRPr="00B92D32">
        <w:rPr>
          <w:rFonts w:ascii="Times New Roman" w:eastAsia="仿宋_GB2312" w:hint="eastAsia"/>
          <w:sz w:val="32"/>
          <w:szCs w:val="32"/>
        </w:rPr>
        <w:t>9</w:t>
      </w:r>
      <w:r w:rsidR="00D92766" w:rsidRPr="00B92D32">
        <w:rPr>
          <w:rFonts w:ascii="Times New Roman" w:eastAsia="仿宋_GB2312" w:hint="eastAsia"/>
          <w:sz w:val="32"/>
          <w:szCs w:val="32"/>
        </w:rPr>
        <w:t>、</w:t>
      </w:r>
      <w:r w:rsidR="00C75311">
        <w:rPr>
          <w:rFonts w:ascii="宋体" w:eastAsia="宋体" w:hAnsi="宋体" w:hint="eastAsia"/>
          <w:sz w:val="32"/>
          <w:szCs w:val="32"/>
        </w:rPr>
        <w:t>易</w:t>
      </w:r>
      <w:r w:rsidR="00C75311">
        <w:rPr>
          <w:rFonts w:ascii="___WRD_EMBED_SUB_47" w:eastAsia="___WRD_EMBED_SUB_47" w:hAnsi="___WRD_EMBED_SUB_47" w:cs="___WRD_EMBED_SUB_47" w:hint="eastAsia"/>
          <w:sz w:val="32"/>
          <w:szCs w:val="32"/>
        </w:rPr>
        <w:t>地</w:t>
      </w:r>
      <w:r w:rsidR="00C75311">
        <w:rPr>
          <w:rFonts w:ascii="宋体" w:eastAsia="宋体" w:hAnsi="宋体" w:hint="eastAsia"/>
          <w:sz w:val="32"/>
          <w:szCs w:val="32"/>
        </w:rPr>
        <w:t>扶贫</w:t>
      </w:r>
      <w:r w:rsidR="00D92766" w:rsidRPr="00B92D32">
        <w:rPr>
          <w:rFonts w:ascii="Times New Roman" w:eastAsia="仿宋_GB2312"/>
          <w:sz w:val="32"/>
          <w:szCs w:val="32"/>
        </w:rPr>
        <w:t>搬迁复垦</w:t>
      </w:r>
    </w:p>
    <w:p w:rsidR="00D92766" w:rsidRPr="00D5613A" w:rsidRDefault="00D92766" w:rsidP="00D92766">
      <w:pPr>
        <w:widowControl/>
        <w:spacing w:line="360" w:lineRule="auto"/>
        <w:ind w:firstLineChars="200" w:firstLine="640"/>
        <w:jc w:val="left"/>
        <w:rPr>
          <w:rFonts w:ascii="Times New Roman" w:eastAsia="仿宋_GB2312"/>
          <w:sz w:val="32"/>
          <w:szCs w:val="32"/>
        </w:rPr>
      </w:pPr>
      <w:r w:rsidRPr="00510926">
        <w:rPr>
          <w:rFonts w:ascii="Times New Roman" w:eastAsia="仿宋_GB2312"/>
          <w:sz w:val="32"/>
          <w:szCs w:val="32"/>
        </w:rPr>
        <w:t>项目绩效自评情况</w:t>
      </w:r>
      <w:r>
        <w:rPr>
          <w:rFonts w:ascii="Times New Roman" w:eastAsia="仿宋_GB2312"/>
          <w:sz w:val="32"/>
          <w:szCs w:val="32"/>
        </w:rPr>
        <w:t>：根据年初设定的绩效目标，项目绩效自评得分为</w:t>
      </w:r>
      <w:r>
        <w:rPr>
          <w:rFonts w:ascii="Times New Roman" w:eastAsia="仿宋_GB2312" w:hint="eastAsia"/>
          <w:sz w:val="32"/>
          <w:szCs w:val="32"/>
        </w:rPr>
        <w:t>100</w:t>
      </w:r>
      <w:r>
        <w:rPr>
          <w:rFonts w:ascii="Times New Roman" w:eastAsia="仿宋_GB2312"/>
          <w:sz w:val="32"/>
          <w:szCs w:val="32"/>
        </w:rPr>
        <w:t>分（绩效自评表附后）。全年预算数为</w:t>
      </w:r>
      <w:r>
        <w:rPr>
          <w:rFonts w:ascii="Times New Roman" w:eastAsia="仿宋_GB2312" w:hint="eastAsia"/>
          <w:sz w:val="32"/>
          <w:szCs w:val="32"/>
        </w:rPr>
        <w:t>10</w:t>
      </w:r>
      <w:r>
        <w:rPr>
          <w:rFonts w:ascii="Times New Roman" w:eastAsia="仿宋_GB2312"/>
          <w:sz w:val="32"/>
          <w:szCs w:val="32"/>
        </w:rPr>
        <w:t>万元，执行数为</w:t>
      </w:r>
      <w:r>
        <w:rPr>
          <w:rFonts w:ascii="Times New Roman" w:eastAsia="仿宋_GB2312" w:hint="eastAsia"/>
          <w:sz w:val="32"/>
          <w:szCs w:val="32"/>
        </w:rPr>
        <w:t>10</w:t>
      </w:r>
      <w:r>
        <w:rPr>
          <w:rFonts w:ascii="Times New Roman" w:eastAsia="仿宋_GB2312"/>
          <w:sz w:val="32"/>
          <w:szCs w:val="32"/>
        </w:rPr>
        <w:t>万元，完成预算的</w:t>
      </w:r>
      <w:r>
        <w:rPr>
          <w:rFonts w:ascii="Times New Roman" w:eastAsia="仿宋_GB2312" w:hint="eastAsia"/>
          <w:sz w:val="32"/>
          <w:szCs w:val="32"/>
        </w:rPr>
        <w:t>100</w:t>
      </w:r>
      <w:r>
        <w:rPr>
          <w:rFonts w:ascii="Times New Roman" w:eastAsia="仿宋_GB2312"/>
          <w:sz w:val="32"/>
          <w:szCs w:val="32"/>
        </w:rPr>
        <w:t>%</w:t>
      </w:r>
      <w:r>
        <w:rPr>
          <w:rFonts w:ascii="Times New Roman" w:eastAsia="仿宋_GB2312"/>
          <w:sz w:val="32"/>
          <w:szCs w:val="32"/>
        </w:rPr>
        <w:t>。项目绩效目标完成情况：</w:t>
      </w:r>
      <w:r>
        <w:rPr>
          <w:rFonts w:ascii="Times New Roman" w:eastAsia="仿宋_GB2312" w:hint="eastAsia"/>
          <w:sz w:val="32"/>
          <w:szCs w:val="32"/>
        </w:rPr>
        <w:t>一是</w:t>
      </w:r>
      <w:r w:rsidRPr="00B92D32">
        <w:rPr>
          <w:rFonts w:ascii="Times New Roman" w:eastAsia="仿宋_GB2312"/>
          <w:sz w:val="32"/>
          <w:szCs w:val="32"/>
        </w:rPr>
        <w:t>通过开展青龙满族自治县易地搬迁复垦工作，达</w:t>
      </w:r>
      <w:r>
        <w:rPr>
          <w:rFonts w:ascii="Times New Roman" w:eastAsia="仿宋_GB2312"/>
          <w:sz w:val="32"/>
          <w:szCs w:val="32"/>
        </w:rPr>
        <w:t>到完成易地扶贫搬迁土地复垦完成补充耕地数量，达到占补平衡的效果</w:t>
      </w:r>
      <w:r w:rsidRPr="00565B1C">
        <w:rPr>
          <w:rFonts w:ascii="Times New Roman" w:eastAsia="仿宋_GB2312" w:hint="eastAsia"/>
          <w:sz w:val="32"/>
          <w:szCs w:val="32"/>
        </w:rPr>
        <w:t>；</w:t>
      </w:r>
      <w:r w:rsidRPr="0038725B">
        <w:rPr>
          <w:rFonts w:ascii="Times New Roman" w:eastAsia="仿宋_GB2312" w:hint="eastAsia"/>
          <w:sz w:val="32"/>
          <w:szCs w:val="32"/>
        </w:rPr>
        <w:t>二</w:t>
      </w:r>
      <w:r>
        <w:rPr>
          <w:rFonts w:ascii="Times New Roman" w:eastAsia="仿宋_GB2312" w:hint="eastAsia"/>
          <w:sz w:val="32"/>
          <w:szCs w:val="32"/>
        </w:rPr>
        <w:t>是</w:t>
      </w:r>
      <w:r w:rsidRPr="00B92D32">
        <w:rPr>
          <w:rFonts w:ascii="Times New Roman" w:eastAsia="仿宋_GB2312"/>
          <w:sz w:val="32"/>
          <w:szCs w:val="32"/>
        </w:rPr>
        <w:lastRenderedPageBreak/>
        <w:t>通过开展青龙满族自治县易地搬迁复垦工作，达到完成易地扶贫搬迁土地复垦完成补充耕地数量，严格控制耕地非粮化的效果。</w:t>
      </w:r>
    </w:p>
    <w:p w:rsidR="00D92766" w:rsidRPr="0038725B" w:rsidRDefault="00D92766" w:rsidP="00D92766">
      <w:pPr>
        <w:widowControl/>
        <w:spacing w:line="360" w:lineRule="auto"/>
        <w:ind w:firstLineChars="200" w:firstLine="640"/>
        <w:jc w:val="left"/>
        <w:rPr>
          <w:rFonts w:ascii="Times New Roman" w:eastAsia="仿宋_GB2312"/>
          <w:sz w:val="32"/>
          <w:szCs w:val="32"/>
        </w:rPr>
      </w:pPr>
      <w:r w:rsidRPr="0038725B">
        <w:rPr>
          <w:rFonts w:ascii="Times New Roman" w:eastAsia="仿宋_GB2312" w:hint="eastAsia"/>
          <w:sz w:val="32"/>
          <w:szCs w:val="32"/>
        </w:rPr>
        <w:t>下一</w:t>
      </w:r>
      <w:r w:rsidRPr="00B92D32">
        <w:rPr>
          <w:rFonts w:ascii="Times New Roman" w:eastAsia="仿宋_GB2312" w:hint="eastAsia"/>
          <w:sz w:val="32"/>
          <w:szCs w:val="32"/>
        </w:rPr>
        <w:t>步</w:t>
      </w:r>
      <w:r w:rsidRPr="0038725B">
        <w:rPr>
          <w:rFonts w:ascii="Times New Roman" w:eastAsia="仿宋_GB2312" w:hint="eastAsia"/>
          <w:sz w:val="32"/>
          <w:szCs w:val="32"/>
        </w:rPr>
        <w:t>改</w:t>
      </w:r>
      <w:r w:rsidRPr="00B92D32">
        <w:rPr>
          <w:rFonts w:ascii="Times New Roman" w:eastAsia="仿宋_GB2312" w:hint="eastAsia"/>
          <w:sz w:val="32"/>
          <w:szCs w:val="32"/>
        </w:rPr>
        <w:t>进措施</w:t>
      </w:r>
      <w:r w:rsidRPr="0038725B">
        <w:rPr>
          <w:rFonts w:ascii="Times New Roman" w:eastAsia="仿宋_GB2312" w:hint="eastAsia"/>
          <w:sz w:val="32"/>
          <w:szCs w:val="32"/>
        </w:rPr>
        <w:t>：</w:t>
      </w:r>
      <w:r>
        <w:rPr>
          <w:rFonts w:ascii="Times New Roman" w:eastAsia="仿宋_GB2312" w:hint="eastAsia"/>
          <w:sz w:val="32"/>
          <w:szCs w:val="32"/>
        </w:rPr>
        <w:t>加快地块清理，优化复垦流程，确保按时达标，跟进后期管护，开展验收核查，巩固复垦成果。</w:t>
      </w:r>
    </w:p>
    <w:p w:rsidR="00D92766" w:rsidRDefault="00D92766" w:rsidP="00D92766">
      <w:pPr>
        <w:widowControl/>
        <w:spacing w:line="360" w:lineRule="auto"/>
        <w:ind w:firstLineChars="200" w:firstLine="640"/>
        <w:jc w:val="left"/>
        <w:rPr>
          <w:rFonts w:ascii="Times New Roman" w:eastAsia="仿宋_GB2312"/>
          <w:sz w:val="32"/>
          <w:szCs w:val="32"/>
        </w:rPr>
      </w:pPr>
      <w:r w:rsidRPr="0038725B">
        <w:rPr>
          <w:rFonts w:ascii="Times New Roman" w:eastAsia="仿宋_GB2312"/>
          <w:sz w:val="32"/>
          <w:szCs w:val="32"/>
        </w:rPr>
        <w:t>通过项目实施，完成了年初设定的各项绩效目标，未发现问题</w:t>
      </w:r>
      <w:r>
        <w:rPr>
          <w:rFonts w:ascii="Times New Roman" w:eastAsia="仿宋_GB2312" w:hint="eastAsia"/>
          <w:sz w:val="32"/>
          <w:szCs w:val="32"/>
        </w:rPr>
        <w:t>。</w:t>
      </w:r>
    </w:p>
    <w:p w:rsidR="00D92766" w:rsidRPr="00B92D32" w:rsidRDefault="006B1473" w:rsidP="00D92766">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object w:dxaOrig="22730" w:dyaOrig="12208">
          <v:shape id="_x0000_i1033" type="#_x0000_t75" style="width:404.7pt;height:217.2pt" o:ole="">
            <v:imagedata r:id="rId39" o:title=""/>
          </v:shape>
          <o:OLEObject Type="Embed" ProgID="Excel.Sheet.12" ShapeID="_x0000_i1033" DrawAspect="Content" ObjectID="_1822478601" r:id="rId40"/>
        </w:object>
      </w:r>
      <w:r w:rsidR="00D92766" w:rsidRPr="00B92D32">
        <w:rPr>
          <w:rFonts w:ascii="Times New Roman" w:eastAsia="仿宋_GB2312" w:hint="eastAsia"/>
          <w:sz w:val="32"/>
          <w:szCs w:val="32"/>
        </w:rPr>
        <w:t>10</w:t>
      </w:r>
      <w:r w:rsidR="00D92766" w:rsidRPr="00B92D32">
        <w:rPr>
          <w:rFonts w:ascii="Times New Roman" w:eastAsia="仿宋_GB2312" w:hint="eastAsia"/>
          <w:sz w:val="32"/>
          <w:szCs w:val="32"/>
        </w:rPr>
        <w:t>、</w:t>
      </w:r>
      <w:r w:rsidR="00D92766" w:rsidRPr="00B92D32">
        <w:rPr>
          <w:rFonts w:ascii="Times New Roman" w:eastAsia="仿宋_GB2312"/>
          <w:sz w:val="32"/>
          <w:szCs w:val="32"/>
        </w:rPr>
        <w:t>金属表面处理厂污染场地调查评估费用</w:t>
      </w:r>
    </w:p>
    <w:p w:rsidR="00D92766" w:rsidRPr="00B92D32" w:rsidRDefault="00D92766" w:rsidP="00D92766">
      <w:pPr>
        <w:widowControl/>
        <w:spacing w:line="360" w:lineRule="auto"/>
        <w:ind w:firstLineChars="200" w:firstLine="640"/>
        <w:jc w:val="left"/>
        <w:rPr>
          <w:rFonts w:ascii="Times New Roman" w:eastAsia="仿宋_GB2312"/>
          <w:sz w:val="32"/>
          <w:szCs w:val="32"/>
        </w:rPr>
      </w:pPr>
      <w:r w:rsidRPr="00510926">
        <w:rPr>
          <w:rFonts w:ascii="Times New Roman" w:eastAsia="仿宋_GB2312"/>
          <w:sz w:val="32"/>
          <w:szCs w:val="32"/>
        </w:rPr>
        <w:t>项目绩效自评情况</w:t>
      </w:r>
      <w:r>
        <w:rPr>
          <w:rFonts w:ascii="Times New Roman" w:eastAsia="仿宋_GB2312"/>
          <w:sz w:val="32"/>
          <w:szCs w:val="32"/>
        </w:rPr>
        <w:t>：根据年初设定的绩效目标，项目绩效自评得分为</w:t>
      </w:r>
      <w:r>
        <w:rPr>
          <w:rFonts w:ascii="Times New Roman" w:eastAsia="仿宋_GB2312" w:hint="eastAsia"/>
          <w:sz w:val="32"/>
          <w:szCs w:val="32"/>
        </w:rPr>
        <w:t>100</w:t>
      </w:r>
      <w:r>
        <w:rPr>
          <w:rFonts w:ascii="Times New Roman" w:eastAsia="仿宋_GB2312"/>
          <w:sz w:val="32"/>
          <w:szCs w:val="32"/>
        </w:rPr>
        <w:t>分（绩效自评表附后）。全年预算数为</w:t>
      </w:r>
      <w:r>
        <w:rPr>
          <w:rFonts w:ascii="Times New Roman" w:eastAsia="仿宋_GB2312" w:hint="eastAsia"/>
          <w:sz w:val="32"/>
          <w:szCs w:val="32"/>
        </w:rPr>
        <w:t>10</w:t>
      </w:r>
      <w:r>
        <w:rPr>
          <w:rFonts w:ascii="Times New Roman" w:eastAsia="仿宋_GB2312"/>
          <w:sz w:val="32"/>
          <w:szCs w:val="32"/>
        </w:rPr>
        <w:t>万元，执行数为</w:t>
      </w:r>
      <w:r>
        <w:rPr>
          <w:rFonts w:ascii="Times New Roman" w:eastAsia="仿宋_GB2312" w:hint="eastAsia"/>
          <w:sz w:val="32"/>
          <w:szCs w:val="32"/>
        </w:rPr>
        <w:t>10</w:t>
      </w:r>
      <w:r>
        <w:rPr>
          <w:rFonts w:ascii="Times New Roman" w:eastAsia="仿宋_GB2312"/>
          <w:sz w:val="32"/>
          <w:szCs w:val="32"/>
        </w:rPr>
        <w:t>万元，完成预算的</w:t>
      </w:r>
      <w:r>
        <w:rPr>
          <w:rFonts w:ascii="Times New Roman" w:eastAsia="仿宋_GB2312" w:hint="eastAsia"/>
          <w:sz w:val="32"/>
          <w:szCs w:val="32"/>
        </w:rPr>
        <w:t>100</w:t>
      </w:r>
      <w:r>
        <w:rPr>
          <w:rFonts w:ascii="Times New Roman" w:eastAsia="仿宋_GB2312"/>
          <w:sz w:val="32"/>
          <w:szCs w:val="32"/>
        </w:rPr>
        <w:t>%</w:t>
      </w:r>
      <w:r>
        <w:rPr>
          <w:rFonts w:ascii="Times New Roman" w:eastAsia="仿宋_GB2312"/>
          <w:sz w:val="32"/>
          <w:szCs w:val="32"/>
        </w:rPr>
        <w:t>。项目绩效目标完成情况：</w:t>
      </w:r>
      <w:r>
        <w:rPr>
          <w:rFonts w:ascii="Times New Roman" w:eastAsia="仿宋_GB2312" w:hint="eastAsia"/>
          <w:sz w:val="32"/>
          <w:szCs w:val="32"/>
        </w:rPr>
        <w:t>一是</w:t>
      </w:r>
      <w:r w:rsidRPr="00B92D32">
        <w:rPr>
          <w:rFonts w:ascii="Times New Roman" w:eastAsia="仿宋_GB2312"/>
          <w:sz w:val="32"/>
          <w:szCs w:val="32"/>
        </w:rPr>
        <w:t>通过开展金属表面处理厂污染详细调查工作，完成金属表面处理厂地块土壤污染状况，详细调查项目的现场踏勘、检测方案编</w:t>
      </w:r>
      <w:r w:rsidRPr="00B92D32">
        <w:rPr>
          <w:rFonts w:ascii="Times New Roman" w:eastAsia="仿宋_GB2312"/>
          <w:sz w:val="32"/>
          <w:szCs w:val="32"/>
        </w:rPr>
        <w:lastRenderedPageBreak/>
        <w:t>制、现场施工取样、报告编制及专家评审工作</w:t>
      </w:r>
      <w:r w:rsidRPr="00565B1C">
        <w:rPr>
          <w:rFonts w:ascii="Times New Roman" w:eastAsia="仿宋_GB2312" w:hint="eastAsia"/>
          <w:sz w:val="32"/>
          <w:szCs w:val="32"/>
        </w:rPr>
        <w:t>；</w:t>
      </w:r>
      <w:r w:rsidRPr="0038725B">
        <w:rPr>
          <w:rFonts w:ascii="Times New Roman" w:eastAsia="仿宋_GB2312" w:hint="eastAsia"/>
          <w:sz w:val="32"/>
          <w:szCs w:val="32"/>
        </w:rPr>
        <w:t>二</w:t>
      </w:r>
      <w:r w:rsidRPr="00B92D32">
        <w:rPr>
          <w:rFonts w:ascii="Times New Roman" w:eastAsia="仿宋_GB2312"/>
          <w:sz w:val="32"/>
          <w:szCs w:val="32"/>
        </w:rPr>
        <w:t>通过开展金属表面处理厂污染详细调查工作，实现详细调查该地块是否确认为污染地块的目的。</w:t>
      </w:r>
    </w:p>
    <w:p w:rsidR="00D92766" w:rsidRPr="0038725B" w:rsidRDefault="00D92766" w:rsidP="00D92766">
      <w:pPr>
        <w:widowControl/>
        <w:spacing w:line="360" w:lineRule="auto"/>
        <w:ind w:firstLineChars="200" w:firstLine="640"/>
        <w:jc w:val="left"/>
        <w:rPr>
          <w:rFonts w:ascii="Times New Roman" w:eastAsia="仿宋_GB2312"/>
          <w:sz w:val="32"/>
          <w:szCs w:val="32"/>
        </w:rPr>
      </w:pPr>
      <w:r w:rsidRPr="0038725B">
        <w:rPr>
          <w:rFonts w:ascii="Times New Roman" w:eastAsia="仿宋_GB2312" w:hint="eastAsia"/>
          <w:sz w:val="32"/>
          <w:szCs w:val="32"/>
        </w:rPr>
        <w:t>下一</w:t>
      </w:r>
      <w:r w:rsidRPr="00B92D32">
        <w:rPr>
          <w:rFonts w:ascii="Times New Roman" w:eastAsia="仿宋_GB2312" w:hint="eastAsia"/>
          <w:sz w:val="32"/>
          <w:szCs w:val="32"/>
        </w:rPr>
        <w:t>步</w:t>
      </w:r>
      <w:r w:rsidRPr="0038725B">
        <w:rPr>
          <w:rFonts w:ascii="Times New Roman" w:eastAsia="仿宋_GB2312" w:hint="eastAsia"/>
          <w:sz w:val="32"/>
          <w:szCs w:val="32"/>
        </w:rPr>
        <w:t>改</w:t>
      </w:r>
      <w:r w:rsidRPr="00B92D32">
        <w:rPr>
          <w:rFonts w:ascii="Times New Roman" w:eastAsia="仿宋_GB2312" w:hint="eastAsia"/>
          <w:sz w:val="32"/>
          <w:szCs w:val="32"/>
        </w:rPr>
        <w:t>进措施</w:t>
      </w:r>
      <w:r w:rsidRPr="0038725B">
        <w:rPr>
          <w:rFonts w:ascii="Times New Roman" w:eastAsia="仿宋_GB2312" w:hint="eastAsia"/>
          <w:sz w:val="32"/>
          <w:szCs w:val="32"/>
        </w:rPr>
        <w:t>：</w:t>
      </w:r>
      <w:r>
        <w:rPr>
          <w:rFonts w:ascii="Times New Roman" w:eastAsia="仿宋_GB2312" w:hint="eastAsia"/>
          <w:sz w:val="32"/>
          <w:szCs w:val="32"/>
        </w:rPr>
        <w:t>细化费用核算，严控成本，确保调查评估质效；优化调研流程，加强三方监管，规范费用使用。</w:t>
      </w:r>
    </w:p>
    <w:p w:rsidR="00D92766" w:rsidRDefault="00D92766" w:rsidP="00D92766">
      <w:pPr>
        <w:widowControl/>
        <w:spacing w:line="360" w:lineRule="auto"/>
        <w:ind w:firstLineChars="200" w:firstLine="640"/>
        <w:jc w:val="left"/>
        <w:rPr>
          <w:rFonts w:ascii="Times New Roman" w:eastAsia="仿宋_GB2312"/>
          <w:sz w:val="32"/>
          <w:szCs w:val="32"/>
        </w:rPr>
      </w:pPr>
      <w:r w:rsidRPr="0038725B">
        <w:rPr>
          <w:rFonts w:ascii="Times New Roman" w:eastAsia="仿宋_GB2312"/>
          <w:sz w:val="32"/>
          <w:szCs w:val="32"/>
        </w:rPr>
        <w:t>通过项目实施，完成了年初设定的各项绩效目标，未发现问题</w:t>
      </w:r>
      <w:r>
        <w:rPr>
          <w:rFonts w:ascii="Times New Roman" w:eastAsia="仿宋_GB2312" w:hint="eastAsia"/>
          <w:sz w:val="32"/>
          <w:szCs w:val="32"/>
        </w:rPr>
        <w:t>。</w:t>
      </w:r>
    </w:p>
    <w:p w:rsidR="00E34AE7" w:rsidRDefault="004F4CF2" w:rsidP="004F4CF2">
      <w:pPr>
        <w:widowControl/>
        <w:spacing w:line="360" w:lineRule="auto"/>
        <w:ind w:firstLineChars="200" w:firstLine="640"/>
        <w:jc w:val="left"/>
        <w:rPr>
          <w:rFonts w:ascii="Times New Roman" w:eastAsia="仿宋_GB2312"/>
          <w:sz w:val="32"/>
          <w:szCs w:val="32"/>
        </w:rPr>
      </w:pPr>
      <w:r>
        <w:rPr>
          <w:rFonts w:ascii="宋体" w:eastAsia="宋体" w:hAnsi="宋体"/>
          <w:sz w:val="32"/>
          <w:szCs w:val="32"/>
        </w:rPr>
        <w:object w:dxaOrig="22730" w:dyaOrig="13111">
          <v:shape id="_x0000_i1034" type="#_x0000_t75" style="width:424.9pt;height:245.25pt" o:ole="">
            <v:imagedata r:id="rId41" o:title=""/>
          </v:shape>
          <o:OLEObject Type="Embed" ProgID="Excel.Sheet.12" ShapeID="_x0000_i1034" DrawAspect="Content" ObjectID="_1822478602" r:id="rId42"/>
        </w:object>
      </w:r>
      <w:r w:rsidR="00B2012A">
        <w:rPr>
          <w:rFonts w:ascii="Times New Roman" w:eastAsia="仿宋_GB2312"/>
          <w:b/>
          <w:sz w:val="32"/>
          <w:szCs w:val="32"/>
        </w:rPr>
        <w:t>（三）部门评价项目绩效评价结果（如有）</w:t>
      </w:r>
    </w:p>
    <w:p w:rsidR="00E34AE7" w:rsidRDefault="00596AC9" w:rsidP="00596AC9">
      <w:pPr>
        <w:adjustRightInd w:val="0"/>
        <w:snapToGrid w:val="0"/>
        <w:spacing w:line="360" w:lineRule="auto"/>
        <w:ind w:firstLineChars="100" w:firstLine="320"/>
        <w:rPr>
          <w:rFonts w:ascii="Times New Roman" w:eastAsia="仿宋_GB2312"/>
          <w:sz w:val="32"/>
          <w:szCs w:val="32"/>
        </w:rPr>
      </w:pPr>
      <w:r w:rsidRPr="00596AC9">
        <w:rPr>
          <w:rFonts w:ascii="Times New Roman" w:eastAsia="仿宋_GB2312"/>
          <w:sz w:val="32"/>
          <w:szCs w:val="32"/>
        </w:rPr>
        <w:t>根据预算绩效管理要求，</w:t>
      </w:r>
      <w:r w:rsidRPr="00596AC9">
        <w:rPr>
          <w:rFonts w:ascii="Times New Roman" w:eastAsia="仿宋_GB2312"/>
          <w:sz w:val="32"/>
          <w:szCs w:val="32"/>
        </w:rPr>
        <w:t>202</w:t>
      </w:r>
      <w:r>
        <w:rPr>
          <w:rFonts w:ascii="Times New Roman" w:eastAsia="仿宋_GB2312" w:hint="eastAsia"/>
          <w:sz w:val="32"/>
          <w:szCs w:val="32"/>
        </w:rPr>
        <w:t>4</w:t>
      </w:r>
      <w:r w:rsidRPr="00596AC9">
        <w:rPr>
          <w:rFonts w:ascii="Times New Roman" w:eastAsia="仿宋_GB2312"/>
          <w:sz w:val="32"/>
          <w:szCs w:val="32"/>
        </w:rPr>
        <w:t xml:space="preserve"> </w:t>
      </w:r>
      <w:r w:rsidRPr="00596AC9">
        <w:rPr>
          <w:rFonts w:ascii="Times New Roman" w:eastAsia="仿宋_GB2312"/>
          <w:sz w:val="32"/>
          <w:szCs w:val="32"/>
        </w:rPr>
        <w:t>年本</w:t>
      </w:r>
      <w:r w:rsidRPr="00596AC9">
        <w:rPr>
          <w:rFonts w:ascii="Times New Roman" w:eastAsia="仿宋_GB2312" w:hint="eastAsia"/>
          <w:sz w:val="32"/>
          <w:szCs w:val="32"/>
        </w:rPr>
        <w:t>部门</w:t>
      </w:r>
      <w:r w:rsidRPr="00596AC9">
        <w:rPr>
          <w:rFonts w:ascii="Times New Roman" w:eastAsia="仿宋_GB2312"/>
          <w:sz w:val="32"/>
          <w:szCs w:val="32"/>
        </w:rPr>
        <w:t>绩效自评项目共</w:t>
      </w:r>
      <w:r w:rsidR="00930114">
        <w:rPr>
          <w:rFonts w:ascii="Times New Roman" w:eastAsia="仿宋_GB2312" w:hint="eastAsia"/>
          <w:sz w:val="32"/>
          <w:szCs w:val="32"/>
        </w:rPr>
        <w:t>55</w:t>
      </w:r>
      <w:r w:rsidRPr="00596AC9">
        <w:rPr>
          <w:rFonts w:ascii="Times New Roman" w:eastAsia="仿宋_GB2312"/>
          <w:sz w:val="32"/>
          <w:szCs w:val="32"/>
        </w:rPr>
        <w:t>个，共涉及资金</w:t>
      </w:r>
      <w:r>
        <w:rPr>
          <w:rFonts w:ascii="Times New Roman" w:eastAsia="仿宋_GB2312" w:hint="eastAsia"/>
          <w:sz w:val="32"/>
          <w:szCs w:val="32"/>
        </w:rPr>
        <w:t>13037.41</w:t>
      </w:r>
      <w:r w:rsidRPr="00596AC9">
        <w:rPr>
          <w:rFonts w:ascii="Times New Roman" w:eastAsia="仿宋_GB2312"/>
          <w:sz w:val="32"/>
          <w:szCs w:val="32"/>
        </w:rPr>
        <w:t>万元</w:t>
      </w:r>
      <w:r w:rsidRPr="00596AC9">
        <w:rPr>
          <w:rFonts w:ascii="Times New Roman" w:eastAsia="仿宋_GB2312" w:hint="eastAsia"/>
          <w:sz w:val="32"/>
          <w:szCs w:val="32"/>
        </w:rPr>
        <w:t>，</w:t>
      </w:r>
      <w:r w:rsidRPr="00596AC9">
        <w:rPr>
          <w:rFonts w:ascii="Times New Roman" w:eastAsia="仿宋_GB2312"/>
          <w:sz w:val="32"/>
          <w:szCs w:val="32"/>
        </w:rPr>
        <w:t>在今年部门评价项目绩效评价结果中反应</w:t>
      </w:r>
      <w:r w:rsidR="00714DE6">
        <w:rPr>
          <w:rFonts w:ascii="Times New Roman" w:eastAsia="仿宋_GB2312" w:hint="eastAsia"/>
          <w:sz w:val="32"/>
          <w:szCs w:val="32"/>
        </w:rPr>
        <w:t>55</w:t>
      </w:r>
      <w:r w:rsidRPr="00596AC9">
        <w:rPr>
          <w:rFonts w:ascii="Times New Roman" w:eastAsia="仿宋_GB2312" w:hint="eastAsia"/>
          <w:sz w:val="32"/>
          <w:szCs w:val="32"/>
        </w:rPr>
        <w:t>个</w:t>
      </w:r>
      <w:r w:rsidRPr="00596AC9">
        <w:rPr>
          <w:rFonts w:ascii="Times New Roman" w:eastAsia="仿宋_GB2312"/>
          <w:sz w:val="32"/>
          <w:szCs w:val="32"/>
        </w:rPr>
        <w:t>项目绩效自评结果</w:t>
      </w:r>
      <w:r w:rsidRPr="00596AC9">
        <w:rPr>
          <w:rFonts w:ascii="Times New Roman" w:eastAsia="仿宋_GB2312" w:hint="eastAsia"/>
          <w:sz w:val="32"/>
          <w:szCs w:val="32"/>
        </w:rPr>
        <w:t>，</w:t>
      </w:r>
      <w:r w:rsidRPr="00596AC9">
        <w:rPr>
          <w:rFonts w:ascii="Times New Roman" w:eastAsia="仿宋_GB2312"/>
          <w:sz w:val="32"/>
          <w:szCs w:val="32"/>
        </w:rPr>
        <w:t>与《</w:t>
      </w:r>
      <w:r w:rsidRPr="00596AC9">
        <w:rPr>
          <w:rFonts w:ascii="Times New Roman" w:eastAsia="仿宋_GB2312" w:hint="eastAsia"/>
          <w:sz w:val="32"/>
          <w:szCs w:val="32"/>
        </w:rPr>
        <w:t>202</w:t>
      </w:r>
      <w:r>
        <w:rPr>
          <w:rFonts w:ascii="Times New Roman" w:eastAsia="仿宋_GB2312" w:hint="eastAsia"/>
          <w:sz w:val="32"/>
          <w:szCs w:val="32"/>
        </w:rPr>
        <w:t>4</w:t>
      </w:r>
      <w:r w:rsidRPr="00596AC9">
        <w:rPr>
          <w:rFonts w:ascii="Times New Roman" w:eastAsia="仿宋_GB2312" w:hint="eastAsia"/>
          <w:sz w:val="32"/>
          <w:szCs w:val="32"/>
        </w:rPr>
        <w:t xml:space="preserve"> </w:t>
      </w:r>
      <w:r w:rsidRPr="00596AC9">
        <w:rPr>
          <w:rFonts w:ascii="Times New Roman" w:eastAsia="仿宋_GB2312"/>
          <w:sz w:val="32"/>
          <w:szCs w:val="32"/>
        </w:rPr>
        <w:t>年度县级项目支出绩效自评表》相符</w:t>
      </w:r>
      <w:r w:rsidRPr="00596AC9">
        <w:rPr>
          <w:rFonts w:ascii="Times New Roman" w:eastAsia="仿宋_GB2312" w:hint="eastAsia"/>
          <w:sz w:val="32"/>
          <w:szCs w:val="32"/>
        </w:rPr>
        <w:t>，</w:t>
      </w:r>
      <w:r w:rsidRPr="00596AC9">
        <w:rPr>
          <w:rFonts w:ascii="Times New Roman" w:eastAsia="仿宋_GB2312"/>
          <w:sz w:val="32"/>
          <w:szCs w:val="32"/>
        </w:rPr>
        <w:t>核查结果由部门预算主管科室综合评定为：</w:t>
      </w:r>
      <w:r w:rsidRPr="00596AC9">
        <w:rPr>
          <w:rFonts w:ascii="Times New Roman" w:eastAsia="仿宋_GB2312"/>
          <w:sz w:val="32"/>
          <w:szCs w:val="32"/>
        </w:rPr>
        <w:t xml:space="preserve"> </w:t>
      </w:r>
      <w:r w:rsidRPr="00596AC9">
        <w:rPr>
          <w:rFonts w:ascii="Times New Roman" w:eastAsia="仿宋_GB2312"/>
          <w:sz w:val="32"/>
          <w:szCs w:val="32"/>
        </w:rPr>
        <w:lastRenderedPageBreak/>
        <w:t>优</w:t>
      </w:r>
      <w:r w:rsidRPr="00596AC9">
        <w:rPr>
          <w:rFonts w:ascii="Times New Roman" w:eastAsia="仿宋_GB2312" w:hint="eastAsia"/>
          <w:sz w:val="32"/>
          <w:szCs w:val="32"/>
        </w:rPr>
        <w:t>，</w:t>
      </w:r>
      <w:r w:rsidRPr="00596AC9">
        <w:rPr>
          <w:rFonts w:ascii="Times New Roman" w:eastAsia="仿宋_GB2312"/>
          <w:sz w:val="32"/>
          <w:szCs w:val="32"/>
        </w:rPr>
        <w:t>评优率为</w:t>
      </w:r>
      <w:r w:rsidRPr="00596AC9">
        <w:rPr>
          <w:rFonts w:ascii="Times New Roman" w:eastAsia="仿宋_GB2312"/>
          <w:sz w:val="32"/>
          <w:szCs w:val="32"/>
        </w:rPr>
        <w:t xml:space="preserve"> 100%</w:t>
      </w:r>
      <w:r w:rsidRPr="00596AC9">
        <w:rPr>
          <w:rFonts w:ascii="Times New Roman" w:eastAsia="仿宋_GB2312"/>
          <w:sz w:val="32"/>
          <w:szCs w:val="32"/>
        </w:rPr>
        <w:t>。</w:t>
      </w:r>
    </w:p>
    <w:p w:rsidR="004A5AEC" w:rsidRDefault="004A5AEC" w:rsidP="004A5AEC">
      <w:pPr>
        <w:adjustRightInd w:val="0"/>
        <w:snapToGrid w:val="0"/>
        <w:spacing w:line="360" w:lineRule="auto"/>
        <w:ind w:firstLineChars="100" w:firstLine="320"/>
        <w:rPr>
          <w:rFonts w:ascii="Times New Roman" w:eastAsia="仿宋_GB2312"/>
          <w:sz w:val="32"/>
          <w:szCs w:val="32"/>
        </w:rPr>
      </w:pPr>
      <w:r w:rsidRPr="004A5AEC">
        <w:rPr>
          <w:rFonts w:ascii="Times New Roman" w:eastAsia="仿宋_GB2312" w:hint="eastAsia"/>
          <w:sz w:val="32"/>
          <w:szCs w:val="32"/>
        </w:rPr>
        <w:t>附：绩效自评表</w:t>
      </w:r>
      <w:r w:rsidRPr="004A5AEC">
        <w:rPr>
          <w:rFonts w:ascii="宋体" w:eastAsia="宋体" w:hAnsi="宋体" w:hint="eastAsia"/>
          <w:sz w:val="32"/>
          <w:szCs w:val="32"/>
        </w:rPr>
        <w:t>详见</w:t>
      </w:r>
      <w:r w:rsidRPr="004A5AEC">
        <w:rPr>
          <w:rFonts w:ascii="___WRD_EMBED_SUB_47" w:eastAsia="___WRD_EMBED_SUB_47" w:hAnsi="___WRD_EMBED_SUB_47" w:cs="___WRD_EMBED_SUB_47" w:hint="eastAsia"/>
          <w:sz w:val="32"/>
          <w:szCs w:val="32"/>
        </w:rPr>
        <w:t>附件</w:t>
      </w:r>
    </w:p>
    <w:p w:rsidR="00E34AE7" w:rsidRDefault="00B2012A" w:rsidP="009D692D">
      <w:pPr>
        <w:widowControl/>
        <w:spacing w:line="360" w:lineRule="auto"/>
        <w:ind w:firstLineChars="200" w:firstLine="640"/>
        <w:jc w:val="left"/>
        <w:rPr>
          <w:rFonts w:ascii="Times New Roman" w:eastAsia="黑体"/>
          <w:sz w:val="32"/>
          <w:szCs w:val="32"/>
        </w:rPr>
      </w:pPr>
      <w:r>
        <w:rPr>
          <w:rFonts w:ascii="Times New Roman" w:eastAsia="黑体"/>
          <w:sz w:val="32"/>
          <w:szCs w:val="32"/>
        </w:rPr>
        <w:t>十、其他需要说明的情况</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1.</w:t>
      </w: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年度国有资本经营预算财政拨款支出决算表（公开</w:t>
      </w:r>
      <w:r>
        <w:rPr>
          <w:rFonts w:ascii="Times New Roman" w:eastAsia="仿宋_GB2312"/>
          <w:sz w:val="32"/>
          <w:szCs w:val="32"/>
        </w:rPr>
        <w:t>08</w:t>
      </w:r>
      <w:r>
        <w:rPr>
          <w:rFonts w:ascii="Times New Roman" w:eastAsia="仿宋_GB2312"/>
          <w:sz w:val="32"/>
          <w:szCs w:val="32"/>
        </w:rPr>
        <w:t>表）无相应收支，故空表列示。</w:t>
      </w:r>
    </w:p>
    <w:p w:rsidR="00E34AE7" w:rsidRDefault="00B2012A" w:rsidP="009D692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2. </w:t>
      </w:r>
      <w:r>
        <w:rPr>
          <w:rFonts w:ascii="Times New Roman" w:eastAsia="仿宋_GB2312"/>
          <w:sz w:val="32"/>
          <w:szCs w:val="32"/>
        </w:rPr>
        <w:t>由于决算公开表格中金额数值应当保留两位小数，公开数据为四舍五入计算结果，个别数据合计项与分项之和存在小数点后差额，特此说明。</w:t>
      </w:r>
    </w:p>
    <w:p w:rsidR="00E34AE7" w:rsidRDefault="00B2012A">
      <w:pPr>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rsidR="00E34AE7" w:rsidRDefault="00B2012A">
      <w:pPr>
        <w:widowControl/>
        <w:spacing w:line="360" w:lineRule="auto"/>
        <w:jc w:val="center"/>
        <w:outlineLvl w:val="0"/>
        <w:rPr>
          <w:rFonts w:ascii="Times New Roman" w:eastAsia="黑体"/>
          <w:sz w:val="44"/>
          <w:szCs w:val="44"/>
        </w:rPr>
      </w:pPr>
      <w:r>
        <w:rPr>
          <w:rFonts w:ascii="Times New Roman" w:eastAsia="黑体"/>
          <w:sz w:val="44"/>
          <w:szCs w:val="44"/>
        </w:rPr>
        <w:lastRenderedPageBreak/>
        <w:t>第四部分</w:t>
      </w:r>
      <w:r>
        <w:rPr>
          <w:rFonts w:ascii="Times New Roman" w:eastAsia="黑体"/>
          <w:sz w:val="44"/>
          <w:szCs w:val="44"/>
        </w:rPr>
        <w:t xml:space="preserve"> </w:t>
      </w:r>
      <w:r>
        <w:rPr>
          <w:rFonts w:ascii="Times New Roman" w:eastAsia="黑体"/>
          <w:sz w:val="44"/>
          <w:szCs w:val="44"/>
        </w:rPr>
        <w:t>名词解释</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sz w:val="32"/>
          <w:szCs w:val="32"/>
        </w:rPr>
        <w:t>指单位从同级财政部门取得的财政预算资金。</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sz w:val="32"/>
          <w:szCs w:val="32"/>
        </w:rPr>
        <w:t>指事业单位开展专业业务活动及辅助活动取得的收入。</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sz w:val="32"/>
          <w:szCs w:val="32"/>
        </w:rPr>
        <w:t>指事业单位在专业业务活动及其辅助活动之外开展非独立核算经营活动取得的收入。</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sz w:val="32"/>
          <w:szCs w:val="32"/>
        </w:rPr>
        <w:t>指单位取得的除上述收入以外的各项收入。主要是事业单位固定资产出租收入、存款利息收入等。</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sz w:val="32"/>
          <w:szCs w:val="32"/>
        </w:rPr>
        <w:t>指事业单位按照预算管理要求使用非财政拨款结余弥补收支差额的金额，以及使用专用结余安排支出的金额。</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sz w:val="32"/>
          <w:szCs w:val="32"/>
        </w:rPr>
        <w:t>指单位以前年度尚未完成、结转到本年仍按原规定用途继续使用的资金，或项目已完成等产生的结余资金。</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sz w:val="32"/>
          <w:szCs w:val="32"/>
        </w:rPr>
        <w:t>指事业单位按照会计制度规定缴纳的所得税、提取的专用结余以及转入非财政拨款结余的金额等。</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sz w:val="32"/>
          <w:szCs w:val="32"/>
        </w:rPr>
        <w:t>指单位按有关规定结转到下年或以后年度继续使用的资金，或项目已完成等产生的结余资金。</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lastRenderedPageBreak/>
        <w:t>九、基本支出：</w:t>
      </w:r>
      <w:r>
        <w:rPr>
          <w:rFonts w:ascii="Times New Roman" w:eastAsia="仿宋_GB2312"/>
          <w:sz w:val="32"/>
          <w:szCs w:val="32"/>
        </w:rPr>
        <w:t>指为保障机构正常运转、完成日常工作任务而发生的人员支出和公用支出。</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sz w:val="32"/>
          <w:szCs w:val="32"/>
        </w:rPr>
        <w:t>指在基本支出之外为完成特定行政任务和事业发展目标所发生的支出。</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sz w:val="32"/>
          <w:szCs w:val="32"/>
        </w:rPr>
        <w:t xml:space="preserve"> </w:t>
      </w:r>
      <w:r>
        <w:rPr>
          <w:rFonts w:ascii="Times New Roman" w:eastAsia="仿宋_GB2312"/>
          <w:b/>
          <w:sz w:val="32"/>
          <w:szCs w:val="32"/>
        </w:rPr>
        <w:t>：</w:t>
      </w:r>
      <w:r>
        <w:rPr>
          <w:rFonts w:ascii="Times New Roman" w:eastAsia="仿宋_GB2312"/>
          <w:sz w:val="32"/>
          <w:szCs w:val="32"/>
        </w:rPr>
        <w:t>指事业单位在专业业务活动及其辅助活动之外开展非独立核算经营活动发生的支出。</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sz w:val="32"/>
          <w:szCs w:val="32"/>
        </w:rPr>
        <w:t>填列由各级非发展与改革部门集中安排的用于购置固定资产、战备性和应急性储备、土地和无形资产，以及购建基础设施、大型修缮和财政支持企业更新改造所发生的支出。</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十四、</w:t>
      </w:r>
      <w:r>
        <w:rPr>
          <w:rFonts w:ascii="Times New Roman" w:eastAsia="仿宋_GB2312"/>
          <w:b/>
          <w:sz w:val="32"/>
          <w:szCs w:val="32"/>
        </w:rPr>
        <w:t>“</w:t>
      </w:r>
      <w:r>
        <w:rPr>
          <w:rFonts w:ascii="Times New Roman" w:eastAsia="仿宋_GB2312"/>
          <w:b/>
          <w:sz w:val="32"/>
          <w:szCs w:val="32"/>
        </w:rPr>
        <w:t>三公</w:t>
      </w:r>
      <w:r>
        <w:rPr>
          <w:rFonts w:ascii="Times New Roman" w:eastAsia="仿宋_GB2312"/>
          <w:b/>
          <w:sz w:val="32"/>
          <w:szCs w:val="32"/>
        </w:rPr>
        <w:t>”</w:t>
      </w:r>
      <w:r>
        <w:rPr>
          <w:rFonts w:ascii="Times New Roman" w:eastAsia="仿宋_GB2312"/>
          <w:b/>
          <w:sz w:val="32"/>
          <w:szCs w:val="32"/>
        </w:rPr>
        <w:t>经费：</w:t>
      </w:r>
      <w:r>
        <w:rPr>
          <w:rFonts w:ascii="Times New Roman" w:eastAsia="仿宋_GB2312"/>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w:t>
      </w:r>
      <w:r>
        <w:rPr>
          <w:rFonts w:ascii="Times New Roman" w:eastAsia="仿宋_GB2312"/>
          <w:sz w:val="32"/>
          <w:szCs w:val="32"/>
        </w:rPr>
        <w:lastRenderedPageBreak/>
        <w:t>及运行费反映单位公务用车购置支出（含车辆购置税、牌照费）及按规定保留的公务用车燃料费、维修费、过桥过路费、保险费、安全奖励费用等支出；公务接待费反映单位按规定开支的各类公务接待（含外宾接待）支出。</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sz w:val="32"/>
          <w:szCs w:val="32"/>
        </w:rPr>
        <w:t>填列单位除公务用车运行维护费以外的其他交通费用。如公务交通补贴、租车费用、出租车费用，飞机、船舶等燃料费、维修费、保险费等。</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sz w:val="32"/>
          <w:szCs w:val="32"/>
        </w:rPr>
        <w:t>填列单位公务用车车辆购置支出（含车辆购置税、牌照费）。</w:t>
      </w:r>
    </w:p>
    <w:p w:rsidR="00E34AE7" w:rsidRDefault="00B2012A" w:rsidP="009D692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sz w:val="32"/>
          <w:szCs w:val="32"/>
        </w:rPr>
        <w:t>填列单位除公务用车外的其他各类交通工具（如船舶、飞机等）购置支出（含车辆购置税、牌照费）。</w:t>
      </w:r>
    </w:p>
    <w:p w:rsidR="00E34AE7" w:rsidRDefault="00B2012A" w:rsidP="00E34AE7">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rsidR="00E34AE7" w:rsidSect="00E34AE7">
      <w:footerReference w:type="default" r:id="rId43"/>
      <w:pgSz w:w="11906" w:h="16838"/>
      <w:pgMar w:top="2098" w:right="1417" w:bottom="1871" w:left="1417" w:header="851" w:footer="992" w:gutter="0"/>
      <w:pgNumType w:start="1"/>
      <w:cols w:space="0"/>
      <w:docGrid w:type="lines" w:linePitch="32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125A" w:rsidRDefault="0084125A" w:rsidP="00E34AE7">
      <w:r>
        <w:separator/>
      </w:r>
    </w:p>
  </w:endnote>
  <w:endnote w:type="continuationSeparator" w:id="0">
    <w:p w:rsidR="0084125A" w:rsidRDefault="0084125A" w:rsidP="00E34A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subsetted="1" w:fontKey="{91F1D2D2-3A42-40B6-B1D6-6E600D824D1D}"/>
    <w:embedBold r:id="rId2" w:subsetted="1" w:fontKey="{36147A99-269C-42E1-A0E3-DB219D175684}"/>
  </w:font>
  <w:font w:name="仿宋">
    <w:panose1 w:val="02010609060101010101"/>
    <w:charset w:val="86"/>
    <w:family w:val="modern"/>
    <w:pitch w:val="fixed"/>
    <w:sig w:usb0="800002BF" w:usb1="38CF7CFA" w:usb2="00000016" w:usb3="00000000" w:csb0="00040001" w:csb1="00000000"/>
    <w:embedRegular r:id="rId3" w:subsetted="1" w:fontKey="{65748F06-10CD-4F32-8F79-B0318743B0AA}"/>
  </w:font>
  <w:font w:name="Calibri Light">
    <w:panose1 w:val="020F0302020204030204"/>
    <w:charset w:val="00"/>
    <w:family w:val="swiss"/>
    <w:pitch w:val="variable"/>
    <w:sig w:usb0="A00002EF" w:usb1="4000207B" w:usb2="00000000" w:usb3="00000000" w:csb0="0000019F" w:csb1="00000000"/>
  </w:font>
  <w:font w:name="华文中宋">
    <w:altName w:val="宋体"/>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embedRegular r:id="rId4" w:subsetted="1" w:fontKey="{825C7D1D-89B4-4811-BCE6-292EA7445FBF}"/>
    <w:embedBold r:id="rId5" w:subsetted="1" w:fontKey="{7E32A431-37FC-42E4-996B-A2BC5C9C12B2}"/>
  </w:font>
  <w:font w:name="方正小标宋_GBK">
    <w:altName w:val="微软雅黑"/>
    <w:charset w:val="86"/>
    <w:family w:val="script"/>
    <w:pitch w:val="fixed"/>
    <w:sig w:usb0="00000000" w:usb1="080E0000" w:usb2="00000010" w:usb3="00000000" w:csb0="00040000" w:csb1="00000000"/>
    <w:embedRegular r:id="rId6" w:subsetted="1" w:fontKey="{30F78253-CE95-45F9-8B4A-FD682BA5AF99}"/>
    <w:embedBold r:id="rId7" w:subsetted="1" w:fontKey="{EDFD3166-7DAA-4E67-A8AC-C7E12929C56E}"/>
  </w:font>
  <w:font w:name="黑体">
    <w:altName w:val="SimHei"/>
    <w:panose1 w:val="02010609060101010101"/>
    <w:charset w:val="86"/>
    <w:family w:val="modern"/>
    <w:pitch w:val="fixed"/>
    <w:sig w:usb0="800002BF" w:usb1="38CF7CFA" w:usb2="00000016" w:usb3="00000000" w:csb0="00040001" w:csb1="00000000"/>
    <w:embedRegular r:id="rId8" w:subsetted="1" w:fontKey="{6144CB62-D83E-4537-A994-8C189DDD0E02}"/>
  </w:font>
  <w:font w:name="仿宋_GB2312">
    <w:altName w:val="微软雅黑"/>
    <w:charset w:val="86"/>
    <w:family w:val="modern"/>
    <w:pitch w:val="fixed"/>
    <w:sig w:usb0="00000001" w:usb1="080E0000" w:usb2="00000010" w:usb3="00000000" w:csb0="00040000" w:csb1="00000000"/>
    <w:embedRegular r:id="rId9" w:subsetted="1" w:fontKey="{6DE43DD2-38DF-4987-94E8-7A6E8C8DB285}"/>
    <w:embedBold r:id="rId10" w:subsetted="1" w:fontKey="{CABC3652-4C47-43BC-B610-56329F30AD7C}"/>
  </w:font>
  <w:font w:name="ArialUnicodeMS">
    <w:altName w:val="Malgun Gothic"/>
    <w:charset w:val="81"/>
    <w:family w:val="auto"/>
    <w:pitch w:val="default"/>
    <w:sig w:usb0="00000000" w:usb1="00000000" w:usb2="00000010" w:usb3="00000000" w:csb0="00080001" w:csb1="00000000"/>
  </w:font>
  <w:font w:name="方正仿宋_GB2312">
    <w:altName w:val="仿宋"/>
    <w:charset w:val="86"/>
    <w:family w:val="auto"/>
    <w:pitch w:val="default"/>
    <w:sig w:usb0="00000000" w:usb1="00000000" w:usb2="00000012" w:usb3="00000000" w:csb0="00040001" w:csb1="00000000"/>
    <w:embedRegular r:id="rId11" w:subsetted="1" w:fontKey="{99ACE8EB-99C1-4928-AEA7-7495E2506EE3}"/>
    <w:embedBold r:id="rId12" w:subsetted="1" w:fontKey="{88DDE58A-C295-4FBA-8A09-7CB631F88509}"/>
  </w:font>
  <w:font w:name="Arial">
    <w:panose1 w:val="020B0604020202020204"/>
    <w:charset w:val="00"/>
    <w:family w:val="swiss"/>
    <w:pitch w:val="variable"/>
    <w:sig w:usb0="E0002AFF" w:usb1="C0007843" w:usb2="00000009" w:usb3="00000000" w:csb0="000001FF" w:csb1="00000000"/>
  </w:font>
  <w:font w:name="___WRD_EMBED_SUB_47">
    <w:panose1 w:val="02010609030101010101"/>
    <w:charset w:val="86"/>
    <w:family w:val="modern"/>
    <w:pitch w:val="fixed"/>
    <w:sig w:usb0="00000001" w:usb1="080E0000" w:usb2="00000010" w:usb3="00000000" w:csb0="00040000" w:csb1="00000000"/>
    <w:embedRegular r:id="rId13" w:subsetted="1" w:fontKey="{F8CAEC36-0E5E-4968-B5B8-528C8CCF79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B55" w:rsidRDefault="00D328DE">
    <w:pPr>
      <w:jc w:val="center"/>
    </w:pPr>
    <w:fldSimple w:instr="PAGE">
      <w:r w:rsidR="006B1473">
        <w:rPr>
          <w:noProof/>
        </w:rPr>
        <w:t>1</w:t>
      </w:r>
    </w:fldSimple>
  </w:p>
  <w:p w:rsidR="00A55B55" w:rsidRDefault="00A55B55"/>
  <w:p w:rsidR="00A55B55" w:rsidRDefault="00A55B55">
    <w:pPr>
      <w:pStyle w:val="a5"/>
      <w:jc w:val="center"/>
    </w:pPr>
  </w:p>
  <w:p w:rsidR="00A55B55" w:rsidRDefault="00A55B5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B55" w:rsidRDefault="00D328DE">
    <w:pPr>
      <w:jc w:val="center"/>
    </w:pPr>
    <w:fldSimple w:instr="PAGE">
      <w:r w:rsidR="006B1473">
        <w:rPr>
          <w:noProof/>
        </w:rPr>
        <w:t>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B55" w:rsidRDefault="00D328DE">
    <w:pPr>
      <w:jc w:val="center"/>
    </w:pPr>
    <w:fldSimple w:instr="PAGE">
      <w:r w:rsidR="006B1473">
        <w:rPr>
          <w:noProof/>
        </w:rPr>
        <w:t>6</w:t>
      </w:r>
    </w:fldSimple>
  </w:p>
  <w:p w:rsidR="00A55B55" w:rsidRDefault="00A55B55"/>
  <w:p w:rsidR="00A55B55" w:rsidRDefault="00A55B55">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B55" w:rsidRDefault="00A55B55">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B55" w:rsidRDefault="00D328DE">
    <w:pPr>
      <w:jc w:val="center"/>
    </w:pPr>
    <w:fldSimple w:instr="PAGE">
      <w:r w:rsidR="006B1473">
        <w:rPr>
          <w:noProof/>
        </w:rPr>
        <w:t>26</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B55" w:rsidRDefault="00D328DE">
    <w:pPr>
      <w:jc w:val="center"/>
    </w:pPr>
    <w:fldSimple w:instr="PAGE">
      <w:r w:rsidR="004F4CF2">
        <w:rPr>
          <w:noProof/>
        </w:rPr>
        <w:t>22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125A" w:rsidRDefault="0084125A" w:rsidP="00E34AE7">
      <w:r>
        <w:separator/>
      </w:r>
    </w:p>
  </w:footnote>
  <w:footnote w:type="continuationSeparator" w:id="0">
    <w:p w:rsidR="0084125A" w:rsidRDefault="0084125A" w:rsidP="00E34A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B55" w:rsidRDefault="00A55B55">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B55" w:rsidRDefault="00A55B55">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B55" w:rsidRDefault="00A55B55">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16A424"/>
    <w:multiLevelType w:val="multilevel"/>
    <w:tmpl w:val="5F16A424"/>
    <w:lvl w:ilvl="0">
      <w:start w:val="1"/>
      <w:numFmt w:val="decimal"/>
      <w:pStyle w:val="1"/>
      <w:lvlText w:val="%1."/>
      <w:lvlJc w:val="left"/>
      <w:pPr>
        <w:ind w:left="425" w:hanging="425"/>
      </w:pPr>
      <w:rPr>
        <w:rFonts w:hint="default"/>
      </w:rPr>
    </w:lvl>
    <w:lvl w:ilvl="1">
      <w:start w:val="1"/>
      <w:numFmt w:val="decimal"/>
      <w:pStyle w:val="2"/>
      <w:lvlText w:val="%1.%2."/>
      <w:lvlJc w:val="left"/>
      <w:pPr>
        <w:ind w:left="567" w:hanging="567"/>
      </w:pPr>
      <w:rPr>
        <w:rFonts w:hint="default"/>
      </w:rPr>
    </w:lvl>
    <w:lvl w:ilvl="2">
      <w:start w:val="1"/>
      <w:numFmt w:val="decimal"/>
      <w:pStyle w:val="3"/>
      <w:lvlText w:val="%1.%2.%3."/>
      <w:lvlJc w:val="left"/>
      <w:pPr>
        <w:ind w:left="709" w:hanging="709"/>
      </w:pPr>
      <w:rPr>
        <w:rFonts w:hint="default"/>
      </w:rPr>
    </w:lvl>
    <w:lvl w:ilvl="3">
      <w:start w:val="1"/>
      <w:numFmt w:val="decimal"/>
      <w:pStyle w:val="4"/>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isplayBackgroundShape/>
  <w:embedTrueTypeFonts/>
  <w:saveSubsetFonts/>
  <w:bordersDoNotSurroundHeader/>
  <w:bordersDoNotSurroundFooter/>
  <w:defaultTabStop w:val="420"/>
  <w:drawingGridVerticalSpacing w:val="165"/>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jb3VudCI6NjksImhkaWQiOiJiMzk2N2EzZjUyYWViODRjZjJhMDZjM2YyYjk4MTExMiIsInVzZXJDb3VudCI6MX0="/>
  </w:docVars>
  <w:rsids>
    <w:rsidRoot w:val="00E34AE7"/>
    <w:rsid w:val="0003633A"/>
    <w:rsid w:val="00077816"/>
    <w:rsid w:val="00086151"/>
    <w:rsid w:val="000C6912"/>
    <w:rsid w:val="000D7353"/>
    <w:rsid w:val="00164BD3"/>
    <w:rsid w:val="001C2385"/>
    <w:rsid w:val="00202E78"/>
    <w:rsid w:val="00230213"/>
    <w:rsid w:val="00236F8C"/>
    <w:rsid w:val="00250680"/>
    <w:rsid w:val="00251CE3"/>
    <w:rsid w:val="002631E6"/>
    <w:rsid w:val="002677FB"/>
    <w:rsid w:val="002E17D8"/>
    <w:rsid w:val="00304905"/>
    <w:rsid w:val="003249E9"/>
    <w:rsid w:val="0035472A"/>
    <w:rsid w:val="0048245C"/>
    <w:rsid w:val="004A5AEC"/>
    <w:rsid w:val="004F4CF2"/>
    <w:rsid w:val="005045B6"/>
    <w:rsid w:val="005179CE"/>
    <w:rsid w:val="00550F5E"/>
    <w:rsid w:val="00565422"/>
    <w:rsid w:val="00571A02"/>
    <w:rsid w:val="00591A4B"/>
    <w:rsid w:val="00596AC9"/>
    <w:rsid w:val="005B0F23"/>
    <w:rsid w:val="005D32F7"/>
    <w:rsid w:val="00601CC0"/>
    <w:rsid w:val="00626B84"/>
    <w:rsid w:val="006866F9"/>
    <w:rsid w:val="006969D1"/>
    <w:rsid w:val="006B1473"/>
    <w:rsid w:val="00714DE6"/>
    <w:rsid w:val="00804805"/>
    <w:rsid w:val="00822154"/>
    <w:rsid w:val="0084125A"/>
    <w:rsid w:val="008A31E0"/>
    <w:rsid w:val="00930114"/>
    <w:rsid w:val="00986944"/>
    <w:rsid w:val="009D692D"/>
    <w:rsid w:val="00A5533E"/>
    <w:rsid w:val="00A55B55"/>
    <w:rsid w:val="00AD2032"/>
    <w:rsid w:val="00AE4A57"/>
    <w:rsid w:val="00B2012A"/>
    <w:rsid w:val="00BA22E6"/>
    <w:rsid w:val="00C20841"/>
    <w:rsid w:val="00C65689"/>
    <w:rsid w:val="00C70D5A"/>
    <w:rsid w:val="00C75311"/>
    <w:rsid w:val="00C8206C"/>
    <w:rsid w:val="00CC2C8E"/>
    <w:rsid w:val="00D328DE"/>
    <w:rsid w:val="00D34798"/>
    <w:rsid w:val="00D91B92"/>
    <w:rsid w:val="00D92766"/>
    <w:rsid w:val="00DE0BCF"/>
    <w:rsid w:val="00E15876"/>
    <w:rsid w:val="00E267F4"/>
    <w:rsid w:val="00E32282"/>
    <w:rsid w:val="00E34AE7"/>
    <w:rsid w:val="00E42555"/>
    <w:rsid w:val="00E7352E"/>
    <w:rsid w:val="00F00B26"/>
    <w:rsid w:val="00FE1E07"/>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qFormat="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AE7"/>
    <w:pPr>
      <w:widowControl w:val="0"/>
      <w:jc w:val="both"/>
    </w:pPr>
    <w:rPr>
      <w:rFonts w:asciiTheme="minorHAnsi" w:eastAsiaTheme="minorEastAsia" w:hAnsiTheme="minorHAnsi" w:cs="宋体"/>
      <w:sz w:val="24"/>
      <w:szCs w:val="24"/>
    </w:rPr>
  </w:style>
  <w:style w:type="paragraph" w:styleId="1">
    <w:name w:val="heading 1"/>
    <w:basedOn w:val="a"/>
    <w:next w:val="a"/>
    <w:qFormat/>
    <w:rsid w:val="00E34AE7"/>
    <w:pPr>
      <w:keepNext/>
      <w:keepLines/>
      <w:numPr>
        <w:numId w:val="1"/>
      </w:numPr>
      <w:adjustRightInd w:val="0"/>
      <w:snapToGrid w:val="0"/>
      <w:spacing w:before="340" w:afterLines="50" w:line="578" w:lineRule="auto"/>
      <w:jc w:val="left"/>
      <w:outlineLvl w:val="0"/>
    </w:pPr>
    <w:rPr>
      <w:rFonts w:ascii="Times New Roman" w:eastAsia="仿宋" w:hAnsi="Times New Roman" w:cs="Times New Roman"/>
      <w:b/>
      <w:bCs/>
      <w:kern w:val="44"/>
      <w:sz w:val="36"/>
      <w:szCs w:val="44"/>
    </w:rPr>
  </w:style>
  <w:style w:type="paragraph" w:styleId="2">
    <w:name w:val="heading 2"/>
    <w:basedOn w:val="a"/>
    <w:next w:val="a"/>
    <w:link w:val="2Char"/>
    <w:uiPriority w:val="9"/>
    <w:semiHidden/>
    <w:unhideWhenUsed/>
    <w:qFormat/>
    <w:rsid w:val="00E34AE7"/>
    <w:pPr>
      <w:numPr>
        <w:ilvl w:val="1"/>
        <w:numId w:val="1"/>
      </w:numPr>
      <w:spacing w:line="416" w:lineRule="auto"/>
      <w:outlineLvl w:val="1"/>
    </w:pPr>
    <w:rPr>
      <w:rFonts w:ascii="Calibri Light" w:eastAsia="宋体" w:hAnsi="Calibri Light" w:cs="Times New Roman"/>
      <w:b/>
      <w:bCs/>
      <w:sz w:val="28"/>
      <w:szCs w:val="32"/>
    </w:rPr>
  </w:style>
  <w:style w:type="paragraph" w:styleId="3">
    <w:name w:val="heading 3"/>
    <w:basedOn w:val="a"/>
    <w:next w:val="a"/>
    <w:uiPriority w:val="9"/>
    <w:semiHidden/>
    <w:unhideWhenUsed/>
    <w:qFormat/>
    <w:rsid w:val="00E34AE7"/>
    <w:pPr>
      <w:keepNext/>
      <w:keepLines/>
      <w:numPr>
        <w:ilvl w:val="2"/>
        <w:numId w:val="1"/>
      </w:numPr>
      <w:spacing w:beforeLines="50" w:afterLines="50" w:line="416" w:lineRule="auto"/>
      <w:outlineLvl w:val="2"/>
    </w:pPr>
    <w:rPr>
      <w:rFonts w:ascii="宋体" w:eastAsia="宋体" w:hAnsi="宋体"/>
      <w:b/>
      <w:bCs/>
      <w:sz w:val="32"/>
    </w:rPr>
  </w:style>
  <w:style w:type="paragraph" w:styleId="4">
    <w:name w:val="heading 4"/>
    <w:basedOn w:val="a"/>
    <w:next w:val="a"/>
    <w:uiPriority w:val="9"/>
    <w:semiHidden/>
    <w:unhideWhenUsed/>
    <w:qFormat/>
    <w:rsid w:val="00E34AE7"/>
    <w:pPr>
      <w:keepNext/>
      <w:keepLines/>
      <w:numPr>
        <w:ilvl w:val="3"/>
        <w:numId w:val="1"/>
      </w:numPr>
      <w:spacing w:before="120" w:after="120"/>
      <w:outlineLvl w:val="3"/>
    </w:pPr>
    <w:rPr>
      <w:rFonts w:ascii="Calibri Light" w:eastAsia="宋体" w:hAnsi="Calibri Light"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rsid w:val="00E34AE7"/>
    <w:pPr>
      <w:jc w:val="left"/>
    </w:pPr>
  </w:style>
  <w:style w:type="paragraph" w:styleId="a4">
    <w:name w:val="Balloon Text"/>
    <w:basedOn w:val="a"/>
    <w:link w:val="Char"/>
    <w:uiPriority w:val="99"/>
    <w:unhideWhenUsed/>
    <w:qFormat/>
    <w:rsid w:val="00E34AE7"/>
    <w:rPr>
      <w:rFonts w:cstheme="minorBidi"/>
      <w:kern w:val="2"/>
      <w:sz w:val="18"/>
      <w:szCs w:val="18"/>
    </w:rPr>
  </w:style>
  <w:style w:type="paragraph" w:styleId="a5">
    <w:name w:val="footer"/>
    <w:basedOn w:val="a"/>
    <w:link w:val="Char0"/>
    <w:uiPriority w:val="99"/>
    <w:qFormat/>
    <w:rsid w:val="00E34AE7"/>
    <w:pPr>
      <w:tabs>
        <w:tab w:val="center" w:pos="4153"/>
        <w:tab w:val="right" w:pos="8306"/>
      </w:tabs>
      <w:snapToGrid w:val="0"/>
      <w:jc w:val="left"/>
    </w:pPr>
    <w:rPr>
      <w:rFonts w:cstheme="minorBidi"/>
      <w:kern w:val="2"/>
      <w:sz w:val="18"/>
      <w:szCs w:val="18"/>
    </w:rPr>
  </w:style>
  <w:style w:type="paragraph" w:styleId="a6">
    <w:name w:val="header"/>
    <w:basedOn w:val="a"/>
    <w:link w:val="Char1"/>
    <w:qFormat/>
    <w:rsid w:val="00E34AE7"/>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rFonts w:cstheme="minorBidi"/>
      <w:kern w:val="2"/>
      <w:sz w:val="18"/>
      <w:szCs w:val="18"/>
    </w:rPr>
  </w:style>
  <w:style w:type="paragraph" w:styleId="a7">
    <w:name w:val="Normal (Web)"/>
    <w:basedOn w:val="a"/>
    <w:uiPriority w:val="99"/>
    <w:unhideWhenUsed/>
    <w:qFormat/>
    <w:rsid w:val="00E34AE7"/>
    <w:pPr>
      <w:spacing w:beforeAutospacing="1" w:afterAutospacing="1"/>
      <w:jc w:val="left"/>
    </w:pPr>
    <w:rPr>
      <w:rFonts w:cs="Times New Roman"/>
    </w:rPr>
  </w:style>
  <w:style w:type="table" w:styleId="a8">
    <w:name w:val="Table Grid"/>
    <w:qFormat/>
    <w:rsid w:val="00E34AE7"/>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Strong"/>
    <w:basedOn w:val="a0"/>
    <w:uiPriority w:val="22"/>
    <w:qFormat/>
    <w:rsid w:val="00E34AE7"/>
    <w:rPr>
      <w:b/>
    </w:rPr>
  </w:style>
  <w:style w:type="character" w:customStyle="1" w:styleId="2Char">
    <w:name w:val="标题 2 Char"/>
    <w:link w:val="2"/>
    <w:qFormat/>
    <w:rsid w:val="00E34AE7"/>
    <w:rPr>
      <w:rFonts w:ascii="Calibri Light" w:eastAsia="宋体" w:hAnsi="Calibri Light" w:cs="Times New Roman"/>
      <w:b/>
      <w:bCs/>
      <w:sz w:val="28"/>
      <w:szCs w:val="32"/>
    </w:rPr>
  </w:style>
  <w:style w:type="character" w:customStyle="1" w:styleId="Char0">
    <w:name w:val="页脚 Char"/>
    <w:basedOn w:val="a0"/>
    <w:link w:val="a5"/>
    <w:uiPriority w:val="99"/>
    <w:qFormat/>
    <w:rsid w:val="00E34AE7"/>
    <w:rPr>
      <w:rFonts w:asciiTheme="minorHAnsi" w:eastAsiaTheme="minorEastAsia" w:hAnsiTheme="minorHAnsi" w:cstheme="minorBidi"/>
      <w:sz w:val="18"/>
      <w:szCs w:val="18"/>
      <w:lang w:val="en-US" w:eastAsia="zh-CN" w:bidi="ar-SA"/>
    </w:rPr>
  </w:style>
  <w:style w:type="character" w:customStyle="1" w:styleId="Char1">
    <w:name w:val="页眉 Char"/>
    <w:basedOn w:val="a0"/>
    <w:link w:val="a6"/>
    <w:qFormat/>
    <w:rsid w:val="00E34AE7"/>
    <w:rPr>
      <w:rFonts w:asciiTheme="minorHAnsi" w:eastAsiaTheme="minorEastAsia" w:hAnsiTheme="minorHAnsi" w:cstheme="minorBidi"/>
      <w:sz w:val="18"/>
      <w:szCs w:val="18"/>
      <w:lang w:val="en-US" w:eastAsia="zh-CN" w:bidi="ar-SA"/>
    </w:rPr>
  </w:style>
  <w:style w:type="character" w:customStyle="1" w:styleId="font11">
    <w:name w:val="font11"/>
    <w:basedOn w:val="a0"/>
    <w:qFormat/>
    <w:rsid w:val="00E34AE7"/>
    <w:rPr>
      <w:rFonts w:ascii="宋体" w:eastAsia="宋体" w:hAnsi="宋体" w:cs="宋体" w:hint="eastAsia"/>
      <w:color w:val="000000"/>
      <w:sz w:val="20"/>
      <w:szCs w:val="20"/>
      <w:u w:val="none"/>
      <w:lang w:val="en-US" w:eastAsia="zh-CN" w:bidi="ar-SA"/>
    </w:rPr>
  </w:style>
  <w:style w:type="character" w:customStyle="1" w:styleId="font01">
    <w:name w:val="font01"/>
    <w:basedOn w:val="a0"/>
    <w:qFormat/>
    <w:rsid w:val="00E34AE7"/>
    <w:rPr>
      <w:rFonts w:ascii="宋体" w:eastAsia="宋体" w:hAnsi="宋体" w:cs="宋体" w:hint="eastAsia"/>
      <w:color w:val="000000"/>
      <w:sz w:val="22"/>
      <w:szCs w:val="22"/>
      <w:u w:val="none"/>
      <w:lang w:val="en-US" w:eastAsia="zh-CN" w:bidi="ar-SA"/>
    </w:rPr>
  </w:style>
  <w:style w:type="character" w:customStyle="1" w:styleId="font41">
    <w:name w:val="font41"/>
    <w:basedOn w:val="a0"/>
    <w:qFormat/>
    <w:rsid w:val="00E34AE7"/>
    <w:rPr>
      <w:rFonts w:ascii="宋体" w:eastAsia="宋体" w:hAnsi="宋体" w:cs="宋体" w:hint="eastAsia"/>
      <w:color w:val="000000"/>
      <w:sz w:val="24"/>
      <w:szCs w:val="24"/>
      <w:u w:val="none"/>
      <w:lang w:val="en-US" w:eastAsia="zh-CN" w:bidi="ar-SA"/>
    </w:rPr>
  </w:style>
  <w:style w:type="character" w:customStyle="1" w:styleId="font31">
    <w:name w:val="font31"/>
    <w:basedOn w:val="a0"/>
    <w:qFormat/>
    <w:rsid w:val="00E34AE7"/>
    <w:rPr>
      <w:rFonts w:ascii="华文中宋" w:eastAsia="华文中宋" w:hAnsi="华文中宋" w:cs="华文中宋" w:hint="eastAsia"/>
      <w:color w:val="000000"/>
      <w:sz w:val="32"/>
      <w:szCs w:val="32"/>
      <w:u w:val="none"/>
      <w:lang w:val="en-US" w:eastAsia="zh-CN" w:bidi="ar-SA"/>
    </w:rPr>
  </w:style>
  <w:style w:type="character" w:customStyle="1" w:styleId="font91">
    <w:name w:val="font91"/>
    <w:basedOn w:val="a0"/>
    <w:qFormat/>
    <w:rsid w:val="00E34AE7"/>
    <w:rPr>
      <w:rFonts w:ascii="华文中宋" w:eastAsia="华文中宋" w:hAnsi="华文中宋" w:cs="华文中宋" w:hint="eastAsia"/>
      <w:color w:val="000000"/>
      <w:sz w:val="32"/>
      <w:szCs w:val="32"/>
      <w:u w:val="none"/>
      <w:lang w:val="en-US" w:eastAsia="zh-CN" w:bidi="ar-SA"/>
    </w:rPr>
  </w:style>
  <w:style w:type="character" w:customStyle="1" w:styleId="font51">
    <w:name w:val="font51"/>
    <w:basedOn w:val="a0"/>
    <w:qFormat/>
    <w:rsid w:val="00E34AE7"/>
    <w:rPr>
      <w:rFonts w:ascii="宋体" w:eastAsia="宋体" w:hAnsi="宋体" w:cs="宋体" w:hint="eastAsia"/>
      <w:color w:val="000000"/>
      <w:sz w:val="24"/>
      <w:szCs w:val="24"/>
      <w:u w:val="none"/>
      <w:lang w:val="en-US" w:eastAsia="zh-CN" w:bidi="ar-SA"/>
    </w:rPr>
  </w:style>
  <w:style w:type="character" w:customStyle="1" w:styleId="Char">
    <w:name w:val="批注框文本 Char"/>
    <w:basedOn w:val="a0"/>
    <w:link w:val="a4"/>
    <w:uiPriority w:val="99"/>
    <w:semiHidden/>
    <w:qFormat/>
    <w:rsid w:val="00E34AE7"/>
    <w:rPr>
      <w:rFonts w:asciiTheme="minorHAnsi" w:eastAsiaTheme="minorEastAsia" w:hAnsiTheme="minorHAnsi" w:cstheme="minorBidi"/>
      <w:sz w:val="18"/>
      <w:szCs w:val="18"/>
      <w:lang w:val="en-US" w:eastAsia="zh-CN" w:bidi="ar-SA"/>
    </w:rPr>
  </w:style>
  <w:style w:type="paragraph" w:styleId="aa">
    <w:name w:val="Body Text"/>
    <w:basedOn w:val="a"/>
    <w:link w:val="Char2"/>
    <w:uiPriority w:val="1"/>
    <w:qFormat/>
    <w:rsid w:val="00D34798"/>
    <w:pPr>
      <w:autoSpaceDE w:val="0"/>
      <w:autoSpaceDN w:val="0"/>
      <w:jc w:val="left"/>
    </w:pPr>
    <w:rPr>
      <w:rFonts w:ascii="宋体" w:eastAsia="宋体" w:hAnsi="宋体"/>
      <w:sz w:val="32"/>
      <w:szCs w:val="32"/>
    </w:rPr>
  </w:style>
  <w:style w:type="character" w:customStyle="1" w:styleId="Char2">
    <w:name w:val="正文文本 Char"/>
    <w:basedOn w:val="a0"/>
    <w:link w:val="aa"/>
    <w:uiPriority w:val="1"/>
    <w:rsid w:val="00D34798"/>
    <w:rPr>
      <w:rFonts w:ascii="宋体" w:hAnsi="宋体" w:cs="宋体"/>
      <w:sz w:val="32"/>
      <w:szCs w:val="32"/>
    </w:rPr>
  </w:style>
</w:styles>
</file>

<file path=word/webSettings.xml><?xml version="1.0" encoding="utf-8"?>
<w:webSettings xmlns:r="http://schemas.openxmlformats.org/officeDocument/2006/relationships" xmlns:w="http://schemas.openxmlformats.org/wordprocessingml/2006/main">
  <w:divs>
    <w:div w:id="86924487">
      <w:bodyDiv w:val="1"/>
      <w:marLeft w:val="0"/>
      <w:marRight w:val="0"/>
      <w:marTop w:val="0"/>
      <w:marBottom w:val="0"/>
      <w:divBdr>
        <w:top w:val="none" w:sz="0" w:space="0" w:color="auto"/>
        <w:left w:val="none" w:sz="0" w:space="0" w:color="auto"/>
        <w:bottom w:val="none" w:sz="0" w:space="0" w:color="auto"/>
        <w:right w:val="none" w:sz="0" w:space="0" w:color="auto"/>
      </w:divBdr>
    </w:div>
    <w:div w:id="166480434">
      <w:bodyDiv w:val="1"/>
      <w:marLeft w:val="0"/>
      <w:marRight w:val="0"/>
      <w:marTop w:val="0"/>
      <w:marBottom w:val="0"/>
      <w:divBdr>
        <w:top w:val="none" w:sz="0" w:space="0" w:color="auto"/>
        <w:left w:val="none" w:sz="0" w:space="0" w:color="auto"/>
        <w:bottom w:val="none" w:sz="0" w:space="0" w:color="auto"/>
        <w:right w:val="none" w:sz="0" w:space="0" w:color="auto"/>
      </w:divBdr>
    </w:div>
    <w:div w:id="1015570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chart" Target="charts/chart2.xml"/><Relationship Id="rId26" Type="http://schemas.openxmlformats.org/officeDocument/2006/relationships/oleObject" Target="embeddings/oleObject2.bin"/><Relationship Id="rId39"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oleObject" Target="embeddings/oleObject6.bin"/><Relationship Id="rId42"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chart" Target="charts/chart4.xml"/><Relationship Id="rId29" Type="http://schemas.openxmlformats.org/officeDocument/2006/relationships/image" Target="media/image5.emf"/><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9.emf"/><Relationship Id="rId40" Type="http://schemas.openxmlformats.org/officeDocument/2006/relationships/oleObject" Target="embeddings/oleObject9.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2.emf"/><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footer" Target="footer2.xml"/><Relationship Id="rId19" Type="http://schemas.openxmlformats.org/officeDocument/2006/relationships/chart" Target="charts/chart3.xml"/><Relationship Id="rId31" Type="http://schemas.openxmlformats.org/officeDocument/2006/relationships/image" Target="media/image6.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hart" Target="charts/chart6.xml"/><Relationship Id="rId27" Type="http://schemas.openxmlformats.org/officeDocument/2006/relationships/image" Target="media/image4.emf"/><Relationship Id="rId30" Type="http://schemas.openxmlformats.org/officeDocument/2006/relationships/oleObject" Target="embeddings/oleObject4.bin"/><Relationship Id="rId35" Type="http://schemas.openxmlformats.org/officeDocument/2006/relationships/image" Target="media/image8.emf"/><Relationship Id="rId43"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4111111111111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61212121212121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13131313131313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514141414141414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2151515151515151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1161616161616161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p>
        </c:rich>
      </c:tx>
      <c:spPr>
        <a:noFill/>
        <a:ln>
          <a:noFill/>
        </a:ln>
        <a:effectLst/>
      </c:spPr>
    </c:title>
    <c:plotArea>
      <c:layout/>
      <c:barChart>
        <c:barDir val="col"/>
        <c:grouping val="clustered"/>
        <c:ser>
          <c:idx val="0"/>
          <c:order val="0"/>
          <c:tx>
            <c:strRef>
              <c:f>Sheet1!$B$1</c:f>
              <c:strCache>
                <c:ptCount val="1"/>
                <c:pt idx="0">
                  <c:v>收支总计</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24741.9</c:v>
                </c:pt>
                <c:pt idx="1">
                  <c:v>14811.79</c:v>
                </c:pt>
              </c:numCache>
            </c:numRef>
          </c:val>
        </c:ser>
        <c:dLbls>
          <c:showVal val="1"/>
        </c:dLbls>
        <c:gapWidth val="246"/>
        <c:overlap val="-28"/>
        <c:axId val="150587648"/>
        <c:axId val="52781056"/>
      </c:barChart>
      <c:catAx>
        <c:axId val="150587648"/>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2781056"/>
        <c:crosses val="autoZero"/>
        <c:auto val="1"/>
        <c:lblAlgn val="ctr"/>
        <c:lblOffset val="100"/>
      </c:catAx>
      <c:valAx>
        <c:axId val="52781056"/>
        <c:scaling>
          <c:orientation val="minMax"/>
        </c:scaling>
        <c:axPos val="l"/>
        <c:majorGridlines>
          <c:spPr>
            <a:ln w="9525" cap="flat" cmpd="sng" algn="ctr">
              <a:solidFill>
                <a:schemeClr val="lt1">
                  <a:lumMod val="90200"/>
                </a:schemeClr>
              </a:solidFill>
              <a:round/>
            </a:ln>
            <a:effectLst/>
          </c:spPr>
        </c:majorGridlines>
        <c:numFmt formatCode="General"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0587648"/>
        <c:crosses val="autoZero"/>
        <c:crossBetween val="between"/>
      </c:valAx>
      <c:spPr>
        <a:noFill/>
        <a:ln>
          <a:noFill/>
        </a:ln>
        <a:effectLst/>
      </c:spPr>
    </c:plotArea>
    <c:plotVisOnly val="1"/>
    <c:dispBlanksAs val="gap"/>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p>
        </c:rich>
      </c:tx>
      <c:spPr>
        <a:noFill/>
        <a:ln>
          <a:noFill/>
        </a:ln>
        <a:effectLst/>
      </c:spPr>
    </c:title>
    <c:plotArea>
      <c:layout/>
      <c:pieChart>
        <c:varyColors val="1"/>
        <c:ser>
          <c:idx val="0"/>
          <c:order val="0"/>
          <c:tx>
            <c:strRef>
              <c:f>Sheet1!$B$1</c:f>
              <c:strCache>
                <c:ptCount val="1"/>
                <c:pt idx="0">
                  <c:v>金额</c:v>
                </c:pt>
              </c:strCache>
            </c:strRef>
          </c:tx>
          <c:dPt>
            <c:idx val="0"/>
            <c:spPr>
              <a:solidFill>
                <a:schemeClr val="accent1"/>
              </a:solidFill>
              <a:ln>
                <a:solidFill>
                  <a:schemeClr val="bg1"/>
                </a:solidFill>
              </a:ln>
              <a:effectLst/>
            </c:spPr>
          </c:dPt>
          <c:dPt>
            <c:idx val="1"/>
            <c:spPr>
              <a:solidFill>
                <a:schemeClr val="accent2"/>
              </a:solidFill>
              <a:ln>
                <a:solidFill>
                  <a:schemeClr val="bg1"/>
                </a:solidFill>
              </a:ln>
              <a:effectLst/>
            </c:spPr>
          </c:dPt>
          <c:dPt>
            <c:idx val="2"/>
            <c:spPr>
              <a:solidFill>
                <a:schemeClr val="accent3"/>
              </a:solidFill>
              <a:ln>
                <a:solidFill>
                  <a:schemeClr val="bg1"/>
                </a:solidFill>
              </a:ln>
              <a:effectLst/>
            </c:spPr>
          </c:dPt>
          <c:dPt>
            <c:idx val="3"/>
            <c:spPr>
              <a:solidFill>
                <a:schemeClr val="accent4"/>
              </a:solidFill>
              <a:ln>
                <a:solidFill>
                  <a:schemeClr val="bg1"/>
                </a:solidFill>
              </a:ln>
              <a:effectLst/>
            </c:spPr>
          </c:dPt>
          <c:dPt>
            <c:idx val="4"/>
            <c:spPr>
              <a:solidFill>
                <a:schemeClr val="accent5"/>
              </a:solidFill>
              <a:ln>
                <a:solidFill>
                  <a:schemeClr val="bg1"/>
                </a:solidFill>
              </a:ln>
              <a:effectLst/>
            </c:spPr>
          </c:dPt>
          <c:dPt>
            <c:idx val="5"/>
            <c:spPr>
              <a:solidFill>
                <a:schemeClr val="accent6"/>
              </a:solidFill>
              <a:ln>
                <a:solidFill>
                  <a:schemeClr val="bg1"/>
                </a:solidFill>
              </a:ln>
              <a:effectLst/>
            </c:spPr>
          </c:dPt>
          <c:dLbls>
            <c:dLbl>
              <c:idx val="0"/>
              <c:layout>
                <c:manualLayout>
                  <c:x val="0.32012553940302402"/>
                  <c:y val="0.72690713982147803"/>
                </c:manualLayout>
              </c:layout>
              <c:dLblPos val="bestFit"/>
              <c:showLegendKey val="1"/>
              <c:showCatName val="1"/>
              <c:showPercent val="1"/>
              <c:separator> </c:separator>
              <c:extLst>
                <c:ext xmlns:c15="http://schemas.microsoft.com/office/drawing/2012/chart" uri="{CE6537A1-D6FC-4f65-9D91-7224C49458BB}">
                  <c15:layout/>
                </c:ext>
              </c:extLst>
            </c:dLbl>
            <c:dLbl>
              <c:idx val="1"/>
              <c:layout>
                <c:manualLayout>
                  <c:x val="-0.30804551640755801"/>
                  <c:y val="0.63914683382913073"/>
                </c:manualLayout>
              </c:layout>
              <c:dLblPos val="bestFit"/>
              <c:showLegendKey val="1"/>
              <c:showCatName val="1"/>
              <c:showPercent val="1"/>
              <c:separator> </c:separator>
              <c:extLst>
                <c:ext xmlns:c15="http://schemas.microsoft.com/office/drawing/2012/chart" uri="{CE6537A1-D6FC-4f65-9D91-7224C49458BB}">
                  <c15:layout/>
                </c:ext>
              </c:extLst>
            </c:dLbl>
            <c:dLbl>
              <c:idx val="2"/>
              <c:layout>
                <c:manualLayout>
                  <c:x val="0.40541183654007401"/>
                  <c:y val="0.17185507862305344"/>
                </c:manualLayout>
              </c:layout>
              <c:dLblPos val="bestFit"/>
              <c:showLegendKey val="1"/>
              <c:showCatName val="1"/>
              <c:showPercent val="1"/>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32"/>
                  <c:y val="0.27025074373138075"/>
                </c:manualLayout>
              </c:layout>
              <c:dLblPos val="bestFit"/>
              <c:showLegendKey val="1"/>
              <c:showCatName val="1"/>
              <c:showPercent val="1"/>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7"/>
                  <c:y val="0.44916064598387001"/>
                </c:manualLayout>
              </c:layout>
              <c:dLblPos val="bestFit"/>
              <c:showLegendKey val="1"/>
              <c:showCatName val="1"/>
              <c:showPercent val="1"/>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513"/>
                  <c:y val="0.12416595835101545"/>
                </c:manualLayout>
              </c:layout>
              <c:dLblPos val="bestFit"/>
              <c:showLegendKey val="1"/>
              <c:showCatName val="1"/>
              <c:showPercent val="1"/>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ctr"/>
            <c:showLegendKey val="1"/>
            <c:showCatName val="1"/>
            <c:showPercent val="1"/>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117097784.04000002</c:v>
                </c:pt>
                <c:pt idx="1">
                  <c:v>0</c:v>
                </c:pt>
                <c:pt idx="2">
                  <c:v>0</c:v>
                </c:pt>
                <c:pt idx="3">
                  <c:v>0</c:v>
                </c:pt>
                <c:pt idx="4">
                  <c:v>0</c:v>
                </c:pt>
                <c:pt idx="5">
                  <c:v>0</c:v>
                </c:pt>
              </c:numCache>
            </c:numRef>
          </c:val>
        </c:ser>
        <c:dLbls>
          <c:showVal val="1"/>
        </c:dLbls>
        <c:firstSliceAng val="0"/>
      </c:pieChart>
      <c:spPr>
        <a:noFill/>
        <a:ln>
          <a:noFill/>
        </a:ln>
        <a:effectLst/>
      </c:spPr>
    </c:plotArea>
    <c:legend>
      <c:legendPos val="r"/>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p>
        </c:rich>
      </c:tx>
      <c:spPr>
        <a:noFill/>
        <a:ln>
          <a:noFill/>
        </a:ln>
        <a:effectLst/>
      </c:spPr>
    </c:title>
    <c:plotArea>
      <c:layout/>
      <c:pieChart>
        <c:varyColors val="1"/>
        <c:ser>
          <c:idx val="0"/>
          <c:order val="0"/>
          <c:tx>
            <c:strRef>
              <c:f>Sheet1!$B$1</c:f>
              <c:strCache>
                <c:ptCount val="1"/>
                <c:pt idx="0">
                  <c:v>金额</c:v>
                </c:pt>
              </c:strCache>
            </c:strRef>
          </c:tx>
          <c:dPt>
            <c:idx val="0"/>
            <c:spPr>
              <a:solidFill>
                <a:schemeClr val="accent1"/>
              </a:solidFill>
              <a:ln>
                <a:solidFill>
                  <a:schemeClr val="bg1"/>
                </a:solidFill>
              </a:ln>
              <a:effectLst/>
            </c:spPr>
          </c:dPt>
          <c:dPt>
            <c:idx val="1"/>
            <c:spPr>
              <a:solidFill>
                <a:schemeClr val="accent2"/>
              </a:solidFill>
              <a:ln>
                <a:solidFill>
                  <a:schemeClr val="bg1"/>
                </a:solidFill>
              </a:ln>
              <a:effectLst/>
            </c:spPr>
          </c:dPt>
          <c:dPt>
            <c:idx val="2"/>
            <c:spPr>
              <a:solidFill>
                <a:schemeClr val="accent3"/>
              </a:solidFill>
              <a:ln>
                <a:solidFill>
                  <a:schemeClr val="bg1"/>
                </a:solidFill>
              </a:ln>
              <a:effectLst/>
            </c:spPr>
          </c:dPt>
          <c:dPt>
            <c:idx val="3"/>
            <c:spPr>
              <a:solidFill>
                <a:schemeClr val="accent4"/>
              </a:solidFill>
              <a:ln>
                <a:solidFill>
                  <a:schemeClr val="bg1"/>
                </a:solidFill>
              </a:ln>
              <a:effectLst/>
            </c:spPr>
          </c:dPt>
          <c:dPt>
            <c:idx val="4"/>
            <c:spPr>
              <a:solidFill>
                <a:schemeClr val="accent5"/>
              </a:solidFill>
              <a:ln>
                <a:solidFill>
                  <a:schemeClr val="bg1"/>
                </a:solidFill>
              </a:ln>
              <a:effectLst/>
            </c:spPr>
          </c:dPt>
          <c:dLbls>
            <c:dLbl>
              <c:idx val="0"/>
              <c:layout>
                <c:manualLayout>
                  <c:x val="0.34621889345252532"/>
                  <c:y val="0.71546961325966962"/>
                </c:manualLayout>
              </c:layout>
              <c:dLblPos val="bestFit"/>
              <c:showLegendKey val="1"/>
              <c:showCatName val="1"/>
              <c:showPercent val="1"/>
              <c:separator>
</c:separator>
              <c:extLst>
                <c:ext xmlns:c15="http://schemas.microsoft.com/office/drawing/2012/chart" uri="{CE6537A1-D6FC-4f65-9D91-7224C49458BB}">
                  <c15:layout/>
                </c:ext>
              </c:extLst>
            </c:dLbl>
            <c:dLbl>
              <c:idx val="1"/>
              <c:layout>
                <c:manualLayout>
                  <c:x val="0.35709591688813674"/>
                  <c:y val="9.7938376540627245E-2"/>
                </c:manualLayout>
              </c:layout>
              <c:dLblPos val="bestFit"/>
              <c:showLegendKey val="1"/>
              <c:showCatName val="1"/>
              <c:showPercent val="1"/>
              <c:separator>
</c:separator>
              <c:extLst>
                <c:ext xmlns:c15="http://schemas.microsoft.com/office/drawing/2012/chart" uri="{CE6537A1-D6FC-4f65-9D91-7224C49458BB}">
                  <c15:layout/>
                </c:ext>
              </c:extLst>
            </c:dLbl>
            <c:dLbl>
              <c:idx val="2"/>
              <c:layout>
                <c:manualLayout>
                  <c:x val="-0.29270355158250799"/>
                  <c:y val="0.26689332766680801"/>
                </c:manualLayout>
              </c:layout>
              <c:dLblPos val="bestFit"/>
              <c:showLegendKey val="1"/>
              <c:showCatName val="1"/>
              <c:showPercent val="1"/>
              <c:separator>
</c:separator>
              <c:extLst>
                <c:ext xmlns:c15="http://schemas.microsoft.com/office/drawing/2012/chart" uri="{CE6537A1-D6FC-4f65-9D91-7224C49458BB}">
                  <c15:layout/>
                </c:ext>
              </c:extLst>
            </c:dLbl>
            <c:dLbl>
              <c:idx val="3"/>
              <c:layout>
                <c:manualLayout>
                  <c:x val="-0.31523568456194601"/>
                  <c:y val="0.46831661708461508"/>
                </c:manualLayout>
              </c:layout>
              <c:dLblPos val="bestFit"/>
              <c:showLegendKey val="1"/>
              <c:showCatName val="1"/>
              <c:showPercent val="1"/>
              <c:separator>
</c:separator>
              <c:extLst>
                <c:ext xmlns:c15="http://schemas.microsoft.com/office/drawing/2012/chart" uri="{CE6537A1-D6FC-4f65-9D91-7224C49458BB}">
                  <c15:layout/>
                </c:ext>
              </c:extLst>
            </c:dLbl>
            <c:dLbl>
              <c:idx val="4"/>
              <c:layout>
                <c:manualLayout>
                  <c:x val="-0.273558967655047"/>
                  <c:y val="0.71821036974079722"/>
                </c:manualLayout>
              </c:layout>
              <c:dLblPos val="bestFit"/>
              <c:showLegendKey val="1"/>
              <c:showCatName val="1"/>
              <c:showPercent val="1"/>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bestFit"/>
            <c:showLegendKey val="1"/>
            <c:showCatName val="1"/>
            <c:showPercent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12704463.84</c:v>
                </c:pt>
                <c:pt idx="1">
                  <c:v>130374033.39</c:v>
                </c:pt>
                <c:pt idx="2">
                  <c:v>0</c:v>
                </c:pt>
                <c:pt idx="3">
                  <c:v>0</c:v>
                </c:pt>
                <c:pt idx="4">
                  <c:v>0</c:v>
                </c:pt>
              </c:numCache>
            </c:numRef>
          </c:val>
        </c:ser>
        <c:dLbls>
          <c:showVal val="1"/>
        </c:dLbls>
        <c:firstSliceAng val="0"/>
      </c:pieChart>
      <c:spPr>
        <a:noFill/>
        <a:ln>
          <a:noFill/>
        </a:ln>
        <a:effectLst/>
      </c:spPr>
    </c:plotArea>
    <c:legend>
      <c:legendPos val="r"/>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p>
        </c:rich>
      </c:tx>
      <c:spPr>
        <a:noFill/>
        <a:ln>
          <a:noFill/>
        </a:ln>
        <a:effectLst/>
      </c:spPr>
    </c:title>
    <c:plotArea>
      <c:layout/>
      <c:barChart>
        <c:barDir val="col"/>
        <c:grouping val="clustered"/>
        <c:ser>
          <c:idx val="0"/>
          <c:order val="0"/>
          <c:tx>
            <c:strRef>
              <c:f>Sheet1!$B$1</c:f>
              <c:strCache>
                <c:ptCount val="1"/>
                <c:pt idx="0">
                  <c:v>2023年</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20487.460000000021</c:v>
                </c:pt>
                <c:pt idx="1">
                  <c:v>24328.12</c:v>
                </c:pt>
                <c:pt idx="2">
                  <c:v>11772.84</c:v>
                </c:pt>
                <c:pt idx="3">
                  <c:v>15605.359999999948</c:v>
                </c:pt>
                <c:pt idx="4">
                  <c:v>8714.6200000000008</c:v>
                </c:pt>
                <c:pt idx="5">
                  <c:v>8722.76</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11709.78</c:v>
                </c:pt>
                <c:pt idx="1">
                  <c:v>14307.849999999971</c:v>
                </c:pt>
                <c:pt idx="2">
                  <c:v>11471.48</c:v>
                </c:pt>
                <c:pt idx="3">
                  <c:v>13819.55</c:v>
                </c:pt>
                <c:pt idx="4">
                  <c:v>238.3</c:v>
                </c:pt>
                <c:pt idx="5">
                  <c:v>488.3</c:v>
                </c:pt>
                <c:pt idx="6">
                  <c:v>0</c:v>
                </c:pt>
                <c:pt idx="7">
                  <c:v>0</c:v>
                </c:pt>
              </c:numCache>
            </c:numRef>
          </c:val>
        </c:ser>
        <c:dLbls>
          <c:showVal val="1"/>
        </c:dLbls>
        <c:gapWidth val="246"/>
        <c:overlap val="-28"/>
        <c:axId val="86695936"/>
        <c:axId val="86697472"/>
      </c:barChart>
      <c:catAx>
        <c:axId val="86695936"/>
        <c:scaling>
          <c:orientation val="minMax"/>
        </c:scaling>
        <c:axPos val="b"/>
        <c:numFmt formatCode="General" sourceLinked="0"/>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6697472"/>
        <c:crosses val="autoZero"/>
        <c:auto val="1"/>
        <c:lblAlgn val="ctr"/>
        <c:lblOffset val="100"/>
      </c:catAx>
      <c:valAx>
        <c:axId val="86697472"/>
        <c:scaling>
          <c:orientation val="minMax"/>
        </c:scaling>
        <c:axPos val="l"/>
        <c:majorGridlines>
          <c:spPr>
            <a:ln w="9525" cap="flat" cmpd="sng" algn="ctr">
              <a:solidFill>
                <a:schemeClr val="lt1">
                  <a:lumMod val="90200"/>
                </a:schemeClr>
              </a:solidFill>
              <a:round/>
            </a:ln>
            <a:effectLst/>
          </c:spPr>
        </c:majorGridlines>
        <c:numFmt formatCode="General" sourceLinked="1"/>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66959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p>
        </c:rich>
      </c:tx>
      <c:spPr>
        <a:noFill/>
        <a:ln>
          <a:noFill/>
        </a:ln>
        <a:effectLst/>
      </c:spPr>
    </c:title>
    <c:plotArea>
      <c:layout>
        <c:manualLayout>
          <c:layoutTarget val="inner"/>
          <c:xMode val="edge"/>
          <c:yMode val="edge"/>
          <c:x val="0.17641942498188062"/>
          <c:y val="0.16043348916277192"/>
          <c:w val="0.79579608601111462"/>
          <c:h val="0.474330641733958"/>
        </c:manualLayout>
      </c:layout>
      <c:barChart>
        <c:barDir val="col"/>
        <c:grouping val="clustered"/>
        <c:ser>
          <c:idx val="0"/>
          <c:order val="0"/>
          <c:tx>
            <c:strRef>
              <c:f>Sheet1!$B$1</c:f>
              <c:strCache>
                <c:ptCount val="1"/>
                <c:pt idx="0">
                  <c:v>年初预算数</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17763.900000000001</c:v>
                </c:pt>
                <c:pt idx="1">
                  <c:v>22937.37</c:v>
                </c:pt>
                <c:pt idx="2">
                  <c:v>5901.9</c:v>
                </c:pt>
                <c:pt idx="3">
                  <c:v>11075.369999999948</c:v>
                </c:pt>
                <c:pt idx="4">
                  <c:v>11862</c:v>
                </c:pt>
                <c:pt idx="5">
                  <c:v>11862</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11709.78</c:v>
                </c:pt>
                <c:pt idx="1">
                  <c:v>14307.849999999971</c:v>
                </c:pt>
                <c:pt idx="2">
                  <c:v>11471.48</c:v>
                </c:pt>
                <c:pt idx="3">
                  <c:v>13819.55</c:v>
                </c:pt>
                <c:pt idx="4">
                  <c:v>238.3</c:v>
                </c:pt>
                <c:pt idx="5">
                  <c:v>488.3</c:v>
                </c:pt>
                <c:pt idx="6">
                  <c:v>0</c:v>
                </c:pt>
                <c:pt idx="7">
                  <c:v>0</c:v>
                </c:pt>
              </c:numCache>
            </c:numRef>
          </c:val>
        </c:ser>
        <c:dLbls>
          <c:showVal val="1"/>
        </c:dLbls>
        <c:axId val="91251456"/>
        <c:axId val="91252992"/>
      </c:barChart>
      <c:catAx>
        <c:axId val="91251456"/>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1252992"/>
        <c:crosses val="autoZero"/>
        <c:auto val="1"/>
        <c:lblAlgn val="ctr"/>
        <c:lblOffset val="100"/>
      </c:catAx>
      <c:valAx>
        <c:axId val="91252992"/>
        <c:scaling>
          <c:orientation val="minMax"/>
        </c:scaling>
        <c:axPos val="l"/>
        <c:majorGridlines>
          <c:spPr>
            <a:ln w="9525" cap="flat" cmpd="sng" algn="ctr">
              <a:solidFill>
                <a:schemeClr val="lt1">
                  <a:lumMod val="90200"/>
                </a:schemeClr>
              </a:solidFill>
              <a:round/>
            </a:ln>
            <a:effectLst/>
          </c:spPr>
        </c:majorGridlines>
        <c:numFmt formatCode="General"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1251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p>
        </c:rich>
      </c:tx>
      <c:spPr>
        <a:noFill/>
        <a:ln>
          <a:noFill/>
        </a:ln>
        <a:effectLst/>
      </c:spPr>
    </c:title>
    <c:plotArea>
      <c:layout/>
      <c:pieChart>
        <c:varyColors val="1"/>
        <c:ser>
          <c:idx val="0"/>
          <c:order val="0"/>
          <c:tx>
            <c:strRef>
              <c:f>Sheet1!$B$1</c:f>
              <c:strCache>
                <c:ptCount val="1"/>
                <c:pt idx="0">
                  <c:v>金额</c:v>
                </c:pt>
              </c:strCache>
            </c:strRef>
          </c:tx>
          <c:dPt>
            <c:idx val="0"/>
            <c:spPr>
              <a:solidFill>
                <a:schemeClr val="accent1"/>
              </a:solidFill>
              <a:ln>
                <a:solidFill>
                  <a:schemeClr val="bg1"/>
                </a:solidFill>
              </a:ln>
              <a:effectLst/>
            </c:spPr>
          </c:dPt>
          <c:dPt>
            <c:idx val="1"/>
            <c:spPr>
              <a:solidFill>
                <a:schemeClr val="accent2"/>
              </a:solidFill>
              <a:ln>
                <a:solidFill>
                  <a:schemeClr val="bg1"/>
                </a:solidFill>
              </a:ln>
              <a:effectLst/>
            </c:spPr>
          </c:dPt>
          <c:dPt>
            <c:idx val="2"/>
            <c:spPr>
              <a:solidFill>
                <a:schemeClr val="accent3"/>
              </a:solidFill>
              <a:ln>
                <a:solidFill>
                  <a:schemeClr val="bg1"/>
                </a:solidFill>
              </a:ln>
              <a:effectLst/>
            </c:spPr>
          </c:dPt>
          <c:dPt>
            <c:idx val="3"/>
            <c:spPr>
              <a:solidFill>
                <a:schemeClr val="accent4"/>
              </a:solidFill>
              <a:ln>
                <a:solidFill>
                  <a:schemeClr val="bg1"/>
                </a:solidFill>
              </a:ln>
              <a:effectLst/>
            </c:spPr>
          </c:dPt>
          <c:dPt>
            <c:idx val="4"/>
            <c:spPr>
              <a:solidFill>
                <a:schemeClr val="accent5"/>
              </a:solidFill>
              <a:ln>
                <a:solidFill>
                  <a:schemeClr val="bg1"/>
                </a:solidFill>
              </a:ln>
              <a:effectLst/>
            </c:spPr>
          </c:dPt>
          <c:dPt>
            <c:idx val="5"/>
            <c:spPr>
              <a:solidFill>
                <a:schemeClr val="accent6"/>
              </a:solidFill>
              <a:ln>
                <a:solidFill>
                  <a:schemeClr val="bg1"/>
                </a:solidFill>
              </a:ln>
              <a:effectLst/>
            </c:spPr>
          </c:dPt>
          <c:dPt>
            <c:idx val="6"/>
            <c:spPr>
              <a:solidFill>
                <a:schemeClr val="accent1">
                  <a:lumMod val="60000"/>
                </a:schemeClr>
              </a:solidFill>
              <a:ln>
                <a:solidFill>
                  <a:schemeClr val="bg1"/>
                </a:solidFill>
              </a:ln>
              <a:effectLst/>
            </c:spPr>
          </c:dPt>
          <c:dPt>
            <c:idx val="7"/>
            <c:spPr>
              <a:solidFill>
                <a:schemeClr val="accent2">
                  <a:lumMod val="60000"/>
                </a:schemeClr>
              </a:solidFill>
              <a:ln>
                <a:solidFill>
                  <a:schemeClr val="bg1"/>
                </a:solidFill>
              </a:ln>
              <a:effectLst/>
            </c:spPr>
          </c:dPt>
          <c:dPt>
            <c:idx val="8"/>
            <c:spPr>
              <a:solidFill>
                <a:schemeClr val="accent3">
                  <a:lumMod val="60000"/>
                </a:schemeClr>
              </a:solidFill>
              <a:ln>
                <a:solidFill>
                  <a:schemeClr val="bg1"/>
                </a:solidFill>
              </a:ln>
              <a:effectLst/>
            </c:spPr>
          </c:dPt>
          <c:dPt>
            <c:idx val="9"/>
            <c:spPr>
              <a:solidFill>
                <a:schemeClr val="accent4">
                  <a:lumMod val="60000"/>
                </a:schemeClr>
              </a:solidFill>
              <a:ln>
                <a:solidFill>
                  <a:schemeClr val="bg1"/>
                </a:solidFill>
              </a:ln>
              <a:effectLst/>
            </c:spPr>
          </c:dPt>
          <c:dPt>
            <c:idx val="10"/>
            <c:spPr>
              <a:solidFill>
                <a:schemeClr val="accent5">
                  <a:lumMod val="60000"/>
                </a:schemeClr>
              </a:solidFill>
              <a:ln>
                <a:solidFill>
                  <a:schemeClr val="bg1"/>
                </a:solidFill>
              </a:ln>
              <a:effectLst/>
            </c:spPr>
          </c:dPt>
          <c:dPt>
            <c:idx val="11"/>
            <c:spPr>
              <a:solidFill>
                <a:schemeClr val="accent6">
                  <a:lumMod val="60000"/>
                </a:schemeClr>
              </a:solidFill>
              <a:ln>
                <a:solidFill>
                  <a:schemeClr val="bg1"/>
                </a:solidFill>
              </a:ln>
              <a:effectLst/>
            </c:spPr>
          </c:dPt>
          <c:dPt>
            <c:idx val="12"/>
            <c:spPr>
              <a:solidFill>
                <a:schemeClr val="accent1">
                  <a:lumMod val="80000"/>
                  <a:lumOff val="20000"/>
                </a:schemeClr>
              </a:solidFill>
              <a:ln>
                <a:solidFill>
                  <a:schemeClr val="bg1"/>
                </a:solidFill>
              </a:ln>
              <a:effectLst/>
            </c:spPr>
          </c:dPt>
          <c:dPt>
            <c:idx val="13"/>
            <c:spPr>
              <a:solidFill>
                <a:schemeClr val="accent2">
                  <a:lumMod val="80000"/>
                  <a:lumOff val="20000"/>
                </a:schemeClr>
              </a:solidFill>
              <a:ln>
                <a:solidFill>
                  <a:schemeClr val="bg1"/>
                </a:solidFill>
              </a:ln>
              <a:effectLst/>
            </c:spPr>
          </c:dPt>
          <c:dPt>
            <c:idx val="14"/>
            <c:spPr>
              <a:solidFill>
                <a:schemeClr val="accent3">
                  <a:lumMod val="80000"/>
                  <a:lumOff val="20000"/>
                </a:schemeClr>
              </a:solidFill>
              <a:ln>
                <a:solidFill>
                  <a:schemeClr val="bg1"/>
                </a:solidFill>
              </a:ln>
              <a:effectLst/>
            </c:spPr>
          </c:dPt>
          <c:dPt>
            <c:idx val="15"/>
            <c:spPr>
              <a:solidFill>
                <a:schemeClr val="accent4">
                  <a:lumMod val="80000"/>
                  <a:lumOff val="20000"/>
                </a:schemeClr>
              </a:solidFill>
              <a:ln>
                <a:solidFill>
                  <a:schemeClr val="bg1"/>
                </a:solidFill>
              </a:ln>
              <a:effectLst/>
            </c:spPr>
          </c:dPt>
          <c:dPt>
            <c:idx val="16"/>
            <c:spPr>
              <a:solidFill>
                <a:schemeClr val="accent5">
                  <a:lumMod val="80000"/>
                  <a:lumOff val="20000"/>
                </a:schemeClr>
              </a:solidFill>
              <a:ln>
                <a:solidFill>
                  <a:schemeClr val="bg1"/>
                </a:solidFill>
              </a:ln>
              <a:effectLst/>
            </c:spPr>
          </c:dPt>
          <c:dPt>
            <c:idx val="17"/>
            <c:spPr>
              <a:solidFill>
                <a:schemeClr val="accent6">
                  <a:lumMod val="80000"/>
                  <a:lumOff val="20000"/>
                </a:schemeClr>
              </a:solidFill>
              <a:ln>
                <a:solidFill>
                  <a:schemeClr val="bg1"/>
                </a:solidFill>
              </a:ln>
              <a:effectLst/>
            </c:spPr>
          </c:dPt>
          <c:dPt>
            <c:idx val="18"/>
            <c:spPr>
              <a:solidFill>
                <a:schemeClr val="accent1">
                  <a:lumMod val="80000"/>
                </a:schemeClr>
              </a:solidFill>
              <a:ln>
                <a:solidFill>
                  <a:schemeClr val="bg1"/>
                </a:solidFill>
              </a:ln>
              <a:effectLst/>
            </c:spPr>
          </c:dPt>
          <c:dPt>
            <c:idx val="19"/>
            <c:spPr>
              <a:solidFill>
                <a:schemeClr val="accent2">
                  <a:lumMod val="80000"/>
                </a:schemeClr>
              </a:solidFill>
              <a:ln>
                <a:solidFill>
                  <a:schemeClr val="bg1"/>
                </a:solidFill>
              </a:ln>
              <a:effectLst/>
            </c:spPr>
          </c:dPt>
          <c:dPt>
            <c:idx val="20"/>
            <c:spPr>
              <a:solidFill>
                <a:schemeClr val="accent3">
                  <a:lumMod val="80000"/>
                </a:schemeClr>
              </a:solidFill>
              <a:ln>
                <a:solidFill>
                  <a:schemeClr val="bg1"/>
                </a:solidFill>
              </a:ln>
              <a:effectLst/>
            </c:spPr>
          </c:dPt>
          <c:dPt>
            <c:idx val="21"/>
            <c:spPr>
              <a:solidFill>
                <a:schemeClr val="accent4">
                  <a:lumMod val="80000"/>
                </a:schemeClr>
              </a:solidFill>
              <a:ln>
                <a:solidFill>
                  <a:schemeClr val="bg1"/>
                </a:solidFill>
              </a:ln>
              <a:effectLst/>
            </c:spPr>
          </c:dPt>
          <c:dPt>
            <c:idx val="22"/>
            <c:spPr>
              <a:solidFill>
                <a:schemeClr val="accent5">
                  <a:lumMod val="80000"/>
                </a:schemeClr>
              </a:solidFill>
              <a:ln>
                <a:solidFill>
                  <a:schemeClr val="bg1"/>
                </a:solidFill>
              </a:ln>
              <a:effectLst/>
            </c:spPr>
          </c:dPt>
          <c:dPt>
            <c:idx val="23"/>
            <c:spPr>
              <a:solidFill>
                <a:schemeClr val="accent6">
                  <a:lumMod val="80000"/>
                </a:schemeClr>
              </a:solidFill>
              <a:ln>
                <a:solidFill>
                  <a:schemeClr val="bg1"/>
                </a:solidFill>
              </a:ln>
              <a:effectLst/>
            </c:spPr>
          </c:dPt>
          <c:dPt>
            <c:idx val="24"/>
            <c:spPr>
              <a:solidFill>
                <a:schemeClr val="accent1">
                  <a:lumMod val="60000"/>
                  <a:lumOff val="40000"/>
                </a:schemeClr>
              </a:solidFill>
              <a:ln>
                <a:solidFill>
                  <a:schemeClr val="bg1"/>
                </a:solidFill>
              </a:ln>
              <a:effectLst/>
            </c:spPr>
          </c:dPt>
          <c:dPt>
            <c:idx val="25"/>
            <c:spPr>
              <a:solidFill>
                <a:schemeClr val="accent2">
                  <a:lumMod val="60000"/>
                  <a:lumOff val="40000"/>
                </a:schemeClr>
              </a:solidFill>
              <a:ln>
                <a:solidFill>
                  <a:schemeClr val="bg1"/>
                </a:solidFill>
              </a:ln>
              <a:effectLst/>
            </c:spPr>
          </c:dPt>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228.34</c:v>
                </c:pt>
                <c:pt idx="8">
                  <c:v>64.349999999999994</c:v>
                </c:pt>
                <c:pt idx="9">
                  <c:v>495</c:v>
                </c:pt>
                <c:pt idx="10">
                  <c:v>566.65</c:v>
                </c:pt>
                <c:pt idx="11">
                  <c:v>2468.4700000000012</c:v>
                </c:pt>
                <c:pt idx="12">
                  <c:v>0</c:v>
                </c:pt>
                <c:pt idx="13">
                  <c:v>0</c:v>
                </c:pt>
                <c:pt idx="14">
                  <c:v>0</c:v>
                </c:pt>
                <c:pt idx="15">
                  <c:v>0</c:v>
                </c:pt>
                <c:pt idx="16">
                  <c:v>0</c:v>
                </c:pt>
                <c:pt idx="17">
                  <c:v>10390.66</c:v>
                </c:pt>
                <c:pt idx="18">
                  <c:v>94.38</c:v>
                </c:pt>
                <c:pt idx="19">
                  <c:v>0</c:v>
                </c:pt>
                <c:pt idx="20">
                  <c:v>0</c:v>
                </c:pt>
                <c:pt idx="21">
                  <c:v>0</c:v>
                </c:pt>
                <c:pt idx="22">
                  <c:v>0</c:v>
                </c:pt>
                <c:pt idx="23">
                  <c:v>0</c:v>
                </c:pt>
                <c:pt idx="24">
                  <c:v>0</c:v>
                </c:pt>
                <c:pt idx="25">
                  <c:v>0</c:v>
                </c:pt>
              </c:numCache>
            </c:numRef>
          </c:val>
        </c:ser>
        <c:firstSliceAng val="0"/>
      </c:pieChart>
      <c:spPr>
        <a:noFill/>
        <a:ln>
          <a:noFill/>
        </a:ln>
        <a:effectLst/>
      </c:spPr>
    </c:plotArea>
    <c:legend>
      <c:legendPos val="r"/>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s="http://www.wps.cn/officeDocument/2013/wpsCustomData" xmln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52</Pages>
  <Words>3256</Words>
  <Characters>18562</Characters>
  <Application>Microsoft Office Word</Application>
  <DocSecurity>0</DocSecurity>
  <Lines>154</Lines>
  <Paragraphs>43</Paragraphs>
  <ScaleCrop>false</ScaleCrop>
  <Company>神州网信技术有限公司</Company>
  <LinksUpToDate>false</LinksUpToDate>
  <CharactersWithSpaces>21775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王明新TIAD</dc:creator>
  <cp:lastModifiedBy>xbany</cp:lastModifiedBy>
  <cp:revision>60</cp:revision>
  <cp:lastPrinted>2023-08-04T01:00:00Z</cp:lastPrinted>
  <dcterms:created xsi:type="dcterms:W3CDTF">2025-10-11T07:55:00Z</dcterms:created>
  <dcterms:modified xsi:type="dcterms:W3CDTF">2025-10-20T07:16:00Z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