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cstate="print">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2"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单位决算公开文本</w:t>
                            </w:r>
                          </w:p>
                        </w:txbxContent>
                      </wps:txbx>
                      <wps:bodyPr upright="1"/>
                    </wps:wsp>
                  </a:graphicData>
                </a:graphic>
              </wp:anchor>
            </w:drawing>
          </mc:Choice>
          <mc:Fallback>
            <w:pict>
              <v:shape id="文本框 2"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ss/e2AAAAAoBAAAPAAAAAAAAAAEAIAAAACIAAABkcnMvZG93bnJldi54bWxQSwECFAAU&#10;AAAACACHTuJAcnd42fEBAADAAwAADgAAAAAAAAABACAAAAAnAQAAZHJzL2Uyb0RvYy54bWxQSwUG&#10;AAAAAAYABgBZAQAAigU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单位决算公开文本</w:t>
                      </w:r>
                    </w:p>
                  </w:txbxContent>
                </v:textbox>
              </v:shape>
            </w:pict>
          </mc:Fallback>
        </mc:AlternateContent>
      </w: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宋体" w:hAnsi="宋体" w:eastAsia="宋体"/>
          <w:color w:val="000000"/>
          <w:sz w:val="40"/>
          <w:szCs w:val="40"/>
        </w:rPr>
        <w:t>324009</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：青龙满族自治县城乡规划设计服务中心</w:t>
      </w:r>
    </w:p>
    <w:p>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pgNumType w:start="1"/>
          <w:cols w:space="720" w:num="1"/>
          <w:docGrid w:type="lines" w:linePitch="312" w:charSpace="0"/>
        </w:sectPr>
      </w:pPr>
    </w:p>
    <w:p>
      <w:pPr>
        <w:spacing w:line="600" w:lineRule="auto"/>
        <w:jc w:val="center"/>
        <w:rPr>
          <w:rFonts w:ascii="楷体_GB2312" w:hAnsi="楷体_GB2312" w:eastAsia="楷体_GB2312" w:cs="楷体_GB2312"/>
          <w:color w:val="000000"/>
          <w:sz w:val="40"/>
          <w:szCs w:val="40"/>
        </w:rPr>
      </w:pPr>
    </w:p>
    <w:p>
      <w:pPr>
        <w:rPr>
          <w:rFonts w:ascii="黑体" w:hAnsi="黑体" w:eastAsia="黑体" w:cs="黑体"/>
          <w:b/>
          <w:bCs/>
          <w:sz w:val="32"/>
          <w:szCs w:val="36"/>
          <w:highlight w:val="yellow"/>
        </w:rPr>
      </w:pPr>
    </w:p>
    <w:p>
      <w:pPr>
        <w:widowControl/>
        <w:spacing w:line="360" w:lineRule="auto"/>
        <w:jc w:val="center"/>
        <w:rPr>
          <w:rFonts w:ascii="Times New Roman" w:eastAsia="方正小标宋_GBK"/>
          <w:sz w:val="72"/>
          <w:szCs w:val="72"/>
        </w:rPr>
      </w:pPr>
      <w:r>
        <w:rPr>
          <w:rFonts w:ascii="Times New Roman" w:eastAsia="方正小标宋_GBK"/>
          <w:sz w:val="72"/>
          <w:szCs w:val="72"/>
        </w:rPr>
        <w:t>青龙满族自治县城乡规划设计服务中心</w:t>
      </w:r>
    </w:p>
    <w:p>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w:t>
      </w:r>
      <w:r>
        <w:rPr>
          <w:rFonts w:hint="eastAsia" w:ascii="Times New Roman" w:eastAsia="方正小标宋_GBK"/>
          <w:sz w:val="72"/>
          <w:szCs w:val="72"/>
        </w:rPr>
        <w:t>单位</w:t>
      </w:r>
      <w:r>
        <w:rPr>
          <w:rFonts w:ascii="Times New Roman" w:eastAsia="方正小标宋_GBK"/>
          <w:sz w:val="72"/>
          <w:szCs w:val="72"/>
        </w:rPr>
        <w:t>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rPr>
          <w:rFonts w:ascii="黑体" w:hAnsi="黑体" w:eastAsia="黑体" w:cs="黑体"/>
          <w:sz w:val="56"/>
          <w:szCs w:val="72"/>
        </w:rPr>
      </w:pPr>
    </w:p>
    <w:p>
      <w:pPr>
        <w:widowControl/>
        <w:spacing w:line="360" w:lineRule="auto"/>
        <w:jc w:val="center"/>
        <w:rPr>
          <w:rFonts w:ascii="Times New Roman" w:eastAsia="楷体_GB2312"/>
          <w:sz w:val="44"/>
          <w:szCs w:val="44"/>
        </w:rPr>
      </w:pPr>
      <w:r>
        <w:rPr>
          <w:rFonts w:ascii="Times New Roman" w:eastAsia="楷体_GB2312"/>
          <w:sz w:val="44"/>
          <w:szCs w:val="44"/>
        </w:rPr>
        <w:t>青龙满族自治县城乡规划设计服务中心</w:t>
      </w:r>
    </w:p>
    <w:p>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pPr>
        <w:snapToGrid w:val="0"/>
        <w:jc w:val="left"/>
        <w:rPr>
          <w:rFonts w:ascii="楷体_GB2312" w:hAnsi="楷体_GB2312" w:eastAsia="楷体_GB2312" w:cs="楷体_GB2312"/>
          <w:color w:val="000000" w:themeColor="text1"/>
          <w:sz w:val="44"/>
          <w:szCs w:val="44"/>
          <w14:textFill>
            <w14:solidFill>
              <w14:schemeClr w14:val="tx1"/>
            </w14:solidFill>
          </w14:textFill>
        </w:rPr>
      </w:pPr>
    </w:p>
    <w:p>
      <w:pPr>
        <w:snapToGrid w:val="0"/>
        <w:jc w:val="left"/>
        <w:rPr>
          <w:rFonts w:ascii="楷体_GB2312" w:hAnsi="楷体_GB2312" w:eastAsia="楷体_GB2312" w:cs="楷体_GB2312"/>
          <w:color w:val="000000" w:themeColor="text1"/>
          <w:sz w:val="44"/>
          <w:szCs w:val="44"/>
          <w14:textFill>
            <w14:solidFill>
              <w14:schemeClr w14:val="tx1"/>
            </w14:solidFill>
          </w14:textFill>
        </w:rPr>
        <w:sectPr>
          <w:footerReference r:id="rId4" w:type="default"/>
          <w:pgSz w:w="11906" w:h="16838"/>
          <w:pgMar w:top="1531" w:right="1984" w:bottom="1531" w:left="2098" w:header="851" w:footer="992" w:gutter="0"/>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line="360" w:lineRule="auto"/>
        <w:jc w:val="center"/>
        <w:outlineLvl w:val="0"/>
        <w:rPr>
          <w:rFonts w:ascii="Times New Roman" w:eastAsia="黑体"/>
          <w:sz w:val="44"/>
          <w:szCs w:val="44"/>
        </w:rPr>
      </w:pPr>
      <w:r>
        <w:rPr>
          <w:rFonts w:ascii="Times New Roman" w:eastAsia="黑体"/>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360" w:lineRule="auto"/>
        <w:jc w:val="left"/>
        <w:rPr>
          <w:rFonts w:ascii="Times New Roman" w:eastAsia="黑体"/>
          <w:sz w:val="32"/>
          <w:szCs w:val="32"/>
        </w:rPr>
      </w:pPr>
      <w:r>
        <w:rPr>
          <w:rFonts w:ascii="Times New Roman" w:eastAsia="黑体"/>
          <w:sz w:val="32"/>
          <w:szCs w:val="32"/>
        </w:rPr>
        <w:t>第一部分单位概况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pPr>
        <w:widowControl/>
        <w:spacing w:line="360" w:lineRule="auto"/>
        <w:jc w:val="left"/>
        <w:rPr>
          <w:rFonts w:ascii="Times New Roman" w:eastAsia="黑体"/>
          <w:sz w:val="32"/>
          <w:szCs w:val="32"/>
        </w:rPr>
      </w:pPr>
      <w:r>
        <w:rPr>
          <w:rFonts w:ascii="Times New Roman" w:eastAsia="黑体"/>
          <w:sz w:val="32"/>
          <w:szCs w:val="32"/>
        </w:rPr>
        <w:t>第四部分 名词解释</w:t>
      </w:r>
    </w:p>
    <w:p>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pPr>
        <w:widowControl/>
        <w:spacing w:line="360" w:lineRule="auto"/>
        <w:jc w:val="center"/>
        <w:outlineLvl w:val="0"/>
        <w:rPr>
          <w:rFonts w:ascii="Times New Roman" w:eastAsia="黑体"/>
          <w:sz w:val="44"/>
          <w:szCs w:val="44"/>
        </w:rPr>
      </w:pPr>
      <w:r>
        <w:rPr>
          <w:rFonts w:ascii="Times New Roman" w:eastAsia="黑体"/>
          <w:sz w:val="44"/>
          <w:szCs w:val="44"/>
        </w:rPr>
        <w:t>第一部分单位概况</w:t>
      </w:r>
    </w:p>
    <w:p>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负责城乡规划的实施管理工作。负责城市、镇规划区建设项目的规划条件核实。承担县城乡规划委员会办公室日常工作。</w:t>
      </w:r>
    </w:p>
    <w:p>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w:t>
      </w:r>
      <w:r>
        <w:rPr>
          <w:rFonts w:hint="eastAsia" w:ascii="Times New Roman" w:eastAsia="仿宋_GB2312"/>
          <w:sz w:val="32"/>
          <w:szCs w:val="32"/>
        </w:rPr>
        <w:t>1</w:t>
      </w:r>
      <w:r>
        <w:rPr>
          <w:rFonts w:ascii="Times New Roman" w:eastAsia="仿宋_GB2312"/>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青龙满族自治县城乡规划设计服务中心</w:t>
            </w:r>
          </w:p>
        </w:tc>
        <w:tc>
          <w:tcPr>
            <w:tcW w:w="2445" w:type="dxa"/>
          </w:tcPr>
          <w:p>
            <w:pPr>
              <w:spacing w:line="560" w:lineRule="exact"/>
              <w:jc w:val="center"/>
              <w:rPr>
                <w:rFonts w:ascii="仿宋_GB2312" w:hAnsi="Calibri" w:eastAsia="仿宋_GB2312" w:cs="ArialUnicodeMS"/>
                <w:sz w:val="28"/>
                <w:szCs w:val="28"/>
              </w:rPr>
            </w:pPr>
            <w:r>
              <w:rPr>
                <w:rFonts w:ascii="仿宋_GB2312" w:hAnsi="Calibri" w:eastAsia="仿宋_GB2312" w:cs="ArialUnicodeMS"/>
                <w:sz w:val="28"/>
                <w:szCs w:val="28"/>
              </w:rPr>
              <w:t>财政补助事业单位</w:t>
            </w:r>
          </w:p>
        </w:tc>
        <w:tc>
          <w:tcPr>
            <w:tcW w:w="2665" w:type="dxa"/>
          </w:tcPr>
          <w:p>
            <w:pPr>
              <w:spacing w:line="560" w:lineRule="exact"/>
              <w:jc w:val="center"/>
              <w:rPr>
                <w:rFonts w:ascii="仿宋_GB2312" w:hAnsi="Calibri" w:eastAsia="仿宋_GB2312" w:cs="ArialUnicodeMS"/>
                <w:sz w:val="28"/>
                <w:szCs w:val="28"/>
              </w:rPr>
            </w:pPr>
            <w:r>
              <w:rPr>
                <w:rFonts w:ascii="仿宋_GB2312" w:hAnsi="Calibri" w:eastAsia="仿宋_GB2312" w:cs="ArialUnicodeMS"/>
                <w:sz w:val="28"/>
                <w:szCs w:val="28"/>
              </w:rPr>
              <w:t>财政性资金基本保证</w:t>
            </w:r>
          </w:p>
        </w:tc>
      </w:tr>
    </w:tbl>
    <w:p>
      <w:pPr>
        <w:rPr>
          <w:rFonts w:ascii="Times New Roman" w:hAnsi="Times New Roman" w:eastAsia="黑体" w:cs="Times New Roman"/>
          <w:sz w:val="32"/>
          <w:szCs w:val="32"/>
        </w:rPr>
      </w:pPr>
      <w:r>
        <w:rPr>
          <w:rFonts w:hint="eastAsia" w:ascii="Times New Roman" w:hAnsi="Times New Roman" w:eastAsia="黑体" w:cs="Times New Roman"/>
          <w:sz w:val="32"/>
          <w:szCs w:val="32"/>
        </w:rPr>
        <w:br w:type="page"/>
      </w:r>
    </w:p>
    <w:p>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年度部门决算表</w:t>
      </w:r>
    </w:p>
    <w:tbl>
      <w:tblPr>
        <w:tblStyle w:val="12"/>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部门（单位）：青龙满族自治县城乡规划设计服务中心</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17.26</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7.76</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61.37</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7.22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部门（单位）：青龙满族自治县城乡规划设计服务中心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93.61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93.61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17.26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17.26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0.67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0.67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14.15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14.15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2080506</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抚恤</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其他优抚支出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61.37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61.37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城乡社区规划与管理</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61.37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61.37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城乡社区规划与管理</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61.37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61.37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7.22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7.22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7.22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7.22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7.22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7.22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pPr>
        <w:rPr>
          <w:rFonts w:ascii="仿宋_GB2312" w:hAnsi="宋体" w:eastAsia="仿宋_GB2312"/>
          <w:b/>
          <w:sz w:val="32"/>
          <w:szCs w:val="32"/>
        </w:rPr>
      </w:pPr>
    </w:p>
    <w:p>
      <w:pPr>
        <w:rPr>
          <w:rFonts w:ascii="黑体" w:hAnsi="黑体" w:eastAsia="黑体"/>
          <w:bCs/>
          <w:sz w:val="32"/>
          <w:szCs w:val="32"/>
        </w:rPr>
      </w:pPr>
      <w:r>
        <w:rPr>
          <w:rFonts w:hint="eastAsia" w:ascii="仿宋_GB2312" w:hAnsi="宋体" w:eastAsia="仿宋_GB2312"/>
          <w:b/>
          <w:sz w:val="32"/>
          <w:szCs w:val="32"/>
        </w:rPr>
        <w:br w:type="page"/>
      </w:r>
    </w:p>
    <w:tbl>
      <w:tblPr>
        <w:tblStyle w:val="12"/>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部门（单位）：青龙满族自治县城乡规划设计服务中心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17.26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17.26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0.74</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0.74</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城乡社区规划与管理</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城乡社区规划与管理</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部门（单位）：青龙满族自治县城乡规划设计服务中心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17.26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17.26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7.76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7.76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61.37</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61.37</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7.22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7.22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93.61</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5348" w:type="pct"/>
        <w:tblInd w:w="-657" w:type="dxa"/>
        <w:tblLayout w:type="autofit"/>
        <w:tblCellMar>
          <w:top w:w="0" w:type="dxa"/>
          <w:left w:w="108" w:type="dxa"/>
          <w:bottom w:w="0" w:type="dxa"/>
          <w:right w:w="108" w:type="dxa"/>
        </w:tblCellMar>
      </w:tblPr>
      <w:tblGrid>
        <w:gridCol w:w="1810"/>
        <w:gridCol w:w="3012"/>
        <w:gridCol w:w="1040"/>
        <w:gridCol w:w="677"/>
        <w:gridCol w:w="710"/>
        <w:gridCol w:w="339"/>
        <w:gridCol w:w="1109"/>
      </w:tblGrid>
      <w:tr>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编制部门（单位）：青龙满族自治县城乡规划设计服务中心</w:t>
            </w:r>
          </w:p>
        </w:tc>
        <w:tc>
          <w:tcPr>
            <w:tcW w:w="154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93.61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17.26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城乡社区规划与管理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城乡社区规划与管理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61.37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7.22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部门（单位）：青龙满族自治县城乡规划设计服务中心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86.20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6.00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22.35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1.20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4.34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2.29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22.36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14.15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1.71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7.56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0.69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0.60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7.22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3.54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1.40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0.67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0.74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3.20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87.61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6.00</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部门（单位）：青龙满族自治县城乡规划设计服务中心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部门（单位）：青龙满族自治县城乡规划设计服务中心</w:t>
            </w:r>
          </w:p>
        </w:tc>
        <w:tc>
          <w:tcPr>
            <w:tcW w:w="1421"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部门（单位）：青龙满族自治县城乡规划设计服务中心</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3.20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3.20</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3.20</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3.20</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3.20</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3.20</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年度部门决算情况说明</w:t>
      </w:r>
    </w:p>
    <w:p>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pPr>
        <w:autoSpaceDE w:val="0"/>
        <w:autoSpaceDN w:val="0"/>
        <w:adjustRightInd w:val="0"/>
        <w:snapToGrid w:val="0"/>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本单位2024年度收、支总计（含结转和结余）均为93.61万元。与2023年度决算相比，收支各减少19.85万元，下降17.5%，主要原因是</w:t>
      </w:r>
      <w:r>
        <w:rPr>
          <w:rFonts w:hint="eastAsia" w:ascii="Times New Roman" w:eastAsia="仿宋_GB2312"/>
          <w:sz w:val="32"/>
          <w:szCs w:val="32"/>
        </w:rPr>
        <w:t>财政资金紧张，压缩各预算单位开支，消减预算单位收入指标。</w:t>
      </w:r>
    </w:p>
    <w:p>
      <w:pPr>
        <w:pStyle w:val="11"/>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eastAsia="Arial"/>
          <w:color w:val="000000"/>
          <w:sz w:val="18"/>
          <w:szCs w:val="18"/>
          <w:shd w:val="clear" w:color="auto" w:fill="FFFFFF"/>
        </w:rPr>
        <w:t> </w:t>
      </w:r>
    </w:p>
    <w:p>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93.61万元，其中：财政拨款收入93.61万元，占100.0%；上级补助收入0.00万元，占0.0%；事业收入0.00万元，占0.0%；经营收入0.00万元，占0.0%；附属单位上缴收入0.00万元，占0.0%；其他收入0.00万元，占0.0%。</w:t>
      </w:r>
    </w:p>
    <w:p>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本单位2024年度本年支出合计93.61万元，其中：基本支出93.61万元，占100.0%；项目支出0.00万元，占0.0%；上缴上级支出0.00万元，占0.0%；经营支出0.00万元，占0.0%；对附属单位补助支出0.00万元，占0.0%。</w:t>
      </w:r>
    </w:p>
    <w:p>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autoSpaceDE w:val="0"/>
        <w:autoSpaceDN w:val="0"/>
        <w:adjustRightInd w:val="0"/>
        <w:snapToGrid w:val="0"/>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本单位2024年度财政拨款收、支总计（含结转和结余）均为93.61万元。与2023年度相比，财政拨款收支各减少19.85万元，降低17.5%，主要原因是</w:t>
      </w:r>
      <w:r>
        <w:rPr>
          <w:rFonts w:hint="eastAsia" w:ascii="Times New Roman" w:eastAsia="仿宋_GB2312"/>
          <w:sz w:val="32"/>
          <w:szCs w:val="32"/>
        </w:rPr>
        <w:t>财政资金紧张，压缩各预算单位开支，消减预算单位收入指标。</w:t>
      </w:r>
    </w:p>
    <w:p>
      <w:pPr>
        <w:autoSpaceDE w:val="0"/>
        <w:autoSpaceDN w:val="0"/>
        <w:adjustRightInd w:val="0"/>
        <w:snapToGrid w:val="0"/>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本单位2024年度财政拨款本年收入93.61万元,比上年减少19.85万元，降低17.5%，主要原因是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本年支出93.61万元，比上年减少19.85万元，降低17.5%，主要原因是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具体情况如下：</w:t>
      </w:r>
    </w:p>
    <w:p>
      <w:pPr>
        <w:autoSpaceDE w:val="0"/>
        <w:autoSpaceDN w:val="0"/>
        <w:adjustRightInd w:val="0"/>
        <w:snapToGrid w:val="0"/>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一般公共预算财政拨款本年收入93.61万元,比上年减少19.85万元，降低17.5%，主要原因是</w:t>
      </w:r>
      <w:r>
        <w:rPr>
          <w:rFonts w:hint="eastAsia" w:ascii="Times New Roman" w:eastAsia="仿宋_GB2312"/>
          <w:sz w:val="32"/>
          <w:szCs w:val="32"/>
        </w:rPr>
        <w:t>财政资金紧张，压缩各预算单位开支，消减预算单位收入指标</w:t>
      </w:r>
      <w:r>
        <w:rPr>
          <w:rFonts w:hint="eastAsia" w:ascii="宋体" w:hAnsi="宋体" w:eastAsia="宋体"/>
          <w:sz w:val="32"/>
          <w:szCs w:val="32"/>
        </w:rPr>
        <w:t>；</w:t>
      </w:r>
      <w:r>
        <w:rPr>
          <w:rFonts w:ascii="Times New Roman" w:eastAsia="仿宋_GB2312"/>
          <w:sz w:val="32"/>
          <w:szCs w:val="32"/>
        </w:rPr>
        <w:t>本年支出93.61万元，比上年减少19.85万元，降低17.5%，主要原因是</w:t>
      </w:r>
      <w:r>
        <w:rPr>
          <w:rFonts w:hint="eastAsia" w:ascii="Times New Roman" w:eastAsia="仿宋_GB2312"/>
          <w:sz w:val="32"/>
          <w:szCs w:val="32"/>
        </w:rPr>
        <w:t>财政资金紧张，压缩各预算单位开支，消减预算单位收入指标。</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政府性基金预算财政拨款本年收入0.00万元，比上年增加0.00万元，增长0.00%，</w:t>
      </w:r>
      <w:r>
        <w:rPr>
          <w:rFonts w:hint="eastAsia" w:ascii="宋体" w:hAnsi="宋体" w:eastAsia="宋体"/>
          <w:sz w:val="32"/>
          <w:szCs w:val="32"/>
        </w:rPr>
        <w:t>与上年持平</w:t>
      </w:r>
      <w:r>
        <w:rPr>
          <w:rFonts w:ascii="Times New Roman" w:eastAsia="仿宋_GB2312"/>
          <w:sz w:val="32"/>
          <w:szCs w:val="32"/>
        </w:rPr>
        <w:t>；本年支出0.00万元，比上年增加0.00万元，增长0.00%，</w:t>
      </w:r>
      <w:r>
        <w:rPr>
          <w:rFonts w:hint="eastAsia" w:ascii="宋体" w:hAnsi="宋体" w:eastAsia="宋体"/>
          <w:sz w:val="32"/>
          <w:szCs w:val="32"/>
        </w:rPr>
        <w:t>与上年持平</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w:t>
      </w:r>
      <w:r>
        <w:rPr>
          <w:rFonts w:hint="eastAsia" w:ascii="宋体" w:hAnsi="宋体" w:eastAsia="宋体"/>
          <w:sz w:val="32"/>
          <w:szCs w:val="32"/>
        </w:rPr>
        <w:t>与上年持平</w:t>
      </w:r>
      <w:r>
        <w:rPr>
          <w:rFonts w:ascii="Times New Roman" w:eastAsia="仿宋_GB2312"/>
          <w:sz w:val="32"/>
          <w:szCs w:val="32"/>
        </w:rPr>
        <w:t>；本年支出0.00万元，比上年增加0.00万元，增长0.00%，</w:t>
      </w:r>
      <w:r>
        <w:rPr>
          <w:rFonts w:hint="eastAsia" w:ascii="宋体" w:hAnsi="宋体" w:eastAsia="宋体"/>
          <w:sz w:val="32"/>
          <w:szCs w:val="32"/>
        </w:rPr>
        <w:t>与上年持平</w:t>
      </w:r>
      <w:r>
        <w:rPr>
          <w:rFonts w:ascii="Times New Roman" w:eastAsia="仿宋_GB2312"/>
          <w:sz w:val="32"/>
          <w:szCs w:val="32"/>
        </w:rPr>
        <w:t>。</w:t>
      </w:r>
    </w:p>
    <w:p>
      <w:pPr>
        <w:pStyle w:val="11"/>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autoSpaceDE w:val="0"/>
        <w:autoSpaceDN w:val="0"/>
        <w:adjustRightInd w:val="0"/>
        <w:snapToGrid w:val="0"/>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本单位2024年度财政拨款本年收入93.61万元，完成年初预算的54.3%，比年初预算减少78.63万元，决算数小于预算数主要原因是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；本年支出93.61万元，完成年初预算的54.3%，比年初预算减少78.63万元，决算数小于预算数主要原因是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。具体情况如下：</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一般公共预算财政拨款本年收入完成年初预算的54.3%，比年初预算减少78.63万元，主要原因是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；支出完成年初预算的54.3%，比年初预算减少78.63万元，主要原因是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w:t>
      </w:r>
      <w:r>
        <w:rPr>
          <w:rFonts w:hint="eastAsia" w:ascii="宋体" w:hAnsi="宋体" w:eastAsia="宋体"/>
          <w:sz w:val="32"/>
          <w:szCs w:val="32"/>
        </w:rPr>
        <w:t>与年初预算持平</w:t>
      </w:r>
      <w:r>
        <w:rPr>
          <w:rFonts w:ascii="Times New Roman" w:eastAsia="仿宋_GB2312"/>
          <w:sz w:val="32"/>
          <w:szCs w:val="32"/>
        </w:rPr>
        <w:t>；支出完成年初预算的0.0%，比年初预算增加0.00万元，</w:t>
      </w:r>
      <w:r>
        <w:rPr>
          <w:rFonts w:hint="eastAsia" w:ascii="宋体" w:hAnsi="宋体" w:eastAsia="宋体"/>
          <w:sz w:val="32"/>
          <w:szCs w:val="32"/>
        </w:rPr>
        <w:t>与年初预算持平</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国有资本经营预算财政拨款本年收入完成年初预算的0.0%，比年初预算增加0.00万元，</w:t>
      </w:r>
      <w:r>
        <w:rPr>
          <w:rFonts w:hint="eastAsia" w:ascii="Times New Roman" w:eastAsia="仿宋_GB2312"/>
          <w:sz w:val="32"/>
          <w:szCs w:val="32"/>
        </w:rPr>
        <w:t>与年初预算持平</w:t>
      </w:r>
      <w:r>
        <w:rPr>
          <w:rFonts w:ascii="Times New Roman" w:eastAsia="仿宋_GB2312"/>
          <w:sz w:val="32"/>
          <w:szCs w:val="32"/>
        </w:rPr>
        <w:t>；支出完成年初预算的0.0%，比年初预算增加0.00万元，</w:t>
      </w:r>
      <w:r>
        <w:rPr>
          <w:rFonts w:hint="eastAsia" w:ascii="Times New Roman" w:eastAsia="仿宋_GB2312"/>
          <w:sz w:val="32"/>
          <w:szCs w:val="32"/>
        </w:rPr>
        <w:t>与年初预算持平</w:t>
      </w:r>
      <w:r>
        <w:rPr>
          <w:rFonts w:ascii="Times New Roman" w:eastAsia="仿宋_GB2312"/>
          <w:sz w:val="32"/>
          <w:szCs w:val="32"/>
        </w:rPr>
        <w:t>。</w:t>
      </w:r>
    </w:p>
    <w:p>
      <w:pPr>
        <w:pStyle w:val="11"/>
        <w:widowControl/>
        <w:spacing w:beforeAutospacing="0" w:afterAutospacing="0"/>
        <w:rPr>
          <w:rFonts w:ascii="Times New Roman" w:hAnsi="Times New Roman" w:eastAsia="Arial"/>
        </w:rPr>
      </w:pPr>
    </w:p>
    <w:p>
      <w:pPr>
        <w:pStyle w:val="11"/>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2024年度财政拨款支出93.61万元，主要用于以下方面：</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line="360" w:lineRule="auto"/>
        <w:ind w:firstLine="640" w:firstLineChars="200"/>
        <w:jc w:val="left"/>
        <w:rPr>
          <w:rFonts w:ascii="宋体" w:hAnsi="宋体" w:eastAsia="宋体"/>
          <w:sz w:val="32"/>
          <w:szCs w:val="32"/>
        </w:rPr>
      </w:pPr>
      <w:r>
        <w:rPr>
          <w:rFonts w:ascii="Times New Roman" w:eastAsia="仿宋_GB2312"/>
          <w:sz w:val="32"/>
          <w:szCs w:val="32"/>
        </w:rPr>
        <w:t>社会保障和就业 （类）支出17.26万元，占18.4%，主要用于职工养老保险支出等支出；卫生健康（类）支出7.76万元，占8.3%，主要用于</w:t>
      </w:r>
      <w:r>
        <w:rPr>
          <w:rFonts w:hint="eastAsia" w:ascii="Times New Roman" w:eastAsia="仿宋_GB2312"/>
          <w:sz w:val="32"/>
          <w:szCs w:val="32"/>
        </w:rPr>
        <w:t>职工医疗保险</w:t>
      </w:r>
      <w:r>
        <w:rPr>
          <w:rFonts w:ascii="Times New Roman" w:eastAsia="仿宋_GB2312"/>
          <w:sz w:val="32"/>
          <w:szCs w:val="32"/>
        </w:rPr>
        <w:t>等支出；城乡社区（类）支出61.37万元，占65.6%，主要用于职工基本工资、</w:t>
      </w:r>
      <w:r>
        <w:rPr>
          <w:rFonts w:hint="eastAsia" w:ascii="Times New Roman" w:eastAsia="仿宋_GB2312"/>
          <w:color w:val="auto"/>
          <w:sz w:val="32"/>
          <w:szCs w:val="32"/>
          <w:lang w:val="en-US" w:eastAsia="zh-CN"/>
        </w:rPr>
        <w:t>津</w:t>
      </w:r>
      <w:r>
        <w:rPr>
          <w:rFonts w:ascii="Times New Roman" w:eastAsia="仿宋_GB2312"/>
          <w:sz w:val="32"/>
          <w:szCs w:val="32"/>
        </w:rPr>
        <w:t>贴补贴、绩效工资、办公费、差旅费等支出；住房保障（类）支出7.22万元，占7.7%，主要用于职工住房公积金等支出</w:t>
      </w:r>
      <w:r>
        <w:rPr>
          <w:rFonts w:hint="eastAsia" w:ascii="宋体" w:hAnsi="宋体" w:eastAsia="宋体"/>
          <w:sz w:val="32"/>
          <w:szCs w:val="32"/>
        </w:rPr>
        <w:t>。</w:t>
      </w:r>
      <w:bookmarkStart w:id="0" w:name="_GoBack"/>
      <w:bookmarkEnd w:id="0"/>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2024年度财政拨款基本支出93.61万元，其中：</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人员经费87.61万元，主要包括</w:t>
      </w:r>
      <w:r>
        <w:rPr>
          <w:rFonts w:hint="eastAsia" w:ascii="Times New Roman" w:eastAsia="仿宋_GB2312"/>
          <w:sz w:val="32"/>
          <w:szCs w:val="32"/>
          <w:lang w:val="en-US" w:eastAsia="zh-CN"/>
        </w:rPr>
        <w:t>职工</w:t>
      </w:r>
      <w:r>
        <w:rPr>
          <w:rFonts w:ascii="Times New Roman" w:eastAsia="仿宋_GB2312"/>
          <w:sz w:val="32"/>
          <w:szCs w:val="32"/>
        </w:rPr>
        <w:t>基本工资、津贴补贴、奖金、绩效工资、机关事业部门基本养老保险缴费、职业年金缴费、职工基本医疗保险缴费、住房公积金、其他社会保障缴费、其他工资福利支出、退休费、生活补助、其他对个人和家庭的补助支出。</w:t>
      </w:r>
    </w:p>
    <w:p>
      <w:pPr>
        <w:widowControl/>
        <w:spacing w:line="360" w:lineRule="auto"/>
        <w:ind w:firstLine="640" w:firstLineChars="200"/>
        <w:jc w:val="left"/>
        <w:rPr>
          <w:rFonts w:ascii="宋体" w:hAnsi="宋体" w:eastAsia="宋体"/>
          <w:sz w:val="32"/>
          <w:szCs w:val="32"/>
        </w:rPr>
      </w:pPr>
      <w:r>
        <w:rPr>
          <w:rFonts w:ascii="Times New Roman" w:eastAsia="仿宋_GB2312"/>
          <w:sz w:val="32"/>
          <w:szCs w:val="32"/>
        </w:rPr>
        <w:t>公用经费6.00万元，主要包括办公费、差旅费、</w:t>
      </w:r>
      <w:r>
        <w:rPr>
          <w:rFonts w:hint="eastAsia" w:ascii="Times New Roman" w:eastAsia="仿宋_GB2312"/>
          <w:sz w:val="32"/>
          <w:szCs w:val="32"/>
        </w:rPr>
        <w:t>维修（</w:t>
      </w:r>
      <w:r>
        <w:rPr>
          <w:rFonts w:hint="eastAsia" w:ascii="宋体" w:hAnsi="宋体" w:eastAsia="宋体"/>
          <w:sz w:val="32"/>
          <w:szCs w:val="32"/>
        </w:rPr>
        <w:t>护）费、</w:t>
      </w:r>
      <w:r>
        <w:rPr>
          <w:rFonts w:ascii="Times New Roman" w:eastAsia="仿宋_GB2312"/>
          <w:sz w:val="32"/>
          <w:szCs w:val="32"/>
        </w:rPr>
        <w:t>公务用车运行维护费</w:t>
      </w:r>
      <w:r>
        <w:rPr>
          <w:rFonts w:hint="eastAsia" w:ascii="宋体" w:hAnsi="宋体" w:eastAsia="宋体"/>
          <w:sz w:val="32"/>
          <w:szCs w:val="32"/>
        </w:rPr>
        <w:t>。</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line="360" w:lineRule="auto"/>
        <w:ind w:firstLine="640" w:firstLineChars="200"/>
        <w:jc w:val="left"/>
        <w:rPr>
          <w:rFonts w:ascii="宋体" w:hAnsi="宋体" w:eastAsia="宋体"/>
          <w:sz w:val="32"/>
          <w:szCs w:val="32"/>
        </w:rPr>
      </w:pPr>
      <w:r>
        <w:rPr>
          <w:rFonts w:ascii="Times New Roman" w:eastAsia="仿宋_GB2312"/>
          <w:sz w:val="32"/>
          <w:szCs w:val="32"/>
        </w:rPr>
        <w:t>本单位2024年度“三公”经费财政拨款支出预算为3.20万元，支出决算为3.20万元，完成预算的100.0%，较预算增加0.00万元，</w:t>
      </w:r>
      <w:r>
        <w:rPr>
          <w:rFonts w:hint="eastAsia" w:ascii="宋体" w:hAnsi="宋体" w:eastAsia="宋体"/>
          <w:sz w:val="32"/>
          <w:szCs w:val="32"/>
        </w:rPr>
        <w:t>与预算持平</w:t>
      </w:r>
      <w:r>
        <w:rPr>
          <w:rFonts w:ascii="Times New Roman" w:eastAsia="仿宋_GB2312"/>
          <w:sz w:val="32"/>
          <w:szCs w:val="32"/>
        </w:rPr>
        <w:t>；较2023年度决算减少4.70万元，降低59.5%，</w:t>
      </w:r>
      <w:r>
        <w:rPr>
          <w:rFonts w:ascii="宋体" w:hAnsi="宋体" w:eastAsia="宋体"/>
          <w:sz w:val="32"/>
          <w:szCs w:val="32"/>
        </w:rPr>
        <w:t>主要原因是</w:t>
      </w:r>
      <w:r>
        <w:rPr>
          <w:rFonts w:hint="eastAsia" w:ascii="宋体" w:hAnsi="宋体" w:eastAsia="宋体"/>
          <w:sz w:val="32"/>
          <w:szCs w:val="32"/>
        </w:rPr>
        <w:t>财政资金紧张，压缩各预算单位开支，消减预算单位收入指标</w:t>
      </w:r>
      <w:r>
        <w:rPr>
          <w:rFonts w:ascii="宋体" w:hAnsi="宋体" w:eastAsia="宋体"/>
          <w:sz w:val="32"/>
          <w:szCs w:val="32"/>
        </w:rPr>
        <w:t>。</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sz w:val="32"/>
          <w:szCs w:val="32"/>
        </w:rPr>
        <w:t>本单位2024年度因公出国（境）费支出预算为0.00万元,支出决算0.00万元。完成预算的0.0%。因公出国（境）费支出较预算增加0.00万元，</w:t>
      </w:r>
      <w:r>
        <w:rPr>
          <w:rFonts w:hint="eastAsia" w:ascii="Times New Roman" w:eastAsia="仿宋_GB2312"/>
          <w:sz w:val="32"/>
          <w:szCs w:val="32"/>
        </w:rPr>
        <w:t>与预算持平</w:t>
      </w:r>
      <w:r>
        <w:rPr>
          <w:rFonts w:ascii="Times New Roman" w:eastAsia="仿宋_GB2312"/>
          <w:sz w:val="32"/>
          <w:szCs w:val="32"/>
        </w:rPr>
        <w:t>；较上年增加0.00万元，增长0.00%,</w:t>
      </w:r>
      <w:r>
        <w:rPr>
          <w:rFonts w:hint="eastAsia" w:ascii="宋体" w:hAnsi="宋体" w:eastAsia="宋体"/>
          <w:sz w:val="32"/>
          <w:szCs w:val="32"/>
        </w:rPr>
        <w:t>与上年持平</w:t>
      </w:r>
      <w:r>
        <w:rPr>
          <w:rFonts w:ascii="Times New Roman" w:eastAsia="仿宋_GB2312"/>
          <w:sz w:val="32"/>
          <w:szCs w:val="32"/>
        </w:rPr>
        <w:t>。因公出国（境）团组0个、共0人、参加其他单位组织的因公出国（境）团组</w:t>
      </w:r>
      <w:r>
        <w:rPr>
          <w:rFonts w:hint="eastAsia" w:ascii="宋体" w:hAnsi="宋体" w:eastAsia="宋体"/>
          <w:sz w:val="32"/>
          <w:szCs w:val="32"/>
        </w:rPr>
        <w:t>0</w:t>
      </w:r>
      <w:r>
        <w:rPr>
          <w:rFonts w:ascii="Times New Roman" w:eastAsia="仿宋_GB2312"/>
          <w:sz w:val="32"/>
          <w:szCs w:val="32"/>
        </w:rPr>
        <w:t>个、共</w:t>
      </w:r>
      <w:r>
        <w:rPr>
          <w:rFonts w:hint="eastAsia" w:ascii="宋体" w:hAnsi="宋体" w:eastAsia="宋体"/>
          <w:sz w:val="32"/>
          <w:szCs w:val="32"/>
        </w:rPr>
        <w:t>0</w:t>
      </w:r>
      <w:r>
        <w:rPr>
          <w:rFonts w:ascii="Times New Roman" w:eastAsia="仿宋_GB2312"/>
          <w:sz w:val="32"/>
          <w:szCs w:val="32"/>
        </w:rPr>
        <w:t>人</w:t>
      </w:r>
      <w:r>
        <w:rPr>
          <w:rFonts w:hint="eastAsia" w:ascii="宋体" w:hAnsi="宋体" w:eastAsia="宋体"/>
          <w:sz w:val="32"/>
          <w:szCs w:val="32"/>
        </w:rPr>
        <w:t>，</w:t>
      </w:r>
      <w:r>
        <w:rPr>
          <w:rFonts w:ascii="Times New Roman" w:eastAsia="仿宋_GB2312"/>
          <w:sz w:val="32"/>
          <w:szCs w:val="32"/>
        </w:rPr>
        <w:t>无本部门组织的出国（境）团组。</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sz w:val="32"/>
          <w:szCs w:val="32"/>
        </w:rPr>
        <w:t>本单位2024年度公务用车购置及运行维护费预算为3.20万元，支出决算3.20万元，完成预算的100.0%,较预算增加0.00万元，增长0.0%,</w:t>
      </w:r>
      <w:r>
        <w:rPr>
          <w:rFonts w:hint="eastAsia" w:ascii="宋体" w:hAnsi="宋体" w:eastAsia="宋体"/>
          <w:sz w:val="32"/>
          <w:szCs w:val="32"/>
        </w:rPr>
        <w:t>与预算持平</w:t>
      </w:r>
      <w:r>
        <w:rPr>
          <w:rFonts w:ascii="Times New Roman" w:eastAsia="仿宋_GB2312"/>
          <w:sz w:val="32"/>
          <w:szCs w:val="32"/>
        </w:rPr>
        <w:t>；较上年减少3.20万元，降低50.0%,主要原因是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。其中：</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本单位2024年度公务用车购置量0辆，发生“公务用车购置”经费支出0.00万元。公务用车购置费支出较预算增加0.00万元，增长0.0%,</w:t>
      </w:r>
      <w:r>
        <w:rPr>
          <w:rFonts w:hint="eastAsia" w:ascii="Times New Roman" w:eastAsia="仿宋_GB2312"/>
          <w:sz w:val="32"/>
          <w:szCs w:val="32"/>
        </w:rPr>
        <w:t>与预算持平</w:t>
      </w:r>
      <w:r>
        <w:rPr>
          <w:rFonts w:ascii="Times New Roman" w:eastAsia="仿宋_GB2312"/>
          <w:sz w:val="32"/>
          <w:szCs w:val="32"/>
        </w:rPr>
        <w:t>；较上年增加0.00万元，增长0.00%,</w:t>
      </w:r>
      <w:r>
        <w:rPr>
          <w:rFonts w:hint="eastAsia" w:ascii="宋体" w:hAnsi="宋体" w:eastAsia="宋体"/>
          <w:sz w:val="32"/>
          <w:szCs w:val="32"/>
        </w:rPr>
        <w:t>与上年持平</w:t>
      </w:r>
      <w:r>
        <w:rPr>
          <w:rFonts w:ascii="Times New Roman" w:eastAsia="仿宋_GB2312"/>
          <w:sz w:val="32"/>
          <w:szCs w:val="32"/>
        </w:rPr>
        <w:t>。</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公务用车运行维护费支出3.20万元：</w:t>
      </w:r>
      <w:r>
        <w:rPr>
          <w:rFonts w:ascii="Times New Roman" w:eastAsia="仿宋_GB2312"/>
          <w:sz w:val="32"/>
          <w:szCs w:val="32"/>
        </w:rPr>
        <w:t>本单位2024年度单位公务用车保有量2辆，发生运行维护费支出3.20万元。公车运行维护费支出较预算增加0.00万元，增长0.0%,</w:t>
      </w:r>
      <w:r>
        <w:rPr>
          <w:rFonts w:hint="eastAsia" w:ascii="Times New Roman" w:eastAsia="仿宋_GB2312"/>
          <w:sz w:val="32"/>
          <w:szCs w:val="32"/>
        </w:rPr>
        <w:t>与预算持平</w:t>
      </w:r>
      <w:r>
        <w:rPr>
          <w:rFonts w:ascii="Times New Roman" w:eastAsia="仿宋_GB2312"/>
          <w:sz w:val="32"/>
          <w:szCs w:val="32"/>
        </w:rPr>
        <w:t>；较上年减少3.20万元，降低50.0%，主要原因是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本单位2024年度公务接待费支出预算为0.00万元，支出决算0.00万元，完成预算的0.0%。公务接待费支出较预算增加0.00万元，增长0.0%,</w:t>
      </w:r>
      <w:r>
        <w:rPr>
          <w:rFonts w:hint="eastAsia" w:ascii="Times New Roman" w:eastAsia="仿宋_GB2312"/>
          <w:sz w:val="32"/>
          <w:szCs w:val="32"/>
        </w:rPr>
        <w:t>与预算持平</w:t>
      </w:r>
      <w:r>
        <w:rPr>
          <w:rFonts w:ascii="Times New Roman" w:eastAsia="仿宋_GB2312"/>
          <w:sz w:val="32"/>
          <w:szCs w:val="32"/>
        </w:rPr>
        <w:t>；较上年度减少1.50万元，降低100.0%,主要原因是</w:t>
      </w:r>
      <w:r>
        <w:rPr>
          <w:rFonts w:hint="eastAsia" w:ascii="Times New Roman" w:eastAsia="仿宋_GB2312"/>
          <w:sz w:val="32"/>
          <w:szCs w:val="32"/>
        </w:rPr>
        <w:t>财政资金紧张，压缩各预算单位开支，消减预算单位收入指标</w:t>
      </w:r>
      <w:r>
        <w:rPr>
          <w:rFonts w:ascii="Times New Roman" w:eastAsia="仿宋_GB2312"/>
          <w:sz w:val="32"/>
          <w:szCs w:val="32"/>
        </w:rPr>
        <w:t>。本年度共发生公务接待0批次、0人次。</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pPr>
        <w:pStyle w:val="7"/>
        <w:spacing w:before="169" w:line="340" w:lineRule="auto"/>
        <w:ind w:left="331" w:right="271" w:firstLine="640"/>
        <w:rPr>
          <w:rFonts w:ascii="Times New Roman" w:eastAsia="仿宋_GB2312"/>
        </w:rPr>
      </w:pPr>
      <w:r>
        <w:rPr>
          <w:rFonts w:ascii="Times New Roman" w:eastAsia="仿宋_GB2312"/>
        </w:rPr>
        <w:t>本单位2024</w:t>
      </w:r>
      <w:r>
        <w:rPr>
          <w:rFonts w:hint="eastAsia"/>
        </w:rPr>
        <w:t>年度机关运行</w:t>
      </w:r>
      <w:r>
        <w:rPr>
          <w:rFonts w:hint="eastAsia" w:ascii="___WRD_EMBED_SUB_47" w:hAnsi="___WRD_EMBED_SUB_47" w:eastAsia="___WRD_EMBED_SUB_47" w:cs="___WRD_EMBED_SUB_47"/>
        </w:rPr>
        <w:t>经费</w:t>
      </w:r>
      <w:r>
        <w:rPr>
          <w:rFonts w:hint="eastAsia"/>
        </w:rPr>
        <w:t>支出</w:t>
      </w:r>
      <w:r>
        <w:rPr>
          <w:rFonts w:ascii="Times New Roman" w:eastAsia="仿宋_GB2312"/>
        </w:rPr>
        <w:t>0.00</w:t>
      </w:r>
      <w:r>
        <w:rPr>
          <w:rFonts w:hint="eastAsia"/>
        </w:rPr>
        <w:t>万元，较</w:t>
      </w:r>
      <w:r>
        <w:rPr>
          <w:rFonts w:ascii="Times New Roman" w:eastAsia="仿宋_GB2312"/>
        </w:rPr>
        <w:t>2023</w:t>
      </w:r>
      <w:r>
        <w:rPr>
          <w:rFonts w:hint="eastAsia"/>
        </w:rPr>
        <w:t>年度增加</w:t>
      </w:r>
      <w:r>
        <w:rPr>
          <w:rFonts w:ascii="Times New Roman" w:eastAsia="仿宋_GB2312"/>
        </w:rPr>
        <w:t>0.00</w:t>
      </w:r>
      <w:r>
        <w:rPr>
          <w:rFonts w:hint="eastAsia"/>
        </w:rPr>
        <w:t>万元，增长</w:t>
      </w:r>
      <w:r>
        <w:rPr>
          <w:rFonts w:ascii="Times New Roman" w:eastAsia="仿宋_GB2312"/>
        </w:rPr>
        <w:t>0.00%</w:t>
      </w:r>
      <w:r>
        <w:rPr>
          <w:rFonts w:hint="eastAsia"/>
        </w:rPr>
        <w:t>。主要原因是</w:t>
      </w:r>
      <w:r>
        <w:rPr>
          <w:rFonts w:ascii="Times New Roman" w:eastAsia="仿宋_GB2312"/>
        </w:rPr>
        <w:t>本单位性</w:t>
      </w:r>
      <w:r>
        <w:rPr>
          <w:rFonts w:hint="eastAsia"/>
        </w:rPr>
        <w:t>质非行政</w:t>
      </w:r>
      <w:r>
        <w:rPr>
          <w:rFonts w:hint="eastAsia" w:ascii="___WRD_EMBED_SUB_47" w:hAnsi="___WRD_EMBED_SUB_47" w:eastAsia="___WRD_EMBED_SUB_47" w:cs="___WRD_EMBED_SUB_47"/>
        </w:rPr>
        <w:t>单位</w:t>
      </w:r>
      <w:r>
        <w:rPr>
          <w:rFonts w:hint="eastAsia"/>
        </w:rPr>
        <w:t>和参照公务员管理事业</w:t>
      </w:r>
      <w:r>
        <w:rPr>
          <w:rFonts w:hint="eastAsia" w:ascii="___WRD_EMBED_SUB_47" w:hAnsi="___WRD_EMBED_SUB_47" w:eastAsia="___WRD_EMBED_SUB_47" w:cs="___WRD_EMBED_SUB_47"/>
        </w:rPr>
        <w:t>单位</w:t>
      </w:r>
      <w:r>
        <w:rPr>
          <w:rFonts w:hint="eastAsia"/>
        </w:rPr>
        <w:t>，故无机关运行</w:t>
      </w:r>
      <w:r>
        <w:rPr>
          <w:rFonts w:hint="eastAsia" w:ascii="___WRD_EMBED_SUB_47" w:hAnsi="___WRD_EMBED_SUB_47" w:eastAsia="___WRD_EMBED_SUB_47" w:cs="___WRD_EMBED_SUB_47"/>
        </w:rPr>
        <w:t>经费</w:t>
      </w:r>
      <w:r>
        <w:rPr>
          <w:rFonts w:hint="eastAsia"/>
        </w:rPr>
        <w:t>。</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2辆，比上年增加0辆，主要是。其中，副部（省）级及以上领导用车0辆，主要负责人用车0辆，机要通信用车0辆，应急保障用车1辆，执法执勤用车0辆，特种专业技术用车0辆，离退休干部用车0辆，其他用车1辆，其他用车主要是。单位价值100万元（含）以上设备（不含车辆）0台（套）。</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根据预算绩效管理要求，本单位组织对2024年度本级预算项目支出全面开展绩效自评，共涉及资金</w:t>
      </w:r>
      <w:r>
        <w:rPr>
          <w:rFonts w:hint="eastAsia" w:ascii="宋体" w:hAnsi="宋体" w:eastAsia="宋体"/>
          <w:sz w:val="32"/>
          <w:szCs w:val="32"/>
        </w:rPr>
        <w:t>0</w:t>
      </w:r>
      <w:r>
        <w:rPr>
          <w:rFonts w:ascii="Times New Roman" w:eastAsia="仿宋_GB2312"/>
          <w:sz w:val="32"/>
          <w:szCs w:val="32"/>
        </w:rPr>
        <w:t>万元（决算金额）。其中，一般公共预算项目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万元，占一般公共预算项目支出总额的</w:t>
      </w:r>
      <w:r>
        <w:rPr>
          <w:rFonts w:hint="eastAsia" w:ascii="宋体" w:hAnsi="宋体" w:eastAsia="宋体"/>
          <w:sz w:val="32"/>
          <w:szCs w:val="32"/>
        </w:rPr>
        <w:t>0</w:t>
      </w:r>
      <w:r>
        <w:rPr>
          <w:rFonts w:ascii="Times New Roman" w:eastAsia="仿宋_GB2312"/>
          <w:sz w:val="32"/>
          <w:szCs w:val="32"/>
        </w:rPr>
        <w:t>%；政府性基金预算项目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万元，占政府性基金预算项目支出总额的</w:t>
      </w:r>
      <w:r>
        <w:rPr>
          <w:rFonts w:hint="eastAsia" w:ascii="宋体" w:hAnsi="宋体" w:eastAsia="宋体"/>
          <w:sz w:val="32"/>
          <w:szCs w:val="32"/>
        </w:rPr>
        <w:t>0</w:t>
      </w:r>
      <w:r>
        <w:rPr>
          <w:rFonts w:ascii="Times New Roman" w:eastAsia="仿宋_GB2312"/>
          <w:sz w:val="32"/>
          <w:szCs w:val="32"/>
        </w:rPr>
        <w:t>%；国有资本经营预算项目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万元，占国有资本经营预算项目支出总额的</w:t>
      </w:r>
      <w:r>
        <w:rPr>
          <w:rFonts w:hint="eastAsia" w:ascii="宋体" w:hAnsi="宋体" w:eastAsia="宋体"/>
          <w:sz w:val="32"/>
          <w:szCs w:val="32"/>
        </w:rPr>
        <w:t>0</w:t>
      </w:r>
      <w:r>
        <w:rPr>
          <w:rFonts w:ascii="Times New Roman" w:eastAsia="仿宋_GB2312"/>
          <w:sz w:val="32"/>
          <w:szCs w:val="32"/>
        </w:rPr>
        <w:t>%。</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2024</w:t>
      </w:r>
      <w:r>
        <w:rPr>
          <w:rFonts w:hint="eastAsia" w:ascii="宋体" w:hAnsi="宋体" w:eastAsia="宋体"/>
          <w:sz w:val="32"/>
          <w:szCs w:val="32"/>
        </w:rPr>
        <w:t>年度</w:t>
      </w:r>
      <w:r>
        <w:rPr>
          <w:rFonts w:ascii="Times New Roman" w:eastAsia="仿宋_GB2312"/>
          <w:sz w:val="32"/>
          <w:szCs w:val="32"/>
        </w:rPr>
        <w:t>本单位在今年部门决算公开</w:t>
      </w:r>
      <w:r>
        <w:rPr>
          <w:rFonts w:hint="eastAsia" w:ascii="宋体" w:hAnsi="宋体" w:eastAsia="宋体"/>
          <w:sz w:val="32"/>
          <w:szCs w:val="32"/>
        </w:rPr>
        <w:t>中无项目支出，</w:t>
      </w:r>
      <w:r>
        <w:rPr>
          <w:rFonts w:ascii="Times New Roman" w:eastAsia="仿宋_GB2312"/>
          <w:sz w:val="32"/>
          <w:szCs w:val="32"/>
        </w:rPr>
        <w:t>反映</w:t>
      </w:r>
      <w:r>
        <w:rPr>
          <w:rFonts w:hint="eastAsia" w:ascii="宋体" w:hAnsi="宋体" w:eastAsia="宋体"/>
          <w:sz w:val="32"/>
          <w:szCs w:val="32"/>
        </w:rPr>
        <w:t>0</w:t>
      </w:r>
      <w:r>
        <w:rPr>
          <w:rFonts w:ascii="Times New Roman" w:eastAsia="仿宋_GB2312"/>
          <w:sz w:val="32"/>
          <w:szCs w:val="32"/>
        </w:rPr>
        <w:t>个项目绩效自评结果。</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r>
        <w:rPr>
          <w:rFonts w:hint="eastAsia" w:ascii="宋体" w:hAnsi="宋体" w:eastAsia="宋体"/>
          <w:b/>
          <w:sz w:val="32"/>
          <w:szCs w:val="32"/>
        </w:rPr>
        <w:t>无</w:t>
      </w:r>
      <w:r>
        <w:rPr>
          <w:rFonts w:ascii="Times New Roman" w:eastAsia="仿宋_GB2312"/>
          <w:b/>
          <w:sz w:val="32"/>
          <w:szCs w:val="32"/>
        </w:rPr>
        <w:t>）</w:t>
      </w:r>
    </w:p>
    <w:p>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1.本单位2024年度政府性基金预算财政拨款收入支出决算表（公开07表）、国有资本经营预算财政拨款支出决算表（公开08表）无相应收支，故空表列示。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NumType w:start="1"/>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3AD1C52-5B66-4075-BAAC-CCB6DBA24F73}"/>
  </w:font>
  <w:font w:name="黑体">
    <w:panose1 w:val="02010609060101010101"/>
    <w:charset w:val="86"/>
    <w:family w:val="auto"/>
    <w:pitch w:val="default"/>
    <w:sig w:usb0="800002BF" w:usb1="38CF7CFA" w:usb2="00000016" w:usb3="00000000" w:csb0="00040001" w:csb1="00000000"/>
    <w:embedRegular r:id="rId2" w:fontKey="{9EF95E68-D9DF-44AE-B14A-B933048FFE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AB054D0-AD53-4B8A-B371-489B29E29989}"/>
  </w:font>
  <w:font w:name="仿宋">
    <w:panose1 w:val="02010609060101010101"/>
    <w:charset w:val="86"/>
    <w:family w:val="modern"/>
    <w:pitch w:val="default"/>
    <w:sig w:usb0="800002BF" w:usb1="38CF7CFA" w:usb2="00000016" w:usb3="00000000" w:csb0="00040001" w:csb1="00000000"/>
    <w:embedRegular r:id="rId4" w:fontKey="{E69A963A-F8DA-41C0-9E17-C8C1178F0A95}"/>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5" w:fontKey="{0FDF5BE2-89DF-49A4-B388-D6550657AA68}"/>
  </w:font>
  <w:font w:name="方正小标宋_GBK">
    <w:panose1 w:val="02000000000000000000"/>
    <w:charset w:val="86"/>
    <w:family w:val="script"/>
    <w:pitch w:val="default"/>
    <w:sig w:usb0="A00002BF" w:usb1="38CF7CFA" w:usb2="00082016" w:usb3="00000000" w:csb0="00040001" w:csb1="00000000"/>
    <w:embedRegular r:id="rId6" w:fontKey="{B9718D02-3755-44EE-9410-79E30B00277B}"/>
  </w:font>
  <w:font w:name="仿宋_GB2312">
    <w:panose1 w:val="02010609030101010101"/>
    <w:charset w:val="86"/>
    <w:family w:val="modern"/>
    <w:pitch w:val="default"/>
    <w:sig w:usb0="00000001" w:usb1="080E0000" w:usb2="00000000" w:usb3="00000000" w:csb0="00040000" w:csb1="00000000"/>
    <w:embedRegular r:id="rId7" w:fontKey="{0D903735-FF7F-4987-9275-28C05FFC01BE}"/>
  </w:font>
  <w:font w:name="ArialUnicodeMS">
    <w:altName w:val="Malgun Gothic"/>
    <w:panose1 w:val="00000000000000000000"/>
    <w:charset w:val="81"/>
    <w:family w:val="auto"/>
    <w:pitch w:val="default"/>
    <w:sig w:usb0="00000000" w:usb1="00000000" w:usb2="00000010" w:usb3="00000000" w:csb0="00080001" w:csb1="00000000"/>
    <w:embedRegular r:id="rId8" w:fontKey="{D34FD037-477B-4CF6-99BE-86779CD3EB91}"/>
  </w:font>
  <w:font w:name="方正仿宋_GB2312">
    <w:altName w:val="仿宋"/>
    <w:panose1 w:val="00000000000000000000"/>
    <w:charset w:val="86"/>
    <w:family w:val="auto"/>
    <w:pitch w:val="default"/>
    <w:sig w:usb0="00000000" w:usb1="00000000" w:usb2="00000012" w:usb3="00000000" w:csb0="00040001" w:csb1="00000000"/>
    <w:embedRegular r:id="rId9" w:fontKey="{3A54AC96-A9D3-447E-A86C-13FE2E5F28FA}"/>
  </w:font>
  <w:font w:name="___WRD_EMBED_SUB_47">
    <w:panose1 w:val="02010609030101010101"/>
    <w:charset w:val="86"/>
    <w:family w:val="modern"/>
    <w:pitch w:val="default"/>
    <w:sig w:usb0="00000001" w:usb1="080E0000" w:usb2="00000000" w:usb3="00000000" w:csb0="00040000" w:csb1="00000000"/>
    <w:embedRegular r:id="rId10" w:fontKey="{4018D00F-CDFB-47CA-BBB2-A1983BD81202}"/>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p/>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4</w:t>
    </w:r>
    <w:r>
      <w:fldChar w:fldCharType="end"/>
    </w:r>
  </w:p>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985BBA"/>
    <w:rsid w:val="000326D3"/>
    <w:rsid w:val="00086151"/>
    <w:rsid w:val="001528B9"/>
    <w:rsid w:val="001B0A24"/>
    <w:rsid w:val="00236F8C"/>
    <w:rsid w:val="003F6DAA"/>
    <w:rsid w:val="004F570E"/>
    <w:rsid w:val="00571C68"/>
    <w:rsid w:val="006B6BF8"/>
    <w:rsid w:val="00762827"/>
    <w:rsid w:val="0076539C"/>
    <w:rsid w:val="007A61C5"/>
    <w:rsid w:val="007E4324"/>
    <w:rsid w:val="00822154"/>
    <w:rsid w:val="00892200"/>
    <w:rsid w:val="00931CBF"/>
    <w:rsid w:val="00982CE9"/>
    <w:rsid w:val="00985BBA"/>
    <w:rsid w:val="00BF324C"/>
    <w:rsid w:val="00C26659"/>
    <w:rsid w:val="00C65689"/>
    <w:rsid w:val="00CC2C8E"/>
    <w:rsid w:val="00D60C22"/>
    <w:rsid w:val="01A03C5A"/>
    <w:rsid w:val="01A5267D"/>
    <w:rsid w:val="01AF6A8D"/>
    <w:rsid w:val="024808A2"/>
    <w:rsid w:val="025C3821"/>
    <w:rsid w:val="02D819FD"/>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E3744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2335FE"/>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link w:val="26"/>
    <w:qFormat/>
    <w:uiPriority w:val="1"/>
    <w:pPr>
      <w:autoSpaceDE w:val="0"/>
      <w:autoSpaceDN w:val="0"/>
      <w:jc w:val="left"/>
    </w:pPr>
    <w:rPr>
      <w:rFonts w:ascii="宋体" w:hAnsi="宋体" w:eastAsia="宋体"/>
      <w:sz w:val="32"/>
      <w:szCs w:val="32"/>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character" w:customStyle="1" w:styleId="26">
    <w:name w:val="正文文本 Char"/>
    <w:basedOn w:val="14"/>
    <w:link w:val="7"/>
    <w:qFormat/>
    <w:uiPriority w:val="1"/>
    <w:rPr>
      <w:rFonts w:ascii="宋体" w:hAnsi="宋体" w:cs="宋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113.46</c:v>
                </c:pt>
                <c:pt idx="1">
                  <c:v>93.61</c:v>
                </c:pt>
              </c:numCache>
            </c:numRef>
          </c:val>
        </c:ser>
        <c:dLbls>
          <c:showLegendKey val="0"/>
          <c:showVal val="1"/>
          <c:showCatName val="0"/>
          <c:showSerName val="0"/>
          <c:showPercent val="0"/>
          <c:showBubbleSize val="0"/>
        </c:dLbls>
        <c:gapWidth val="246"/>
        <c:overlap val="-28"/>
        <c:axId val="150717568"/>
        <c:axId val="150719104"/>
      </c:barChart>
      <c:catAx>
        <c:axId val="150717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0719104"/>
        <c:crosses val="autoZero"/>
        <c:auto val="1"/>
        <c:lblAlgn val="ctr"/>
        <c:lblOffset val="100"/>
        <c:noMultiLvlLbl val="0"/>
      </c:catAx>
      <c:valAx>
        <c:axId val="15071910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071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6"/>
                  <c:y val="0.4491606459838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5"/>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936058.56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6"/>
                  <c:y val="0.71821036974079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936058.56</c:v>
                </c:pt>
                <c:pt idx="1">
                  <c:v>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113.46</c:v>
                </c:pt>
                <c:pt idx="1">
                  <c:v>113.46</c:v>
                </c:pt>
                <c:pt idx="2">
                  <c:v>113.46</c:v>
                </c:pt>
                <c:pt idx="3">
                  <c:v>113.46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93.61</c:v>
                </c:pt>
                <c:pt idx="1">
                  <c:v>93.61</c:v>
                </c:pt>
                <c:pt idx="2">
                  <c:v>93.61</c:v>
                </c:pt>
                <c:pt idx="3">
                  <c:v>93.61</c:v>
                </c:pt>
                <c:pt idx="4">
                  <c:v>0</c:v>
                </c:pt>
                <c:pt idx="5">
                  <c:v>0</c:v>
                </c:pt>
                <c:pt idx="6">
                  <c:v>0</c:v>
                </c:pt>
                <c:pt idx="7">
                  <c:v>0</c:v>
                </c:pt>
              </c:numCache>
            </c:numRef>
          </c:val>
        </c:ser>
        <c:dLbls>
          <c:showLegendKey val="0"/>
          <c:showVal val="1"/>
          <c:showCatName val="0"/>
          <c:showSerName val="0"/>
          <c:showPercent val="0"/>
          <c:showBubbleSize val="0"/>
        </c:dLbls>
        <c:gapWidth val="246"/>
        <c:overlap val="-28"/>
        <c:axId val="56980608"/>
        <c:axId val="56982144"/>
      </c:barChart>
      <c:catAx>
        <c:axId val="5698060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982144"/>
        <c:crosses val="autoZero"/>
        <c:auto val="1"/>
        <c:lblAlgn val="ctr"/>
        <c:lblOffset val="100"/>
        <c:noMultiLvlLbl val="0"/>
      </c:catAx>
      <c:valAx>
        <c:axId val="5698214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98060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5"/>
          <c:h val="0.474330641733958"/>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172.24</c:v>
                </c:pt>
                <c:pt idx="1">
                  <c:v>172.24</c:v>
                </c:pt>
                <c:pt idx="2">
                  <c:v>172.24</c:v>
                </c:pt>
                <c:pt idx="3">
                  <c:v>172.24</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93.61</c:v>
                </c:pt>
                <c:pt idx="1">
                  <c:v>93.61</c:v>
                </c:pt>
                <c:pt idx="2">
                  <c:v>93.61</c:v>
                </c:pt>
                <c:pt idx="3">
                  <c:v>93.61</c:v>
                </c:pt>
                <c:pt idx="4">
                  <c:v>0</c:v>
                </c:pt>
                <c:pt idx="5">
                  <c:v>0</c:v>
                </c:pt>
                <c:pt idx="6">
                  <c:v>0</c:v>
                </c:pt>
                <c:pt idx="7">
                  <c:v>0</c:v>
                </c:pt>
              </c:numCache>
            </c:numRef>
          </c:val>
        </c:ser>
        <c:dLbls>
          <c:showLegendKey val="0"/>
          <c:showVal val="1"/>
          <c:showCatName val="0"/>
          <c:showSerName val="0"/>
          <c:showPercent val="0"/>
          <c:showBubbleSize val="0"/>
        </c:dLbls>
        <c:gapWidth val="150"/>
        <c:axId val="108504960"/>
        <c:axId val="108506496"/>
      </c:barChart>
      <c:catAx>
        <c:axId val="1085049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506496"/>
        <c:crosses val="autoZero"/>
        <c:auto val="1"/>
        <c:lblAlgn val="ctr"/>
        <c:lblOffset val="100"/>
        <c:noMultiLvlLbl val="0"/>
      </c:catAx>
      <c:valAx>
        <c:axId val="10850649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50496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17.26</c:v>
                </c:pt>
                <c:pt idx="8">
                  <c:v>7.76</c:v>
                </c:pt>
                <c:pt idx="9">
                  <c:v>0</c:v>
                </c:pt>
                <c:pt idx="10">
                  <c:v>61.37</c:v>
                </c:pt>
                <c:pt idx="11">
                  <c:v>0</c:v>
                </c:pt>
                <c:pt idx="12">
                  <c:v>0</c:v>
                </c:pt>
                <c:pt idx="13">
                  <c:v>0</c:v>
                </c:pt>
                <c:pt idx="14">
                  <c:v>0</c:v>
                </c:pt>
                <c:pt idx="15">
                  <c:v>0</c:v>
                </c:pt>
                <c:pt idx="16">
                  <c:v>0</c:v>
                </c:pt>
                <c:pt idx="17">
                  <c:v>0</c:v>
                </c:pt>
                <c:pt idx="18">
                  <c:v>7.22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34</Pages>
  <Words>1876</Words>
  <Characters>10694</Characters>
  <Lines>89</Lines>
  <Paragraphs>25</Paragraphs>
  <TotalTime>62</TotalTime>
  <ScaleCrop>false</ScaleCrop>
  <LinksUpToDate>false</LinksUpToDate>
  <CharactersWithSpaces>12545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2025-10-13T08:44:00Z</dcterms:created>
  <dc:creator>王明新TIAD</dc:creator>
  <cp:lastModifiedBy>DELL</cp:lastModifiedBy>
  <cp:lastPrinted>2023-08-04T01:00:00Z</cp:lastPrinted>
  <dcterms:modified xsi:type="dcterms:W3CDTF">2025-11-13T03:17:26Z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22031E3401724E0EBDD5BD93CDA5440F</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