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  <w:t>秦皇岛市自然资源和规划局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  <w:t>关于开展青龙河自然资源确权登记的公告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  <w:t>（首次登记）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 w:firstLineChars="200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1"/>
          <w:szCs w:val="21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根据《自然资源统一确权登记暂行办法》的规定，经初步审核，拟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>以青龙河为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自然资源登记单元予以登记，现予公告，公告期为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highlight w:val="none"/>
          <w:lang w:val="en-US" w:eastAsia="zh-CN"/>
        </w:rPr>
        <w:t>2025年11月10日-2025年11月28日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。</w:t>
      </w:r>
    </w:p>
    <w:tbl>
      <w:tblPr>
        <w:tblStyle w:val="8"/>
        <w:tblW w:w="14537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45" w:type="dxa"/>
          <w:left w:w="75" w:type="dxa"/>
          <w:bottom w:w="45" w:type="dxa"/>
          <w:right w:w="75" w:type="dxa"/>
        </w:tblCellMar>
      </w:tblPr>
      <w:tblGrid>
        <w:gridCol w:w="1151"/>
        <w:gridCol w:w="2453"/>
        <w:gridCol w:w="1400"/>
        <w:gridCol w:w="1600"/>
        <w:gridCol w:w="3077"/>
        <w:gridCol w:w="485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192" w:hRule="atLeast"/>
        </w:trPr>
        <w:tc>
          <w:tcPr>
            <w:tcW w:w="11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登记单元名称</w:t>
            </w:r>
          </w:p>
        </w:tc>
        <w:tc>
          <w:tcPr>
            <w:tcW w:w="385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青龙河</w:t>
            </w:r>
          </w:p>
        </w:tc>
        <w:tc>
          <w:tcPr>
            <w:tcW w:w="1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登记单元号</w:t>
            </w:r>
          </w:p>
        </w:tc>
        <w:tc>
          <w:tcPr>
            <w:tcW w:w="793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130300331000005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1185" w:hRule="atLeast"/>
        </w:trPr>
        <w:tc>
          <w:tcPr>
            <w:tcW w:w="11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坐落</w:t>
            </w:r>
          </w:p>
        </w:tc>
        <w:tc>
          <w:tcPr>
            <w:tcW w:w="385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河北省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秦皇岛市青龙满族自治县、卢龙县</w:t>
            </w:r>
          </w:p>
        </w:tc>
        <w:tc>
          <w:tcPr>
            <w:tcW w:w="1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空间范围</w:t>
            </w:r>
          </w:p>
        </w:tc>
        <w:tc>
          <w:tcPr>
            <w:tcW w:w="793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12" w:hanging="412" w:hangingChars="200"/>
              <w:jc w:val="left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东：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大石岭乡、土门子镇、大巫岚镇、双山子镇、茨榆山乡、桃林口水库、刘家营乡、潘庄镇、卢龙镇、印庄乡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南：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卢龙镇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12" w:hanging="412" w:hangingChars="200"/>
              <w:jc w:val="left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西：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大石岭乡、土门子镇、大巫岚镇、双山子镇、朱杖子乡、桃林口水库、潘庄镇、卢龙镇、迁安市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北：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大石岭乡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237" w:hRule="atLeast"/>
        </w:trPr>
        <w:tc>
          <w:tcPr>
            <w:tcW w:w="11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登记单元总面积</w:t>
            </w:r>
          </w:p>
        </w:tc>
        <w:tc>
          <w:tcPr>
            <w:tcW w:w="385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2619.61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</w:t>
            </w:r>
          </w:p>
        </w:tc>
        <w:tc>
          <w:tcPr>
            <w:tcW w:w="1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国有面积</w:t>
            </w:r>
          </w:p>
        </w:tc>
        <w:tc>
          <w:tcPr>
            <w:tcW w:w="7933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2157.84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80" w:hRule="atLeast"/>
        </w:trPr>
        <w:tc>
          <w:tcPr>
            <w:tcW w:w="1151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国家所有自然资源权属状况</w:t>
            </w:r>
          </w:p>
        </w:tc>
        <w:tc>
          <w:tcPr>
            <w:tcW w:w="24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所有权人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全民</w:t>
            </w:r>
          </w:p>
        </w:tc>
        <w:tc>
          <w:tcPr>
            <w:tcW w:w="1600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自然状况</w:t>
            </w:r>
          </w:p>
        </w:tc>
        <w:tc>
          <w:tcPr>
            <w:tcW w:w="3077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主要自然资源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类型及面积</w:t>
            </w:r>
          </w:p>
        </w:tc>
        <w:tc>
          <w:tcPr>
            <w:tcW w:w="4856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水流资源：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1518.48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湿地资源：301.55公顷，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森林资源：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501.10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草原资源：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75.09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荒地资源：1.88公顷。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510" w:hRule="atLeast"/>
        </w:trPr>
        <w:tc>
          <w:tcPr>
            <w:tcW w:w="1151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所有者职责履行主体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自然资源部</w:t>
            </w:r>
          </w:p>
        </w:tc>
        <w:tc>
          <w:tcPr>
            <w:tcW w:w="1600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</w:p>
        </w:tc>
        <w:tc>
          <w:tcPr>
            <w:tcW w:w="3077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856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90" w:hRule="atLeast"/>
        </w:trPr>
        <w:tc>
          <w:tcPr>
            <w:tcW w:w="1151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所有者职责代理履行主体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秦皇岛市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人民政府</w:t>
            </w:r>
          </w:p>
        </w:tc>
        <w:tc>
          <w:tcPr>
            <w:tcW w:w="1600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0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其他类型面积</w:t>
            </w:r>
          </w:p>
        </w:tc>
        <w:tc>
          <w:tcPr>
            <w:tcW w:w="48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221.51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227965</wp:posOffset>
            </wp:positionV>
            <wp:extent cx="1440180" cy="1440180"/>
            <wp:effectExtent l="0" t="0" r="7620" b="7620"/>
            <wp:wrapNone/>
            <wp:docPr id="11" name="图片 11" descr="青龙河登记单元（130300331000005）自然资源登记单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青龙河登记单元（130300331000005）自然资源登记单元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如有异议，请在公告期内向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>秦皇岛市自然资源和规划局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递交书面异议材料及其证明材料。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地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址：秦皇岛市海港区迎宾路89号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联系电话：03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-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>3651622                                                    皇岛市自然资源和规划局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件：自然资源登记单元附图（扫二维码查看）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highlight w:val="none"/>
          <w:lang w:val="en-US" w:eastAsia="zh-CN"/>
        </w:rPr>
        <w:t xml:space="preserve">2025年11月9日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  <w:t>秦皇岛市自然资源和规划局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  <w:t>关于开展沙河自然资源确权登记的公告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9"/>
          <w:kern w:val="0"/>
          <w:sz w:val="52"/>
          <w:szCs w:val="52"/>
          <w:lang w:val="en-US" w:eastAsia="zh-CN"/>
        </w:rPr>
        <w:t>（首次登记）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 w:firstLineChars="200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1"/>
          <w:szCs w:val="21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根据《自然资源统一确权登记暂行办法》的规定，经初步审核，拟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>以沙河为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自然资源登记单元予以登记，现予公告，公告期为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highlight w:val="none"/>
          <w:lang w:val="en-US" w:eastAsia="zh-CN"/>
        </w:rPr>
        <w:t>2025年11月10日-2025年11月28日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。</w:t>
      </w:r>
    </w:p>
    <w:tbl>
      <w:tblPr>
        <w:tblStyle w:val="8"/>
        <w:tblW w:w="14537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45" w:type="dxa"/>
          <w:left w:w="75" w:type="dxa"/>
          <w:bottom w:w="45" w:type="dxa"/>
          <w:right w:w="75" w:type="dxa"/>
        </w:tblCellMar>
      </w:tblPr>
      <w:tblGrid>
        <w:gridCol w:w="1151"/>
        <w:gridCol w:w="3130"/>
        <w:gridCol w:w="1710"/>
        <w:gridCol w:w="1255"/>
        <w:gridCol w:w="2435"/>
        <w:gridCol w:w="485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192" w:hRule="atLeast"/>
        </w:trPr>
        <w:tc>
          <w:tcPr>
            <w:tcW w:w="11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登记单元名称</w:t>
            </w:r>
          </w:p>
        </w:tc>
        <w:tc>
          <w:tcPr>
            <w:tcW w:w="484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沙河</w:t>
            </w:r>
          </w:p>
        </w:tc>
        <w:tc>
          <w:tcPr>
            <w:tcW w:w="12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登记单元号</w:t>
            </w:r>
          </w:p>
        </w:tc>
        <w:tc>
          <w:tcPr>
            <w:tcW w:w="7291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130321331000001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1185" w:hRule="atLeast"/>
        </w:trPr>
        <w:tc>
          <w:tcPr>
            <w:tcW w:w="11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坐落</w:t>
            </w:r>
          </w:p>
        </w:tc>
        <w:tc>
          <w:tcPr>
            <w:tcW w:w="484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河北省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秦皇岛市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青龙满族自治县</w:t>
            </w:r>
          </w:p>
        </w:tc>
        <w:tc>
          <w:tcPr>
            <w:tcW w:w="12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空间范围</w:t>
            </w:r>
          </w:p>
        </w:tc>
        <w:tc>
          <w:tcPr>
            <w:tcW w:w="7291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东：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八道河镇、娄杖子镇、肖营子镇、七道河乡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南：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迁安市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西：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八道河镇、娄杖子镇、肖营子镇、七道河乡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北：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八道河镇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237" w:hRule="atLeast"/>
        </w:trPr>
        <w:tc>
          <w:tcPr>
            <w:tcW w:w="11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登记单元总面积</w:t>
            </w:r>
          </w:p>
        </w:tc>
        <w:tc>
          <w:tcPr>
            <w:tcW w:w="484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428.78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</w:t>
            </w:r>
          </w:p>
        </w:tc>
        <w:tc>
          <w:tcPr>
            <w:tcW w:w="12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国有面积</w:t>
            </w:r>
          </w:p>
        </w:tc>
        <w:tc>
          <w:tcPr>
            <w:tcW w:w="7291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420.38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480" w:hRule="atLeast"/>
        </w:trPr>
        <w:tc>
          <w:tcPr>
            <w:tcW w:w="1151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国家所有自然资源权属状况</w:t>
            </w:r>
          </w:p>
        </w:tc>
        <w:tc>
          <w:tcPr>
            <w:tcW w:w="3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所有权人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全民</w:t>
            </w:r>
          </w:p>
        </w:tc>
        <w:tc>
          <w:tcPr>
            <w:tcW w:w="1255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自然状况</w:t>
            </w:r>
          </w:p>
        </w:tc>
        <w:tc>
          <w:tcPr>
            <w:tcW w:w="2435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主要自然资源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类型及面积</w:t>
            </w:r>
          </w:p>
        </w:tc>
        <w:tc>
          <w:tcPr>
            <w:tcW w:w="4856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水流资源：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308.00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湿地资源：12.54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森林资源：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91.97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草原资源：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3.18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510" w:hRule="atLeast"/>
        </w:trPr>
        <w:tc>
          <w:tcPr>
            <w:tcW w:w="1151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7"/>
                <w:tab w:val="center" w:pos="11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所有者职责履行主体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自然资源部</w:t>
            </w:r>
          </w:p>
        </w:tc>
        <w:tc>
          <w:tcPr>
            <w:tcW w:w="1255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856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75" w:type="dxa"/>
            <w:bottom w:w="45" w:type="dxa"/>
            <w:right w:w="75" w:type="dxa"/>
          </w:tblCellMar>
        </w:tblPrEx>
        <w:trPr>
          <w:trHeight w:val="243" w:hRule="atLeast"/>
        </w:trPr>
        <w:tc>
          <w:tcPr>
            <w:tcW w:w="1151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所有者职责代理履行主体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秦皇岛市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人民政府</w:t>
            </w:r>
          </w:p>
        </w:tc>
        <w:tc>
          <w:tcPr>
            <w:tcW w:w="1255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其他类型面积</w:t>
            </w:r>
          </w:p>
        </w:tc>
        <w:tc>
          <w:tcPr>
            <w:tcW w:w="48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  <w:lang w:val="en-US" w:eastAsia="zh-CN"/>
              </w:rPr>
              <w:t>13.09</w:t>
            </w:r>
            <w:r>
              <w:rPr>
                <w:rFonts w:hint="eastAsia" w:ascii="宋体" w:hAnsi="宋体" w:eastAsia="宋体" w:cs="宋体"/>
                <w:spacing w:val="4"/>
                <w:w w:val="99"/>
                <w:kern w:val="0"/>
                <w:sz w:val="20"/>
                <w:szCs w:val="20"/>
              </w:rPr>
              <w:t>公顷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如有异议，请在公告期内向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>秦皇岛市自然资源和规划局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递交书面异议材料及其证明材料。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119380</wp:posOffset>
            </wp:positionV>
            <wp:extent cx="1440180" cy="1440180"/>
            <wp:effectExtent l="0" t="0" r="7620" b="7620"/>
            <wp:wrapNone/>
            <wp:docPr id="12" name="图片 12" descr="沙河登记单元（130321331000001）自然资源登记单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沙河登记单元（130321331000001）自然资源登记单元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地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址：秦皇岛市海港区迎宾路89号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联系电话：03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-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>3651622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</w:rPr>
        <w:t>件：自然资源登记单元附图（扫二维码查看）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lang w:val="en-US" w:eastAsia="zh-CN"/>
        </w:rPr>
        <w:t xml:space="preserve">秦皇岛市自然资源和规划局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w w:val="99"/>
          <w:kern w:val="0"/>
          <w:sz w:val="28"/>
          <w:szCs w:val="28"/>
          <w:highlight w:val="none"/>
          <w:lang w:val="en-US" w:eastAsia="zh-CN"/>
        </w:rPr>
        <w:t xml:space="preserve">2025年11月9日 </w:t>
      </w:r>
      <w:bookmarkStart w:id="0" w:name="_GoBack"/>
      <w:bookmarkEnd w:id="0"/>
    </w:p>
    <w:sectPr>
      <w:pgSz w:w="16838" w:h="11906" w:orient="landscape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OGU1NGRiMWJkMTllOTBmOTBlNzQxYzdlNTBjMDUifQ=="/>
  </w:docVars>
  <w:rsids>
    <w:rsidRoot w:val="0019677A"/>
    <w:rsid w:val="000565A4"/>
    <w:rsid w:val="000B6E1B"/>
    <w:rsid w:val="001311C8"/>
    <w:rsid w:val="001657D2"/>
    <w:rsid w:val="0019677A"/>
    <w:rsid w:val="002F6141"/>
    <w:rsid w:val="0036386E"/>
    <w:rsid w:val="003E56A5"/>
    <w:rsid w:val="005A4D28"/>
    <w:rsid w:val="00712475"/>
    <w:rsid w:val="00817FB2"/>
    <w:rsid w:val="008A24E7"/>
    <w:rsid w:val="008F110D"/>
    <w:rsid w:val="0090028F"/>
    <w:rsid w:val="00917CA4"/>
    <w:rsid w:val="009B3476"/>
    <w:rsid w:val="00CA0B93"/>
    <w:rsid w:val="00CB637D"/>
    <w:rsid w:val="00CF5BC4"/>
    <w:rsid w:val="00D45B59"/>
    <w:rsid w:val="00D679BF"/>
    <w:rsid w:val="00D71084"/>
    <w:rsid w:val="00F67B35"/>
    <w:rsid w:val="028E3199"/>
    <w:rsid w:val="03987E89"/>
    <w:rsid w:val="0763383D"/>
    <w:rsid w:val="087667CC"/>
    <w:rsid w:val="09256159"/>
    <w:rsid w:val="09656803"/>
    <w:rsid w:val="096F3207"/>
    <w:rsid w:val="0998735B"/>
    <w:rsid w:val="0AAF1EFF"/>
    <w:rsid w:val="0BA56E63"/>
    <w:rsid w:val="0CE67CA9"/>
    <w:rsid w:val="0FCA42ED"/>
    <w:rsid w:val="0FD51009"/>
    <w:rsid w:val="0FE23118"/>
    <w:rsid w:val="10A80010"/>
    <w:rsid w:val="11822C48"/>
    <w:rsid w:val="122F07E2"/>
    <w:rsid w:val="12686F9E"/>
    <w:rsid w:val="153F0B74"/>
    <w:rsid w:val="1666530C"/>
    <w:rsid w:val="16686E3E"/>
    <w:rsid w:val="180F037C"/>
    <w:rsid w:val="1C0C55A7"/>
    <w:rsid w:val="1E400757"/>
    <w:rsid w:val="1E9E4721"/>
    <w:rsid w:val="1EA01E32"/>
    <w:rsid w:val="21045513"/>
    <w:rsid w:val="226547A1"/>
    <w:rsid w:val="23A5630C"/>
    <w:rsid w:val="26BC17D3"/>
    <w:rsid w:val="29110188"/>
    <w:rsid w:val="2922399D"/>
    <w:rsid w:val="2B685DF4"/>
    <w:rsid w:val="2BE33A35"/>
    <w:rsid w:val="2DC64D36"/>
    <w:rsid w:val="310503CC"/>
    <w:rsid w:val="32F04CDF"/>
    <w:rsid w:val="34D2441F"/>
    <w:rsid w:val="362D5200"/>
    <w:rsid w:val="3717792E"/>
    <w:rsid w:val="395075E8"/>
    <w:rsid w:val="395D11D4"/>
    <w:rsid w:val="3BAC39C0"/>
    <w:rsid w:val="3DF06A2B"/>
    <w:rsid w:val="3DF576E7"/>
    <w:rsid w:val="3E495904"/>
    <w:rsid w:val="3FA6322C"/>
    <w:rsid w:val="41CB62D9"/>
    <w:rsid w:val="42C25350"/>
    <w:rsid w:val="45747170"/>
    <w:rsid w:val="46431172"/>
    <w:rsid w:val="47687691"/>
    <w:rsid w:val="494939DC"/>
    <w:rsid w:val="49823215"/>
    <w:rsid w:val="4B75405F"/>
    <w:rsid w:val="4CD12BC1"/>
    <w:rsid w:val="4D2C295F"/>
    <w:rsid w:val="4EAB21F5"/>
    <w:rsid w:val="4FEB4901"/>
    <w:rsid w:val="51132812"/>
    <w:rsid w:val="51451264"/>
    <w:rsid w:val="516344DE"/>
    <w:rsid w:val="51B5729C"/>
    <w:rsid w:val="55B232BA"/>
    <w:rsid w:val="57427F1D"/>
    <w:rsid w:val="5808123C"/>
    <w:rsid w:val="595D2267"/>
    <w:rsid w:val="59DD74BB"/>
    <w:rsid w:val="5A692AB1"/>
    <w:rsid w:val="5B0E1355"/>
    <w:rsid w:val="5BC21BFB"/>
    <w:rsid w:val="5F012B8C"/>
    <w:rsid w:val="5F99243A"/>
    <w:rsid w:val="60FE550C"/>
    <w:rsid w:val="61B60969"/>
    <w:rsid w:val="61F73668"/>
    <w:rsid w:val="63570BE4"/>
    <w:rsid w:val="63D220EF"/>
    <w:rsid w:val="67367D55"/>
    <w:rsid w:val="67D7796D"/>
    <w:rsid w:val="69AC6B0A"/>
    <w:rsid w:val="69F93EB2"/>
    <w:rsid w:val="6C0A0384"/>
    <w:rsid w:val="6E5E28B6"/>
    <w:rsid w:val="6F6B6EC0"/>
    <w:rsid w:val="70B62F5D"/>
    <w:rsid w:val="71B913ED"/>
    <w:rsid w:val="72710829"/>
    <w:rsid w:val="73FB225F"/>
    <w:rsid w:val="78D9030C"/>
    <w:rsid w:val="7F51408F"/>
    <w:rsid w:val="7F5E7928"/>
    <w:rsid w:val="7FCF49F7"/>
    <w:rsid w:val="7F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3942</Words>
  <Characters>4507</Characters>
  <Lines>3</Lines>
  <Paragraphs>1</Paragraphs>
  <TotalTime>9</TotalTime>
  <ScaleCrop>false</ScaleCrop>
  <LinksUpToDate>false</LinksUpToDate>
  <CharactersWithSpaces>4788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2020-12-15T02:21:00Z</dcterms:created>
  <dc:creator>Zack</dc:creator>
  <cp:lastModifiedBy>DELL</cp:lastModifiedBy>
  <cp:lastPrinted>2021-03-09T02:28:00Z</cp:lastPrinted>
  <dcterms:modified xsi:type="dcterms:W3CDTF">2025-11-10T01:39:29Z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9F3136407DEC4817B481B9A8B79A82D4</vt:lpwstr>
  </property>
</Properties>
</file>