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434004</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：青龙满族自治县防贫中心</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青龙满族自治县防贫中心</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青龙满族自治县防贫中心(单位名称，加盖公章）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sz w:val="32"/>
          <w:szCs w:val="32"/>
        </w:rPr>
      </w:pPr>
      <w:r>
        <w:rPr>
          <w:rFonts w:hint="eastAsia" w:ascii="仿宋" w:hAnsi="仿宋" w:eastAsia="仿宋"/>
          <w:sz w:val="32"/>
          <w:szCs w:val="32"/>
          <w:lang w:val="en-US" w:eastAsia="zh-CN"/>
        </w:rPr>
        <w:t>(一)、</w:t>
      </w:r>
      <w:r>
        <w:rPr>
          <w:rFonts w:hint="eastAsia" w:ascii="仿宋" w:hAnsi="仿宋" w:eastAsia="仿宋"/>
          <w:sz w:val="32"/>
          <w:szCs w:val="32"/>
        </w:rPr>
        <w:t>承担防贫监测对象识别认定和标注退出、防贫监测和帮扶工作绩效考核的事务性</w:t>
      </w:r>
      <w:r>
        <w:rPr>
          <w:rFonts w:hint="eastAsia" w:ascii="仿宋" w:hAnsi="仿宋" w:eastAsia="仿宋"/>
          <w:sz w:val="32"/>
          <w:szCs w:val="32"/>
          <w:lang w:eastAsia="zh-CN"/>
        </w:rPr>
        <w:t>、</w:t>
      </w:r>
      <w:r>
        <w:rPr>
          <w:rFonts w:hint="eastAsia" w:ascii="仿宋" w:hAnsi="仿宋" w:eastAsia="仿宋"/>
          <w:sz w:val="32"/>
          <w:szCs w:val="32"/>
        </w:rPr>
        <w:t>辅助性工作；</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sz w:val="32"/>
          <w:szCs w:val="32"/>
          <w:lang w:val="en-US"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二)</w:t>
      </w:r>
      <w:r>
        <w:rPr>
          <w:rFonts w:hint="eastAsia" w:ascii="仿宋" w:hAnsi="仿宋" w:eastAsia="仿宋"/>
          <w:sz w:val="32"/>
          <w:szCs w:val="32"/>
        </w:rPr>
        <w:t>负责组织建立防贫监测对象和帮扶工作台</w:t>
      </w:r>
      <w:r>
        <w:rPr>
          <w:rFonts w:hint="eastAsia" w:ascii="仿宋" w:hAnsi="仿宋" w:eastAsia="仿宋"/>
          <w:sz w:val="32"/>
          <w:szCs w:val="32"/>
          <w:lang w:val="en-US" w:eastAsia="zh-CN"/>
        </w:rPr>
        <w:t>账</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ascii="仿宋_GB2312" w:eastAsia="仿宋" w:cs="ArialUnicodeMS"/>
          <w:kern w:val="0"/>
          <w:sz w:val="32"/>
          <w:szCs w:val="32"/>
          <w:highlight w:val="yellow"/>
        </w:rPr>
      </w:pPr>
      <w:r>
        <w:rPr>
          <w:rFonts w:hint="eastAsia" w:ascii="仿宋" w:hAnsi="仿宋" w:eastAsia="仿宋"/>
          <w:sz w:val="32"/>
          <w:szCs w:val="32"/>
          <w:lang w:eastAsia="zh-CN"/>
        </w:rPr>
        <w:t>（</w:t>
      </w:r>
      <w:r>
        <w:rPr>
          <w:rFonts w:hint="eastAsia" w:ascii="仿宋" w:hAnsi="仿宋" w:eastAsia="仿宋"/>
          <w:sz w:val="32"/>
          <w:szCs w:val="32"/>
          <w:lang w:val="en-US" w:eastAsia="zh-CN"/>
        </w:rPr>
        <w:t>三）</w:t>
      </w:r>
      <w:r>
        <w:rPr>
          <w:rFonts w:hint="eastAsia" w:ascii="仿宋" w:hAnsi="仿宋" w:eastAsia="仿宋"/>
          <w:sz w:val="32"/>
          <w:szCs w:val="32"/>
        </w:rPr>
        <w:t>负责防贫大数据监测和帮扶工作平台的运行管理</w:t>
      </w:r>
      <w:r>
        <w:rPr>
          <w:rFonts w:hint="eastAsia" w:ascii="仿宋" w:hAnsi="仿宋" w:eastAsia="仿宋"/>
          <w:sz w:val="32"/>
          <w:szCs w:val="32"/>
          <w:lang w:eastAsia="zh-CN"/>
        </w:rPr>
        <w:t>，</w:t>
      </w:r>
      <w:r>
        <w:rPr>
          <w:rFonts w:hint="eastAsia" w:ascii="仿宋" w:hAnsi="仿宋" w:eastAsia="仿宋"/>
          <w:sz w:val="32"/>
          <w:szCs w:val="32"/>
          <w:lang w:val="en-US" w:eastAsia="zh-CN"/>
        </w:rPr>
        <w:t>组织</w:t>
      </w:r>
      <w:r>
        <w:rPr>
          <w:rFonts w:hint="eastAsia" w:ascii="仿宋" w:hAnsi="仿宋" w:eastAsia="仿宋"/>
          <w:sz w:val="32"/>
          <w:szCs w:val="32"/>
        </w:rPr>
        <w:t>好相关信息采集录入、数据分析与系统维护工作。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青龙满族自治县防贫中心</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部门（单位）：青龙满族自治县防贫中心</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部门（单位）：青龙满族自治县防贫中心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155.25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155.25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巩固拓展脱贫攻坚成果衔接乡村振兴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134.05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其他巩固拓展脱贫攻坚成果衔接乡村振兴支出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部门（单位）：青龙满族自治县防贫中心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92.75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巩固拓展脱贫攻坚成果衔接乡村振兴</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2130550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其他巩固拓展脱贫攻坚成果衔接乡村振兴支出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部门（单位）：青龙满族自治县防贫中心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134.05</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134.05</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155.25</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编制部门（单位）：青龙满族自治县防贫中心</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92.75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巩固拓展脱贫攻坚成果衔接乡村振兴</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134.05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2130550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其他巩固拓展脱贫攻坚成果衔接乡村振兴支出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bookmarkStart w:id="0" w:name="_GoBack"/>
      <w:bookmarkEnd w:id="0"/>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部门（单位）：青龙满族自治县防贫中心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88.57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23.73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88.57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部门（单位）：青龙满族自治县防贫中心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部门（单位）：青龙满族自治县防贫中心</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部门（单位）：青龙满族自治县防贫中心</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rPr>
        <w:t>本单位2024年度收、支总计（含结转和结余）均为155.25万元。与2023年度决算相比，收支各增加33.30万元，增长27.3%，主要原因是</w:t>
      </w:r>
      <w:r>
        <w:rPr>
          <w:rFonts w:hint="eastAsia" w:ascii="Times New Roman" w:eastAsia="仿宋_GB2312"/>
          <w:b w:val="0"/>
          <w:sz w:val="32"/>
          <w:szCs w:val="32"/>
          <w:highlight w:val="none"/>
          <w:lang w:val="en-US" w:eastAsia="zh-CN"/>
        </w:rPr>
        <w:t>项目支出增加、人员经费支出增加</w:t>
      </w:r>
      <w:r>
        <w:rPr>
          <w:rFonts w:ascii="Times New Roman" w:eastAsia="仿宋_GB2312"/>
          <w:b w:val="0"/>
          <w:sz w:val="32"/>
          <w:szCs w:val="32"/>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155.25万元，其中：财政拨款收入155.25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本单位2024年度本年支出合计155.25万元，其中：基本支出92.75万元，占59.7%；项目支出62.50万元，占40.3%；上缴上级支出0.00万元，占0.0%；经营支出0.00万元，占0.0%；对附属单位补助支出0.00万元，占0.0%。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本单位2024年度财政拨款收、支总计（含结转和结余）均为155.25万元。与2023年度相比，财政拨款收支各增加33.30万元，增长27.3%，主要原因是</w:t>
      </w:r>
      <w:r>
        <w:rPr>
          <w:rFonts w:hint="eastAsia" w:ascii="Times New Roman" w:eastAsia="仿宋_GB2312"/>
          <w:b w:val="0"/>
          <w:sz w:val="32"/>
          <w:szCs w:val="32"/>
          <w:lang w:val="en-US" w:eastAsia="zh-CN"/>
        </w:rPr>
        <w:t>项目支出增加、人员经费支出增加。</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本单位2024年度财政拨款本年收入155.25万元,比上年增加33.30万元，增长27.3%，主要原因是；本年支出155.25万元，比上年增加33.30万元，增长27.3%，主要原因是。具体情况如下：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一般公共预算财政拨款本年收入155.25万元,比上年增加36.30万元，增长30.5%，主要原因是；</w:t>
      </w:r>
      <w:r>
        <w:rPr>
          <w:rFonts w:hint="eastAsia" w:ascii="Times New Roman" w:eastAsia="仿宋_GB2312"/>
          <w:b w:val="0"/>
          <w:sz w:val="32"/>
          <w:szCs w:val="32"/>
          <w:lang w:val="en-US" w:eastAsia="zh-CN"/>
        </w:rPr>
        <w:t>项目支出增加、人员支出增加。</w:t>
      </w:r>
      <w:r>
        <w:rPr>
          <w:rFonts w:ascii="Times New Roman" w:eastAsia="仿宋_GB2312"/>
          <w:b w:val="0"/>
          <w:sz w:val="32"/>
          <w:szCs w:val="32"/>
        </w:rPr>
        <w:t>本年支出155.25万元，比上年增加36.30万元，增长30.5%，主要原因是</w:t>
      </w:r>
      <w:r>
        <w:rPr>
          <w:rFonts w:hint="eastAsia" w:ascii="Times New Roman" w:eastAsia="仿宋_GB2312"/>
          <w:b w:val="0"/>
          <w:sz w:val="32"/>
          <w:szCs w:val="32"/>
          <w:lang w:val="en-US" w:eastAsia="zh-CN"/>
        </w:rPr>
        <w:t>项目支出增加、人员经费支出增加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政府性基金预算财政拨款本年收入0.00万元，比上年减少3.00万元，降低100.0%，主要原因是</w:t>
      </w:r>
      <w:r>
        <w:rPr>
          <w:rFonts w:hint="eastAsia" w:ascii="Times New Roman" w:eastAsia="仿宋_GB2312"/>
          <w:b w:val="0"/>
          <w:sz w:val="32"/>
          <w:szCs w:val="32"/>
          <w:lang w:val="en-US" w:eastAsia="zh-CN"/>
        </w:rPr>
        <w:t>项目支出改为一般公共预算支出</w:t>
      </w:r>
      <w:r>
        <w:rPr>
          <w:rFonts w:ascii="Times New Roman" w:eastAsia="仿宋_GB2312"/>
          <w:b w:val="0"/>
          <w:sz w:val="32"/>
          <w:szCs w:val="32"/>
        </w:rPr>
        <w:t>；本年支出0.00万元，比上年减少3.00万元，降低100.0%，主要原因是</w:t>
      </w:r>
      <w:r>
        <w:rPr>
          <w:rFonts w:hint="eastAsia" w:ascii="Times New Roman" w:eastAsia="仿宋_GB2312"/>
          <w:b w:val="0"/>
          <w:sz w:val="32"/>
          <w:szCs w:val="32"/>
          <w:lang w:val="en-US" w:eastAsia="zh-CN"/>
        </w:rPr>
        <w:t>项目支出改为一般公共预算支出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国有资本经营预算财政拨款本年收入0.00万元，比上年增加0.00万元，增长0.00%；本年支出0.00万元，比上年增加0.00万元，增长0.00%。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155.25万元，完成年初预算的114.2%，比年初预算增加19.25万元，决算数大于预算数主要原因是；本年支出155.25万元，完成年初预算的114.2%，比年初预算增加19.25万元，决算数大于预算数主要原因是</w:t>
      </w:r>
      <w:r>
        <w:rPr>
          <w:rFonts w:hint="eastAsia" w:ascii="Times New Roman" w:eastAsia="仿宋_GB2312"/>
          <w:b w:val="0"/>
          <w:sz w:val="32"/>
          <w:szCs w:val="32"/>
          <w:lang w:val="en-US" w:eastAsia="zh-CN"/>
        </w:rPr>
        <w:t>项目支出增加</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一般公共预算财政拨款本年收入完成年初预算的114.2%，比年初预算增加19.25万元，主要原因是</w:t>
      </w:r>
      <w:r>
        <w:rPr>
          <w:rFonts w:hint="eastAsia" w:ascii="Times New Roman" w:eastAsia="仿宋_GB2312"/>
          <w:b w:val="0"/>
          <w:sz w:val="32"/>
          <w:szCs w:val="32"/>
          <w:lang w:val="en-US" w:eastAsia="zh-CN"/>
        </w:rPr>
        <w:t>项目增加</w:t>
      </w:r>
      <w:r>
        <w:rPr>
          <w:rFonts w:ascii="Times New Roman" w:eastAsia="仿宋_GB2312"/>
          <w:b w:val="0"/>
          <w:sz w:val="32"/>
          <w:szCs w:val="32"/>
        </w:rPr>
        <w:t>；支出完成年初预算的114.2%，比年初预算增加19.25万元，主要原因是</w:t>
      </w:r>
      <w:r>
        <w:rPr>
          <w:rFonts w:hint="eastAsia" w:ascii="Times New Roman" w:eastAsia="仿宋_GB2312"/>
          <w:b w:val="0"/>
          <w:sz w:val="32"/>
          <w:szCs w:val="32"/>
          <w:lang w:val="en-US" w:eastAsia="zh-CN"/>
        </w:rPr>
        <w:t>项目支出增加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政府性基金预算财政拨款本年收入完成年初预算的0.0%，比年初预算增加0.00万元；支出完成年初预算的0.0%，比年初预算增加0.00万元。</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国有资本经营预算财政拨款本年收入完成年初预算的0.0%，比年初预算增加0.00万元；支出完成年初预算的0.0%，比年初预算增加0.00万元是。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2024年度财政拨款支出155.25万元，主要用于以下方面：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社会保障和就业 （类）支出10.35万元，占6.7%，主要用于</w:t>
      </w:r>
      <w:r>
        <w:rPr>
          <w:rFonts w:hint="eastAsia" w:ascii="Times New Roman" w:eastAsia="仿宋_GB2312"/>
          <w:b w:val="0"/>
          <w:sz w:val="32"/>
          <w:szCs w:val="32"/>
          <w:lang w:val="en-US" w:eastAsia="zh-CN"/>
        </w:rPr>
        <w:t>养老保险缴费</w:t>
      </w:r>
      <w:r>
        <w:rPr>
          <w:rFonts w:ascii="Times New Roman" w:eastAsia="仿宋_GB2312"/>
          <w:b w:val="0"/>
          <w:sz w:val="32"/>
          <w:szCs w:val="32"/>
        </w:rPr>
        <w:t>等支出；卫生健康（类）支出5.53万元，占3.6%，主要用于</w:t>
      </w:r>
      <w:r>
        <w:rPr>
          <w:rFonts w:hint="eastAsia" w:ascii="Times New Roman" w:eastAsia="仿宋_GB2312"/>
          <w:b w:val="0"/>
          <w:sz w:val="32"/>
          <w:szCs w:val="32"/>
          <w:lang w:val="en-US" w:eastAsia="zh-CN"/>
        </w:rPr>
        <w:t>医疗保险缴费</w:t>
      </w:r>
      <w:r>
        <w:rPr>
          <w:rFonts w:ascii="Times New Roman" w:eastAsia="仿宋_GB2312"/>
          <w:b w:val="0"/>
          <w:sz w:val="32"/>
          <w:szCs w:val="32"/>
        </w:rPr>
        <w:t>等支出；农林水（类）支出134.05万元，占86.3%，主要用于等</w:t>
      </w:r>
      <w:r>
        <w:rPr>
          <w:rFonts w:hint="eastAsia" w:ascii="Times New Roman" w:eastAsia="仿宋_GB2312"/>
          <w:b w:val="0"/>
          <w:sz w:val="32"/>
          <w:szCs w:val="32"/>
          <w:lang w:val="en-US" w:eastAsia="zh-CN"/>
        </w:rPr>
        <w:t>项目支出以及人员经费</w:t>
      </w:r>
      <w:r>
        <w:rPr>
          <w:rFonts w:ascii="Times New Roman" w:eastAsia="仿宋_GB2312"/>
          <w:b w:val="0"/>
          <w:sz w:val="32"/>
          <w:szCs w:val="32"/>
        </w:rPr>
        <w:t>支出；住房保障（类）支出5.32万元，占3.4%，主要用于</w:t>
      </w:r>
      <w:r>
        <w:rPr>
          <w:rFonts w:hint="eastAsia" w:ascii="Times New Roman" w:eastAsia="仿宋_GB2312"/>
          <w:b w:val="0"/>
          <w:sz w:val="32"/>
          <w:szCs w:val="32"/>
          <w:lang w:val="en-US" w:eastAsia="zh-CN"/>
        </w:rPr>
        <w:t>缴纳住房公积金费用等</w:t>
      </w:r>
      <w:r>
        <w:rPr>
          <w:rFonts w:ascii="Times New Roman" w:eastAsia="仿宋_GB2312"/>
          <w:b w:val="0"/>
          <w:sz w:val="32"/>
          <w:szCs w:val="32"/>
        </w:rPr>
        <w:t>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2024年度财政拨款基本支出92.75万元，其中：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人员经费88.57万元，主要包括基本工资、津贴补贴、绩效工资、机关事业部门基本养老保险缴费、职工基本医疗保险缴费、住房公积金、其他社会保障缴费支出。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公用经费4.18万元，主要包括办公费</w:t>
      </w:r>
      <w:r>
        <w:rPr>
          <w:rFonts w:hint="eastAsia" w:ascii="Times New Roman" w:eastAsia="仿宋_GB2312"/>
          <w:b w:val="0"/>
          <w:sz w:val="32"/>
          <w:szCs w:val="32"/>
          <w:lang w:eastAsia="zh-CN"/>
        </w:rPr>
        <w:t>、</w:t>
      </w:r>
      <w:r>
        <w:rPr>
          <w:rFonts w:ascii="Times New Roman" w:eastAsia="仿宋_GB2312"/>
          <w:b w:val="0"/>
          <w:sz w:val="32"/>
          <w:szCs w:val="32"/>
        </w:rPr>
        <w:t>其他交通费用支出。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本单位2024年度“三公”经费财政拨款支出预算为0.00万元，支出决算为0.00万元，完成预算的0.0%，较预算增加0.00万元，增长0.0%，主要原因是</w:t>
      </w:r>
      <w:r>
        <w:rPr>
          <w:rFonts w:hint="eastAsia" w:ascii="Times New Roman" w:eastAsia="仿宋_GB2312"/>
          <w:b w:val="0"/>
          <w:sz w:val="32"/>
          <w:szCs w:val="32"/>
          <w:lang w:val="en-US" w:eastAsia="zh-CN"/>
        </w:rPr>
        <w:t>本单位2023年、2024年均未安排三公经费支出。</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本单位2023年、2024年均未安排三公经费支出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个、无本</w:t>
      </w:r>
      <w:r>
        <w:rPr>
          <w:rFonts w:hint="eastAsia" w:ascii="Times New Roman" w:eastAsia="仿宋_GB2312"/>
          <w:b w:val="0"/>
          <w:sz w:val="32"/>
          <w:szCs w:val="32"/>
          <w:lang w:val="en-US" w:eastAsia="zh-CN"/>
        </w:rPr>
        <w:t>单位</w:t>
      </w:r>
      <w:r>
        <w:rPr>
          <w:rFonts w:ascii="Times New Roman" w:eastAsia="仿宋_GB2312"/>
          <w:b w:val="0"/>
          <w:sz w:val="32"/>
          <w:szCs w:val="32"/>
        </w:rPr>
        <w:t>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本单位2024年度公务用车购置及运行维护费预算为0.00万元，支出决算0.00万元，完成预算的0.0%,较预算增加0.00万元，增长0.0%,主要原因是</w:t>
      </w:r>
      <w:r>
        <w:rPr>
          <w:rFonts w:hint="eastAsia" w:ascii="Times New Roman" w:eastAsia="仿宋_GB2312"/>
          <w:b w:val="0"/>
          <w:sz w:val="32"/>
          <w:szCs w:val="32"/>
          <w:lang w:val="en-US" w:eastAsia="zh-CN"/>
        </w:rPr>
        <w:t>本单位2023年、2024年均未安排三公经费支出</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我单位无公车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本单位2024年度单位公务用车保有量0辆，发生运行维护费支出0.00万元。公车运行维护费支出较预算增加0.00万元，增长0.0%,主要原因是</w:t>
      </w:r>
      <w:r>
        <w:rPr>
          <w:rFonts w:hint="eastAsia" w:ascii="Times New Roman" w:eastAsia="仿宋_GB2312"/>
          <w:b w:val="0"/>
          <w:sz w:val="32"/>
          <w:szCs w:val="32"/>
          <w:lang w:val="en-US" w:eastAsia="zh-CN"/>
        </w:rPr>
        <w:t>我单位无公车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hint="eastAsia" w:ascii="Times New Roman" w:eastAsia="仿宋_GB2312"/>
          <w:b w:val="0"/>
          <w:sz w:val="32"/>
          <w:szCs w:val="32"/>
          <w:lang w:val="en-US" w:eastAsia="zh-CN"/>
        </w:rPr>
        <w:t>我单位2023年、2024年无支出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本单位2024年度机关运行经费支出0.00万元，较2023年度增加0.00万元，增长0.00%。主要原因是</w:t>
      </w:r>
      <w:r>
        <w:rPr>
          <w:rFonts w:hint="eastAsia" w:ascii="Times New Roman" w:eastAsia="仿宋_GB2312"/>
          <w:b w:val="0"/>
          <w:sz w:val="32"/>
          <w:szCs w:val="32"/>
          <w:lang w:val="en-US" w:eastAsia="zh-CN"/>
        </w:rPr>
        <w:t>我单位为事业单位，无机关运行经费</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62.5</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3</w:t>
      </w:r>
      <w:r>
        <w:rPr>
          <w:rFonts w:ascii="Times New Roman" w:eastAsia="仿宋_GB2312"/>
          <w:b w:val="0"/>
          <w:sz w:val="32"/>
          <w:szCs w:val="32"/>
        </w:rPr>
        <w:t>个，涉及资金</w:t>
      </w:r>
      <w:r>
        <w:rPr>
          <w:rFonts w:hint="eastAsia" w:ascii="Times New Roman" w:eastAsia="仿宋_GB2312"/>
          <w:b w:val="0"/>
          <w:sz w:val="32"/>
          <w:szCs w:val="32"/>
          <w:lang w:val="en-US" w:eastAsia="zh-CN"/>
        </w:rPr>
        <w:t>62.5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40.26</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防贫工作经费</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个项目开展了重点评价，涉及一般公共预算支出</w:t>
      </w:r>
      <w:r>
        <w:rPr>
          <w:rFonts w:hint="eastAsia" w:ascii="Times New Roman" w:eastAsia="仿宋_GB2312"/>
          <w:b w:val="0"/>
          <w:sz w:val="32"/>
          <w:szCs w:val="32"/>
          <w:lang w:val="en-US" w:eastAsia="zh-CN"/>
        </w:rPr>
        <w:t>62.5</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rPr>
        <w:t>项目支出评价等级为“优”项目</w:t>
      </w:r>
      <w:r>
        <w:rPr>
          <w:rFonts w:hint="eastAsia" w:ascii="Times New Roman" w:eastAsia="仿宋_GB2312"/>
          <w:b w:val="0"/>
          <w:sz w:val="32"/>
          <w:szCs w:val="32"/>
          <w:lang w:val="en-US" w:eastAsia="zh-CN"/>
        </w:rPr>
        <w:t>3</w:t>
      </w:r>
      <w:r>
        <w:rPr>
          <w:rFonts w:hint="eastAsia" w:ascii="Times New Roman" w:eastAsia="仿宋_GB2312"/>
          <w:b w:val="0"/>
          <w:sz w:val="32"/>
          <w:szCs w:val="32"/>
        </w:rPr>
        <w:t xml:space="preserve"> 个，“良”项目</w:t>
      </w:r>
      <w:r>
        <w:rPr>
          <w:rFonts w:hint="eastAsia" w:ascii="Times New Roman" w:eastAsia="仿宋_GB2312"/>
          <w:b w:val="0"/>
          <w:sz w:val="32"/>
          <w:szCs w:val="32"/>
          <w:lang w:val="en-US" w:eastAsia="zh-CN"/>
        </w:rPr>
        <w:t>0</w:t>
      </w:r>
      <w:r>
        <w:rPr>
          <w:rFonts w:hint="eastAsia" w:ascii="Times New Roman" w:eastAsia="仿宋_GB2312"/>
          <w:b w:val="0"/>
          <w:sz w:val="32"/>
          <w:szCs w:val="32"/>
        </w:rPr>
        <w:t xml:space="preserve">  个，“中”项目 </w:t>
      </w:r>
      <w:r>
        <w:rPr>
          <w:rFonts w:hint="eastAsia" w:ascii="Times New Roman" w:eastAsia="仿宋_GB2312"/>
          <w:b w:val="0"/>
          <w:sz w:val="32"/>
          <w:szCs w:val="32"/>
          <w:lang w:val="en-US" w:eastAsia="zh-CN"/>
        </w:rPr>
        <w:t>0</w:t>
      </w:r>
      <w:r>
        <w:rPr>
          <w:rFonts w:hint="eastAsia" w:ascii="Times New Roman" w:eastAsia="仿宋_GB2312"/>
          <w:b w:val="0"/>
          <w:sz w:val="32"/>
          <w:szCs w:val="32"/>
        </w:rPr>
        <w:t xml:space="preserve">个，“差”项目 </w:t>
      </w:r>
      <w:r>
        <w:rPr>
          <w:rFonts w:hint="eastAsia" w:ascii="Times New Roman" w:eastAsia="仿宋_GB2312"/>
          <w:b w:val="0"/>
          <w:sz w:val="32"/>
          <w:szCs w:val="32"/>
          <w:lang w:val="en-US" w:eastAsia="zh-CN"/>
        </w:rPr>
        <w:t>0</w:t>
      </w:r>
      <w:r>
        <w:rPr>
          <w:rFonts w:hint="eastAsia" w:ascii="Times New Roman" w:eastAsia="仿宋_GB2312"/>
          <w:b w:val="0"/>
          <w:sz w:val="32"/>
          <w:szCs w:val="32"/>
        </w:rPr>
        <w:t xml:space="preserve"> 个，评优率为 </w:t>
      </w:r>
      <w:r>
        <w:rPr>
          <w:rFonts w:hint="eastAsia" w:ascii="Times New Roman" w:eastAsia="仿宋_GB2312"/>
          <w:b w:val="0"/>
          <w:sz w:val="32"/>
          <w:szCs w:val="32"/>
          <w:lang w:val="en-US" w:eastAsia="zh-CN"/>
        </w:rPr>
        <w:t>100</w:t>
      </w:r>
      <w:r>
        <w:rPr>
          <w:rFonts w:hint="eastAsia" w:ascii="Times New Roman" w:eastAsia="仿宋_GB2312"/>
          <w:b w:val="0"/>
          <w:sz w:val="32"/>
          <w:szCs w:val="32"/>
        </w:rPr>
        <w:t xml:space="preserve"> %。</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本单位在今年</w:t>
      </w:r>
      <w:r>
        <w:rPr>
          <w:rFonts w:hint="eastAsia" w:ascii="Times New Roman" w:eastAsia="仿宋_GB2312"/>
          <w:b w:val="0"/>
          <w:sz w:val="32"/>
          <w:szCs w:val="32"/>
          <w:lang w:val="en-US" w:eastAsia="zh-CN"/>
        </w:rPr>
        <w:t>单位</w:t>
      </w:r>
      <w:r>
        <w:rPr>
          <w:rFonts w:ascii="Times New Roman" w:eastAsia="仿宋_GB2312"/>
          <w:b w:val="0"/>
          <w:sz w:val="32"/>
          <w:szCs w:val="32"/>
        </w:rPr>
        <w:t>决算公开中反映</w:t>
      </w:r>
      <w:r>
        <w:rPr>
          <w:rFonts w:hint="eastAsia" w:ascii="Times New Roman" w:eastAsia="仿宋_GB2312"/>
          <w:b w:val="0"/>
          <w:sz w:val="32"/>
          <w:szCs w:val="32"/>
          <w:lang w:val="en-US" w:eastAsia="zh-CN"/>
        </w:rPr>
        <w:t>防贫工作经费等3</w:t>
      </w:r>
      <w:r>
        <w:rPr>
          <w:rFonts w:ascii="Times New Roman" w:eastAsia="仿宋_GB2312"/>
          <w:b w:val="0"/>
          <w:sz w:val="32"/>
          <w:szCs w:val="32"/>
        </w:rPr>
        <w:t>个项目绩效自评结果。</w:t>
      </w:r>
    </w:p>
    <w:tbl>
      <w:tblPr>
        <w:tblStyle w:val="11"/>
        <w:tblpPr w:leftFromText="180" w:rightFromText="180" w:vertAnchor="text" w:horzAnchor="margin" w:tblpXSpec="center" w:tblpY="175"/>
        <w:tblW w:w="0" w:type="auto"/>
        <w:tblInd w:w="0" w:type="dxa"/>
        <w:tblLayout w:type="fixed"/>
        <w:tblCellMar>
          <w:top w:w="0" w:type="dxa"/>
          <w:left w:w="108" w:type="dxa"/>
          <w:bottom w:w="0" w:type="dxa"/>
          <w:right w:w="108" w:type="dxa"/>
        </w:tblCellMar>
      </w:tblPr>
      <w:tblGrid>
        <w:gridCol w:w="534"/>
        <w:gridCol w:w="1559"/>
        <w:gridCol w:w="3827"/>
        <w:gridCol w:w="1276"/>
        <w:gridCol w:w="709"/>
        <w:gridCol w:w="708"/>
      </w:tblGrid>
      <w:tr>
        <w:tblPrEx>
          <w:tblCellMar>
            <w:top w:w="0" w:type="dxa"/>
            <w:left w:w="108" w:type="dxa"/>
            <w:bottom w:w="0" w:type="dxa"/>
            <w:right w:w="108" w:type="dxa"/>
          </w:tblCellMar>
        </w:tblPrEx>
        <w:trPr>
          <w:trHeight w:val="48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15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主管部门（单位）</w:t>
            </w:r>
          </w:p>
        </w:tc>
        <w:tc>
          <w:tcPr>
            <w:tcW w:w="38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项目名称</w:t>
            </w:r>
          </w:p>
        </w:tc>
        <w:tc>
          <w:tcPr>
            <w:tcW w:w="12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预算金额（调整后）</w:t>
            </w:r>
          </w:p>
        </w:tc>
        <w:tc>
          <w:tcPr>
            <w:tcW w:w="70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自评得分</w:t>
            </w:r>
          </w:p>
        </w:tc>
        <w:tc>
          <w:tcPr>
            <w:tcW w:w="7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自评等级</w:t>
            </w:r>
          </w:p>
        </w:tc>
      </w:tr>
      <w:tr>
        <w:tblPrEx>
          <w:tblCellMar>
            <w:top w:w="0" w:type="dxa"/>
            <w:left w:w="108" w:type="dxa"/>
            <w:bottom w:w="0" w:type="dxa"/>
            <w:right w:w="108" w:type="dxa"/>
          </w:tblCellMar>
        </w:tblPrEx>
        <w:trPr>
          <w:trHeight w:val="1450"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5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tabs>
                <w:tab w:val="left" w:pos="395"/>
              </w:tabs>
              <w:kinsoku/>
              <w:wordWrap/>
              <w:overflowPunct/>
              <w:topLinePunct w:val="0"/>
              <w:autoSpaceDE/>
              <w:autoSpaceDN/>
              <w:bidi w:val="0"/>
              <w:adjustRightInd/>
              <w:spacing w:line="560" w:lineRule="exact"/>
              <w:jc w:val="left"/>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青龙满族自治县防贫中心</w:t>
            </w:r>
          </w:p>
        </w:tc>
        <w:tc>
          <w:tcPr>
            <w:tcW w:w="38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防贫工作经费</w:t>
            </w:r>
          </w:p>
        </w:tc>
        <w:tc>
          <w:tcPr>
            <w:tcW w:w="12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12.5</w:t>
            </w:r>
          </w:p>
        </w:tc>
        <w:tc>
          <w:tcPr>
            <w:tcW w:w="70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tabs>
                <w:tab w:val="left" w:pos="393"/>
              </w:tabs>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100</w:t>
            </w:r>
          </w:p>
        </w:tc>
        <w:tc>
          <w:tcPr>
            <w:tcW w:w="7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优</w:t>
            </w:r>
          </w:p>
        </w:tc>
      </w:tr>
      <w:tr>
        <w:tblPrEx>
          <w:tblCellMar>
            <w:top w:w="0" w:type="dxa"/>
            <w:left w:w="108" w:type="dxa"/>
            <w:bottom w:w="0" w:type="dxa"/>
            <w:right w:w="108" w:type="dxa"/>
          </w:tblCellMar>
        </w:tblPrEx>
        <w:trPr>
          <w:trHeight w:val="755"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p>
        </w:tc>
        <w:tc>
          <w:tcPr>
            <w:tcW w:w="15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青龙满族自治县防贫中心</w:t>
            </w:r>
          </w:p>
        </w:tc>
        <w:tc>
          <w:tcPr>
            <w:tcW w:w="38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2024年县级财政衔接推进乡村振兴补助资金-巩固拓展脱贫攻坚成果及促进脱贫人口稳定增收建设项目</w:t>
            </w:r>
          </w:p>
        </w:tc>
        <w:tc>
          <w:tcPr>
            <w:tcW w:w="12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w:t>
            </w:r>
          </w:p>
        </w:tc>
        <w:tc>
          <w:tcPr>
            <w:tcW w:w="70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tabs>
                <w:tab w:val="left" w:pos="393"/>
              </w:tabs>
              <w:kinsoku/>
              <w:wordWrap/>
              <w:overflowPunct/>
              <w:topLinePunct w:val="0"/>
              <w:autoSpaceDE/>
              <w:autoSpaceDN/>
              <w:bidi w:val="0"/>
              <w:adjustRightInd/>
              <w:spacing w:line="560" w:lineRule="exact"/>
              <w:ind w:firstLine="210" w:firstLineChars="100"/>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98</w:t>
            </w:r>
          </w:p>
        </w:tc>
        <w:tc>
          <w:tcPr>
            <w:tcW w:w="7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优</w:t>
            </w:r>
          </w:p>
        </w:tc>
      </w:tr>
      <w:tr>
        <w:tblPrEx>
          <w:tblCellMar>
            <w:top w:w="0" w:type="dxa"/>
            <w:left w:w="108" w:type="dxa"/>
            <w:bottom w:w="0" w:type="dxa"/>
            <w:right w:w="108" w:type="dxa"/>
          </w:tblCellMar>
        </w:tblPrEx>
        <w:trPr>
          <w:trHeight w:val="755" w:hRule="atLeast"/>
        </w:trPr>
        <w:tc>
          <w:tcPr>
            <w:tcW w:w="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w:t>
            </w:r>
          </w:p>
        </w:tc>
        <w:tc>
          <w:tcPr>
            <w:tcW w:w="15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青龙满族自治县防贫中心</w:t>
            </w:r>
          </w:p>
        </w:tc>
        <w:tc>
          <w:tcPr>
            <w:tcW w:w="38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防贫保险</w:t>
            </w:r>
          </w:p>
        </w:tc>
        <w:tc>
          <w:tcPr>
            <w:tcW w:w="12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30</w:t>
            </w:r>
          </w:p>
        </w:tc>
        <w:tc>
          <w:tcPr>
            <w:tcW w:w="70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tabs>
                <w:tab w:val="left" w:pos="393"/>
              </w:tabs>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w:t>
            </w:r>
          </w:p>
        </w:tc>
        <w:tc>
          <w:tcPr>
            <w:tcW w:w="7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优</w:t>
            </w:r>
          </w:p>
        </w:tc>
      </w:tr>
    </w:tbl>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pPr>
        <w:pStyle w:val="10"/>
        <w:widowControl/>
        <w:snapToGrid w:val="0"/>
        <w:spacing w:beforeAutospacing="0" w:afterAutospacing="0" w:line="360" w:lineRule="auto"/>
        <w:ind w:firstLine="640" w:firstLineChars="200"/>
        <w:rPr>
          <w:rFonts w:hint="default" w:ascii="仿宋_GB2312" w:hAnsi="仿宋" w:eastAsia="仿宋" w:cs="仿宋_GB2312"/>
          <w:kern w:val="2"/>
          <w:sz w:val="32"/>
          <w:szCs w:val="32"/>
          <w:lang w:val="en-US" w:eastAsia="zh-CN" w:bidi="ar"/>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防贫工作经费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12.5</w:t>
      </w:r>
      <w:r>
        <w:rPr>
          <w:rFonts w:ascii="Times New Roman" w:eastAsia="仿宋_GB2312"/>
          <w:b w:val="0"/>
          <w:sz w:val="32"/>
          <w:szCs w:val="32"/>
        </w:rPr>
        <w:t>万元，执行数为</w:t>
      </w:r>
      <w:r>
        <w:rPr>
          <w:rFonts w:hint="eastAsia" w:ascii="Times New Roman" w:eastAsia="仿宋_GB2312"/>
          <w:b w:val="0"/>
          <w:sz w:val="32"/>
          <w:szCs w:val="32"/>
          <w:lang w:val="en-US" w:eastAsia="zh-CN"/>
        </w:rPr>
        <w:t>12.5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仿宋" w:hAnsi="仿宋" w:eastAsia="仿宋" w:cs="仿宋_GB2312"/>
          <w:sz w:val="32"/>
          <w:szCs w:val="32"/>
          <w:highlight w:val="none"/>
        </w:rPr>
        <w:t>通过项目实施，完成了年初设定的各项绩效目标，完成</w:t>
      </w:r>
      <w:r>
        <w:rPr>
          <w:rFonts w:hint="eastAsia" w:ascii="仿宋_GB2312" w:hAnsi="仿宋" w:eastAsia="仿宋_GB2312" w:cs="仿宋_GB2312"/>
          <w:kern w:val="2"/>
          <w:sz w:val="32"/>
          <w:szCs w:val="32"/>
          <w:lang w:val="en-US" w:eastAsia="zh-CN" w:bidi="ar"/>
        </w:rPr>
        <w:t>当年返贫和新致贫人口进行监测识别，通过防贫监测，确保因病、因学、因灾和意外事故达到防贫保险赔付政策的均应享受。项目支出执行率达到100%，单位整体业务工作开展情况良好，未发现问题。2024年县级财政衔接推进乡村振兴补助资金-巩固拓展脱贫攻坚成果及促进脱贫人口稳定增收建设项目</w:t>
      </w:r>
      <w:r>
        <w:rPr>
          <w:rFonts w:ascii="仿宋" w:hAnsi="仿宋" w:eastAsia="仿宋"/>
          <w:kern w:val="2"/>
          <w:sz w:val="32"/>
          <w:szCs w:val="32"/>
          <w:lang w:val="zh-CN"/>
        </w:rPr>
        <w:t>绩效自评情况：根据年初设定的绩效目标，</w:t>
      </w:r>
      <w:r>
        <w:rPr>
          <w:rFonts w:hint="eastAsia" w:ascii="仿宋" w:hAnsi="仿宋" w:eastAsia="仿宋"/>
          <w:kern w:val="2"/>
          <w:sz w:val="32"/>
          <w:szCs w:val="32"/>
          <w:lang w:val="en-US" w:eastAsia="zh-CN"/>
        </w:rPr>
        <w:t>本</w:t>
      </w:r>
      <w:r>
        <w:rPr>
          <w:rFonts w:ascii="仿宋" w:hAnsi="仿宋" w:eastAsia="仿宋"/>
          <w:kern w:val="2"/>
          <w:sz w:val="32"/>
          <w:szCs w:val="32"/>
          <w:lang w:val="zh-CN"/>
        </w:rPr>
        <w:t>项目绩效自评得分为</w:t>
      </w:r>
      <w:r>
        <w:rPr>
          <w:rFonts w:hint="eastAsia" w:ascii="仿宋" w:hAnsi="仿宋" w:eastAsia="仿宋"/>
          <w:kern w:val="2"/>
          <w:sz w:val="32"/>
          <w:szCs w:val="32"/>
          <w:lang w:val="en-US" w:eastAsia="zh-CN"/>
        </w:rPr>
        <w:t>98</w:t>
      </w:r>
      <w:r>
        <w:rPr>
          <w:rFonts w:ascii="仿宋" w:hAnsi="仿宋" w:eastAsia="仿宋"/>
          <w:kern w:val="2"/>
          <w:sz w:val="32"/>
          <w:szCs w:val="32"/>
          <w:lang w:val="zh-CN"/>
        </w:rPr>
        <w:t>分（绩效自评表附后）。全年预算数为</w:t>
      </w:r>
      <w:r>
        <w:rPr>
          <w:rFonts w:hint="eastAsia" w:ascii="仿宋" w:hAnsi="仿宋" w:eastAsia="仿宋"/>
          <w:kern w:val="2"/>
          <w:sz w:val="32"/>
          <w:szCs w:val="32"/>
          <w:lang w:val="en-US" w:eastAsia="zh-CN"/>
        </w:rPr>
        <w:t>20</w:t>
      </w:r>
      <w:r>
        <w:rPr>
          <w:rFonts w:ascii="仿宋" w:hAnsi="仿宋" w:eastAsia="仿宋"/>
          <w:kern w:val="2"/>
          <w:sz w:val="32"/>
          <w:szCs w:val="32"/>
          <w:lang w:val="zh-CN"/>
        </w:rPr>
        <w:t>万元，执行数为</w:t>
      </w:r>
      <w:r>
        <w:rPr>
          <w:rFonts w:hint="eastAsia" w:ascii="仿宋" w:hAnsi="仿宋" w:eastAsia="仿宋"/>
          <w:kern w:val="2"/>
          <w:sz w:val="32"/>
          <w:szCs w:val="32"/>
          <w:lang w:val="en-US" w:eastAsia="zh-CN"/>
        </w:rPr>
        <w:t>20</w:t>
      </w:r>
      <w:r>
        <w:rPr>
          <w:rFonts w:ascii="仿宋" w:hAnsi="仿宋" w:eastAsia="仿宋"/>
          <w:kern w:val="2"/>
          <w:sz w:val="32"/>
          <w:szCs w:val="32"/>
          <w:lang w:val="zh-CN"/>
        </w:rPr>
        <w:t>万元，完成预算的</w:t>
      </w:r>
      <w:r>
        <w:rPr>
          <w:rFonts w:hint="eastAsia" w:ascii="仿宋" w:hAnsi="仿宋" w:eastAsia="仿宋"/>
          <w:kern w:val="2"/>
          <w:sz w:val="32"/>
          <w:szCs w:val="32"/>
          <w:lang w:val="en-US" w:eastAsia="zh-CN"/>
        </w:rPr>
        <w:t>100</w:t>
      </w:r>
      <w:r>
        <w:rPr>
          <w:rFonts w:ascii="仿宋" w:hAnsi="仿宋" w:eastAsia="仿宋"/>
          <w:kern w:val="2"/>
          <w:sz w:val="32"/>
          <w:szCs w:val="32"/>
          <w:lang w:val="zh-CN"/>
        </w:rPr>
        <w:t>%。项目绩效目标完成情况：</w:t>
      </w:r>
      <w:r>
        <w:rPr>
          <w:rFonts w:ascii="仿宋" w:hAnsi="仿宋" w:eastAsia="仿宋"/>
          <w:sz w:val="32"/>
          <w:szCs w:val="32"/>
          <w:highlight w:val="none"/>
        </w:rPr>
        <w:t>通过项目实施，完成</w:t>
      </w:r>
      <w:r>
        <w:rPr>
          <w:rFonts w:hint="eastAsia" w:ascii="仿宋" w:hAnsi="仿宋" w:eastAsia="仿宋"/>
          <w:sz w:val="32"/>
          <w:szCs w:val="32"/>
          <w:highlight w:val="none"/>
        </w:rPr>
        <w:t>对全县预警网格员等从事防贫工作人员的培训,提高</w:t>
      </w:r>
      <w:r>
        <w:rPr>
          <w:rFonts w:hint="eastAsia" w:ascii="仿宋" w:hAnsi="仿宋" w:eastAsia="仿宋"/>
          <w:sz w:val="32"/>
          <w:szCs w:val="32"/>
          <w:highlight w:val="none"/>
          <w:lang w:eastAsia="zh-CN"/>
        </w:rPr>
        <w:t>了</w:t>
      </w:r>
      <w:r>
        <w:rPr>
          <w:rFonts w:hint="eastAsia" w:ascii="仿宋" w:hAnsi="仿宋" w:eastAsia="仿宋"/>
          <w:sz w:val="32"/>
          <w:szCs w:val="32"/>
          <w:highlight w:val="none"/>
        </w:rPr>
        <w:t>防贫政策知晓率</w:t>
      </w:r>
      <w:r>
        <w:rPr>
          <w:rFonts w:ascii="仿宋" w:hAnsi="仿宋" w:eastAsia="仿宋"/>
          <w:sz w:val="32"/>
          <w:szCs w:val="32"/>
          <w:highlight w:val="none"/>
        </w:rPr>
        <w:t>;完成</w:t>
      </w:r>
      <w:r>
        <w:rPr>
          <w:rFonts w:hint="eastAsia" w:ascii="仿宋" w:hAnsi="仿宋" w:eastAsia="仿宋"/>
          <w:sz w:val="32"/>
          <w:szCs w:val="32"/>
          <w:highlight w:val="none"/>
          <w:lang w:eastAsia="zh-CN"/>
        </w:rPr>
        <w:t>了</w:t>
      </w:r>
      <w:r>
        <w:rPr>
          <w:rFonts w:hint="eastAsia" w:ascii="仿宋" w:hAnsi="仿宋" w:eastAsia="仿宋"/>
          <w:sz w:val="32"/>
          <w:szCs w:val="32"/>
          <w:highlight w:val="none"/>
        </w:rPr>
        <w:t>对全县预警网格员等从事防贫工作人员的培训,提高</w:t>
      </w:r>
      <w:r>
        <w:rPr>
          <w:rFonts w:hint="eastAsia" w:ascii="仿宋" w:hAnsi="仿宋" w:eastAsia="仿宋"/>
          <w:sz w:val="32"/>
          <w:szCs w:val="32"/>
          <w:highlight w:val="none"/>
          <w:lang w:eastAsia="zh-CN"/>
        </w:rPr>
        <w:t>了</w:t>
      </w:r>
      <w:r>
        <w:rPr>
          <w:rFonts w:hint="eastAsia" w:ascii="仿宋" w:hAnsi="仿宋" w:eastAsia="仿宋"/>
          <w:sz w:val="32"/>
          <w:szCs w:val="32"/>
          <w:highlight w:val="none"/>
          <w:lang w:val="en-US" w:eastAsia="zh-CN"/>
        </w:rPr>
        <w:t>防贫</w:t>
      </w:r>
      <w:r>
        <w:rPr>
          <w:rFonts w:hint="eastAsia" w:ascii="仿宋" w:hAnsi="仿宋" w:eastAsia="仿宋"/>
          <w:sz w:val="32"/>
          <w:szCs w:val="32"/>
          <w:highlight w:val="none"/>
        </w:rPr>
        <w:t>政策业务水平</w:t>
      </w:r>
      <w:r>
        <w:rPr>
          <w:rFonts w:hint="eastAsia" w:ascii="仿宋" w:hAnsi="仿宋" w:eastAsia="仿宋"/>
          <w:sz w:val="32"/>
          <w:szCs w:val="32"/>
          <w:highlight w:val="none"/>
          <w:lang w:eastAsia="zh-CN"/>
        </w:rPr>
        <w:t>，</w:t>
      </w:r>
      <w:r>
        <w:rPr>
          <w:rFonts w:ascii="仿宋" w:hAnsi="仿宋" w:eastAsia="仿宋"/>
          <w:sz w:val="32"/>
          <w:szCs w:val="32"/>
          <w:highlight w:val="none"/>
        </w:rPr>
        <w:t>未发现问题</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防贫保险项目绩效自评情况：根据年初设定的绩效目标，本项目绩效自评得分为100分（绩效自评表附后）。</w:t>
      </w:r>
      <w:r>
        <w:rPr>
          <w:rFonts w:ascii="Times New Roman" w:eastAsia="仿宋_GB2312"/>
          <w:b w:val="0"/>
          <w:sz w:val="32"/>
          <w:szCs w:val="32"/>
        </w:rPr>
        <w:t>全年预算数为</w:t>
      </w:r>
      <w:r>
        <w:rPr>
          <w:rFonts w:hint="eastAsia" w:ascii="Times New Roman" w:eastAsia="仿宋_GB2312"/>
          <w:b w:val="0"/>
          <w:sz w:val="32"/>
          <w:szCs w:val="32"/>
          <w:lang w:val="en-US" w:eastAsia="zh-CN"/>
        </w:rPr>
        <w:t>30</w:t>
      </w:r>
      <w:r>
        <w:rPr>
          <w:rFonts w:ascii="Times New Roman" w:eastAsia="仿宋_GB2312"/>
          <w:b w:val="0"/>
          <w:sz w:val="32"/>
          <w:szCs w:val="32"/>
        </w:rPr>
        <w:t>万元，执行数为</w:t>
      </w:r>
      <w:r>
        <w:rPr>
          <w:rFonts w:hint="eastAsia" w:ascii="Times New Roman" w:eastAsia="仿宋_GB2312"/>
          <w:b w:val="0"/>
          <w:sz w:val="32"/>
          <w:szCs w:val="32"/>
          <w:lang w:val="en-US" w:eastAsia="zh-CN"/>
        </w:rPr>
        <w:t>30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仿宋" w:hAnsi="仿宋" w:eastAsia="仿宋" w:cs="仿宋_GB2312"/>
          <w:sz w:val="32"/>
          <w:szCs w:val="32"/>
          <w:highlight w:val="none"/>
        </w:rPr>
        <w:t>通过项目实施，完成了年初设定的各项绩效目标，</w:t>
      </w:r>
      <w:r>
        <w:rPr>
          <w:rFonts w:hint="eastAsia" w:ascii="仿宋_GB2312" w:hAnsi="仿宋" w:eastAsia="仿宋_GB2312" w:cs="仿宋_GB2312"/>
          <w:kern w:val="2"/>
          <w:sz w:val="32"/>
          <w:szCs w:val="32"/>
          <w:lang w:val="en-US" w:eastAsia="zh-CN" w:bidi="ar"/>
        </w:rPr>
        <w:t>确保因病、因学、因灾和意外事故达到防贫保险赔付政策的均应享受。项目支出执行率达到100%，防贫保险正常赔付，未发现问题。</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right="0" w:firstLine="640" w:firstLineChars="200"/>
        <w:jc w:val="both"/>
        <w:textAlignment w:val="auto"/>
        <w:rPr>
          <w:rFonts w:hint="eastAsia" w:ascii="仿宋_GB2312" w:hAnsi="仿宋" w:eastAsia="仿宋_GB2312" w:cs="仿宋_GB2312"/>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jc w:val="both"/>
        <w:textAlignment w:val="auto"/>
        <w:rPr>
          <w:rFonts w:hint="eastAsia" w:ascii="仿宋_GB2312" w:hAnsi="仿宋" w:eastAsia="仿宋_GB2312" w:cs="仿宋_GB2312"/>
          <w:kern w:val="2"/>
          <w:sz w:val="32"/>
          <w:szCs w:val="32"/>
          <w:lang w:val="en-US" w:eastAsia="zh-CN" w:bidi="ar"/>
        </w:rPr>
      </w:pPr>
    </w:p>
    <w:tbl>
      <w:tblPr>
        <w:tblStyle w:val="11"/>
        <w:tblW w:w="106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1095"/>
        <w:gridCol w:w="1169"/>
        <w:gridCol w:w="1065"/>
        <w:gridCol w:w="1095"/>
        <w:gridCol w:w="746"/>
        <w:gridCol w:w="570"/>
        <w:gridCol w:w="640"/>
        <w:gridCol w:w="660"/>
        <w:gridCol w:w="915"/>
        <w:gridCol w:w="810"/>
        <w:gridCol w:w="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0665"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9"/>
                <w:rFonts w:hint="eastAsia" w:ascii="宋体" w:hAnsi="宋体" w:eastAsia="宋体" w:cs="宋体"/>
                <w:b/>
                <w:bCs/>
                <w:sz w:val="21"/>
                <w:szCs w:val="21"/>
                <w:lang w:val="en-US" w:eastAsia="zh-CN" w:bidi="ar"/>
              </w:rPr>
              <w:t>2024</w:t>
            </w:r>
            <w:r>
              <w:rPr>
                <w:rStyle w:val="25"/>
                <w:rFonts w:hint="eastAsia" w:ascii="宋体" w:hAnsi="宋体" w:eastAsia="宋体" w:cs="宋体"/>
                <w:b/>
                <w:bCs/>
                <w:sz w:val="21"/>
                <w:szCs w:val="21"/>
                <w:lang w:val="en-US" w:eastAsia="zh-CN" w:bidi="ar"/>
              </w:rPr>
              <w:t>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jc w:val="center"/>
        </w:trPr>
        <w:tc>
          <w:tcPr>
            <w:tcW w:w="10665"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一、基本情况</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防贫工作经费</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项目级次</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本级</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实施主管单位</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 xml:space="preserve">434004 - </w:t>
            </w:r>
            <w:r>
              <w:rPr>
                <w:rStyle w:val="21"/>
                <w:rFonts w:hint="eastAsia" w:ascii="宋体" w:hAnsi="宋体" w:eastAsia="宋体" w:cs="宋体"/>
                <w:b/>
                <w:bCs/>
                <w:sz w:val="21"/>
                <w:szCs w:val="21"/>
                <w:lang w:val="en-US" w:eastAsia="zh-CN" w:bidi="ar"/>
              </w:rPr>
              <w:t>青龙满族自治县防贫中心</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金额单位</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二、预算执行情况</w:t>
            </w: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预算安排情况</w:t>
            </w:r>
            <w:r>
              <w:rPr>
                <w:rStyle w:val="26"/>
                <w:rFonts w:hint="eastAsia" w:ascii="宋体" w:hAnsi="宋体" w:eastAsia="宋体" w:cs="宋体"/>
                <w:b/>
                <w:bCs/>
                <w:sz w:val="21"/>
                <w:szCs w:val="21"/>
                <w:lang w:val="en-US" w:eastAsia="zh-CN" w:bidi="ar"/>
              </w:rPr>
              <w:t>(</w:t>
            </w:r>
            <w:r>
              <w:rPr>
                <w:rStyle w:val="21"/>
                <w:rFonts w:hint="eastAsia" w:ascii="宋体" w:hAnsi="宋体" w:eastAsia="宋体" w:cs="宋体"/>
                <w:b/>
                <w:bCs/>
                <w:sz w:val="21"/>
                <w:szCs w:val="21"/>
                <w:lang w:val="en-US" w:eastAsia="zh-CN" w:bidi="ar"/>
              </w:rPr>
              <w:t>调整后</w:t>
            </w:r>
            <w:r>
              <w:rPr>
                <w:rStyle w:val="26"/>
                <w:rFonts w:hint="eastAsia" w:ascii="宋体" w:hAnsi="宋体" w:eastAsia="宋体" w:cs="宋体"/>
                <w:b/>
                <w:bCs/>
                <w:sz w:val="21"/>
                <w:szCs w:val="21"/>
                <w:lang w:val="en-US" w:eastAsia="zh-CN" w:bidi="ar"/>
              </w:rPr>
              <w:t>)</w:t>
            </w:r>
          </w:p>
        </w:tc>
        <w:tc>
          <w:tcPr>
            <w:tcW w:w="2805" w:type="dxa"/>
            <w:gridSpan w:val="3"/>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资金到位情况</w:t>
            </w:r>
          </w:p>
        </w:tc>
        <w:tc>
          <w:tcPr>
            <w:tcW w:w="2760" w:type="dxa"/>
            <w:gridSpan w:val="4"/>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资金执行情况</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预算执行进度</w:t>
            </w:r>
            <w:r>
              <w:rPr>
                <w:rStyle w:val="26"/>
                <w:rFonts w:hint="eastAsia" w:ascii="宋体" w:hAnsi="宋体" w:eastAsia="宋体" w:cs="宋体"/>
                <w:b/>
                <w:bCs/>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到位数</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执行数</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695"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7"/>
                <w:rFonts w:hint="eastAsia" w:ascii="宋体" w:hAnsi="宋体" w:eastAsia="宋体" w:cs="宋体"/>
                <w:b/>
                <w:bCs/>
                <w:sz w:val="21"/>
                <w:szCs w:val="21"/>
                <w:lang w:val="en-US" w:eastAsia="zh-CN" w:bidi="ar"/>
              </w:rPr>
              <w:t>其中</w:t>
            </w:r>
            <w:r>
              <w:rPr>
                <w:rStyle w:val="23"/>
                <w:rFonts w:hint="eastAsia" w:ascii="宋体" w:hAnsi="宋体" w:eastAsia="宋体" w:cs="宋体"/>
                <w:b/>
                <w:bCs/>
                <w:sz w:val="21"/>
                <w:szCs w:val="21"/>
                <w:lang w:val="en-US" w:eastAsia="zh-CN" w:bidi="ar"/>
              </w:rPr>
              <w:t>:</w:t>
            </w:r>
            <w:r>
              <w:rPr>
                <w:rStyle w:val="27"/>
                <w:rFonts w:hint="eastAsia" w:ascii="宋体" w:hAnsi="宋体" w:eastAsia="宋体" w:cs="宋体"/>
                <w:b/>
                <w:bCs/>
                <w:sz w:val="21"/>
                <w:szCs w:val="21"/>
                <w:lang w:val="en-US" w:eastAsia="zh-CN" w:bidi="ar"/>
              </w:rPr>
              <w:t>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7"/>
                <w:rFonts w:hint="eastAsia" w:ascii="宋体" w:hAnsi="宋体" w:eastAsia="宋体" w:cs="宋体"/>
                <w:b/>
                <w:bCs/>
                <w:sz w:val="21"/>
                <w:szCs w:val="21"/>
                <w:lang w:val="en-US" w:eastAsia="zh-CN" w:bidi="ar"/>
              </w:rPr>
              <w:t>其中</w:t>
            </w:r>
            <w:r>
              <w:rPr>
                <w:rStyle w:val="23"/>
                <w:rFonts w:hint="eastAsia" w:ascii="宋体" w:hAnsi="宋体" w:eastAsia="宋体" w:cs="宋体"/>
                <w:b/>
                <w:bCs/>
                <w:sz w:val="21"/>
                <w:szCs w:val="21"/>
                <w:lang w:val="en-US" w:eastAsia="zh-CN" w:bidi="ar"/>
              </w:rPr>
              <w:t>:</w:t>
            </w:r>
            <w:r>
              <w:rPr>
                <w:rStyle w:val="27"/>
                <w:rFonts w:hint="eastAsia" w:ascii="宋体" w:hAnsi="宋体" w:eastAsia="宋体" w:cs="宋体"/>
                <w:b/>
                <w:bCs/>
                <w:sz w:val="21"/>
                <w:szCs w:val="21"/>
                <w:lang w:val="en-US" w:eastAsia="zh-CN" w:bidi="ar"/>
              </w:rPr>
              <w:t>财政资金</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7"/>
                <w:rFonts w:hint="eastAsia" w:ascii="宋体" w:hAnsi="宋体" w:eastAsia="宋体" w:cs="宋体"/>
                <w:b/>
                <w:bCs/>
                <w:sz w:val="21"/>
                <w:szCs w:val="21"/>
                <w:lang w:val="en-US" w:eastAsia="zh-CN" w:bidi="ar"/>
              </w:rPr>
              <w:t>其中</w:t>
            </w:r>
            <w:r>
              <w:rPr>
                <w:rStyle w:val="23"/>
                <w:rFonts w:hint="eastAsia" w:ascii="宋体" w:hAnsi="宋体" w:eastAsia="宋体" w:cs="宋体"/>
                <w:b/>
                <w:bCs/>
                <w:sz w:val="21"/>
                <w:szCs w:val="21"/>
                <w:lang w:val="en-US" w:eastAsia="zh-CN" w:bidi="ar"/>
              </w:rPr>
              <w:t>:</w:t>
            </w:r>
            <w:r>
              <w:rPr>
                <w:rStyle w:val="27"/>
                <w:rFonts w:hint="eastAsia" w:ascii="宋体" w:hAnsi="宋体" w:eastAsia="宋体" w:cs="宋体"/>
                <w:b/>
                <w:bCs/>
                <w:sz w:val="21"/>
                <w:szCs w:val="21"/>
                <w:lang w:val="en-US" w:eastAsia="zh-CN" w:bidi="ar"/>
              </w:rPr>
              <w:t>财政资金</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12.500000</w:t>
            </w: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169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三、目标完成情况</w:t>
            </w:r>
          </w:p>
        </w:tc>
        <w:tc>
          <w:tcPr>
            <w:tcW w:w="4500" w:type="dxa"/>
            <w:gridSpan w:val="4"/>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年度预期目标</w:t>
            </w: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具体完成情况</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总体完成率</w:t>
            </w:r>
            <w:r>
              <w:rPr>
                <w:rStyle w:val="26"/>
                <w:rFonts w:hint="eastAsia" w:ascii="宋体" w:hAnsi="宋体" w:eastAsia="宋体" w:cs="宋体"/>
                <w:b/>
                <w:bCs/>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4500" w:type="dxa"/>
            <w:gridSpan w:val="4"/>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对所有防贫监测对象确保不发生规模性返贫致贫</w:t>
            </w: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4500" w:type="dxa"/>
            <w:gridSpan w:val="4"/>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通过防贫监测对象因病、因学、因灾和意外事故达到防贫保险赔付政策的均应享受</w:t>
            </w: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1695"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四、年度绩效</w:t>
            </w:r>
            <w:r>
              <w:rPr>
                <w:rStyle w:val="26"/>
                <w:rFonts w:hint="eastAsia" w:ascii="宋体" w:hAnsi="宋体" w:eastAsia="宋体" w:cs="宋体"/>
                <w:b/>
                <w:bCs/>
                <w:sz w:val="21"/>
                <w:szCs w:val="21"/>
                <w:lang w:val="en-US" w:eastAsia="zh-CN" w:bidi="ar"/>
              </w:rPr>
              <w:t xml:space="preserve">        </w:t>
            </w:r>
            <w:r>
              <w:rPr>
                <w:rStyle w:val="21"/>
                <w:rFonts w:hint="eastAsia" w:ascii="宋体" w:hAnsi="宋体" w:eastAsia="宋体" w:cs="宋体"/>
                <w:b/>
                <w:bCs/>
                <w:sz w:val="21"/>
                <w:szCs w:val="21"/>
                <w:lang w:val="en-US" w:eastAsia="zh-CN" w:bidi="ar"/>
              </w:rPr>
              <w:t>指标完成情况</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指标说明</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指标分值</w:t>
            </w:r>
          </w:p>
        </w:tc>
        <w:tc>
          <w:tcPr>
            <w:tcW w:w="1845" w:type="dxa"/>
            <w:gridSpan w:val="3"/>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预期指标值</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单项指标实际完成值</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单项指标完成情况</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符号</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值</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单位</w:t>
            </w:r>
            <w:r>
              <w:rPr>
                <w:rStyle w:val="26"/>
                <w:rFonts w:hint="eastAsia" w:ascii="宋体" w:hAnsi="宋体" w:eastAsia="宋体" w:cs="宋体"/>
                <w:b/>
                <w:bCs/>
                <w:sz w:val="21"/>
                <w:szCs w:val="21"/>
                <w:lang w:val="en-US" w:eastAsia="zh-CN" w:bidi="ar"/>
              </w:rPr>
              <w:t>(</w:t>
            </w:r>
            <w:r>
              <w:rPr>
                <w:rStyle w:val="21"/>
                <w:rFonts w:hint="eastAsia" w:ascii="宋体" w:hAnsi="宋体" w:eastAsia="宋体" w:cs="宋体"/>
                <w:b/>
                <w:bCs/>
                <w:sz w:val="21"/>
                <w:szCs w:val="21"/>
                <w:lang w:val="en-US" w:eastAsia="zh-CN" w:bidi="ar"/>
              </w:rPr>
              <w:t>文字描述</w:t>
            </w:r>
            <w:r>
              <w:rPr>
                <w:rStyle w:val="26"/>
                <w:rFonts w:hint="eastAsia" w:ascii="宋体" w:hAnsi="宋体" w:eastAsia="宋体" w:cs="宋体"/>
                <w:b/>
                <w:bCs/>
                <w:sz w:val="21"/>
                <w:szCs w:val="21"/>
                <w:lang w:val="en-US" w:eastAsia="zh-CN" w:bidi="ar"/>
              </w:rPr>
              <w:t>)</w:t>
            </w: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产出指标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监测户数量</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防贫监测户数量</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质量指标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人均收入超扶贫标准</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监测户人均可支配收入超过当年国家扶贫标准</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倍</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1.5</w:t>
            </w:r>
            <w:r>
              <w:rPr>
                <w:rStyle w:val="21"/>
                <w:rFonts w:hint="eastAsia" w:ascii="宋体" w:hAnsi="宋体" w:eastAsia="宋体" w:cs="宋体"/>
                <w:b/>
                <w:bCs/>
                <w:sz w:val="21"/>
                <w:szCs w:val="21"/>
                <w:lang w:val="en-US" w:eastAsia="zh-CN" w:bidi="ar"/>
              </w:rPr>
              <w:t>倍</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质量指标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提高监测户生活水平</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促进贫困家庭生产、生活环境改善</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0.15</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时效指标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监测对象认定时间</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监测对象信息收集、入户核查核实、部门信息比对、村级评议公示、乡镇核查初审、县级审定公告程序</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天</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15</w:t>
            </w:r>
            <w:r>
              <w:rPr>
                <w:rStyle w:val="21"/>
                <w:rFonts w:hint="eastAsia" w:ascii="宋体" w:hAnsi="宋体" w:eastAsia="宋体" w:cs="宋体"/>
                <w:b/>
                <w:bCs/>
                <w:sz w:val="21"/>
                <w:szCs w:val="21"/>
                <w:lang w:val="en-US" w:eastAsia="zh-CN" w:bidi="ar"/>
              </w:rPr>
              <w:t>天</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系统维护费</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系统维护年费用</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0.5</w:t>
            </w:r>
            <w:r>
              <w:rPr>
                <w:rStyle w:val="21"/>
                <w:rFonts w:hint="eastAsia" w:ascii="宋体" w:hAnsi="宋体" w:eastAsia="宋体" w:cs="宋体"/>
                <w:b/>
                <w:bCs/>
                <w:sz w:val="21"/>
                <w:szCs w:val="21"/>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调研、检查费用</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对防贫工作的调研、考核、检查、验收、督查等活动所需费用</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10</w:t>
            </w:r>
            <w:r>
              <w:rPr>
                <w:rStyle w:val="21"/>
                <w:rFonts w:hint="eastAsia" w:ascii="宋体" w:hAnsi="宋体" w:eastAsia="宋体" w:cs="宋体"/>
                <w:b/>
                <w:bCs/>
                <w:sz w:val="21"/>
                <w:szCs w:val="21"/>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预算控制数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控制在预算范围内合理使用</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12.5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12.5</w:t>
            </w:r>
            <w:r>
              <w:rPr>
                <w:rStyle w:val="21"/>
                <w:rFonts w:hint="eastAsia" w:ascii="宋体" w:hAnsi="宋体" w:eastAsia="宋体" w:cs="宋体"/>
                <w:b/>
                <w:bCs/>
                <w:sz w:val="21"/>
                <w:szCs w:val="21"/>
                <w:lang w:val="en-US" w:eastAsia="zh-CN" w:bidi="ar"/>
              </w:rPr>
              <w:t>万元</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效益指标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可持续影响指标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保持工作连续性</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根据调查核实情况及时拨付保险赔付资金</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Style w:val="26"/>
                <w:rFonts w:hint="eastAsia" w:ascii="宋体" w:hAnsi="宋体" w:eastAsia="宋体" w:cs="宋体"/>
                <w:b/>
                <w:bCs/>
                <w:sz w:val="21"/>
                <w:szCs w:val="21"/>
                <w:lang w:val="en-US" w:eastAsia="zh-CN" w:bidi="ar"/>
              </w:rPr>
              <w:t>1</w:t>
            </w:r>
            <w:r>
              <w:rPr>
                <w:rStyle w:val="21"/>
                <w:rFonts w:hint="eastAsia" w:ascii="宋体" w:hAnsi="宋体" w:eastAsia="宋体" w:cs="宋体"/>
                <w:b/>
                <w:bCs/>
                <w:sz w:val="21"/>
                <w:szCs w:val="21"/>
                <w:lang w:val="en-US" w:eastAsia="zh-CN" w:bidi="ar"/>
              </w:rPr>
              <w:t>年</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经济效益指标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监测户减少支出比例</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监测户每年减少医疗教育支出比例</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0.15</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社会效益指标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受理监测户比例</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受理申请监测户占申请监测户的比例</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满意度指标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服务对象满意度指标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享受赔付监测户满意度</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享受赔付监测户对所享受赔付标准满意度</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0.95</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bCs/>
                <w:i w:val="0"/>
                <w:iCs w:val="0"/>
                <w:color w:val="000000"/>
                <w:sz w:val="21"/>
                <w:szCs w:val="21"/>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b/>
                <w:bCs/>
                <w:i w:val="0"/>
                <w:iCs w:val="0"/>
                <w:color w:val="000000"/>
                <w:sz w:val="21"/>
                <w:szCs w:val="21"/>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自评总分</w:t>
            </w:r>
          </w:p>
        </w:tc>
        <w:tc>
          <w:tcPr>
            <w:tcW w:w="8325" w:type="dxa"/>
            <w:gridSpan w:val="10"/>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Style w:val="21"/>
                <w:rFonts w:hint="eastAsia" w:ascii="宋体" w:hAnsi="宋体" w:eastAsia="宋体" w:cs="宋体"/>
                <w:b/>
                <w:bCs/>
                <w:sz w:val="21"/>
                <w:szCs w:val="21"/>
                <w:lang w:val="en-US" w:eastAsia="zh-CN" w:bidi="ar"/>
              </w:rPr>
              <w:t>五、存在问题</w:t>
            </w:r>
            <w:r>
              <w:rPr>
                <w:rStyle w:val="26"/>
                <w:rFonts w:hint="eastAsia" w:ascii="宋体" w:hAnsi="宋体" w:eastAsia="宋体" w:cs="宋体"/>
                <w:b/>
                <w:bCs/>
                <w:sz w:val="21"/>
                <w:szCs w:val="21"/>
                <w:lang w:val="en-US" w:eastAsia="zh-CN" w:bidi="ar"/>
              </w:rPr>
              <w:t xml:space="preserve">         </w:t>
            </w:r>
            <w:r>
              <w:rPr>
                <w:rStyle w:val="21"/>
                <w:rFonts w:hint="eastAsia" w:ascii="宋体" w:hAnsi="宋体" w:eastAsia="宋体" w:cs="宋体"/>
                <w:b/>
                <w:bCs/>
                <w:sz w:val="21"/>
                <w:szCs w:val="21"/>
                <w:lang w:val="en-US" w:eastAsia="zh-CN" w:bidi="ar"/>
              </w:rPr>
              <w:t>原因及整改措施</w:t>
            </w:r>
          </w:p>
        </w:tc>
        <w:tc>
          <w:tcPr>
            <w:tcW w:w="9600" w:type="dxa"/>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2" w:hRule="atLeast"/>
          <w:jc w:val="center"/>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9600"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b/>
                <w:bCs/>
                <w:i w:val="0"/>
                <w:iCs w:val="0"/>
                <w:color w:val="000000"/>
                <w:sz w:val="21"/>
                <w:szCs w:val="21"/>
                <w:u w:val="none"/>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jc w:val="both"/>
        <w:textAlignment w:val="auto"/>
        <w:rPr>
          <w:rFonts w:hint="eastAsia" w:ascii="仿宋_GB2312" w:hAnsi="仿宋" w:eastAsia="仿宋_GB2312" w:cs="仿宋_GB2312"/>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jc w:val="both"/>
        <w:textAlignment w:val="auto"/>
        <w:rPr>
          <w:rFonts w:hint="eastAsia" w:ascii="仿宋_GB2312" w:hAnsi="仿宋" w:eastAsia="仿宋_GB2312" w:cs="仿宋_GB2312"/>
          <w:kern w:val="2"/>
          <w:sz w:val="32"/>
          <w:szCs w:val="32"/>
          <w:lang w:val="en-US" w:eastAsia="zh-CN" w:bidi="ar"/>
        </w:rPr>
      </w:pPr>
    </w:p>
    <w:tbl>
      <w:tblPr>
        <w:tblStyle w:val="11"/>
        <w:tblW w:w="116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14"/>
        <w:gridCol w:w="670"/>
        <w:gridCol w:w="487"/>
        <w:gridCol w:w="784"/>
        <w:gridCol w:w="1330"/>
        <w:gridCol w:w="559"/>
        <w:gridCol w:w="225"/>
        <w:gridCol w:w="559"/>
        <w:gridCol w:w="276"/>
        <w:gridCol w:w="746"/>
        <w:gridCol w:w="445"/>
        <w:gridCol w:w="339"/>
        <w:gridCol w:w="301"/>
        <w:gridCol w:w="144"/>
        <w:gridCol w:w="417"/>
        <w:gridCol w:w="223"/>
        <w:gridCol w:w="448"/>
        <w:gridCol w:w="113"/>
        <w:gridCol w:w="671"/>
        <w:gridCol w:w="276"/>
        <w:gridCol w:w="784"/>
        <w:gridCol w:w="276"/>
        <w:gridCol w:w="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10857" w:type="dxa"/>
            <w:gridSpan w:val="2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10857" w:type="dxa"/>
            <w:gridSpan w:val="2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28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一、基本情况</w:t>
            </w: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2673"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2024年县级财政衔接推进乡村振兴补助资金-巩固拓展脱贫攻坚成果及促进脱贫人口稳定增收建设项目</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项目级次</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本级</w:t>
            </w:r>
          </w:p>
        </w:tc>
        <w:tc>
          <w:tcPr>
            <w:tcW w:w="108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实施主管单位</w:t>
            </w:r>
          </w:p>
        </w:tc>
        <w:tc>
          <w:tcPr>
            <w:tcW w:w="1232"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434004 - 青龙满族自治县防贫中心</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金额单位</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二、预算执行情况</w:t>
            </w:r>
          </w:p>
        </w:tc>
        <w:tc>
          <w:tcPr>
            <w:tcW w:w="33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预算安排情况(调整后)</w:t>
            </w:r>
          </w:p>
        </w:tc>
        <w:tc>
          <w:tcPr>
            <w:tcW w:w="23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资金到位情况</w:t>
            </w:r>
          </w:p>
        </w:tc>
        <w:tc>
          <w:tcPr>
            <w:tcW w:w="23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资金执行情况</w:t>
            </w:r>
          </w:p>
        </w:tc>
        <w:tc>
          <w:tcPr>
            <w:tcW w:w="21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预算数</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到位数</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108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执行数</w:t>
            </w:r>
          </w:p>
        </w:tc>
        <w:tc>
          <w:tcPr>
            <w:tcW w:w="1232"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2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94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108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1232"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20.000000</w:t>
            </w:r>
          </w:p>
        </w:tc>
        <w:tc>
          <w:tcPr>
            <w:tcW w:w="2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right"/>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108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232"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2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right"/>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三、目标完成情况</w:t>
            </w:r>
          </w:p>
        </w:tc>
        <w:tc>
          <w:tcPr>
            <w:tcW w:w="5004" w:type="dxa"/>
            <w:gridSpan w:val="9"/>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年度预期目标</w:t>
            </w:r>
          </w:p>
        </w:tc>
        <w:tc>
          <w:tcPr>
            <w:tcW w:w="3063" w:type="dxa"/>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具体完成情况</w:t>
            </w:r>
          </w:p>
        </w:tc>
        <w:tc>
          <w:tcPr>
            <w:tcW w:w="21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58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5004" w:type="dxa"/>
            <w:gridSpan w:val="9"/>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通过对全县预警网格员等从事防贫工作人员的培训,提高防贫政策知晓率</w:t>
            </w:r>
          </w:p>
        </w:tc>
        <w:tc>
          <w:tcPr>
            <w:tcW w:w="3063" w:type="dxa"/>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21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6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5004" w:type="dxa"/>
            <w:gridSpan w:val="9"/>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通过对全县预警网格员等从事防贫工作人员的培训,提高政策业务水平</w:t>
            </w:r>
          </w:p>
        </w:tc>
        <w:tc>
          <w:tcPr>
            <w:tcW w:w="3063" w:type="dxa"/>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21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30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四、年度绩效        指标完成情况</w:t>
            </w:r>
          </w:p>
        </w:tc>
        <w:tc>
          <w:tcPr>
            <w:tcW w:w="127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21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10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指标说明</w:t>
            </w:r>
          </w:p>
        </w:tc>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指标分值</w:t>
            </w:r>
          </w:p>
        </w:tc>
        <w:tc>
          <w:tcPr>
            <w:tcW w:w="1646"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预期指标值</w:t>
            </w:r>
          </w:p>
        </w:tc>
        <w:tc>
          <w:tcPr>
            <w:tcW w:w="6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单项指标实际完成值</w:t>
            </w:r>
          </w:p>
        </w:tc>
        <w:tc>
          <w:tcPr>
            <w:tcW w:w="10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单项指标完成情况</w:t>
            </w:r>
          </w:p>
        </w:tc>
        <w:tc>
          <w:tcPr>
            <w:tcW w:w="1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8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符号</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值</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单位(文字描述)</w:t>
            </w:r>
          </w:p>
        </w:tc>
        <w:tc>
          <w:tcPr>
            <w:tcW w:w="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7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产出指标</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培训人数</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反映项目培训人数</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3000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2500</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78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覆盖乡镇数量</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反映项目培训乡镇数量</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1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质量指标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培训参与率</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反应培训合格率占比情况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0.7</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7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时效指标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培训任务完成及时率</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反映项目按计划及时完成培训任务情况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0.9</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4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培训预算控制数额</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反映培训预算总数控制数额情况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20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20万元</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88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培训资料费</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培训资料制作费</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20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20万元</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8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效益指标</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经济效益指标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防贫监测户年平均收入</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通过政策培训,防贫监测户年平均收入情况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&gt;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0.01</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4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社会效益指标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政策知晓率</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通过政策培训,政策知晓率情况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0.8</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4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可持续影响指标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项目可持续影响年限</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反映项目持续发挥作用时限情况</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1年</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284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满意度指标</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服务对象满意度指标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培训人员满意度</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相关调查中，接受培训人员满意和基本满意人数占调查总人数的比例</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95</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0.95</w:t>
            </w: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21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宋体" w:hAnsi="宋体" w:eastAsia="宋体" w:cs="宋体"/>
                <w:b/>
                <w:bCs/>
                <w:i w:val="0"/>
                <w:iCs w:val="0"/>
                <w:color w:val="000000"/>
                <w:sz w:val="21"/>
                <w:szCs w:val="21"/>
                <w:u w:val="none"/>
              </w:rPr>
            </w:pP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44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6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10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自评总分</w:t>
            </w:r>
          </w:p>
        </w:tc>
        <w:tc>
          <w:tcPr>
            <w:tcW w:w="891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五、存在问题         原因及整改措施</w:t>
            </w:r>
          </w:p>
        </w:tc>
        <w:tc>
          <w:tcPr>
            <w:tcW w:w="10187" w:type="dxa"/>
            <w:gridSpan w:val="2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84" w:type="dxa"/>
          <w:trHeight w:val="10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187" w:type="dxa"/>
            <w:gridSpan w:val="2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10857" w:type="dxa"/>
            <w:gridSpan w:val="2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25" w:hRule="atLeast"/>
          <w:jc w:val="center"/>
        </w:trPr>
        <w:tc>
          <w:tcPr>
            <w:tcW w:w="10857" w:type="dxa"/>
            <w:gridSpan w:val="2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28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一、基本情况</w:t>
            </w: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2673"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防贫保险</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项目级次</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本级</w:t>
            </w:r>
          </w:p>
        </w:tc>
        <w:tc>
          <w:tcPr>
            <w:tcW w:w="108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实施主管单位</w:t>
            </w:r>
          </w:p>
        </w:tc>
        <w:tc>
          <w:tcPr>
            <w:tcW w:w="123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434004 - 青龙满族自治县防贫中心</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金额单位</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二、预算执行情况</w:t>
            </w:r>
          </w:p>
        </w:tc>
        <w:tc>
          <w:tcPr>
            <w:tcW w:w="33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预算安排情况(调整后)</w:t>
            </w:r>
          </w:p>
        </w:tc>
        <w:tc>
          <w:tcPr>
            <w:tcW w:w="23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资金到位情况</w:t>
            </w:r>
          </w:p>
        </w:tc>
        <w:tc>
          <w:tcPr>
            <w:tcW w:w="23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资金执行情况</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预算数</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到位数</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108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执行数</w:t>
            </w:r>
          </w:p>
        </w:tc>
        <w:tc>
          <w:tcPr>
            <w:tcW w:w="123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212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94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108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其中:财政资金</w:t>
            </w:r>
          </w:p>
        </w:tc>
        <w:tc>
          <w:tcPr>
            <w:tcW w:w="123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30.000000</w:t>
            </w:r>
          </w:p>
        </w:tc>
        <w:tc>
          <w:tcPr>
            <w:tcW w:w="21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right"/>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80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108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w:t>
            </w:r>
          </w:p>
        </w:tc>
        <w:tc>
          <w:tcPr>
            <w:tcW w:w="123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212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right"/>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三、目标完成情况</w:t>
            </w:r>
          </w:p>
        </w:tc>
        <w:tc>
          <w:tcPr>
            <w:tcW w:w="422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年度预期目标</w:t>
            </w:r>
          </w:p>
        </w:tc>
        <w:tc>
          <w:tcPr>
            <w:tcW w:w="3847" w:type="dxa"/>
            <w:gridSpan w:val="10"/>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具体完成情况</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58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422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通过对防贫监测对象进行识别、纳入和标注退出等工作，实现不发生规模性返贫致贫</w:t>
            </w:r>
          </w:p>
        </w:tc>
        <w:tc>
          <w:tcPr>
            <w:tcW w:w="3847" w:type="dxa"/>
            <w:gridSpan w:val="10"/>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6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422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防贫监测对象因病、因学、因灾和意外事故等因素进行赔付，达到防贫保险赔付政策的均应享受</w:t>
            </w:r>
          </w:p>
        </w:tc>
        <w:tc>
          <w:tcPr>
            <w:tcW w:w="3847" w:type="dxa"/>
            <w:gridSpan w:val="10"/>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已完成</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30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四、年度绩效        指标完成情况</w:t>
            </w:r>
          </w:p>
        </w:tc>
        <w:tc>
          <w:tcPr>
            <w:tcW w:w="12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211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276"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指标说明</w:t>
            </w:r>
          </w:p>
        </w:tc>
        <w:tc>
          <w:tcPr>
            <w:tcW w:w="153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指标分值</w:t>
            </w:r>
          </w:p>
        </w:tc>
        <w:tc>
          <w:tcPr>
            <w:tcW w:w="1646"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预期指标值</w:t>
            </w:r>
          </w:p>
        </w:tc>
        <w:tc>
          <w:tcPr>
            <w:tcW w:w="671"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单项指标实际完成值</w:t>
            </w:r>
          </w:p>
        </w:tc>
        <w:tc>
          <w:tcPr>
            <w:tcW w:w="1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单项指标完成情况</w:t>
            </w:r>
          </w:p>
        </w:tc>
        <w:tc>
          <w:tcPr>
            <w:tcW w:w="1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8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76"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53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符号</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值</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单位(文字描述)</w:t>
            </w:r>
          </w:p>
        </w:tc>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7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产出指标</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监测户覆盖范围</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监测户实施防贫帮扶全县行政村全覆盖</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1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highlight w:val="yellow"/>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highlight w:val="yellow"/>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质量指标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sz w:val="21"/>
                <w:szCs w:val="21"/>
                <w:highlight w:val="none"/>
                <w:u w:val="none"/>
              </w:rPr>
              <w:t>人均收入超国家标准</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sz w:val="21"/>
                <w:szCs w:val="21"/>
                <w:highlight w:val="none"/>
                <w:u w:val="none"/>
              </w:rPr>
              <w:t>监测户人均可支配收入超过当年国家人均纯收入标准</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15.00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倍</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highlight w:val="none"/>
                <w:u w:val="none"/>
                <w:lang w:val="en-US"/>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1.5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7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时效指标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监测户申请上报工作日</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监测户申请后，乡村初核并上报防贫中心工作日</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天</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4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成本指标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监测户赔偿上限</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监测户每年防贫保险最高赔付金额</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20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万元</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20万元</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8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效益指标</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经济效益指标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监测户减少支出比例</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监测户每年减少医疗教育支出比例</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15</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15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42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社会效益指标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受理监测户比例</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受理申请监测户占申请监测户的比例</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46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可持续影响指标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保持工作连续性</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sz w:val="22"/>
                <w:szCs w:val="22"/>
                <w:u w:val="none"/>
              </w:rPr>
              <w:t>根据调查核实情况按时拨付保险赔付资金</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1年</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284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kern w:val="0"/>
                <w:sz w:val="22"/>
                <w:szCs w:val="22"/>
                <w:u w:val="none"/>
                <w:lang w:val="en-US" w:eastAsia="zh-CN" w:bidi="ar"/>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生态效益指标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sz w:val="22"/>
                <w:szCs w:val="22"/>
                <w:u w:val="none"/>
              </w:rPr>
              <w:t>减轻监测户负担</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sz w:val="22"/>
                <w:szCs w:val="22"/>
                <w:u w:val="none"/>
              </w:rPr>
              <w:t>减轻监测户医疗负担</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284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满意度指标</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服务对象满意度指标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享受赔付监测户满意度</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享受赔付监测户对所享受赔付标准满意度</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95</w:t>
            </w: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95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完成</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预算执行率</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宋体" w:hAnsi="宋体" w:eastAsia="宋体" w:cs="宋体"/>
                <w:b/>
                <w:bCs/>
                <w:i w:val="0"/>
                <w:iCs w:val="0"/>
                <w:color w:val="000000"/>
                <w:sz w:val="21"/>
                <w:szCs w:val="21"/>
                <w:u w:val="none"/>
              </w:rPr>
            </w:pP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4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5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rPr>
                <w:rFonts w:hint="eastAsia" w:ascii="宋体" w:hAnsi="宋体" w:eastAsia="宋体" w:cs="宋体"/>
                <w:b/>
                <w:bCs/>
                <w:i w:val="0"/>
                <w:iCs w:val="0"/>
                <w:color w:val="000000"/>
                <w:sz w:val="21"/>
                <w:szCs w:val="21"/>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2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自评总分</w:t>
            </w:r>
          </w:p>
        </w:tc>
        <w:tc>
          <w:tcPr>
            <w:tcW w:w="8916" w:type="dxa"/>
            <w:gridSpan w:val="19"/>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right"/>
              <w:textAlignment w:val="top"/>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45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五、存在问题         原因及整改措施</w:t>
            </w:r>
          </w:p>
        </w:tc>
        <w:tc>
          <w:tcPr>
            <w:tcW w:w="10187" w:type="dxa"/>
            <w:gridSpan w:val="21"/>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2"/>
          <w:wBefore w:w="784" w:type="dxa"/>
          <w:trHeight w:val="100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b/>
                <w:bCs/>
                <w:i w:val="0"/>
                <w:iCs w:val="0"/>
                <w:color w:val="000000"/>
                <w:sz w:val="21"/>
                <w:szCs w:val="21"/>
                <w:u w:val="none"/>
              </w:rPr>
            </w:pPr>
          </w:p>
        </w:tc>
        <w:tc>
          <w:tcPr>
            <w:tcW w:w="10187" w:type="dxa"/>
            <w:gridSpan w:val="21"/>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eastAsia" w:ascii="宋体" w:hAnsi="宋体" w:eastAsia="宋体" w:cs="宋体"/>
                <w:b/>
                <w:bCs/>
                <w:i w:val="0"/>
                <w:iCs w:val="0"/>
                <w:color w:val="000000"/>
                <w:sz w:val="21"/>
                <w:szCs w:val="21"/>
                <w:u w:val="none"/>
              </w:rPr>
            </w:pPr>
          </w:p>
        </w:tc>
      </w:tr>
    </w:tbl>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hint="eastAsia" w:ascii="Times New Roman" w:eastAsia="仿宋_GB2312"/>
          <w:sz w:val="32"/>
          <w:szCs w:val="32"/>
          <w:lang w:val="en-US" w:eastAsia="zh-CN"/>
        </w:rPr>
        <w:t>无</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6CBAAF-059A-4720-BCE4-B46A058D1436}"/>
  </w:font>
  <w:font w:name="黑体">
    <w:panose1 w:val="02010609060101010101"/>
    <w:charset w:val="86"/>
    <w:family w:val="auto"/>
    <w:pitch w:val="default"/>
    <w:sig w:usb0="800002BF" w:usb1="38CF7CFA" w:usb2="00000016" w:usb3="00000000" w:csb0="00040001" w:csb1="00000000"/>
    <w:embedRegular r:id="rId2" w:fontKey="{2A243CE8-252D-4F19-B117-7AC058BBA4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DA24B7F-08EB-422A-97E0-991468D06D45}"/>
  </w:font>
  <w:font w:name="仿宋">
    <w:panose1 w:val="02010609060101010101"/>
    <w:charset w:val="86"/>
    <w:family w:val="modern"/>
    <w:pitch w:val="default"/>
    <w:sig w:usb0="800002BF" w:usb1="38CF7CFA" w:usb2="00000016" w:usb3="00000000" w:csb0="00040001" w:csb1="00000000"/>
    <w:embedRegular r:id="rId4" w:fontKey="{4357CDDC-9904-45E1-B084-CD5EB95D87F4}"/>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A63AA85C-7F39-475C-9E45-9C76A84837A2}"/>
  </w:font>
  <w:font w:name="方正小标宋_GBK">
    <w:panose1 w:val="02000000000000000000"/>
    <w:charset w:val="86"/>
    <w:family w:val="script"/>
    <w:pitch w:val="default"/>
    <w:sig w:usb0="A00002BF" w:usb1="38CF7CFA" w:usb2="00082016" w:usb3="00000000" w:csb0="00040001" w:csb1="00000000"/>
    <w:embedRegular r:id="rId6" w:fontKey="{0D4A35DD-4492-4E58-BDED-20901A4E39BB}"/>
  </w:font>
  <w:font w:name="仿宋_GB2312">
    <w:panose1 w:val="02010609030101010101"/>
    <w:charset w:val="86"/>
    <w:family w:val="auto"/>
    <w:pitch w:val="default"/>
    <w:sig w:usb0="00000001" w:usb1="080E0000" w:usb2="00000000" w:usb3="00000000" w:csb0="00040000" w:csb1="00000000"/>
    <w:embedRegular r:id="rId7" w:fontKey="{A85F3CBD-0AE8-4733-8323-29A7D403142C}"/>
  </w:font>
  <w:font w:name="ArialUnicodeMS">
    <w:altName w:val="Malgun Gothic"/>
    <w:panose1 w:val="00000000000000000000"/>
    <w:charset w:val="81"/>
    <w:family w:val="auto"/>
    <w:pitch w:val="default"/>
    <w:sig w:usb0="00000000" w:usb1="00000000" w:usb2="00000010" w:usb3="00000000" w:csb0="00080001" w:csb1="00000000"/>
    <w:embedRegular r:id="rId8" w:fontKey="{09C309A4-0F79-410B-8308-83A3B12BBFE9}"/>
  </w:font>
  <w:font w:name="方正仿宋_GB2312">
    <w:altName w:val="仿宋"/>
    <w:panose1 w:val="02000000000000000000"/>
    <w:charset w:val="86"/>
    <w:family w:val="auto"/>
    <w:pitch w:val="default"/>
    <w:sig w:usb0="00000000" w:usb1="00000000" w:usb2="00000000" w:usb3="00000000" w:csb0="00000000" w:csb1="00000000"/>
    <w:embedRegular r:id="rId9" w:fontKey="{38924015-25B8-4624-8308-7B1B448D72C7}"/>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133753"/>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266735"/>
    <w:rsid w:val="054F2DFB"/>
    <w:rsid w:val="056E25ED"/>
    <w:rsid w:val="05991C82"/>
    <w:rsid w:val="05CD1EC8"/>
    <w:rsid w:val="061416A9"/>
    <w:rsid w:val="061D60A6"/>
    <w:rsid w:val="06236884"/>
    <w:rsid w:val="06B07006"/>
    <w:rsid w:val="06FC7C2A"/>
    <w:rsid w:val="07533AFE"/>
    <w:rsid w:val="075E5EF4"/>
    <w:rsid w:val="07AC18F2"/>
    <w:rsid w:val="07B3657A"/>
    <w:rsid w:val="07C857D0"/>
    <w:rsid w:val="081144B5"/>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0FD03282"/>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3D6025"/>
    <w:rsid w:val="15CF053D"/>
    <w:rsid w:val="15E0131A"/>
    <w:rsid w:val="15E11DC0"/>
    <w:rsid w:val="16457D9F"/>
    <w:rsid w:val="17223EFF"/>
    <w:rsid w:val="17AA5F28"/>
    <w:rsid w:val="17B713F6"/>
    <w:rsid w:val="18112CB0"/>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2C6A9F"/>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6F73E3C"/>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050DFD"/>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B92F13"/>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103B3"/>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C62444"/>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B82A0C"/>
    <w:rsid w:val="4ADB18EB"/>
    <w:rsid w:val="4B3A6FE7"/>
    <w:rsid w:val="4B96118E"/>
    <w:rsid w:val="4BA30626"/>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9D1BF6"/>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250368"/>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B3096"/>
    <w:rsid w:val="5B2D237E"/>
    <w:rsid w:val="5B830730"/>
    <w:rsid w:val="5BBB2DD6"/>
    <w:rsid w:val="5BE263B6"/>
    <w:rsid w:val="5C8E5C5A"/>
    <w:rsid w:val="5C965E61"/>
    <w:rsid w:val="5CF0089C"/>
    <w:rsid w:val="5CF5796F"/>
    <w:rsid w:val="5D242A11"/>
    <w:rsid w:val="5D9217C2"/>
    <w:rsid w:val="5DAD06BF"/>
    <w:rsid w:val="5DC92CE9"/>
    <w:rsid w:val="5DCF4033"/>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BC13F4"/>
    <w:rsid w:val="6CEC2069"/>
    <w:rsid w:val="6D0B1869"/>
    <w:rsid w:val="6D65402D"/>
    <w:rsid w:val="6D683822"/>
    <w:rsid w:val="6D8D136C"/>
    <w:rsid w:val="6DBF2759"/>
    <w:rsid w:val="6DC96F36"/>
    <w:rsid w:val="6DFA3EBF"/>
    <w:rsid w:val="6E3E63D2"/>
    <w:rsid w:val="6E5F7BE6"/>
    <w:rsid w:val="6E6918C6"/>
    <w:rsid w:val="6EEB4AC4"/>
    <w:rsid w:val="6F1B634E"/>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2226D3"/>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7F00BEA"/>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5784A"/>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101"/>
    <w:basedOn w:val="13"/>
    <w:qFormat/>
    <w:uiPriority w:val="0"/>
    <w:rPr>
      <w:rFonts w:hint="eastAsia" w:ascii="宋体" w:hAnsi="宋体" w:eastAsia="宋体" w:cs="宋体"/>
      <w:b/>
      <w:bCs/>
      <w:color w:val="000000"/>
      <w:sz w:val="36"/>
      <w:szCs w:val="36"/>
      <w:u w:val="none"/>
    </w:rPr>
  </w:style>
  <w:style w:type="character" w:customStyle="1" w:styleId="26">
    <w:name w:val="font81"/>
    <w:basedOn w:val="13"/>
    <w:qFormat/>
    <w:uiPriority w:val="0"/>
    <w:rPr>
      <w:rFonts w:hint="default" w:ascii="Calibri" w:hAnsi="Calibri" w:cs="Calibri"/>
      <w:b/>
      <w:bCs/>
      <w:color w:val="000000"/>
      <w:sz w:val="22"/>
      <w:szCs w:val="22"/>
      <w:u w:val="none"/>
    </w:rPr>
  </w:style>
  <w:style w:type="character" w:customStyle="1" w:styleId="27">
    <w:name w:val="font21"/>
    <w:basedOn w:val="13"/>
    <w:qFormat/>
    <w:uiPriority w:val="0"/>
    <w:rPr>
      <w:rFonts w:hint="eastAsia" w:ascii="宋体" w:hAnsi="宋体" w:eastAsia="宋体" w:cs="宋体"/>
      <w:b/>
      <w:bCs/>
      <w:color w:val="000000"/>
      <w:sz w:val="22"/>
      <w:szCs w:val="22"/>
      <w:u w:val="none"/>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121.95</c:v>
                </c:pt>
                <c:pt idx="1">
                  <c:v>155.25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1552541.43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927541.43</c:v>
                </c:pt>
                <c:pt idx="1">
                  <c:v>625000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121.95</c:v>
                </c:pt>
                <c:pt idx="1">
                  <c:v>121.95</c:v>
                </c:pt>
                <c:pt idx="2">
                  <c:v>118.95</c:v>
                </c:pt>
                <c:pt idx="3">
                  <c:v>118.95</c:v>
                </c:pt>
                <c:pt idx="4">
                  <c:v>3</c:v>
                </c:pt>
                <c:pt idx="5">
                  <c:v>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155.25</c:v>
                </c:pt>
                <c:pt idx="1">
                  <c:v>155.25</c:v>
                </c:pt>
                <c:pt idx="2">
                  <c:v>155.25</c:v>
                </c:pt>
                <c:pt idx="3">
                  <c:v>155.25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136</c:v>
                </c:pt>
                <c:pt idx="1">
                  <c:v>136</c:v>
                </c:pt>
                <c:pt idx="2">
                  <c:v>136</c:v>
                </c:pt>
                <c:pt idx="3">
                  <c:v>136</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155.25</c:v>
                </c:pt>
                <c:pt idx="1">
                  <c:v>155.25</c:v>
                </c:pt>
                <c:pt idx="2">
                  <c:v>155.25</c:v>
                </c:pt>
                <c:pt idx="3">
                  <c:v>155.25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10.35</c:v>
                </c:pt>
                <c:pt idx="8">
                  <c:v>5.53</c:v>
                </c:pt>
                <c:pt idx="9">
                  <c:v>0</c:v>
                </c:pt>
                <c:pt idx="10">
                  <c:v>0</c:v>
                </c:pt>
                <c:pt idx="11">
                  <c:v>134.05</c:v>
                </c:pt>
                <c:pt idx="12">
                  <c:v>0</c:v>
                </c:pt>
                <c:pt idx="13">
                  <c:v>0</c:v>
                </c:pt>
                <c:pt idx="14">
                  <c:v>0</c:v>
                </c:pt>
                <c:pt idx="15">
                  <c:v>0</c:v>
                </c:pt>
                <c:pt idx="16">
                  <c:v>0</c:v>
                </c:pt>
                <c:pt idx="17">
                  <c:v>0</c:v>
                </c:pt>
                <c:pt idx="18">
                  <c:v>5.32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3</TotalTime>
  <ScaleCrop>false</ScaleCrop>
  <LinksUpToDate>false</LinksUpToDate>
  <CharactersWithSpaces>2170</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2025-10-23T08:34:29Z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89F5112758E4447E993C846E2B7D4CF2</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