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rFonts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3">
                      <a:lum bright="6000"/>
                    </a:blip>
                    <a:srcRect t="559" b="3637"/>
                    <a:stretch>
                      <a:fillRect/>
                    </a:stretch>
                  </pic:blipFill>
                  <pic:spPr>
                    <a:xfrm>
                      <a:off x="0" y="0"/>
                      <a:ext cx="8646795" cy="11107420"/>
                    </a:xfrm>
                    <a:prstGeom prst="rect">
                      <a:avLst/>
                    </a:prstGeom>
                  </pic:spPr>
                </pic:pic>
              </a:graphicData>
            </a:graphic>
          </wp:anchor>
        </w:drawing>
      </w:r>
      <w:r>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v:path/>
            <v:fill on="f" focussize="0,0"/>
            <v:stroke on="f" joinstyle="miter"/>
            <v:imagedata o:title=""/>
            <o:lock v:ext="edit"/>
            <v:textbox>
              <w:txbxContent>
                <w:p>
                  <w:pPr>
                    <w:spacing w:line="1400" w:lineRule="exact"/>
                    <w:jc w:val="center"/>
                    <w:rPr>
                      <w:rFonts w:ascii="方正小标宋_GBK" w:hAnsi="方正小标宋_GBK" w:eastAsia="方正小标宋_GBK" w:cs="方正小标宋_GBK"/>
                      <w:b/>
                      <w:bCs/>
                      <w:color w:val="0C0C0C" w:themeColor="text1" w:themeTint="F2"/>
                      <w:sz w:val="112"/>
                      <w:szCs w:val="112"/>
                    </w:rPr>
                  </w:pPr>
                  <w:r>
                    <w:rPr>
                      <w:rFonts w:hint="eastAsia" w:ascii="宋体" w:hAnsi="宋体" w:eastAsia="宋体"/>
                      <w:b/>
                      <w:bCs/>
                      <w:color w:val="0C0C0C" w:themeColor="text1" w:themeTint="F2"/>
                      <w:sz w:val="112"/>
                      <w:szCs w:val="112"/>
                    </w:rPr>
                    <w:t>2024</w:t>
                  </w:r>
                  <w:r>
                    <w:rPr>
                      <w:rFonts w:hint="eastAsia" w:ascii="方正小标宋_GBK" w:hAnsi="方正小标宋_GBK" w:eastAsia="方正小标宋_GBK" w:cs="方正小标宋_GBK"/>
                      <w:b/>
                      <w:bCs/>
                      <w:color w:val="0C0C0C" w:themeColor="text1" w:themeTint="F2"/>
                      <w:sz w:val="112"/>
                      <w:szCs w:val="112"/>
                    </w:rPr>
                    <w:t>年度</w:t>
                  </w:r>
                </w:p>
                <w:p>
                  <w:pPr>
                    <w:spacing w:line="1400" w:lineRule="exact"/>
                    <w:jc w:val="center"/>
                    <w:rPr>
                      <w:rFonts w:ascii="方正小标宋_GBK" w:hAnsi="方正小标宋_GBK" w:eastAsia="方正小标宋_GBK" w:cs="方正小标宋_GBK"/>
                      <w:b/>
                      <w:bCs/>
                      <w:color w:val="0C0C0C" w:themeColor="text1" w:themeTint="F2"/>
                      <w:sz w:val="112"/>
                      <w:szCs w:val="112"/>
                    </w:rPr>
                  </w:pPr>
                  <w:r>
                    <w:rPr>
                      <w:rFonts w:hint="eastAsia" w:ascii="方正小标宋_GBK" w:hAnsi="方正小标宋_GBK" w:eastAsia="方正小标宋_GBK" w:cs="方正小标宋_GBK"/>
                      <w:b/>
                      <w:bCs/>
                      <w:color w:val="0C0C0C" w:themeColor="text1" w:themeTint="F2"/>
                      <w:sz w:val="112"/>
                      <w:szCs w:val="112"/>
                    </w:rPr>
                    <w:t>部门决算公开文本</w:t>
                  </w:r>
                </w:p>
              </w:txbxContent>
            </v:textbox>
          </v:shape>
        </w:pict>
      </w: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rPr>
          <w:rFonts w:ascii="楷体_GB2312" w:hAnsi="楷体_GB2312" w:eastAsia="楷体_GB2312" w:cs="楷体_GB2312"/>
          <w:color w:val="000000"/>
          <w:sz w:val="40"/>
          <w:szCs w:val="40"/>
        </w:rPr>
      </w:pPr>
    </w:p>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：434006</w:t>
      </w:r>
    </w:p>
    <w:p>
      <w:pPr>
        <w:spacing w:line="600" w:lineRule="auto"/>
        <w:jc w:val="left"/>
        <w:rPr>
          <w:rFonts w:ascii="楷体_GB2312" w:hAnsi="楷体_GB2312" w:eastAsia="楷体_GB2312" w:cs="楷体_GB2312"/>
          <w:color w:val="000000"/>
          <w:sz w:val="40"/>
          <w:szCs w:val="40"/>
        </w:rPr>
        <w:sectPr>
          <w:footerReference r:id="rId3" w:type="default"/>
          <w:pgSz w:w="11906" w:h="16838"/>
          <w:pgMar w:top="2098" w:right="1417" w:bottom="1871" w:left="1417" w:header="851" w:footer="992" w:gutter="0"/>
          <w:pgNumType w:start="1"/>
          <w:cols w:space="720" w:num="1"/>
          <w:docGrid w:type="lines" w:linePitch="312" w:charSpace="0"/>
        </w:sect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：青龙满族自治县城市棚户区改造建设中心</w:t>
      </w:r>
    </w:p>
    <w:p>
      <w:pPr>
        <w:widowControl/>
        <w:spacing w:line="360" w:lineRule="auto"/>
        <w:jc w:val="center"/>
        <w:rPr>
          <w:rFonts w:ascii="黑体" w:hAnsi="黑体" w:eastAsia="黑体" w:cs="黑体"/>
          <w:b/>
          <w:bCs/>
          <w:sz w:val="32"/>
          <w:szCs w:val="36"/>
          <w:highlight w:val="yellow"/>
        </w:rPr>
      </w:pPr>
    </w:p>
    <w:p>
      <w:pPr>
        <w:widowControl/>
        <w:spacing w:line="360" w:lineRule="auto"/>
        <w:jc w:val="center"/>
        <w:rPr>
          <w:rFonts w:ascii="Times New Roman" w:eastAsia="方正小标宋_GBK"/>
          <w:sz w:val="72"/>
          <w:szCs w:val="72"/>
        </w:rPr>
      </w:pPr>
      <w:r>
        <w:rPr>
          <w:rFonts w:ascii="Times New Roman" w:eastAsia="方正小标宋_GBK"/>
          <w:sz w:val="72"/>
          <w:szCs w:val="72"/>
        </w:rPr>
        <w:t>青龙满族自治县城市棚户区改造建设中心</w:t>
      </w:r>
    </w:p>
    <w:p>
      <w:pPr>
        <w:widowControl/>
        <w:spacing w:line="360" w:lineRule="auto"/>
        <w:jc w:val="center"/>
        <w:rPr>
          <w:rFonts w:ascii="Times New Roman" w:eastAsia="方正小标宋_GBK"/>
          <w:sz w:val="72"/>
          <w:szCs w:val="72"/>
        </w:rPr>
      </w:pPr>
      <w:r>
        <w:rPr>
          <w:rFonts w:ascii="Times New Roman" w:eastAsia="方正小标宋_GBK"/>
          <w:sz w:val="72"/>
          <w:szCs w:val="72"/>
        </w:rPr>
        <w:t>2024年度部门决算公开文本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rPr>
          <w:rFonts w:ascii="黑体" w:hAnsi="黑体" w:eastAsia="黑体" w:cs="黑体"/>
          <w:sz w:val="56"/>
          <w:szCs w:val="72"/>
        </w:rPr>
      </w:pPr>
    </w:p>
    <w:p>
      <w:pPr>
        <w:widowControl/>
        <w:spacing w:line="360" w:lineRule="auto"/>
        <w:jc w:val="center"/>
        <w:rPr>
          <w:rFonts w:hint="eastAsia" w:ascii="Times New Roman" w:eastAsia="楷体_GB2312"/>
          <w:sz w:val="44"/>
          <w:szCs w:val="44"/>
        </w:rPr>
      </w:pPr>
      <w:r>
        <w:rPr>
          <w:rFonts w:ascii="Times New Roman" w:eastAsia="楷体_GB2312"/>
          <w:sz w:val="44"/>
          <w:szCs w:val="44"/>
        </w:rPr>
        <w:t>青龙满族自治县城市棚户区改造建设</w:t>
      </w:r>
    </w:p>
    <w:p>
      <w:pPr>
        <w:widowControl/>
        <w:spacing w:line="360" w:lineRule="auto"/>
        <w:jc w:val="center"/>
        <w:rPr>
          <w:rFonts w:ascii="Times New Roman" w:eastAsia="楷体_GB2312"/>
          <w:sz w:val="44"/>
          <w:szCs w:val="44"/>
        </w:rPr>
      </w:pPr>
      <w:r>
        <w:rPr>
          <w:rFonts w:ascii="Times New Roman" w:eastAsia="楷体_GB2312"/>
          <w:sz w:val="44"/>
          <w:szCs w:val="44"/>
        </w:rPr>
        <w:t>中心</w:t>
      </w:r>
    </w:p>
    <w:p>
      <w:pPr>
        <w:widowControl/>
        <w:spacing w:line="360" w:lineRule="auto"/>
        <w:jc w:val="center"/>
        <w:rPr>
          <w:rFonts w:ascii="Times New Roman" w:eastAsia="楷体_GB2312"/>
          <w:sz w:val="44"/>
          <w:szCs w:val="44"/>
        </w:rPr>
        <w:sectPr>
          <w:footerReference r:id="rId4" w:type="default"/>
          <w:pgSz w:w="11906" w:h="16838"/>
          <w:pgMar w:top="1531" w:right="1984" w:bottom="1531" w:left="2098" w:header="851" w:footer="992" w:gutter="0"/>
          <w:cols w:space="720" w:num="1"/>
          <w:docGrid w:type="lines" w:linePitch="312" w:charSpace="0"/>
        </w:sectPr>
      </w:pPr>
      <w:r>
        <w:rPr>
          <w:rFonts w:ascii="Times New Roman" w:eastAsia="楷体_GB2312"/>
          <w:sz w:val="44"/>
          <w:szCs w:val="44"/>
        </w:rPr>
        <w:t>二〇二五年八月</w:t>
      </w:r>
    </w:p>
    <w:p>
      <w:pPr>
        <w:tabs>
          <w:tab w:val="left" w:pos="2728"/>
        </w:tabs>
        <w:rPr>
          <w:rFonts w:ascii="黑体" w:hAnsi="Times New Roman" w:eastAsia="黑体" w:cs="Times New Roman"/>
          <w:sz w:val="48"/>
          <w:szCs w:val="48"/>
        </w:rPr>
      </w:pPr>
    </w:p>
    <w:p>
      <w:pPr>
        <w:widowControl/>
        <w:spacing w:line="360" w:lineRule="auto"/>
        <w:jc w:val="center"/>
        <w:outlineLvl w:val="0"/>
        <w:rPr>
          <w:rFonts w:ascii="Times New Roman" w:eastAsia="黑体"/>
          <w:sz w:val="44"/>
          <w:szCs w:val="44"/>
        </w:rPr>
      </w:pPr>
      <w:r>
        <w:rPr>
          <w:rFonts w:ascii="Times New Roman" w:eastAsia="黑体"/>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line="360" w:lineRule="auto"/>
        <w:jc w:val="left"/>
        <w:rPr>
          <w:rFonts w:ascii="Times New Roman" w:eastAsia="黑体"/>
          <w:sz w:val="32"/>
          <w:szCs w:val="32"/>
        </w:rPr>
      </w:pPr>
      <w:r>
        <w:rPr>
          <w:rFonts w:ascii="Times New Roman" w:eastAsia="黑体"/>
          <w:sz w:val="32"/>
          <w:szCs w:val="32"/>
        </w:rPr>
        <w:t>第一部分单位概况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一、单位职责</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二、机构设置</w:t>
      </w:r>
    </w:p>
    <w:p>
      <w:pPr>
        <w:widowControl/>
        <w:spacing w:line="360" w:lineRule="auto"/>
        <w:jc w:val="left"/>
        <w:outlineLvl w:val="0"/>
        <w:rPr>
          <w:rFonts w:ascii="Times New Roman" w:eastAsia="黑体"/>
          <w:sz w:val="32"/>
          <w:szCs w:val="32"/>
        </w:rPr>
      </w:pPr>
      <w:r>
        <w:rPr>
          <w:rFonts w:ascii="Times New Roman" w:eastAsia="黑体"/>
          <w:sz w:val="32"/>
          <w:szCs w:val="32"/>
        </w:rPr>
        <w:t>第二部分 2024年度部门决算报表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五、一般公共预算财政拨款支出决算表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六、一般公共预算财政拨款基本支出决算明细表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七、政府性基金预算财政拨款收入支出决算表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八、国有资本经营预算财政拨款支出决算表</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九、财政拨款“三公”经费支出决算表</w:t>
      </w:r>
    </w:p>
    <w:p>
      <w:pPr>
        <w:widowControl/>
        <w:spacing w:line="360" w:lineRule="auto"/>
        <w:jc w:val="left"/>
        <w:rPr>
          <w:rFonts w:ascii="Times New Roman" w:eastAsia="黑体"/>
          <w:sz w:val="32"/>
          <w:szCs w:val="32"/>
        </w:rPr>
      </w:pPr>
      <w:r>
        <w:rPr>
          <w:rFonts w:ascii="Times New Roman" w:eastAsia="黑体"/>
          <w:sz w:val="32"/>
          <w:szCs w:val="32"/>
        </w:rPr>
        <w:t>第三部分 2024年度部门决算情况说明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一、收入支出决算总体情况说明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二、收入决算情况说明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三、支出决算情况说明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四、财政拨款收入支出决算总体情况说明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五、财政拨款“三公”经费支出决算情况说明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六、机关运行经费支出说明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七、政府采购支出说明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八、国有资产占用情况说明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九、关于2024年度绩效评价情况的说明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十、其他需要说明的情况</w:t>
      </w:r>
    </w:p>
    <w:p>
      <w:pPr>
        <w:widowControl/>
        <w:spacing w:line="360" w:lineRule="auto"/>
        <w:jc w:val="left"/>
        <w:rPr>
          <w:rFonts w:ascii="Times New Roman" w:eastAsia="黑体"/>
          <w:sz w:val="32"/>
          <w:szCs w:val="32"/>
        </w:rPr>
      </w:pPr>
      <w:r>
        <w:rPr>
          <w:rFonts w:ascii="Times New Roman" w:eastAsia="黑体"/>
          <w:sz w:val="32"/>
          <w:szCs w:val="32"/>
        </w:rPr>
        <w:t>第四部分 名词解释</w:t>
      </w:r>
    </w:p>
    <w:p>
      <w:pPr>
        <w:widowControl/>
        <w:spacing w:after="160" w:line="580" w:lineRule="exact"/>
        <w:rPr>
          <w:rFonts w:ascii="Times New Roman" w:hAnsi="Times New Roman" w:eastAsia="黑体" w:cs="Times New Roman"/>
          <w:sz w:val="32"/>
          <w:szCs w:val="32"/>
        </w:rPr>
        <w:sectPr>
          <w:headerReference r:id="rId6" w:type="first"/>
          <w:footerReference r:id="rId8" w:type="first"/>
          <w:headerReference r:id="rId5" w:type="default"/>
          <w:footerReference r:id="rId7" w:type="default"/>
          <w:pgSz w:w="11906" w:h="16838"/>
          <w:pgMar w:top="1474" w:right="1531" w:bottom="1474" w:left="1531" w:header="851" w:footer="992" w:gutter="0"/>
          <w:cols w:space="0" w:num="1"/>
          <w:titlePg/>
          <w:docGrid w:type="lines" w:linePitch="312" w:charSpace="0"/>
        </w:sectPr>
      </w:pPr>
    </w:p>
    <w:p>
      <w:pPr>
        <w:widowControl/>
        <w:spacing w:line="360" w:lineRule="auto"/>
        <w:jc w:val="center"/>
        <w:outlineLvl w:val="0"/>
        <w:rPr>
          <w:rFonts w:ascii="Times New Roman" w:eastAsia="黑体"/>
          <w:sz w:val="44"/>
          <w:szCs w:val="44"/>
        </w:rPr>
      </w:pPr>
      <w:r>
        <w:rPr>
          <w:rFonts w:ascii="Times New Roman" w:eastAsia="黑体"/>
          <w:sz w:val="44"/>
          <w:szCs w:val="44"/>
        </w:rPr>
        <w:t>第一部分单位概况</w:t>
      </w:r>
    </w:p>
    <w:p>
      <w:pPr>
        <w:widowControl/>
        <w:spacing w:line="360" w:lineRule="auto"/>
        <w:jc w:val="left"/>
        <w:outlineLvl w:val="1"/>
        <w:rPr>
          <w:rFonts w:ascii="Times New Roman" w:eastAsia="黑体"/>
          <w:sz w:val="32"/>
          <w:szCs w:val="32"/>
        </w:rPr>
      </w:pPr>
      <w:r>
        <w:rPr>
          <w:rFonts w:ascii="Times New Roman" w:eastAsia="黑体"/>
          <w:sz w:val="32"/>
          <w:szCs w:val="32"/>
        </w:rPr>
        <w:t>一、单位职责</w:t>
      </w:r>
    </w:p>
    <w:p>
      <w:pPr>
        <w:autoSpaceDE w:val="0"/>
        <w:autoSpaceDN w:val="0"/>
        <w:adjustRightInd w:val="0"/>
        <w:snapToGrid w:val="0"/>
        <w:spacing w:line="360" w:lineRule="auto"/>
        <w:ind w:firstLine="640" w:firstLineChars="200"/>
        <w:jc w:val="left"/>
        <w:rPr>
          <w:rFonts w:ascii="仿宋" w:hAnsi="仿宋" w:eastAsia="仿宋" w:cs="Times New Roman"/>
          <w:kern w:val="2"/>
          <w:sz w:val="32"/>
          <w:szCs w:val="32"/>
          <w:lang w:val="zh-CN"/>
        </w:rPr>
      </w:pPr>
      <w:r>
        <w:rPr>
          <w:rFonts w:ascii="Times New Roman" w:eastAsia="仿宋_GB2312"/>
          <w:sz w:val="32"/>
          <w:szCs w:val="32"/>
        </w:rPr>
        <w:t>   </w:t>
      </w:r>
      <w:r>
        <w:rPr>
          <w:rFonts w:hint="eastAsia" w:ascii="仿宋" w:hAnsi="仿宋" w:eastAsia="仿宋" w:cs="Times New Roman"/>
          <w:kern w:val="2"/>
          <w:sz w:val="32"/>
          <w:szCs w:val="32"/>
          <w:lang w:val="zh-CN"/>
        </w:rPr>
        <w:t>（一）负责全县县城建设的总体指导、综合协调、督导考核、统计单位、阶段总结、跟踪问效、政策宣传等工作。</w:t>
      </w:r>
    </w:p>
    <w:p>
      <w:pPr>
        <w:autoSpaceDE w:val="0"/>
        <w:autoSpaceDN w:val="0"/>
        <w:adjustRightInd w:val="0"/>
        <w:snapToGrid w:val="0"/>
        <w:spacing w:line="360" w:lineRule="auto"/>
        <w:ind w:firstLine="640" w:firstLineChars="200"/>
        <w:jc w:val="left"/>
        <w:rPr>
          <w:rFonts w:ascii="仿宋" w:hAnsi="仿宋" w:eastAsia="仿宋" w:cs="Times New Roman"/>
          <w:kern w:val="2"/>
          <w:sz w:val="32"/>
          <w:szCs w:val="32"/>
          <w:lang w:val="zh-CN"/>
        </w:rPr>
      </w:pPr>
      <w:r>
        <w:rPr>
          <w:rFonts w:hint="eastAsia" w:ascii="仿宋" w:hAnsi="仿宋" w:eastAsia="仿宋" w:cs="Times New Roman"/>
          <w:kern w:val="2"/>
          <w:sz w:val="32"/>
          <w:szCs w:val="32"/>
          <w:lang w:val="zh-CN"/>
        </w:rPr>
        <w:t>（二）负责县城规划区内（指青龙镇六个村：大杖子村、三杈榆树村、前庄村、土坎子村、拉马沟村、逃军山村，下同）职工、农民居住的平房和危、旧楼房改造，城中村改造，新民居建设，以及拆迁安置政策和其他相关政策研究。</w:t>
      </w:r>
    </w:p>
    <w:p>
      <w:pPr>
        <w:autoSpaceDE w:val="0"/>
        <w:autoSpaceDN w:val="0"/>
        <w:adjustRightInd w:val="0"/>
        <w:snapToGrid w:val="0"/>
        <w:spacing w:line="360" w:lineRule="auto"/>
        <w:ind w:firstLine="640" w:firstLineChars="200"/>
        <w:jc w:val="left"/>
        <w:rPr>
          <w:rFonts w:ascii="仿宋" w:hAnsi="仿宋" w:eastAsia="仿宋" w:cs="Times New Roman"/>
          <w:kern w:val="2"/>
          <w:sz w:val="32"/>
          <w:szCs w:val="32"/>
          <w:lang w:val="zh-CN"/>
        </w:rPr>
      </w:pPr>
      <w:r>
        <w:rPr>
          <w:rFonts w:hint="eastAsia" w:ascii="仿宋" w:hAnsi="仿宋" w:eastAsia="仿宋" w:cs="Times New Roman"/>
          <w:kern w:val="2"/>
          <w:sz w:val="32"/>
          <w:szCs w:val="32"/>
          <w:lang w:val="zh-CN"/>
        </w:rPr>
        <w:t>（三）根据《城市房屋拆迁管理条例》，负责对县城规划区内房屋拆迁实施监督管理，按照有关政策负责县城区的房屋征收和补偿。县城乡规划局仍负责呈现违章建筑的拆迁工作。</w:t>
      </w:r>
    </w:p>
    <w:p>
      <w:pPr>
        <w:autoSpaceDE w:val="0"/>
        <w:autoSpaceDN w:val="0"/>
        <w:adjustRightInd w:val="0"/>
        <w:snapToGrid w:val="0"/>
        <w:spacing w:line="360" w:lineRule="auto"/>
        <w:ind w:firstLine="640" w:firstLineChars="200"/>
        <w:jc w:val="left"/>
        <w:rPr>
          <w:rFonts w:ascii="仿宋" w:hAnsi="仿宋" w:eastAsia="仿宋" w:cs="Times New Roman"/>
          <w:kern w:val="2"/>
          <w:sz w:val="32"/>
          <w:szCs w:val="32"/>
          <w:lang w:val="zh-CN"/>
        </w:rPr>
      </w:pPr>
      <w:r>
        <w:rPr>
          <w:rFonts w:hint="eastAsia" w:ascii="仿宋" w:hAnsi="仿宋" w:eastAsia="仿宋" w:cs="Times New Roman"/>
          <w:kern w:val="2"/>
          <w:sz w:val="32"/>
          <w:szCs w:val="32"/>
          <w:lang w:val="zh-CN"/>
        </w:rPr>
        <w:t>（四）会同县规划单位组织编制县城规划区内棚户区改造、城中村改造、新民居建设的总体规划和详细规划，报县规委会审查通过。县委农工委仍负责全县新民居建设的牵头抓总、宏观指导、综合协调、工作单位、统计等工作。</w:t>
      </w:r>
    </w:p>
    <w:p>
      <w:pPr>
        <w:autoSpaceDE w:val="0"/>
        <w:autoSpaceDN w:val="0"/>
        <w:adjustRightInd w:val="0"/>
        <w:snapToGrid w:val="0"/>
        <w:spacing w:line="360" w:lineRule="auto"/>
        <w:ind w:firstLine="640" w:firstLineChars="200"/>
        <w:jc w:val="left"/>
        <w:rPr>
          <w:rFonts w:ascii="仿宋" w:hAnsi="仿宋" w:eastAsia="仿宋" w:cs="Times New Roman"/>
          <w:kern w:val="2"/>
          <w:sz w:val="32"/>
          <w:szCs w:val="32"/>
          <w:lang w:val="zh-CN"/>
        </w:rPr>
      </w:pPr>
      <w:r>
        <w:rPr>
          <w:rFonts w:hint="eastAsia" w:ascii="仿宋" w:hAnsi="仿宋" w:eastAsia="仿宋" w:cs="Times New Roman"/>
          <w:kern w:val="2"/>
          <w:sz w:val="32"/>
          <w:szCs w:val="32"/>
          <w:lang w:val="zh-CN"/>
        </w:rPr>
        <w:t>（五）负责县城规划区内改造工程和新民居建设工程项目的立项呈报、招商引资。</w:t>
      </w:r>
    </w:p>
    <w:p>
      <w:pPr>
        <w:autoSpaceDE w:val="0"/>
        <w:autoSpaceDN w:val="0"/>
        <w:adjustRightInd w:val="0"/>
        <w:snapToGrid w:val="0"/>
        <w:spacing w:line="360" w:lineRule="auto"/>
        <w:ind w:firstLine="640" w:firstLineChars="200"/>
        <w:jc w:val="left"/>
        <w:rPr>
          <w:rFonts w:ascii="仿宋" w:hAnsi="仿宋" w:eastAsia="仿宋" w:cs="Times New Roman"/>
          <w:kern w:val="2"/>
          <w:sz w:val="32"/>
          <w:szCs w:val="32"/>
          <w:lang w:val="zh-CN"/>
        </w:rPr>
      </w:pPr>
      <w:r>
        <w:rPr>
          <w:rFonts w:hint="eastAsia" w:ascii="仿宋" w:hAnsi="仿宋" w:eastAsia="仿宋" w:cs="Times New Roman"/>
          <w:kern w:val="2"/>
          <w:sz w:val="32"/>
          <w:szCs w:val="32"/>
          <w:lang w:val="zh-CN"/>
        </w:rPr>
        <w:t>（六）负责组织、推动并实施棚户区改造、城中村改造和新民居建设，督导工程落实，协调解决项目实施过程中的相关问题。</w:t>
      </w:r>
    </w:p>
    <w:p>
      <w:pPr>
        <w:autoSpaceDE w:val="0"/>
        <w:autoSpaceDN w:val="0"/>
        <w:adjustRightInd w:val="0"/>
        <w:snapToGrid w:val="0"/>
        <w:spacing w:line="360" w:lineRule="auto"/>
        <w:ind w:firstLine="640" w:firstLineChars="200"/>
        <w:jc w:val="left"/>
        <w:rPr>
          <w:rFonts w:ascii="仿宋" w:hAnsi="仿宋" w:eastAsia="仿宋" w:cs="Times New Roman"/>
          <w:kern w:val="2"/>
          <w:sz w:val="32"/>
          <w:szCs w:val="32"/>
        </w:rPr>
      </w:pPr>
      <w:r>
        <w:rPr>
          <w:rFonts w:hint="eastAsia" w:ascii="仿宋" w:hAnsi="仿宋" w:eastAsia="仿宋" w:cs="Times New Roman"/>
          <w:kern w:val="2"/>
          <w:sz w:val="32"/>
          <w:szCs w:val="32"/>
          <w:lang w:val="zh-CN"/>
        </w:rPr>
        <w:t>（七）完成上级和县委、县政府交办的其他工作。</w:t>
      </w:r>
    </w:p>
    <w:p>
      <w:pPr>
        <w:widowControl/>
        <w:spacing w:line="360" w:lineRule="auto"/>
        <w:ind w:firstLine="640" w:firstLineChars="200"/>
        <w:jc w:val="left"/>
        <w:rPr>
          <w:rFonts w:ascii="Times New Roman" w:eastAsia="黑体"/>
          <w:sz w:val="32"/>
          <w:szCs w:val="32"/>
        </w:rPr>
      </w:pPr>
      <w:r>
        <w:rPr>
          <w:rFonts w:ascii="Times New Roman" w:eastAsia="黑体"/>
          <w:sz w:val="32"/>
          <w:szCs w:val="32"/>
        </w:rPr>
        <w:t>二、机构设置</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序号</w:t>
            </w:r>
          </w:p>
        </w:tc>
        <w:tc>
          <w:tcPr>
            <w:tcW w:w="348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单位名称</w:t>
            </w:r>
          </w:p>
        </w:tc>
        <w:tc>
          <w:tcPr>
            <w:tcW w:w="244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单位基本性质</w:t>
            </w:r>
          </w:p>
        </w:tc>
        <w:tc>
          <w:tcPr>
            <w:tcW w:w="2665" w:type="dxa"/>
            <w:vAlign w:val="center"/>
          </w:tcPr>
          <w:p>
            <w:pPr>
              <w:spacing w:line="560" w:lineRule="exact"/>
              <w:jc w:val="center"/>
              <w:rPr>
                <w:rFonts w:ascii="仿宋_GB2312" w:hAnsi="Calibri" w:eastAsia="仿宋_GB2312" w:cs="ArialUnicodeMS"/>
                <w:b/>
                <w:bCs/>
                <w:sz w:val="28"/>
                <w:szCs w:val="28"/>
              </w:rPr>
            </w:pPr>
            <w:r>
              <w:rPr>
                <w:rFonts w:hint="eastAsia" w:ascii="仿宋_GB2312" w:hAnsi="Calibri" w:eastAsia="仿宋_GB2312" w:cs="ArialUnicodeMS"/>
                <w:b/>
                <w:bCs/>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1</w:t>
            </w:r>
          </w:p>
        </w:tc>
        <w:tc>
          <w:tcPr>
            <w:tcW w:w="3485" w:type="dxa"/>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青龙满族自治县城市棚户区改造建设中心</w:t>
            </w:r>
          </w:p>
        </w:tc>
        <w:tc>
          <w:tcPr>
            <w:tcW w:w="2445" w:type="dxa"/>
            <w:vAlign w:val="center"/>
          </w:tcPr>
          <w:p>
            <w:pPr>
              <w:spacing w:line="560" w:lineRule="exact"/>
              <w:jc w:val="center"/>
              <w:rPr>
                <w:rFonts w:ascii="仿宋_GB2312" w:hAnsi="Calibri" w:eastAsia="仿宋_GB2312" w:cs="ArialUnicodeMS"/>
                <w:sz w:val="28"/>
                <w:szCs w:val="28"/>
              </w:rPr>
            </w:pPr>
            <w:r>
              <w:rPr>
                <w:rFonts w:hint="eastAsia" w:ascii="仿宋" w:hAnsi="仿宋" w:eastAsia="仿宋" w:cs="ArialUnicodeMS"/>
                <w:sz w:val="28"/>
                <w:szCs w:val="28"/>
              </w:rPr>
              <w:t>事业</w:t>
            </w:r>
          </w:p>
        </w:tc>
        <w:tc>
          <w:tcPr>
            <w:tcW w:w="2665" w:type="dxa"/>
            <w:vAlign w:val="center"/>
          </w:tcPr>
          <w:p>
            <w:pPr>
              <w:spacing w:line="560" w:lineRule="exact"/>
              <w:jc w:val="center"/>
              <w:rPr>
                <w:rFonts w:ascii="仿宋_GB2312" w:hAnsi="Calibri" w:eastAsia="仿宋_GB2312" w:cs="ArialUnicodeMS"/>
                <w:sz w:val="28"/>
                <w:szCs w:val="28"/>
              </w:rPr>
            </w:pPr>
            <w:r>
              <w:rPr>
                <w:rFonts w:hint="eastAsia" w:ascii="仿宋_GB2312" w:hAnsi="Calibri" w:eastAsia="仿宋_GB2312" w:cs="ArialUnicodeMS"/>
                <w:sz w:val="28"/>
                <w:szCs w:val="28"/>
              </w:rPr>
              <w:t>全额</w:t>
            </w:r>
          </w:p>
        </w:tc>
      </w:tr>
    </w:tbl>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hint="eastAsia" w:ascii="Times New Roman" w:hAnsi="Times New Roman" w:eastAsia="黑体" w:cs="Times New Roman"/>
          <w:sz w:val="32"/>
          <w:szCs w:val="32"/>
        </w:rPr>
      </w:pPr>
    </w:p>
    <w:p>
      <w:pPr>
        <w:widowControl/>
        <w:spacing w:line="360" w:lineRule="auto"/>
        <w:jc w:val="center"/>
        <w:outlineLvl w:val="0"/>
        <w:rPr>
          <w:rFonts w:ascii="Times New Roman" w:eastAsia="黑体"/>
          <w:sz w:val="44"/>
          <w:szCs w:val="44"/>
        </w:rPr>
      </w:pPr>
      <w:r>
        <w:rPr>
          <w:rFonts w:ascii="Times New Roman" w:eastAsia="黑体"/>
          <w:sz w:val="44"/>
          <w:szCs w:val="44"/>
        </w:rPr>
        <w:t>第二部分</w:t>
      </w:r>
      <w:r>
        <w:rPr>
          <w:rFonts w:ascii="Times New Roman" w:eastAsia="仿宋_GB2312"/>
          <w:sz w:val="44"/>
          <w:szCs w:val="44"/>
        </w:rPr>
        <w:t>2024</w:t>
      </w:r>
      <w:r>
        <w:rPr>
          <w:rFonts w:ascii="Times New Roman" w:eastAsia="黑体"/>
          <w:sz w:val="44"/>
          <w:szCs w:val="44"/>
        </w:rPr>
        <w:t>年度部门决算表</w:t>
      </w:r>
    </w:p>
    <w:tbl>
      <w:tblPr>
        <w:tblStyle w:val="11"/>
        <w:tblW w:w="7250" w:type="pct"/>
        <w:tblInd w:w="-1817" w:type="dxa"/>
        <w:tblLayout w:type="fixed"/>
        <w:tblCellMar>
          <w:top w:w="0" w:type="dxa"/>
          <w:left w:w="108" w:type="dxa"/>
          <w:bottom w:w="0" w:type="dxa"/>
          <w:right w:w="108" w:type="dxa"/>
        </w:tblCellMar>
      </w:tblPr>
      <w:tblGrid>
        <w:gridCol w:w="3343"/>
        <w:gridCol w:w="623"/>
        <w:gridCol w:w="613"/>
        <w:gridCol w:w="1317"/>
        <w:gridCol w:w="1625"/>
        <w:gridCol w:w="1548"/>
        <w:gridCol w:w="623"/>
        <w:gridCol w:w="1931"/>
        <w:gridCol w:w="35"/>
      </w:tblGrid>
      <w:tr>
        <w:tblPrEx>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收入支出决算总表</w:t>
            </w:r>
          </w:p>
        </w:tc>
      </w:tr>
      <w:tr>
        <w:tblPrEx>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 公开</w:t>
            </w:r>
            <w:r>
              <w:rPr>
                <w:rFonts w:hint="eastAsia" w:ascii="Times New Roman" w:hAnsi="Times New Roman" w:eastAsia="宋体" w:cs="Times New Roman"/>
                <w:color w:val="000000"/>
                <w:sz w:val="20"/>
                <w:szCs w:val="20"/>
              </w:rPr>
              <w:t>01</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部门（单位）：青龙满族自治县城市棚户区改造建设中心</w:t>
            </w:r>
          </w:p>
        </w:tc>
        <w:tc>
          <w:tcPr>
            <w:tcW w:w="1262" w:type="pct"/>
            <w:gridSpan w:val="2"/>
            <w:tcBorders>
              <w:top w:val="nil"/>
              <w:left w:val="nil"/>
              <w:bottom w:val="single" w:color="auto" w:sz="4" w:space="0"/>
              <w:right w:val="nil"/>
            </w:tcBorders>
            <w:noWrap/>
            <w:vAlign w:val="bottom"/>
          </w:tcPr>
          <w:p>
            <w:pPr>
              <w:jc w:val="center"/>
              <w:rPr>
                <w:rFonts w:ascii="宋体" w:hAnsi="宋体" w:eastAsia="宋体"/>
                <w:color w:val="000000"/>
                <w:sz w:val="20"/>
                <w:szCs w:val="20"/>
              </w:rPr>
            </w:pPr>
            <w:r>
              <w:rPr>
                <w:rFonts w:hint="eastAsia" w:ascii="Times New Roman" w:hAnsi="Times New Roman" w:eastAsia="宋体" w:cs="Times New Roman"/>
                <w:color w:val="000000"/>
                <w:sz w:val="20"/>
                <w:szCs w:val="20"/>
              </w:rPr>
              <w:t>2024</w:t>
            </w:r>
            <w:r>
              <w:rPr>
                <w:rFonts w:hint="eastAsia" w:ascii="方正仿宋_GB2312" w:hAnsi="方正仿宋_GB2312" w:eastAsia="方正仿宋_GB2312" w:cs="方正仿宋_GB2312"/>
                <w:color w:val="000000"/>
                <w:sz w:val="20"/>
                <w:szCs w:val="20"/>
              </w:rPr>
              <w:t>年度</w:t>
            </w:r>
          </w:p>
        </w:tc>
        <w:tc>
          <w:tcPr>
            <w:tcW w:w="1757" w:type="pct"/>
            <w:gridSpan w:val="3"/>
            <w:tcBorders>
              <w:top w:val="nil"/>
              <w:left w:val="nil"/>
              <w:bottom w:val="single" w:color="auto" w:sz="4" w:space="0"/>
              <w:right w:val="nil"/>
            </w:tcBorders>
            <w:noWrap/>
            <w:vAlign w:val="bottom"/>
          </w:tcPr>
          <w:p>
            <w:pPr>
              <w:jc w:val="right"/>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支出</w:t>
            </w:r>
          </w:p>
        </w:tc>
      </w:tr>
      <w:tr>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项目</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行次</w:t>
            </w:r>
          </w:p>
        </w:tc>
        <w:tc>
          <w:tcPr>
            <w:tcW w:w="82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决算数</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82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1</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栏次</w:t>
            </w:r>
          </w:p>
        </w:tc>
        <w:tc>
          <w:tcPr>
            <w:tcW w:w="267"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82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Times New Roman" w:hAnsi="Times New Roman" w:eastAsia="宋体" w:cs="Times New Roman"/>
                <w:color w:val="000000"/>
                <w:sz w:val="20"/>
                <w:szCs w:val="20"/>
              </w:rPr>
              <w:t>2</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宋体" w:hAnsi="宋体" w:eastAsia="宋体"/>
                <w:color w:val="000000"/>
                <w:sz w:val="20"/>
                <w:szCs w:val="20"/>
              </w:rPr>
              <w:t>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604.02</w:t>
            </w: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1,830.00</w:t>
            </w: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四、上级补助收入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五、事业收入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六、经营收入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七、附属单位上缴收入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八、其他收入</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13.84</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6.31</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496.73</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826" w:type="pct"/>
            <w:gridSpan w:val="2"/>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auto"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7"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826"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77.13</w:t>
            </w: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826"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826" w:type="pct"/>
            <w:gridSpan w:val="2"/>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single" w:color="auto" w:sz="4" w:space="0"/>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826"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1,830.00</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2,434.02</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2,424.02</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使用非财政拨款结余（含专用结余）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结余分配</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10.00</w:t>
            </w:r>
          </w:p>
        </w:tc>
      </w:tr>
      <w:tr>
        <w:tblPrEx>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826"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2,434.02</w:t>
            </w:r>
          </w:p>
        </w:tc>
        <w:tc>
          <w:tcPr>
            <w:tcW w:w="1361"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82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2,434.02</w:t>
            </w: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注：1.本表反映部门本年度的总收支和年末结转结余情况。</w:t>
            </w:r>
          </w:p>
          <w:p>
            <w:pPr>
              <w:widowControl/>
              <w:ind w:firstLine="400" w:firstLineChars="200"/>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2.本套报表金额转换时可能存在尾数误差。</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9230" w:type="dxa"/>
        <w:jc w:val="center"/>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收入决算表</w:t>
            </w:r>
          </w:p>
        </w:tc>
      </w:tr>
      <w:tr>
        <w:tblPrEx>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hint="eastAsia" w:ascii="Times New Roman" w:hAnsi="Times New Roman" w:eastAsia="宋体" w:cs="Times New Roman"/>
                <w:color w:val="000000"/>
                <w:sz w:val="20"/>
                <w:szCs w:val="20"/>
              </w:rPr>
              <w:t>02</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部门（单位）：青龙满族自治县城市棚户区改造建设中心                                                                                                         </w:t>
            </w:r>
          </w:p>
        </w:tc>
        <w:tc>
          <w:tcPr>
            <w:tcW w:w="3405" w:type="dxa"/>
            <w:gridSpan w:val="4"/>
            <w:tcBorders>
              <w:top w:val="nil"/>
              <w:left w:val="nil"/>
              <w:bottom w:val="single" w:color="auto" w:sz="4" w:space="0"/>
              <w:right w:val="nil"/>
            </w:tcBorders>
            <w:noWrap/>
            <w:vAlign w:val="bottom"/>
          </w:tcPr>
          <w:p>
            <w:pPr>
              <w:jc w:val="center"/>
              <w:rPr>
                <w:rFonts w:ascii="方正仿宋_GB2312" w:hAnsi="方正仿宋_GB2312" w:eastAsia="方正仿宋_GB2312" w:cs="方正仿宋_GB2312"/>
                <w:color w:val="000000"/>
                <w:sz w:val="20"/>
                <w:szCs w:val="20"/>
              </w:rPr>
            </w:pPr>
            <w:r>
              <w:rPr>
                <w:rFonts w:ascii="Times New Roman" w:hAnsi="Times New Roman" w:eastAsia="方正仿宋_GB2312" w:cs="Times New Roman"/>
                <w:color w:val="000000"/>
                <w:sz w:val="20"/>
                <w:szCs w:val="20"/>
              </w:rPr>
              <w:t>202</w:t>
            </w:r>
            <w:r>
              <w:rPr>
                <w:rFonts w:hint="eastAsia" w:ascii="Times New Roman" w:hAnsi="Times New Roman" w:eastAsia="方正仿宋_GB2312"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2588" w:type="dxa"/>
            <w:gridSpan w:val="3"/>
            <w:tcBorders>
              <w:top w:val="nil"/>
              <w:left w:val="nil"/>
              <w:bottom w:val="single" w:color="auto" w:sz="4" w:space="0"/>
              <w:right w:val="nil"/>
            </w:tcBorders>
            <w:noWrap/>
            <w:vAlign w:val="bottom"/>
          </w:tcPr>
          <w:p>
            <w:pPr>
              <w:jc w:val="righ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1037" w:type="dxa"/>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本年收入合计</w:t>
            </w:r>
          </w:p>
        </w:tc>
        <w:tc>
          <w:tcPr>
            <w:tcW w:w="1037" w:type="dxa"/>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财政拨款收入</w:t>
            </w:r>
          </w:p>
        </w:tc>
        <w:tc>
          <w:tcPr>
            <w:tcW w:w="1037" w:type="dxa"/>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上级补助收入</w:t>
            </w:r>
          </w:p>
        </w:tc>
        <w:tc>
          <w:tcPr>
            <w:tcW w:w="964" w:type="dxa"/>
            <w:vMerge w:val="restart"/>
            <w:tcBorders>
              <w:top w:val="single" w:color="auto" w:sz="4" w:space="0"/>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事业收入</w:t>
            </w:r>
          </w:p>
        </w:tc>
        <w:tc>
          <w:tcPr>
            <w:tcW w:w="964" w:type="dxa"/>
            <w:gridSpan w:val="2"/>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经营收入</w:t>
            </w:r>
          </w:p>
        </w:tc>
        <w:tc>
          <w:tcPr>
            <w:tcW w:w="1027" w:type="dxa"/>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附属单位上缴收入</w:t>
            </w:r>
          </w:p>
        </w:tc>
        <w:tc>
          <w:tcPr>
            <w:tcW w:w="964" w:type="dxa"/>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其他收入</w:t>
            </w:r>
          </w:p>
        </w:tc>
      </w:tr>
      <w:tr>
        <w:tblPrEx>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1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left w:val="nil"/>
              <w:right w:val="single" w:color="000000" w:sz="4" w:space="0"/>
            </w:tcBorders>
            <w:noWrap/>
            <w:vAlign w:val="center"/>
          </w:tcPr>
          <w:p>
            <w:pPr>
              <w:widowControl/>
              <w:jc w:val="center"/>
              <w:textAlignment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160" w:type="dxa"/>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left w:val="nil"/>
              <w:right w:val="single" w:color="000000" w:sz="4" w:space="0"/>
            </w:tcBorders>
            <w:noWrap/>
            <w:vAlign w:val="center"/>
          </w:tcPr>
          <w:p>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160" w:type="dxa"/>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3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1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96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03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03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03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96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964"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c>
          <w:tcPr>
            <w:tcW w:w="102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6</w:t>
            </w:r>
          </w:p>
        </w:tc>
        <w:tc>
          <w:tcPr>
            <w:tcW w:w="96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7</w:t>
            </w:r>
          </w:p>
        </w:tc>
      </w:tr>
      <w:tr>
        <w:tblPrEx>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2,434.02</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2,434.02</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13.84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13.84</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12.06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12.06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2080505</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12.06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12.06</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20808</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抚恤</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1.78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1.78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2080899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其他优抚支出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1.78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1.78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卫生健康支出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6.31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6.31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6.31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6.31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2101102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事业单位医疗</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6.31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6.31</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城乡社区支出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506.73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506.73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21203</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城乡社区公共设施</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376.00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376.00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2120399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其他城乡社区公共设施支出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376.00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376.00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其他城乡社区支出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130.73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130.73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2129999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其他城乡社区支出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130.73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130.73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住房保障支出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77.13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77.13</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保障性安居工程支出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71.05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71.05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2210103</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棚户区改造</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71.05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71.05</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住房改革支出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6.08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6.08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2210201</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住房公积金</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6.08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6.08</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229</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22904</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其他政府性基金及对应专项债务收入安排的支出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2290402</w:t>
            </w:r>
          </w:p>
        </w:tc>
        <w:tc>
          <w:tcPr>
            <w:tcW w:w="1160" w:type="dxa"/>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spacing w:val="-2"/>
                <w:sz w:val="20"/>
                <w:szCs w:val="20"/>
              </w:rPr>
              <w:t>其他地方自行试点项目收益专项债券收入安排的支出</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103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1027"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64" w:type="dxa"/>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注：本表反映部门本年度取得的各项收入情况。</w:t>
            </w:r>
          </w:p>
        </w:tc>
      </w:tr>
    </w:tbl>
    <w:p>
      <w:pPr>
        <w:rPr>
          <w:rFonts w:ascii="仿宋_GB2312" w:hAnsi="宋体" w:eastAsia="仿宋_GB2312"/>
          <w:b/>
          <w:sz w:val="32"/>
          <w:szCs w:val="32"/>
        </w:rPr>
      </w:pPr>
    </w:p>
    <w:p>
      <w:pPr>
        <w:rPr>
          <w:rFonts w:ascii="黑体" w:hAnsi="黑体" w:eastAsia="黑体"/>
          <w:bCs/>
          <w:sz w:val="32"/>
          <w:szCs w:val="32"/>
        </w:rPr>
      </w:pPr>
      <w:r>
        <w:rPr>
          <w:rFonts w:hint="eastAsia" w:ascii="仿宋_GB2312" w:hAnsi="宋体" w:eastAsia="仿宋_GB2312"/>
          <w:b/>
          <w:sz w:val="32"/>
          <w:szCs w:val="32"/>
        </w:rPr>
        <w:br w:type="page"/>
      </w:r>
    </w:p>
    <w:tbl>
      <w:tblPr>
        <w:tblStyle w:val="11"/>
        <w:tblW w:w="5812" w:type="pct"/>
        <w:jc w:val="center"/>
        <w:tblLayout w:type="fixed"/>
        <w:tblCellMar>
          <w:top w:w="0" w:type="dxa"/>
          <w:left w:w="108" w:type="dxa"/>
          <w:bottom w:w="0" w:type="dxa"/>
          <w:right w:w="108" w:type="dxa"/>
        </w:tblCellMar>
      </w:tblPr>
      <w:tblGrid>
        <w:gridCol w:w="1040"/>
        <w:gridCol w:w="1187"/>
        <w:gridCol w:w="1127"/>
        <w:gridCol w:w="127"/>
        <w:gridCol w:w="998"/>
        <w:gridCol w:w="1125"/>
        <w:gridCol w:w="499"/>
        <w:gridCol w:w="626"/>
        <w:gridCol w:w="1125"/>
        <w:gridCol w:w="1492"/>
      </w:tblGrid>
      <w:tr>
        <w:tblPrEx>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jc w:val="center"/>
              <w:outlineLvl w:val="1"/>
              <w:rPr>
                <w:rFonts w:ascii="宋体" w:hAnsi="宋体" w:eastAsia="宋体"/>
                <w:color w:val="000000"/>
                <w:sz w:val="20"/>
                <w:szCs w:val="20"/>
              </w:rPr>
            </w:pPr>
            <w:r>
              <w:rPr>
                <w:rFonts w:hint="eastAsia" w:ascii="方正仿宋_GB2312" w:hAnsi="方正仿宋_GB2312" w:eastAsia="方正仿宋_GB2312" w:cs="方正仿宋_GB2312"/>
                <w:bCs/>
                <w:sz w:val="32"/>
                <w:szCs w:val="32"/>
              </w:rPr>
              <w:br w:type="page"/>
            </w:r>
            <w:r>
              <w:rPr>
                <w:rFonts w:hint="eastAsia" w:ascii="方正仿宋_GB2312" w:hAnsi="方正仿宋_GB2312" w:eastAsia="方正仿宋_GB2312" w:cs="方正仿宋_GB2312"/>
                <w:bCs/>
                <w:sz w:val="32"/>
                <w:szCs w:val="32"/>
              </w:rPr>
              <w:t>支出决算表</w:t>
            </w:r>
          </w:p>
        </w:tc>
      </w:tr>
      <w:tr>
        <w:tblPrEx>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03</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部门（单位）：青龙满族自治县城市棚户区改造建设中心 </w:t>
            </w:r>
          </w:p>
        </w:tc>
        <w:tc>
          <w:tcPr>
            <w:tcW w:w="1403" w:type="pct"/>
            <w:gridSpan w:val="3"/>
            <w:tcBorders>
              <w:top w:val="nil"/>
              <w:left w:val="nil"/>
              <w:bottom w:val="single" w:color="auto" w:sz="4" w:space="0"/>
              <w:right w:val="nil"/>
            </w:tcBorders>
            <w:noWrap/>
            <w:vAlign w:val="bottom"/>
          </w:tcPr>
          <w:p>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734" w:type="pct"/>
            <w:gridSpan w:val="3"/>
            <w:tcBorders>
              <w:top w:val="nil"/>
              <w:left w:val="nil"/>
              <w:bottom w:val="single" w:color="auto" w:sz="4" w:space="0"/>
              <w:right w:val="nil"/>
            </w:tcBorders>
            <w:noWrap/>
            <w:vAlign w:val="bottom"/>
          </w:tcPr>
          <w:p>
            <w:pPr>
              <w:widowControl/>
              <w:jc w:val="right"/>
              <w:textAlignment w:val="bottom"/>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 xml:space="preserve"> 金额单位：万元</w:t>
            </w:r>
          </w:p>
        </w:tc>
      </w:tr>
      <w:tr>
        <w:tblPrEx>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03"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602"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602" w:type="pct"/>
            <w:gridSpan w:val="2"/>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上缴上级支出</w:t>
            </w:r>
          </w:p>
        </w:tc>
        <w:tc>
          <w:tcPr>
            <w:tcW w:w="602"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经营支出</w:t>
            </w:r>
          </w:p>
        </w:tc>
        <w:tc>
          <w:tcPr>
            <w:tcW w:w="795"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对附属单位补助支出</w:t>
            </w:r>
          </w:p>
        </w:tc>
      </w:tr>
      <w:tr>
        <w:tblPrEx>
          <w:tblCellMar>
            <w:top w:w="0" w:type="dxa"/>
            <w:left w:w="108" w:type="dxa"/>
            <w:bottom w:w="0" w:type="dxa"/>
            <w:right w:w="108" w:type="dxa"/>
          </w:tblCellMar>
        </w:tblPrEx>
        <w:trPr>
          <w:trHeight w:val="312" w:hRule="atLeast"/>
          <w:jc w:val="center"/>
        </w:trPr>
        <w:tc>
          <w:tcPr>
            <w:tcW w:w="556"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63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03"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35" w:type="pct"/>
            <w:vMerge w:val="continue"/>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3"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2"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795" w:type="pct"/>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03"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2"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2"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2"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2"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79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r>
      <w:tr>
        <w:tblPrEx>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2,424.02</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108.97</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2,315.05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13.84</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13.84</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12.06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12.06</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12.06</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12.06</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抚恤</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其他优抚支出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事业单位医疗</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496.73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82.73</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414.00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21203</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城乡社区公共设施</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366.00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366.00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2120399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其他城乡社区公共设施支出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366.00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366.00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其他城乡社区支出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130.73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82.73</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2129999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其他城乡社区支出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130.73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82.73</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77.13</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6.08</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71.05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保障性安居工程支出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71.05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71.05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2210103</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棚户区改造</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71.05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71.05</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6.08</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6.08</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6.08</w:t>
            </w: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229</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1,830.00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1,830.00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22904</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其他政府性基金及对应专项债务收入安排的支出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1,830.00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1,830.00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2290402</w:t>
            </w:r>
          </w:p>
        </w:tc>
        <w:tc>
          <w:tcPr>
            <w:tcW w:w="635"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其他地方自行试点项目收益专项债券收入安排的支出</w:t>
            </w:r>
          </w:p>
        </w:tc>
        <w:tc>
          <w:tcPr>
            <w:tcW w:w="60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1,830.00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1,830.00</w:t>
            </w:r>
          </w:p>
        </w:tc>
        <w:tc>
          <w:tcPr>
            <w:tcW w:w="60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602"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95"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注：本表反映部门本年度各项支出情况。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281" w:type="pct"/>
        <w:tblInd w:w="-1857" w:type="dxa"/>
        <w:tblLayout w:type="fixed"/>
        <w:tblCellMar>
          <w:top w:w="0" w:type="dxa"/>
          <w:left w:w="108" w:type="dxa"/>
          <w:bottom w:w="0" w:type="dxa"/>
          <w:right w:w="108" w:type="dxa"/>
        </w:tblCellMar>
      </w:tblPr>
      <w:tblGrid>
        <w:gridCol w:w="1982"/>
        <w:gridCol w:w="623"/>
        <w:gridCol w:w="1428"/>
        <w:gridCol w:w="1658"/>
        <w:gridCol w:w="438"/>
        <w:gridCol w:w="623"/>
        <w:gridCol w:w="459"/>
        <w:gridCol w:w="834"/>
        <w:gridCol w:w="1218"/>
        <w:gridCol w:w="1218"/>
        <w:gridCol w:w="1227"/>
      </w:tblGrid>
      <w:tr>
        <w:tblPrEx>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财政拨款收入支出决算总表</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公开04表</w:t>
            </w:r>
          </w:p>
        </w:tc>
      </w:tr>
      <w:tr>
        <w:tblPrEx>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ascii="仿宋" w:hAnsi="仿宋" w:eastAsia="仿宋" w:cs="仿宋"/>
                <w:color w:val="000000"/>
                <w:sz w:val="20"/>
                <w:szCs w:val="20"/>
              </w:rPr>
            </w:pPr>
            <w:r>
              <w:rPr>
                <w:rFonts w:hint="eastAsia" w:ascii="方正仿宋_GB2312" w:hAnsi="方正仿宋_GB2312" w:eastAsia="方正仿宋_GB2312" w:cs="方正仿宋_GB2312"/>
                <w:color w:val="000000"/>
                <w:sz w:val="20"/>
                <w:szCs w:val="20"/>
              </w:rPr>
              <w:t xml:space="preserve">部门（单位）：青龙满族自治县城市棚户区改造建设中心 </w:t>
            </w:r>
          </w:p>
        </w:tc>
        <w:tc>
          <w:tcPr>
            <w:tcW w:w="649" w:type="pct"/>
            <w:gridSpan w:val="3"/>
            <w:tcBorders>
              <w:top w:val="nil"/>
              <w:left w:val="nil"/>
              <w:bottom w:val="single" w:color="auto" w:sz="4" w:space="0"/>
              <w:right w:val="nil"/>
            </w:tcBorders>
            <w:noWrap/>
            <w:vAlign w:val="bottom"/>
          </w:tcPr>
          <w:p>
            <w:pPr>
              <w:jc w:val="center"/>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919" w:type="pct"/>
            <w:gridSpan w:val="4"/>
            <w:tcBorders>
              <w:top w:val="nil"/>
              <w:left w:val="nil"/>
              <w:bottom w:val="single" w:color="auto" w:sz="4" w:space="0"/>
              <w:right w:val="nil"/>
            </w:tcBorders>
            <w:noWrap/>
            <w:vAlign w:val="bottom"/>
          </w:tcPr>
          <w:p>
            <w:pPr>
              <w:jc w:val="right"/>
              <w:rPr>
                <w:rFonts w:asciiTheme="minorEastAsia" w:hAnsiTheme="minorEastAsia" w:cstheme="minorEastAsia"/>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支出</w:t>
            </w:r>
          </w:p>
        </w:tc>
      </w:tr>
      <w:tr>
        <w:tblPrEx>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    目</w:t>
            </w:r>
          </w:p>
        </w:tc>
        <w:tc>
          <w:tcPr>
            <w:tcW w:w="26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609"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w:t>
            </w:r>
          </w:p>
        </w:tc>
        <w:tc>
          <w:tcPr>
            <w:tcW w:w="895" w:type="pct"/>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26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行次</w:t>
            </w:r>
          </w:p>
        </w:tc>
        <w:tc>
          <w:tcPr>
            <w:tcW w:w="552" w:type="pct"/>
            <w:gridSpan w:val="2"/>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一般公共预算财政拨款</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政府性基金预算财政拨款</w:t>
            </w:r>
          </w:p>
        </w:tc>
        <w:tc>
          <w:tcPr>
            <w:tcW w:w="520" w:type="pct"/>
            <w:vMerge w:val="restart"/>
            <w:tcBorders>
              <w:top w:val="nil"/>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国有资本经营预算财政拨款</w:t>
            </w:r>
          </w:p>
        </w:tc>
      </w:tr>
      <w:tr>
        <w:tblPrEx>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609"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895" w:type="pct"/>
            <w:gridSpan w:val="2"/>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26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52" w:type="pct"/>
            <w:gridSpan w:val="2"/>
            <w:vMerge w:val="continue"/>
            <w:tcBorders>
              <w:left w:val="nil"/>
              <w:bottom w:val="single" w:color="000000" w:sz="4" w:space="0"/>
              <w:right w:val="single" w:color="000000" w:sz="8"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520" w:type="pct"/>
            <w:vMerge w:val="continue"/>
            <w:tcBorders>
              <w:left w:val="nil"/>
              <w:bottom w:val="single" w:color="000000" w:sz="4" w:space="0"/>
              <w:right w:val="single" w:color="000000" w:sz="8"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6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895"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    次</w:t>
            </w:r>
          </w:p>
        </w:tc>
        <w:tc>
          <w:tcPr>
            <w:tcW w:w="266" w:type="pct"/>
            <w:tcBorders>
              <w:top w:val="nil"/>
              <w:left w:val="nil"/>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552" w:type="pct"/>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52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c>
          <w:tcPr>
            <w:tcW w:w="52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4</w:t>
            </w:r>
          </w:p>
        </w:tc>
        <w:tc>
          <w:tcPr>
            <w:tcW w:w="520" w:type="pct"/>
            <w:tcBorders>
              <w:top w:val="nil"/>
              <w:left w:val="nil"/>
              <w:bottom w:val="single" w:color="000000" w:sz="4" w:space="0"/>
              <w:right w:val="single" w:color="000000" w:sz="8"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5</w:t>
            </w: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604.02</w:t>
            </w: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一、一般公共服务支出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1,830.00</w:t>
            </w: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二、外交支出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34</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三、国防支出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35</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四、公共安全支出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五、教育支出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37</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六、科学技术支出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38</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七、文化旅游体育与传媒支出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39</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八、社会保障和就业支出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40</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13.84</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13.84</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9</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九、卫生健康支出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6.31</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6.31</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10</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十、节能环保支出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42</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十一、城乡社区支出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496.73</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496.73</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w:t>
            </w:r>
          </w:p>
        </w:tc>
        <w:tc>
          <w:tcPr>
            <w:tcW w:w="609"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auto"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十二、农林水支出</w:t>
            </w:r>
          </w:p>
        </w:tc>
        <w:tc>
          <w:tcPr>
            <w:tcW w:w="266" w:type="pct"/>
            <w:tcBorders>
              <w:top w:val="nil"/>
              <w:left w:val="nil"/>
              <w:bottom w:val="single" w:color="auto"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44</w:t>
            </w:r>
          </w:p>
        </w:tc>
        <w:tc>
          <w:tcPr>
            <w:tcW w:w="552" w:type="pct"/>
            <w:gridSpan w:val="2"/>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auto"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77.13</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77.13</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1,830.00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1,830.00</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ascii="宋体" w:hAnsi="宋体" w:eastAsia="宋体"/>
                <w:color w:val="000000"/>
                <w:sz w:val="20"/>
                <w:szCs w:val="20"/>
              </w:rPr>
            </w:pPr>
          </w:p>
        </w:tc>
        <w:tc>
          <w:tcPr>
            <w:tcW w:w="266"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single" w:color="auto" w:sz="4" w:space="0"/>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b/>
                <w:bCs/>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25</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二十五、债务付息支出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57</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ascii="宋体" w:hAnsi="宋体" w:eastAsia="宋体"/>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26</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二十六、抗疫特别国债安排的支出</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58</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本年收入合计</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27</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2,434.02</w:t>
            </w:r>
          </w:p>
        </w:tc>
        <w:tc>
          <w:tcPr>
            <w:tcW w:w="895"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本年支出合计</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59</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2,424.02</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594.02</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1,830.00</w:t>
            </w:r>
          </w:p>
        </w:tc>
        <w:tc>
          <w:tcPr>
            <w:tcW w:w="520" w:type="pct"/>
            <w:tcBorders>
              <w:top w:val="nil"/>
              <w:left w:val="nil"/>
              <w:bottom w:val="single" w:color="000000" w:sz="4"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年初财政拨款结转和结余</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28</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年末财政拨款结转和结余</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10.00</w:t>
            </w:r>
          </w:p>
        </w:tc>
        <w:tc>
          <w:tcPr>
            <w:tcW w:w="520" w:type="pct"/>
            <w:tcBorders>
              <w:top w:val="nil"/>
              <w:left w:val="nil"/>
              <w:bottom w:val="single" w:color="000000" w:sz="4" w:space="0"/>
              <w:right w:val="single" w:color="000000" w:sz="4" w:space="0"/>
            </w:tcBorders>
            <w:noWrap/>
            <w:vAlign w:val="center"/>
          </w:tcPr>
          <w:p>
            <w:pPr>
              <w:rPr>
                <w:rFonts w:ascii="Times New Roman" w:hAnsi="Times New Roman" w:eastAsia="宋体" w:cs="Times New Roman"/>
                <w:color w:val="000000"/>
                <w:sz w:val="20"/>
                <w:szCs w:val="20"/>
              </w:rPr>
            </w:pPr>
            <w:r>
              <w:rPr>
                <w:rFonts w:ascii="Times New Roman" w:hAnsi="Times New Roman" w:cs="Times New Roman"/>
                <w:sz w:val="20"/>
                <w:szCs w:val="20"/>
              </w:rPr>
              <w:t>10.00</w:t>
            </w: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一、一般公共预算财政拨款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29</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61</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二、政府性基金预算财政拨款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30</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62</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三、国有资本经营预算财政拨款</w:t>
            </w: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31</w:t>
            </w:r>
          </w:p>
        </w:tc>
        <w:tc>
          <w:tcPr>
            <w:tcW w:w="60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895" w:type="pct"/>
            <w:gridSpan w:val="2"/>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p>
        </w:tc>
        <w:tc>
          <w:tcPr>
            <w:tcW w:w="2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w:t>
            </w:r>
          </w:p>
        </w:tc>
        <w:tc>
          <w:tcPr>
            <w:tcW w:w="552"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20" w:type="pct"/>
            <w:tcBorders>
              <w:top w:val="nil"/>
              <w:left w:val="nil"/>
              <w:bottom w:val="single" w:color="000000" w:sz="4" w:space="0"/>
              <w:right w:val="single" w:color="000000" w:sz="8" w:space="0"/>
            </w:tcBorders>
            <w:noWrap/>
            <w:vAlign w:val="center"/>
          </w:tcPr>
          <w:p>
            <w:pPr>
              <w:jc w:val="lef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32</w:t>
            </w:r>
          </w:p>
        </w:tc>
        <w:tc>
          <w:tcPr>
            <w:tcW w:w="609"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2,434.02</w:t>
            </w:r>
          </w:p>
        </w:tc>
        <w:tc>
          <w:tcPr>
            <w:tcW w:w="895" w:type="pct"/>
            <w:gridSpan w:val="2"/>
            <w:tcBorders>
              <w:top w:val="nil"/>
              <w:left w:val="nil"/>
              <w:bottom w:val="single" w:color="000000" w:sz="8" w:space="0"/>
              <w:right w:val="single" w:color="000000" w:sz="4" w:space="0"/>
            </w:tcBorders>
            <w:noWrap/>
            <w:vAlign w:val="center"/>
          </w:tcPr>
          <w:p>
            <w:pPr>
              <w:widowControl/>
              <w:jc w:val="center"/>
              <w:textAlignment w:val="center"/>
              <w:rPr>
                <w:rFonts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rPr>
              <w:t>总计</w:t>
            </w:r>
          </w:p>
        </w:tc>
        <w:tc>
          <w:tcPr>
            <w:tcW w:w="266" w:type="pct"/>
            <w:tcBorders>
              <w:top w:val="nil"/>
              <w:left w:val="nil"/>
              <w:bottom w:val="single" w:color="000000" w:sz="8" w:space="0"/>
              <w:right w:val="single" w:color="000000" w:sz="4" w:space="0"/>
            </w:tcBorders>
            <w:noWrap/>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64</w:t>
            </w:r>
          </w:p>
        </w:tc>
        <w:tc>
          <w:tcPr>
            <w:tcW w:w="552" w:type="pct"/>
            <w:gridSpan w:val="2"/>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2,434.02</w:t>
            </w:r>
          </w:p>
        </w:tc>
        <w:tc>
          <w:tcPr>
            <w:tcW w:w="520" w:type="pct"/>
            <w:tcBorders>
              <w:top w:val="nil"/>
              <w:left w:val="nil"/>
              <w:bottom w:val="single" w:color="000000" w:sz="8" w:space="0"/>
              <w:right w:val="single" w:color="000000" w:sz="4" w:space="0"/>
            </w:tcBorders>
            <w:noWrap/>
            <w:vAlign w:val="center"/>
          </w:tcPr>
          <w:p>
            <w:pPr>
              <w:jc w:val="right"/>
              <w:rPr>
                <w:rFonts w:ascii="Times New Roman" w:hAnsi="Times New Roman" w:cs="Times New Roman"/>
                <w:sz w:val="20"/>
                <w:szCs w:val="20"/>
              </w:rPr>
            </w:pPr>
          </w:p>
          <w:p>
            <w:pPr>
              <w:jc w:val="right"/>
              <w:rPr>
                <w:rFonts w:ascii="Times New Roman" w:hAnsi="Times New Roman" w:cs="Times New Roman"/>
                <w:sz w:val="20"/>
                <w:szCs w:val="20"/>
              </w:rPr>
            </w:pPr>
            <w:r>
              <w:rPr>
                <w:rFonts w:ascii="Times New Roman" w:hAnsi="Times New Roman" w:cs="Times New Roman"/>
                <w:sz w:val="20"/>
                <w:szCs w:val="20"/>
              </w:rPr>
              <w:t>604.02</w:t>
            </w:r>
          </w:p>
          <w:p>
            <w:pPr>
              <w:jc w:val="right"/>
              <w:rPr>
                <w:rFonts w:ascii="Times New Roman" w:hAnsi="Times New Roman" w:eastAsia="宋体" w:cs="Times New Roman"/>
                <w:color w:val="000000"/>
                <w:sz w:val="20"/>
                <w:szCs w:val="20"/>
              </w:rPr>
            </w:pPr>
          </w:p>
        </w:tc>
        <w:tc>
          <w:tcPr>
            <w:tcW w:w="520" w:type="pct"/>
            <w:tcBorders>
              <w:top w:val="nil"/>
              <w:left w:val="nil"/>
              <w:bottom w:val="single" w:color="000000" w:sz="8"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1,830.00</w:t>
            </w:r>
          </w:p>
        </w:tc>
        <w:tc>
          <w:tcPr>
            <w:tcW w:w="520" w:type="pct"/>
            <w:tcBorders>
              <w:top w:val="nil"/>
              <w:left w:val="nil"/>
              <w:bottom w:val="single" w:color="000000" w:sz="8" w:space="0"/>
              <w:right w:val="single" w:color="000000" w:sz="8"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注：本表反映部门本年度一般公共预算财政拨款、政府性基金预算财政拨款和国有资本经营预算财政拨款的总收支和年末结转结余情况。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348" w:type="pct"/>
        <w:tblInd w:w="-657" w:type="dxa"/>
        <w:tblLayout w:type="autofit"/>
        <w:tblCellMar>
          <w:top w:w="0" w:type="dxa"/>
          <w:left w:w="108" w:type="dxa"/>
          <w:bottom w:w="0" w:type="dxa"/>
          <w:right w:w="108" w:type="dxa"/>
        </w:tblCellMar>
      </w:tblPr>
      <w:tblGrid>
        <w:gridCol w:w="1919"/>
        <w:gridCol w:w="3083"/>
        <w:gridCol w:w="1103"/>
        <w:gridCol w:w="481"/>
        <w:gridCol w:w="633"/>
        <w:gridCol w:w="346"/>
        <w:gridCol w:w="1132"/>
      </w:tblGrid>
      <w:tr>
        <w:tblPrEx>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一般公共预算财政拨款支出决算表</w:t>
            </w:r>
          </w:p>
        </w:tc>
      </w:tr>
      <w:tr>
        <w:tblPrEx>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05</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编制部门（单位）：青龙满族自治县城市棚户区改造建设中心</w:t>
            </w:r>
          </w:p>
        </w:tc>
        <w:tc>
          <w:tcPr>
            <w:tcW w:w="1541" w:type="pct"/>
            <w:gridSpan w:val="2"/>
            <w:tcBorders>
              <w:top w:val="nil"/>
              <w:left w:val="nil"/>
              <w:bottom w:val="single" w:color="auto" w:sz="4" w:space="0"/>
              <w:right w:val="nil"/>
            </w:tcBorders>
            <w:noWrap/>
            <w:vAlign w:val="bottom"/>
          </w:tcPr>
          <w:p>
            <w:pPr>
              <w:widowControl/>
              <w:jc w:val="center"/>
              <w:textAlignment w:val="bottom"/>
              <w:rPr>
                <w:rFonts w:asciiTheme="minorEastAsia" w:hAnsiTheme="minorEastAsia" w:cstheme="minorEastAsia"/>
                <w:color w:val="000000"/>
                <w:sz w:val="20"/>
                <w:szCs w:val="20"/>
              </w:rPr>
            </w:pPr>
            <w:r>
              <w:rPr>
                <w:rFonts w:ascii="Times New Roman" w:hAnsi="Times New Roman" w:cs="Times New Roman"/>
                <w:color w:val="000000"/>
                <w:sz w:val="20"/>
                <w:szCs w:val="20"/>
              </w:rPr>
              <w:t>202</w:t>
            </w:r>
            <w:r>
              <w:rPr>
                <w:rFonts w:hint="eastAsia" w:ascii="Times New Roman" w:hAnsi="Times New Roman"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590" w:type="pct"/>
            <w:gridSpan w:val="2"/>
            <w:tcBorders>
              <w:top w:val="nil"/>
              <w:left w:val="nil"/>
              <w:bottom w:val="single" w:color="auto" w:sz="4" w:space="0"/>
              <w:right w:val="nil"/>
            </w:tcBorders>
            <w:noWrap/>
            <w:vAlign w:val="bottom"/>
          </w:tcPr>
          <w:p>
            <w:pPr>
              <w:widowControl/>
              <w:jc w:val="right"/>
              <w:textAlignment w:val="bottom"/>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3538" w:type="pct"/>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tblPrEx>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tblPrEx>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756"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c>
          <w:tcPr>
            <w:tcW w:w="1218" w:type="pct"/>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000000"/>
                <w:sz w:val="20"/>
                <w:szCs w:val="20"/>
              </w:rPr>
            </w:pPr>
          </w:p>
        </w:tc>
      </w:tr>
      <w:tr>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olor w:val="000000"/>
                <w:sz w:val="20"/>
                <w:szCs w:val="20"/>
              </w:rPr>
            </w:pPr>
            <w:r>
              <w:rPr>
                <w:rFonts w:hint="eastAsia" w:ascii="宋体" w:hAnsi="宋体" w:eastAsia="宋体"/>
                <w:color w:val="000000"/>
                <w:sz w:val="20"/>
                <w:szCs w:val="20"/>
              </w:rPr>
              <w:t>3</w:t>
            </w:r>
          </w:p>
        </w:tc>
      </w:tr>
      <w:tr>
        <w:tblPrEx>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594.02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108.97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cs="Times New Roman"/>
                <w:sz w:val="20"/>
                <w:szCs w:val="20"/>
              </w:rPr>
              <w:t>485.05</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13.84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13.84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12.06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12.06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12.06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12.06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2080899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其他优抚支出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1.78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2101102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6.31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496.73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82.73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414.00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城乡社区公共设施</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366.00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366.00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2120399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其他城乡社区公共设施支出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366.00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366.00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其他城乡社区支出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130.73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82.73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48.00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2129999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其他城乡社区支出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130.73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82.73</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48.00</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77.13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71.05</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保障性安居工程支出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71.05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71.05</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2210103</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棚户区改造</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71.05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71.05</w:t>
            </w: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6.08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widowControl/>
              <w:jc w:val="lef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注：本表反映部门本年度一般公共预算财政拨款支出情况。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7050" w:type="pct"/>
        <w:tblInd w:w="-1617" w:type="dxa"/>
        <w:tblLayout w:type="fixed"/>
        <w:tblCellMar>
          <w:top w:w="0" w:type="dxa"/>
          <w:left w:w="108" w:type="dxa"/>
          <w:bottom w:w="0" w:type="dxa"/>
          <w:right w:w="108" w:type="dxa"/>
        </w:tblCellMar>
      </w:tblPr>
      <w:tblGrid>
        <w:gridCol w:w="963"/>
        <w:gridCol w:w="1813"/>
        <w:gridCol w:w="1018"/>
        <w:gridCol w:w="964"/>
        <w:gridCol w:w="440"/>
        <w:gridCol w:w="1372"/>
        <w:gridCol w:w="589"/>
        <w:gridCol w:w="374"/>
        <w:gridCol w:w="964"/>
        <w:gridCol w:w="1816"/>
        <w:gridCol w:w="1023"/>
      </w:tblGrid>
      <w:tr>
        <w:tblPrEx>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widowControl/>
              <w:jc w:val="center"/>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bCs/>
                <w:sz w:val="32"/>
                <w:szCs w:val="32"/>
              </w:rPr>
              <w:t>一般公共预算财政拨款基本支出决算明细表</w:t>
            </w: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widowControl/>
              <w:jc w:val="right"/>
              <w:textAlignment w:val="bottom"/>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06</w:t>
            </w:r>
            <w:r>
              <w:rPr>
                <w:rFonts w:hint="eastAsia" w:ascii="方正仿宋_GB2312" w:hAnsi="方正仿宋_GB2312" w:eastAsia="方正仿宋_GB2312" w:cs="方正仿宋_GB2312"/>
                <w:color w:val="000000"/>
                <w:sz w:val="18"/>
                <w:szCs w:val="18"/>
              </w:rPr>
              <w:t>表</w:t>
            </w:r>
          </w:p>
        </w:tc>
      </w:tr>
      <w:tr>
        <w:tblPrEx>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 xml:space="preserve">部门（单位）：青龙满族自治县城市棚户区改造建设中心 </w:t>
            </w:r>
          </w:p>
        </w:tc>
        <w:tc>
          <w:tcPr>
            <w:tcW w:w="865" w:type="pct"/>
            <w:gridSpan w:val="2"/>
            <w:tcBorders>
              <w:top w:val="nil"/>
              <w:left w:val="nil"/>
              <w:bottom w:val="single" w:color="auto" w:sz="4" w:space="0"/>
              <w:right w:val="nil"/>
            </w:tcBorders>
            <w:noWrap/>
            <w:vAlign w:val="bottom"/>
          </w:tcPr>
          <w:p>
            <w:pPr>
              <w:jc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2024</w:t>
            </w:r>
            <w:r>
              <w:rPr>
                <w:rFonts w:hint="eastAsia" w:ascii="方正仿宋_GB2312" w:hAnsi="方正仿宋_GB2312" w:eastAsia="方正仿宋_GB2312" w:cs="方正仿宋_GB2312"/>
                <w:color w:val="000000"/>
                <w:sz w:val="18"/>
                <w:szCs w:val="18"/>
              </w:rPr>
              <w:t>年度</w:t>
            </w:r>
          </w:p>
        </w:tc>
        <w:tc>
          <w:tcPr>
            <w:tcW w:w="1841" w:type="pct"/>
            <w:gridSpan w:val="4"/>
            <w:tcBorders>
              <w:top w:val="nil"/>
              <w:left w:val="nil"/>
              <w:bottom w:val="single" w:color="auto" w:sz="4" w:space="0"/>
              <w:right w:val="nil"/>
            </w:tcBorders>
            <w:noWrap/>
            <w:vAlign w:val="bottom"/>
          </w:tcPr>
          <w:p>
            <w:pPr>
              <w:jc w:val="right"/>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金额单位：万元</w:t>
            </w:r>
          </w:p>
        </w:tc>
      </w:tr>
      <w:tr>
        <w:tblPrEx>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公用经费</w:t>
            </w: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金额</w:t>
            </w: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102.60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4.59</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45.06</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0.54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4.24</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hint="eastAsia" w:ascii="Times New Roman" w:hAnsi="Times New Roman" w:cs="Times New Roman"/>
                <w:sz w:val="18"/>
                <w:szCs w:val="18"/>
              </w:rPr>
              <w:t>28.49</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12.06</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hint="eastAsia" w:ascii="Times New Roman" w:hAnsi="Times New Roman" w:cs="Times New Roman"/>
                <w:sz w:val="18"/>
                <w:szCs w:val="18"/>
              </w:rPr>
              <w:t>0.16</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6.13</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0.52</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0.20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6.08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1.78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0.60</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1.78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r>
              <w:rPr>
                <w:rFonts w:ascii="Times New Roman" w:hAnsi="Times New Roman" w:cs="Times New Roman"/>
                <w:sz w:val="18"/>
                <w:szCs w:val="18"/>
              </w:rPr>
              <w:t>3.08</w:t>
            </w: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heme="minorEastAsia" w:hAnsiTheme="minorEastAsia" w:cstheme="minorEastAsia"/>
                <w:color w:val="000000"/>
                <w:sz w:val="18"/>
                <w:szCs w:val="18"/>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cs="Times New Roman"/>
                <w:color w:val="000000"/>
                <w:sz w:val="18"/>
                <w:szCs w:val="18"/>
              </w:rPr>
            </w:pPr>
          </w:p>
        </w:tc>
        <w:tc>
          <w:tcPr>
            <w:tcW w:w="42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color w:val="000000"/>
                <w:sz w:val="18"/>
                <w:szCs w:val="18"/>
              </w:rPr>
            </w:pPr>
          </w:p>
        </w:tc>
      </w:tr>
      <w:tr>
        <w:tblPrEx>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s="Times New Roman"/>
                <w:sz w:val="18"/>
                <w:szCs w:val="18"/>
              </w:rPr>
            </w:pPr>
            <w:r>
              <w:rPr>
                <w:rFonts w:hint="eastAsia" w:ascii="方正仿宋_GB2312" w:hAnsi="方正仿宋_GB2312" w:eastAsia="方正仿宋_GB2312" w:cs="方正仿宋_GB2312"/>
                <w:color w:val="000000"/>
                <w:sz w:val="18"/>
                <w:szCs w:val="18"/>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imes New Roman" w:hAnsi="Times New Roman" w:cs="Times New Roman"/>
                <w:sz w:val="18"/>
                <w:szCs w:val="18"/>
              </w:rPr>
            </w:pPr>
            <w:r>
              <w:rPr>
                <w:rFonts w:ascii="Times New Roman" w:hAnsi="Times New Roman" w:cs="Times New Roman"/>
                <w:sz w:val="18"/>
                <w:szCs w:val="18"/>
              </w:rPr>
              <w:t>104.38</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asciiTheme="minorEastAsia" w:hAnsiTheme="minorEastAsia" w:cstheme="minorEastAsia"/>
                <w:color w:val="000000"/>
                <w:sz w:val="18"/>
                <w:szCs w:val="18"/>
              </w:rPr>
            </w:pPr>
            <w:r>
              <w:rPr>
                <w:rFonts w:ascii="Times New Roman" w:hAnsi="Times New Roman" w:cs="Times New Roman"/>
                <w:sz w:val="18"/>
                <w:szCs w:val="18"/>
              </w:rPr>
              <w:t>4.59</w:t>
            </w:r>
          </w:p>
        </w:tc>
      </w:tr>
      <w:tr>
        <w:tblPrEx>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widowControl/>
              <w:jc w:val="left"/>
              <w:textAlignment w:val="center"/>
              <w:rPr>
                <w:rFonts w:asciiTheme="minorEastAsia" w:hAnsiTheme="minorEastAsia" w:cstheme="minorEastAsia"/>
                <w:color w:val="000000"/>
                <w:sz w:val="18"/>
                <w:szCs w:val="18"/>
              </w:rPr>
            </w:pPr>
            <w:r>
              <w:rPr>
                <w:rFonts w:hint="eastAsia" w:ascii="方正仿宋_GB2312" w:hAnsi="方正仿宋_GB2312" w:eastAsia="方正仿宋_GB2312" w:cs="方正仿宋_GB2312"/>
                <w:color w:val="000000"/>
                <w:sz w:val="18"/>
                <w:szCs w:val="18"/>
              </w:rPr>
              <w:t>注：本表反映部门本年度一般公共预算财政拨款基本支出明细情况。</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6517" w:type="pct"/>
        <w:tblInd w:w="-1404" w:type="dxa"/>
        <w:tblLayout w:type="fixed"/>
        <w:tblCellMar>
          <w:top w:w="0" w:type="dxa"/>
          <w:left w:w="108" w:type="dxa"/>
          <w:bottom w:w="0" w:type="dxa"/>
          <w:right w:w="108" w:type="dxa"/>
        </w:tblCellMar>
      </w:tblPr>
      <w:tblGrid>
        <w:gridCol w:w="1260"/>
        <w:gridCol w:w="1473"/>
        <w:gridCol w:w="1306"/>
        <w:gridCol w:w="1025"/>
        <w:gridCol w:w="1107"/>
        <w:gridCol w:w="419"/>
        <w:gridCol w:w="700"/>
        <w:gridCol w:w="1146"/>
        <w:gridCol w:w="2043"/>
      </w:tblGrid>
      <w:tr>
        <w:tblPrEx>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政府性基金预算财政拨款收入支出决算表</w:t>
            </w:r>
          </w:p>
        </w:tc>
      </w:tr>
      <w:tr>
        <w:tblPrEx>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宋体" w:cs="Times New Roman"/>
                <w:color w:val="000000"/>
                <w:sz w:val="20"/>
                <w:szCs w:val="20"/>
              </w:rPr>
              <w:t>07</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 xml:space="preserve">部门（单位）：青龙满族自治县城市棚户区改造建设中心 </w:t>
            </w:r>
          </w:p>
        </w:tc>
        <w:tc>
          <w:tcPr>
            <w:tcW w:w="1217"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854" w:type="pct"/>
            <w:gridSpan w:val="3"/>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w:t>
            </w:r>
          </w:p>
        </w:tc>
        <w:tc>
          <w:tcPr>
            <w:tcW w:w="623"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年初结转和结余</w:t>
            </w:r>
          </w:p>
        </w:tc>
        <w:tc>
          <w:tcPr>
            <w:tcW w:w="489" w:type="pct"/>
            <w:vMerge w:val="restart"/>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本年收入</w:t>
            </w:r>
          </w:p>
        </w:tc>
        <w:tc>
          <w:tcPr>
            <w:tcW w:w="1609" w:type="pct"/>
            <w:gridSpan w:val="4"/>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c>
          <w:tcPr>
            <w:tcW w:w="973" w:type="pct"/>
            <w:vMerge w:val="restart"/>
            <w:tcBorders>
              <w:top w:val="single" w:color="auto" w:sz="4" w:space="0"/>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年末结转和结余</w:t>
            </w:r>
          </w:p>
        </w:tc>
      </w:tr>
      <w:tr>
        <w:tblPrEx>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703"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623"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2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小计</w:t>
            </w:r>
          </w:p>
        </w:tc>
        <w:tc>
          <w:tcPr>
            <w:tcW w:w="534" w:type="pct"/>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54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c>
          <w:tcPr>
            <w:tcW w:w="973" w:type="pct"/>
            <w:vMerge w:val="continue"/>
            <w:tcBorders>
              <w:left w:val="nil"/>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结转</w:t>
            </w:r>
          </w:p>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结余</w:t>
            </w:r>
          </w:p>
        </w:tc>
      </w:tr>
      <w:tr>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973" w:type="pct"/>
            <w:vMerge w:val="continue"/>
            <w:tcBorders>
              <w:left w:val="nil"/>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703" w:type="pct"/>
            <w:vMerge w:val="continue"/>
            <w:tcBorders>
              <w:top w:val="nil"/>
              <w:left w:val="nil"/>
              <w:bottom w:val="single" w:color="auto"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623"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489" w:type="pct"/>
            <w:vMerge w:val="continue"/>
            <w:tcBorders>
              <w:top w:val="single" w:color="000000" w:sz="4" w:space="0"/>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2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34" w:type="pct"/>
            <w:gridSpan w:val="2"/>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54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973" w:type="pct"/>
            <w:vMerge w:val="continue"/>
            <w:tcBorders>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栏次</w:t>
            </w:r>
          </w:p>
        </w:tc>
        <w:tc>
          <w:tcPr>
            <w:tcW w:w="623" w:type="pct"/>
            <w:tcBorders>
              <w:top w:val="nil"/>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1</w:t>
            </w:r>
          </w:p>
        </w:tc>
        <w:tc>
          <w:tcPr>
            <w:tcW w:w="489"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2</w:t>
            </w:r>
          </w:p>
        </w:tc>
        <w:tc>
          <w:tcPr>
            <w:tcW w:w="52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3</w:t>
            </w:r>
          </w:p>
        </w:tc>
        <w:tc>
          <w:tcPr>
            <w:tcW w:w="534"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4</w:t>
            </w:r>
          </w:p>
        </w:tc>
        <w:tc>
          <w:tcPr>
            <w:tcW w:w="54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5</w:t>
            </w:r>
          </w:p>
        </w:tc>
        <w:tc>
          <w:tcPr>
            <w:tcW w:w="973"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ascii="Times New Roman" w:hAnsi="Times New Roman" w:eastAsia="方正仿宋_GB2312" w:cs="Times New Roman"/>
                <w:color w:val="000000"/>
                <w:sz w:val="20"/>
                <w:szCs w:val="20"/>
              </w:rPr>
              <w:t>6</w:t>
            </w:r>
          </w:p>
        </w:tc>
      </w:tr>
      <w:tr>
        <w:tblPrEx>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1,830.00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1,830.00</w:t>
            </w:r>
          </w:p>
        </w:tc>
        <w:tc>
          <w:tcPr>
            <w:tcW w:w="534"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1,830.00</w:t>
            </w:r>
          </w:p>
        </w:tc>
        <w:tc>
          <w:tcPr>
            <w:tcW w:w="97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229</w:t>
            </w:r>
          </w:p>
        </w:tc>
        <w:tc>
          <w:tcPr>
            <w:tcW w:w="703"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其他支出</w:t>
            </w:r>
          </w:p>
        </w:tc>
        <w:tc>
          <w:tcPr>
            <w:tcW w:w="62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534"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97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22904</w:t>
            </w:r>
          </w:p>
        </w:tc>
        <w:tc>
          <w:tcPr>
            <w:tcW w:w="703"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其他政府性基金及对应专项债务收入安排的支出</w:t>
            </w:r>
          </w:p>
        </w:tc>
        <w:tc>
          <w:tcPr>
            <w:tcW w:w="62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534"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97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601" w:type="pct"/>
            <w:tcBorders>
              <w:top w:val="nil"/>
              <w:left w:val="single" w:color="000000" w:sz="4" w:space="0"/>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2290402</w:t>
            </w:r>
          </w:p>
        </w:tc>
        <w:tc>
          <w:tcPr>
            <w:tcW w:w="703" w:type="pct"/>
            <w:tcBorders>
              <w:top w:val="nil"/>
              <w:left w:val="nil"/>
              <w:bottom w:val="single" w:color="000000" w:sz="4" w:space="0"/>
              <w:right w:val="single" w:color="000000" w:sz="4" w:space="0"/>
            </w:tcBorders>
            <w:noWrap/>
            <w:vAlign w:val="center"/>
          </w:tcPr>
          <w:p>
            <w:pPr>
              <w:jc w:val="left"/>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其他地方自行试点项目收益专项债券收入安排的支出</w:t>
            </w:r>
          </w:p>
        </w:tc>
        <w:tc>
          <w:tcPr>
            <w:tcW w:w="62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489"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534"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546"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r>
              <w:rPr>
                <w:rFonts w:ascii="Times New Roman" w:hAnsi="Times New Roman" w:eastAsia="宋体" w:cs="Times New Roman"/>
                <w:spacing w:val="-2"/>
                <w:sz w:val="20"/>
                <w:szCs w:val="20"/>
              </w:rPr>
              <w:t>1,830.00</w:t>
            </w:r>
          </w:p>
        </w:tc>
        <w:tc>
          <w:tcPr>
            <w:tcW w:w="973" w:type="pct"/>
            <w:tcBorders>
              <w:top w:val="nil"/>
              <w:left w:val="nil"/>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注：本表反映部门本年度政府性基金预算财政拨款收入、支出及结转和结余情况。</w:t>
            </w:r>
            <w:r>
              <w:rPr>
                <w:rFonts w:hint="eastAsia" w:ascii="方正仿宋_GB2312" w:hAnsi="方正仿宋_GB2312" w:eastAsia="方正仿宋_GB2312" w:cs="方正仿宋_GB2312"/>
                <w:color w:val="000000"/>
                <w:sz w:val="20"/>
                <w:szCs w:val="20"/>
              </w:rPr>
              <w:br w:type="page"/>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W w:w="5863" w:type="pct"/>
        <w:tblInd w:w="-976" w:type="dxa"/>
        <w:tblLayout w:type="fixed"/>
        <w:tblCellMar>
          <w:top w:w="0" w:type="dxa"/>
          <w:left w:w="108" w:type="dxa"/>
          <w:bottom w:w="0" w:type="dxa"/>
          <w:right w:w="108" w:type="dxa"/>
        </w:tblCellMar>
      </w:tblPr>
      <w:tblGrid>
        <w:gridCol w:w="2992"/>
        <w:gridCol w:w="730"/>
        <w:gridCol w:w="1297"/>
        <w:gridCol w:w="1337"/>
        <w:gridCol w:w="45"/>
        <w:gridCol w:w="1286"/>
        <w:gridCol w:w="6"/>
        <w:gridCol w:w="1735"/>
      </w:tblGrid>
      <w:tr>
        <w:tblPrEx>
          <w:tblCellMar>
            <w:top w:w="0" w:type="dxa"/>
            <w:left w:w="108" w:type="dxa"/>
            <w:bottom w:w="0" w:type="dxa"/>
            <w:right w:w="108" w:type="dxa"/>
          </w:tblCellMar>
        </w:tblPrEx>
        <w:trPr>
          <w:trHeight w:val="550" w:hRule="atLeast"/>
        </w:trPr>
        <w:tc>
          <w:tcPr>
            <w:tcW w:w="5000" w:type="pct"/>
            <w:gridSpan w:val="8"/>
            <w:tcBorders>
              <w:top w:val="nil"/>
              <w:left w:val="nil"/>
              <w:bottom w:val="nil"/>
              <w:right w:val="nil"/>
            </w:tcBorders>
            <w:noWrap/>
            <w:vAlign w:val="bottom"/>
          </w:tcPr>
          <w:p>
            <w:pPr>
              <w:widowControl/>
              <w:jc w:val="center"/>
              <w:textAlignment w:val="bottom"/>
              <w:rPr>
                <w:rFonts w:ascii="宋体" w:hAnsi="宋体" w:eastAsia="宋体"/>
                <w:color w:val="000000"/>
                <w:sz w:val="20"/>
                <w:szCs w:val="20"/>
              </w:rPr>
            </w:pPr>
            <w:r>
              <w:rPr>
                <w:rFonts w:hint="eastAsia" w:ascii="方正仿宋_GB2312" w:hAnsi="方正仿宋_GB2312" w:eastAsia="方正仿宋_GB2312" w:cs="方正仿宋_GB2312"/>
                <w:bCs/>
                <w:sz w:val="32"/>
                <w:szCs w:val="32"/>
              </w:rPr>
              <w:t>国有资本经营预算财政拨款支出决算表</w:t>
            </w:r>
          </w:p>
        </w:tc>
      </w:tr>
      <w:tr>
        <w:tblPrEx>
          <w:tblCellMar>
            <w:top w:w="0" w:type="dxa"/>
            <w:left w:w="108" w:type="dxa"/>
            <w:bottom w:w="0" w:type="dxa"/>
            <w:right w:w="108" w:type="dxa"/>
          </w:tblCellMar>
        </w:tblPrEx>
        <w:trPr>
          <w:trHeight w:val="300" w:hRule="atLeast"/>
        </w:trPr>
        <w:tc>
          <w:tcPr>
            <w:tcW w:w="5000" w:type="pct"/>
            <w:gridSpan w:val="8"/>
            <w:tcBorders>
              <w:top w:val="nil"/>
              <w:left w:val="nil"/>
              <w:bottom w:val="nil"/>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公开</w:t>
            </w:r>
            <w:r>
              <w:rPr>
                <w:rFonts w:ascii="Times New Roman" w:hAnsi="Times New Roman" w:eastAsia="方正仿宋_GB2312" w:cs="Times New Roman"/>
                <w:color w:val="000000"/>
                <w:sz w:val="20"/>
                <w:szCs w:val="20"/>
              </w:rPr>
              <w:t>08</w:t>
            </w:r>
            <w:r>
              <w:rPr>
                <w:rFonts w:hint="eastAsia" w:ascii="方正仿宋_GB2312" w:hAnsi="方正仿宋_GB2312" w:eastAsia="方正仿宋_GB2312" w:cs="方正仿宋_GB2312"/>
                <w:color w:val="000000"/>
                <w:sz w:val="20"/>
                <w:szCs w:val="20"/>
              </w:rPr>
              <w:t>表</w:t>
            </w:r>
          </w:p>
        </w:tc>
      </w:tr>
      <w:tr>
        <w:tblPrEx>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widowControl/>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部门（单位）：青龙满族自治县城市棚户区改造建设中心</w:t>
            </w:r>
          </w:p>
        </w:tc>
        <w:tc>
          <w:tcPr>
            <w:tcW w:w="1421"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20"/>
                <w:szCs w:val="20"/>
              </w:rPr>
            </w:pPr>
            <w:r>
              <w:rPr>
                <w:rFonts w:ascii="Times New Roman" w:hAnsi="Times New Roman" w:eastAsia="宋体" w:cs="Times New Roman"/>
                <w:color w:val="000000"/>
                <w:sz w:val="20"/>
                <w:szCs w:val="20"/>
              </w:rPr>
              <w:t>202</w:t>
            </w:r>
            <w:r>
              <w:rPr>
                <w:rFonts w:hint="eastAsia" w:ascii="Times New Roman" w:hAnsi="Times New Roman" w:eastAsia="宋体" w:cs="Times New Roman"/>
                <w:color w:val="000000"/>
                <w:sz w:val="20"/>
                <w:szCs w:val="20"/>
              </w:rPr>
              <w:t>4</w:t>
            </w:r>
            <w:r>
              <w:rPr>
                <w:rFonts w:hint="eastAsia" w:ascii="方正仿宋_GB2312" w:hAnsi="方正仿宋_GB2312" w:eastAsia="方正仿宋_GB2312" w:cs="方正仿宋_GB2312"/>
                <w:color w:val="000000"/>
                <w:sz w:val="20"/>
                <w:szCs w:val="20"/>
              </w:rPr>
              <w:t>年度</w:t>
            </w:r>
          </w:p>
        </w:tc>
        <w:tc>
          <w:tcPr>
            <w:tcW w:w="1603" w:type="pct"/>
            <w:gridSpan w:val="3"/>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金额单位：万元</w:t>
            </w:r>
          </w:p>
        </w:tc>
      </w:tr>
      <w:tr>
        <w:tblPrEx>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 xml:space="preserve"> 项目</w:t>
            </w:r>
          </w:p>
        </w:tc>
        <w:tc>
          <w:tcPr>
            <w:tcW w:w="2337" w:type="pct"/>
            <w:gridSpan w:val="5"/>
            <w:vMerge w:val="restart"/>
            <w:tcBorders>
              <w:top w:val="single" w:color="auto" w:sz="4" w:space="0"/>
              <w:left w:val="single" w:color="auto"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本年支出</w:t>
            </w:r>
          </w:p>
        </w:tc>
      </w:tr>
      <w:tr>
        <w:tblPrEx>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c>
          <w:tcPr>
            <w:tcW w:w="2337" w:type="pct"/>
            <w:gridSpan w:val="5"/>
            <w:vMerge w:val="continue"/>
            <w:tcBorders>
              <w:left w:val="single" w:color="auto"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科目名称</w:t>
            </w:r>
          </w:p>
        </w:tc>
        <w:tc>
          <w:tcPr>
            <w:tcW w:w="709" w:type="pct"/>
            <w:vMerge w:val="restart"/>
            <w:tcBorders>
              <w:top w:val="nil"/>
              <w:left w:val="single" w:color="auto"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合计</w:t>
            </w:r>
          </w:p>
        </w:tc>
        <w:tc>
          <w:tcPr>
            <w:tcW w:w="709" w:type="pct"/>
            <w:gridSpan w:val="3"/>
            <w:vMerge w:val="restart"/>
            <w:tcBorders>
              <w:top w:val="nil"/>
              <w:left w:val="nil"/>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基本支出</w:t>
            </w:r>
          </w:p>
        </w:tc>
        <w:tc>
          <w:tcPr>
            <w:tcW w:w="919" w:type="pct"/>
            <w:vMerge w:val="restart"/>
            <w:tcBorders>
              <w:top w:val="nil"/>
              <w:left w:val="nil"/>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项目支出</w:t>
            </w:r>
          </w:p>
        </w:tc>
      </w:tr>
      <w:tr>
        <w:tblPrEx>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1074" w:type="pct"/>
            <w:gridSpan w:val="2"/>
            <w:vMerge w:val="continue"/>
            <w:tcBorders>
              <w:top w:val="single" w:color="auto" w:sz="4" w:space="0"/>
              <w:left w:val="nil"/>
              <w:bottom w:val="single" w:color="auto" w:sz="4" w:space="0"/>
              <w:right w:val="single" w:color="auto" w:sz="4" w:space="0"/>
            </w:tcBorders>
            <w:noWrap/>
            <w:vAlign w:val="center"/>
          </w:tcPr>
          <w:p>
            <w:pPr>
              <w:jc w:val="center"/>
              <w:rPr>
                <w:rFonts w:ascii="方正仿宋_GB2312" w:hAnsi="方正仿宋_GB2312" w:eastAsia="方正仿宋_GB2312" w:cs="方正仿宋_GB2312"/>
                <w:color w:val="000000"/>
                <w:sz w:val="20"/>
                <w:szCs w:val="20"/>
              </w:rPr>
            </w:pPr>
          </w:p>
        </w:tc>
        <w:tc>
          <w:tcPr>
            <w:tcW w:w="709" w:type="pct"/>
            <w:vMerge w:val="continue"/>
            <w:tcBorders>
              <w:left w:val="single" w:color="auto"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709" w:type="pct"/>
            <w:gridSpan w:val="3"/>
            <w:vMerge w:val="continue"/>
            <w:tcBorders>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c>
          <w:tcPr>
            <w:tcW w:w="919" w:type="pct"/>
            <w:vMerge w:val="continue"/>
            <w:tcBorders>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20"/>
                <w:szCs w:val="20"/>
              </w:rPr>
            </w:pPr>
          </w:p>
        </w:tc>
      </w:tr>
      <w:tr>
        <w:tblPrEx>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栏次</w:t>
            </w:r>
          </w:p>
        </w:tc>
        <w:tc>
          <w:tcPr>
            <w:tcW w:w="706" w:type="pct"/>
            <w:tcBorders>
              <w:top w:val="nil"/>
              <w:left w:val="single" w:color="auto"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1</w:t>
            </w:r>
          </w:p>
        </w:tc>
        <w:tc>
          <w:tcPr>
            <w:tcW w:w="706"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2</w:t>
            </w:r>
          </w:p>
        </w:tc>
        <w:tc>
          <w:tcPr>
            <w:tcW w:w="924"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20"/>
                <w:szCs w:val="20"/>
              </w:rPr>
            </w:pPr>
            <w:r>
              <w:rPr>
                <w:rFonts w:hint="eastAsia" w:ascii="Times New Roman" w:hAnsi="Times New Roman" w:eastAsia="方正仿宋_GB2312" w:cs="Times New Roman"/>
                <w:color w:val="000000"/>
                <w:sz w:val="20"/>
                <w:szCs w:val="20"/>
              </w:rPr>
              <w:t>3</w:t>
            </w:r>
          </w:p>
        </w:tc>
      </w:tr>
      <w:tr>
        <w:tblPrEx>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000000"/>
                <w:sz w:val="20"/>
                <w:szCs w:val="20"/>
              </w:rPr>
            </w:pPr>
            <w:r>
              <w:rPr>
                <w:rFonts w:hint="eastAsia" w:ascii="Times New Roman" w:hAnsi="Times New Roman" w:eastAsia="方正仿宋_GB2312" w:cs="Times New Roman"/>
                <w:color w:val="000000"/>
                <w:sz w:val="20"/>
                <w:szCs w:val="20"/>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706"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noWrap/>
            <w:vAlign w:val="center"/>
          </w:tcPr>
          <w:p>
            <w:pPr>
              <w:widowControl/>
              <w:jc w:val="left"/>
              <w:textAlignment w:val="center"/>
              <w:rPr>
                <w:rFonts w:ascii="宋体" w:hAnsi="宋体" w:eastAsia="宋体"/>
                <w:color w:val="000000"/>
                <w:sz w:val="20"/>
                <w:szCs w:val="20"/>
              </w:rPr>
            </w:pPr>
            <w:r>
              <w:rPr>
                <w:rFonts w:hint="eastAsia" w:ascii="方正仿宋_GB2312" w:hAnsi="方正仿宋_GB2312" w:eastAsia="方正仿宋_GB2312" w:cs="方正仿宋_GB2312"/>
                <w:color w:val="000000"/>
                <w:sz w:val="20"/>
                <w:szCs w:val="20"/>
              </w:rPr>
              <w:t>注：本表反映部门本年度国有资本经营预算财政拨款支出情况。（如无相关数据，则需注明空表列示）</w:t>
            </w:r>
          </w:p>
        </w:tc>
      </w:tr>
    </w:tbl>
    <w:p>
      <w:pPr>
        <w:rPr>
          <w:rFonts w:ascii="仿宋_GB2312" w:hAnsi="宋体" w:eastAsia="仿宋_GB2312"/>
          <w:b/>
          <w:sz w:val="32"/>
          <w:szCs w:val="32"/>
        </w:rPr>
      </w:pPr>
    </w:p>
    <w:p>
      <w:pPr>
        <w:rPr>
          <w:rFonts w:ascii="仿宋_GB2312" w:hAnsi="宋体" w:eastAsia="仿宋_GB2312"/>
          <w:b/>
          <w:sz w:val="32"/>
          <w:szCs w:val="32"/>
        </w:rPr>
      </w:pPr>
      <w:r>
        <w:rPr>
          <w:rFonts w:hint="eastAsia" w:ascii="仿宋_GB2312" w:hAnsi="宋体" w:eastAsia="仿宋_GB2312"/>
          <w:b/>
          <w:sz w:val="32"/>
          <w:szCs w:val="32"/>
        </w:rPr>
        <w:br w:type="page"/>
      </w:r>
    </w:p>
    <w:tbl>
      <w:tblPr>
        <w:tblStyle w:val="11"/>
        <w:tblpPr w:leftFromText="180" w:rightFromText="180" w:vertAnchor="text" w:horzAnchor="page" w:tblpX="282" w:tblpY="39"/>
        <w:tblOverlap w:val="never"/>
        <w:tblW w:w="7211" w:type="pct"/>
        <w:tblInd w:w="0" w:type="dxa"/>
        <w:tblLayout w:type="fixed"/>
        <w:tblCellMar>
          <w:top w:w="0" w:type="dxa"/>
          <w:left w:w="108" w:type="dxa"/>
          <w:bottom w:w="0" w:type="dxa"/>
          <w:right w:w="108" w:type="dxa"/>
        </w:tblCellMar>
      </w:tblPr>
      <w:tblGrid>
        <w:gridCol w:w="985"/>
        <w:gridCol w:w="1224"/>
        <w:gridCol w:w="812"/>
        <w:gridCol w:w="944"/>
        <w:gridCol w:w="524"/>
        <w:gridCol w:w="543"/>
        <w:gridCol w:w="779"/>
        <w:gridCol w:w="849"/>
        <w:gridCol w:w="1132"/>
        <w:gridCol w:w="638"/>
        <w:gridCol w:w="1025"/>
        <w:gridCol w:w="948"/>
        <w:gridCol w:w="1192"/>
      </w:tblGrid>
      <w:tr>
        <w:tblPrEx>
          <w:tblCellMar>
            <w:top w:w="0" w:type="dxa"/>
            <w:left w:w="108" w:type="dxa"/>
            <w:bottom w:w="0" w:type="dxa"/>
            <w:right w:w="108" w:type="dxa"/>
          </w:tblCellMar>
        </w:tblPrEx>
        <w:trPr>
          <w:trHeight w:val="550" w:hRule="atLeast"/>
        </w:trPr>
        <w:tc>
          <w:tcPr>
            <w:tcW w:w="5000" w:type="pct"/>
            <w:gridSpan w:val="13"/>
            <w:tcBorders>
              <w:top w:val="nil"/>
              <w:left w:val="nil"/>
              <w:bottom w:val="nil"/>
              <w:right w:val="nil"/>
            </w:tcBorders>
            <w:noWrap/>
            <w:vAlign w:val="bottom"/>
          </w:tcPr>
          <w:p>
            <w:pPr>
              <w:widowControl/>
              <w:jc w:val="center"/>
              <w:textAlignment w:val="bottom"/>
              <w:rPr>
                <w:rFonts w:ascii="宋体" w:hAnsi="宋体" w:eastAsia="宋体"/>
                <w:color w:val="000000"/>
                <w:sz w:val="18"/>
                <w:szCs w:val="18"/>
              </w:rPr>
            </w:pPr>
            <w:r>
              <w:rPr>
                <w:rFonts w:hint="eastAsia" w:ascii="方正仿宋_GB2312" w:hAnsi="方正仿宋_GB2312" w:eastAsia="方正仿宋_GB2312" w:cs="方正仿宋_GB2312"/>
                <w:bCs/>
                <w:sz w:val="32"/>
                <w:szCs w:val="32"/>
              </w:rPr>
              <w:t>财政拨款“三公”经费支出决算表</w:t>
            </w:r>
          </w:p>
        </w:tc>
      </w:tr>
      <w:tr>
        <w:tblPrEx>
          <w:tblCellMar>
            <w:top w:w="0" w:type="dxa"/>
            <w:left w:w="108" w:type="dxa"/>
            <w:bottom w:w="0" w:type="dxa"/>
            <w:right w:w="108" w:type="dxa"/>
          </w:tblCellMar>
        </w:tblPrEx>
        <w:trPr>
          <w:trHeight w:val="260" w:hRule="atLeast"/>
        </w:trPr>
        <w:tc>
          <w:tcPr>
            <w:tcW w:w="5000" w:type="pct"/>
            <w:gridSpan w:val="13"/>
            <w:tcBorders>
              <w:top w:val="nil"/>
              <w:left w:val="nil"/>
              <w:bottom w:val="nil"/>
              <w:right w:val="nil"/>
            </w:tcBorders>
            <w:noWrap/>
            <w:vAlign w:val="bottom"/>
          </w:tcPr>
          <w:p>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公开</w:t>
            </w:r>
            <w:r>
              <w:rPr>
                <w:rFonts w:ascii="Times New Roman" w:hAnsi="Times New Roman" w:eastAsia="方正仿宋_GB2312" w:cs="Times New Roman"/>
                <w:color w:val="000000"/>
                <w:sz w:val="18"/>
                <w:szCs w:val="18"/>
              </w:rPr>
              <w:t>09</w:t>
            </w:r>
            <w:r>
              <w:rPr>
                <w:rFonts w:hint="eastAsia" w:ascii="方正仿宋_GB2312" w:hAnsi="方正仿宋_GB2312" w:eastAsia="方正仿宋_GB2312" w:cs="方正仿宋_GB2312"/>
                <w:color w:val="000000"/>
                <w:sz w:val="18"/>
                <w:szCs w:val="18"/>
              </w:rPr>
              <w:t>表</w:t>
            </w:r>
          </w:p>
        </w:tc>
      </w:tr>
      <w:tr>
        <w:tblPrEx>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widowControl/>
              <w:jc w:val="lef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部门（单位）：青龙满族自治县城市棚户区改造建设中心</w:t>
            </w:r>
          </w:p>
        </w:tc>
        <w:tc>
          <w:tcPr>
            <w:tcW w:w="933" w:type="pct"/>
            <w:gridSpan w:val="3"/>
            <w:tcBorders>
              <w:top w:val="nil"/>
              <w:left w:val="nil"/>
              <w:bottom w:val="single" w:color="auto" w:sz="4" w:space="0"/>
              <w:right w:val="nil"/>
            </w:tcBorders>
            <w:noWrap/>
            <w:vAlign w:val="bottom"/>
          </w:tcPr>
          <w:p>
            <w:pPr>
              <w:widowControl/>
              <w:jc w:val="center"/>
              <w:textAlignment w:val="bottom"/>
              <w:rPr>
                <w:rFonts w:ascii="宋体" w:hAnsi="宋体" w:eastAsia="宋体"/>
                <w:color w:val="000000"/>
                <w:sz w:val="18"/>
                <w:szCs w:val="18"/>
              </w:rPr>
            </w:pPr>
            <w:r>
              <w:rPr>
                <w:rFonts w:ascii="Times New Roman" w:hAnsi="Times New Roman" w:eastAsia="宋体" w:cs="Times New Roman"/>
                <w:color w:val="000000"/>
                <w:sz w:val="18"/>
                <w:szCs w:val="18"/>
              </w:rPr>
              <w:t>202</w:t>
            </w:r>
            <w:r>
              <w:rPr>
                <w:rFonts w:hint="eastAsia" w:ascii="Times New Roman" w:hAnsi="Times New Roman" w:eastAsia="宋体" w:cs="Times New Roman"/>
                <w:color w:val="000000"/>
                <w:sz w:val="18"/>
                <w:szCs w:val="18"/>
              </w:rPr>
              <w:t>4</w:t>
            </w:r>
            <w:r>
              <w:rPr>
                <w:rFonts w:hint="eastAsia" w:ascii="方正仿宋_GB2312" w:hAnsi="方正仿宋_GB2312" w:eastAsia="方正仿宋_GB2312" w:cs="方正仿宋_GB2312"/>
                <w:color w:val="000000"/>
                <w:sz w:val="18"/>
                <w:szCs w:val="18"/>
              </w:rPr>
              <w:t>年度</w:t>
            </w:r>
          </w:p>
        </w:tc>
        <w:tc>
          <w:tcPr>
            <w:tcW w:w="2129" w:type="pct"/>
            <w:gridSpan w:val="5"/>
            <w:tcBorders>
              <w:top w:val="nil"/>
              <w:left w:val="nil"/>
              <w:bottom w:val="single" w:color="auto" w:sz="4" w:space="0"/>
              <w:right w:val="nil"/>
            </w:tcBorders>
            <w:noWrap/>
            <w:vAlign w:val="bottom"/>
          </w:tcPr>
          <w:p>
            <w:pPr>
              <w:widowControl/>
              <w:jc w:val="right"/>
              <w:textAlignment w:val="bottom"/>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金额单位：万元</w:t>
            </w:r>
          </w:p>
        </w:tc>
      </w:tr>
      <w:tr>
        <w:tblPrEx>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预算数</w:t>
            </w:r>
          </w:p>
        </w:tc>
        <w:tc>
          <w:tcPr>
            <w:tcW w:w="2493" w:type="pct"/>
            <w:gridSpan w:val="6"/>
            <w:tcBorders>
              <w:top w:val="single" w:color="auto" w:sz="4" w:space="0"/>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决算数</w:t>
            </w:r>
          </w:p>
        </w:tc>
      </w:tr>
      <w:tr>
        <w:tblPrEx>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52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217" w:type="pct"/>
            <w:gridSpan w:val="4"/>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c>
          <w:tcPr>
            <w:tcW w:w="36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合计</w:t>
            </w:r>
          </w:p>
        </w:tc>
        <w:tc>
          <w:tcPr>
            <w:tcW w:w="48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因公出国（境）费</w:t>
            </w:r>
          </w:p>
        </w:tc>
        <w:tc>
          <w:tcPr>
            <w:tcW w:w="1126" w:type="pct"/>
            <w:gridSpan w:val="3"/>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公务接待费</w:t>
            </w:r>
          </w:p>
        </w:tc>
      </w:tr>
      <w:tr>
        <w:tblPrEx>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52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350"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58" w:type="pct"/>
            <w:gridSpan w:val="2"/>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366"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488"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c>
          <w:tcPr>
            <w:tcW w:w="275"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小计</w:t>
            </w:r>
          </w:p>
        </w:tc>
        <w:tc>
          <w:tcPr>
            <w:tcW w:w="442"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公务用车购置费</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ascii="方正仿宋_GB2312" w:hAnsi="方正仿宋_GB2312" w:eastAsia="方正仿宋_GB2312" w:cs="方正仿宋_GB2312"/>
                <w:color w:val="000000"/>
                <w:sz w:val="18"/>
                <w:szCs w:val="18"/>
              </w:rPr>
            </w:pPr>
          </w:p>
        </w:tc>
      </w:tr>
      <w:tr>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w:t>
            </w:r>
          </w:p>
        </w:tc>
        <w:tc>
          <w:tcPr>
            <w:tcW w:w="52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2</w:t>
            </w:r>
          </w:p>
        </w:tc>
        <w:tc>
          <w:tcPr>
            <w:tcW w:w="350"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3</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4</w:t>
            </w:r>
          </w:p>
        </w:tc>
        <w:tc>
          <w:tcPr>
            <w:tcW w:w="458" w:type="pct"/>
            <w:gridSpan w:val="2"/>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5</w:t>
            </w:r>
          </w:p>
        </w:tc>
        <w:tc>
          <w:tcPr>
            <w:tcW w:w="33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6</w:t>
            </w:r>
          </w:p>
        </w:tc>
        <w:tc>
          <w:tcPr>
            <w:tcW w:w="366"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7</w:t>
            </w:r>
          </w:p>
        </w:tc>
        <w:tc>
          <w:tcPr>
            <w:tcW w:w="488"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8</w:t>
            </w:r>
          </w:p>
        </w:tc>
        <w:tc>
          <w:tcPr>
            <w:tcW w:w="275"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9</w:t>
            </w:r>
          </w:p>
        </w:tc>
        <w:tc>
          <w:tcPr>
            <w:tcW w:w="442"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10</w:t>
            </w:r>
          </w:p>
        </w:tc>
        <w:tc>
          <w:tcPr>
            <w:tcW w:w="407"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11</w:t>
            </w:r>
          </w:p>
        </w:tc>
        <w:tc>
          <w:tcPr>
            <w:tcW w:w="511" w:type="pct"/>
            <w:tcBorders>
              <w:top w:val="nil"/>
              <w:left w:val="nil"/>
              <w:bottom w:val="single" w:color="000000" w:sz="4" w:space="0"/>
              <w:right w:val="single" w:color="000000" w:sz="4" w:space="0"/>
            </w:tcBorders>
            <w:noWrap/>
            <w:vAlign w:val="center"/>
          </w:tcPr>
          <w:p>
            <w:pPr>
              <w:widowControl/>
              <w:jc w:val="center"/>
              <w:textAlignment w:val="center"/>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12</w:t>
            </w:r>
          </w:p>
        </w:tc>
      </w:tr>
      <w:tr>
        <w:tblPrEx>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0.60</w:t>
            </w:r>
          </w:p>
        </w:tc>
        <w:tc>
          <w:tcPr>
            <w:tcW w:w="528"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50"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58" w:type="pct"/>
            <w:gridSpan w:val="2"/>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335"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0.60</w:t>
            </w:r>
          </w:p>
        </w:tc>
        <w:tc>
          <w:tcPr>
            <w:tcW w:w="366"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0.60</w:t>
            </w:r>
          </w:p>
        </w:tc>
        <w:tc>
          <w:tcPr>
            <w:tcW w:w="488"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275"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42"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407"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p>
        </w:tc>
        <w:tc>
          <w:tcPr>
            <w:tcW w:w="511" w:type="pct"/>
            <w:tcBorders>
              <w:top w:val="nil"/>
              <w:left w:val="nil"/>
              <w:bottom w:val="single" w:color="000000" w:sz="4" w:space="0"/>
              <w:right w:val="single" w:color="000000" w:sz="4" w:space="0"/>
            </w:tcBorders>
            <w:noWrap/>
            <w:vAlign w:val="center"/>
          </w:tcPr>
          <w:p>
            <w:pPr>
              <w:jc w:val="right"/>
              <w:rPr>
                <w:rFonts w:ascii="Times New Roman" w:hAnsi="Times New Roman" w:eastAsia="方正仿宋_GB2312" w:cs="Times New Roman"/>
                <w:color w:val="000000"/>
                <w:sz w:val="18"/>
                <w:szCs w:val="18"/>
              </w:rPr>
            </w:pPr>
            <w:r>
              <w:rPr>
                <w:rFonts w:ascii="Times New Roman" w:hAnsi="Times New Roman" w:eastAsia="方正仿宋_GB2312" w:cs="Times New Roman"/>
                <w:color w:val="000000"/>
                <w:sz w:val="18"/>
                <w:szCs w:val="18"/>
              </w:rPr>
              <w:t>0.60</w:t>
            </w:r>
          </w:p>
        </w:tc>
      </w:tr>
      <w:tr>
        <w:tblPrEx>
          <w:tblCellMar>
            <w:top w:w="0" w:type="dxa"/>
            <w:left w:w="108" w:type="dxa"/>
            <w:bottom w:w="0" w:type="dxa"/>
            <w:right w:w="108" w:type="dxa"/>
          </w:tblCellMar>
        </w:tblPrEx>
        <w:trPr>
          <w:trHeight w:val="431" w:hRule="atLeast"/>
        </w:trPr>
        <w:tc>
          <w:tcPr>
            <w:tcW w:w="5000" w:type="pct"/>
            <w:gridSpan w:val="13"/>
            <w:tcBorders>
              <w:top w:val="nil"/>
              <w:left w:val="nil"/>
              <w:bottom w:val="nil"/>
              <w:right w:val="nil"/>
            </w:tcBorders>
            <w:noWrap/>
            <w:vAlign w:val="center"/>
          </w:tcPr>
          <w:p>
            <w:pPr>
              <w:widowControl/>
              <w:jc w:val="left"/>
              <w:textAlignment w:val="center"/>
              <w:rPr>
                <w:rFonts w:ascii="宋体" w:hAnsi="宋体" w:eastAsia="宋体"/>
                <w:color w:val="000000"/>
                <w:sz w:val="18"/>
                <w:szCs w:val="18"/>
              </w:rPr>
            </w:pPr>
            <w:r>
              <w:rPr>
                <w:rFonts w:hint="eastAsia" w:ascii="方正仿宋_GB2312" w:hAnsi="方正仿宋_GB2312" w:eastAsia="方正仿宋_GB2312" w:cs="方正仿宋_GB2312"/>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rPr>
          <w:rFonts w:ascii="仿宋_GB2312" w:hAnsi="宋体" w:eastAsia="仿宋_GB2312"/>
          <w:b/>
          <w:sz w:val="32"/>
          <w:szCs w:val="32"/>
        </w:rPr>
      </w:pPr>
    </w:p>
    <w:p>
      <w:pPr>
        <w:rPr>
          <w:rFonts w:ascii="仿宋_GB2312" w:hAnsi="宋体" w:eastAsia="仿宋_GB2312"/>
          <w:b/>
          <w:sz w:val="32"/>
          <w:szCs w:val="32"/>
        </w:rPr>
        <w:sectPr>
          <w:headerReference r:id="rId9" w:type="default"/>
          <w:footerReference r:id="rId10" w:type="default"/>
          <w:pgSz w:w="11906" w:h="16838"/>
          <w:pgMar w:top="1531" w:right="1984" w:bottom="1531" w:left="2098" w:header="851" w:footer="992" w:gutter="0"/>
          <w:cols w:space="720" w:num="1"/>
          <w:docGrid w:type="lines" w:linePitch="312" w:charSpace="0"/>
        </w:sectPr>
      </w:pPr>
      <w:r>
        <w:rPr>
          <w:rFonts w:hint="eastAsia" w:ascii="仿宋_GB2312" w:hAnsi="宋体" w:eastAsia="仿宋_GB2312"/>
          <w:b/>
          <w:sz w:val="32"/>
          <w:szCs w:val="32"/>
        </w:rPr>
        <w:br w:type="page"/>
      </w:r>
    </w:p>
    <w:p>
      <w:pPr>
        <w:widowControl/>
        <w:spacing w:line="360" w:lineRule="auto"/>
        <w:jc w:val="center"/>
        <w:outlineLvl w:val="0"/>
        <w:rPr>
          <w:rFonts w:ascii="Times New Roman" w:eastAsia="黑体"/>
          <w:sz w:val="44"/>
          <w:szCs w:val="44"/>
        </w:rPr>
      </w:pPr>
      <w:r>
        <w:rPr>
          <w:rFonts w:ascii="Times New Roman" w:eastAsia="黑体"/>
          <w:sz w:val="44"/>
          <w:szCs w:val="44"/>
        </w:rPr>
        <w:t>第三部分</w:t>
      </w:r>
      <w:r>
        <w:rPr>
          <w:rFonts w:ascii="Times New Roman" w:eastAsia="仿宋_GB2312"/>
          <w:sz w:val="44"/>
          <w:szCs w:val="44"/>
        </w:rPr>
        <w:t>2024</w:t>
      </w:r>
      <w:r>
        <w:rPr>
          <w:rFonts w:ascii="Times New Roman" w:eastAsia="黑体"/>
          <w:sz w:val="44"/>
          <w:szCs w:val="44"/>
        </w:rPr>
        <w:t>年度部门决算情况说明</w:t>
      </w:r>
    </w:p>
    <w:p>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本单位2024年度收、支总计（含结转和结余）均为2,434.02万元。与2023年度决算相比，收支各增加1,755.73万元，增长258.8%，主要原因是2024年债务化解。</w:t>
      </w:r>
    </w:p>
    <w:p>
      <w:pPr>
        <w:pStyle w:val="10"/>
        <w:widowControl/>
        <w:spacing w:beforeAutospacing="0" w:afterAutospacing="0"/>
        <w:jc w:val="center"/>
        <w:rPr>
          <w:rFonts w:ascii="Times New Roman" w:hAnsi="Times New Roman" w:eastAsia="Arial"/>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eastAsia="Arial"/>
          <w:color w:val="000000"/>
          <w:sz w:val="18"/>
          <w:szCs w:val="18"/>
          <w:shd w:val="clear" w:color="auto" w:fill="FFFFFF"/>
        </w:rPr>
        <w:t> </w:t>
      </w:r>
    </w:p>
    <w:p>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收入合计2,434.02万元，其中：财政拨款收入2,434.02万元，占100.0%；上级补助收入0.00万元，占0.0%；事业收入0.00万元，占0.0%；经营收入0.00万元，占0.0%；附属单位上缴收入0.00万元，占0.0%；其他收入0.00万元，占0.0%。</w:t>
      </w:r>
    </w:p>
    <w:p>
      <w:pPr>
        <w:adjustRightInd w:val="0"/>
        <w:snapToGrid w:val="0"/>
        <w:spacing w:line="580" w:lineRule="exact"/>
        <w:rPr>
          <w:rFonts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本单位2024年度本年支出合计2,424.02万元，其中：基本支出108.97万元，占4.5%；项目支出2,315.05万元，占95.5%；上缴上级支出0.00万元，占0.0%；经营支出0.00万元，占0.0%；对附属单位补助支出0.00万元，占0.0%。</w:t>
      </w:r>
    </w:p>
    <w:p>
      <w:pPr>
        <w:autoSpaceDE w:val="0"/>
        <w:autoSpaceDN w:val="0"/>
        <w:adjustRightIn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四、财政拨款收入支出决算总体情况说明</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本单位2024年度财政拨款收、支总计（含结转和结余）均为2,434.02万元。与2023年度相比，财政拨款收支各增加1,755.73万元，增长258.8%，主要原因是2024年债务化解。</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本单位2024年度财政拨款本年收入2,434.02万元,比上年增加2,239.99万元，增长1,154.4%，主要原因是2024年债务化解；本年支出2,424.02万元，比上年增加2,007.73万元，增长482.3%，主要原因是2024年债务化解。具体情况如下：</w:t>
      </w:r>
    </w:p>
    <w:p>
      <w:pPr>
        <w:widowControl/>
        <w:spacing w:line="360" w:lineRule="auto"/>
        <w:ind w:firstLine="640" w:firstLineChars="200"/>
        <w:jc w:val="left"/>
        <w:outlineLvl w:val="1"/>
        <w:rPr>
          <w:rFonts w:ascii="Times New Roman" w:eastAsia="仿宋_GB2312"/>
          <w:sz w:val="32"/>
          <w:szCs w:val="32"/>
        </w:rPr>
      </w:pPr>
      <w:r>
        <w:rPr>
          <w:rFonts w:ascii="Times New Roman" w:eastAsia="仿宋_GB2312"/>
          <w:sz w:val="32"/>
          <w:szCs w:val="32"/>
        </w:rPr>
        <w:t>1. 一般公共预算财政拨款本年收入604.02万元,比上年增加462.61万元，增长327.1%，主要原因是保险基数调整及工资变动，棚改补助资金增加；本年支出594.02万元，比上年增加230.35万元，增长63.3%，主要原因是保险基数调整及工资变动，棚改补助资金支出增加。</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 政府性基金预算财政拨款本年收入1,830.00万元，比上年增加1,777.38万元，增长3,377.8%，主要原因是2024年债务化解；本年支出1,830.00万元，比上年增加1,777.38万元，增长3,377.8%，主要原因是2024年债务化解支出。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3. 国有资本经营预算财政拨款本年收入0.00万元，比上年增加0.00万元，增长0.00%，主要原因是我单位无国有资本经营项目；本年支出0.00万元，比上年增加0.00万元，增长0.00%，主要原因是我单位无国有资本经营项目。</w:t>
      </w:r>
    </w:p>
    <w:p>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财政拨款本年收入2,434.02万元，完成年初预算的1,402.7%，比年初预算增加2,260.50万元，决算数大于预算数主要原因是年中增加2024年债务化解和棚改补助资金预算；本年支出2,424.02万元，完成年初预算的1,397.0%，比年初预算增加2,250.50万元，决算数大于预算数主要原因是年中增加2024年债务化解和棚改补助资金支出。具体情况如下：</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 一般公共预算财政拨款本年收入完成年初预算的481.2%，比年初预算增加478.50万元，主要原因是年中增加棚改补助资金预算；支出完成年初预算的473.2%，比年初预算增加468.50万元，主要原因是年中增加棚改补助资金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 政府性基金预算财政拨款本年收入完成年初预算的3,812.5%，比年初预算增加1,782.00万元，主要原因是年中增加2024年债务化解预算；支出完成年初预算的3,812.5%，比年初预算增加1,782.00万元，主要原因是年中增加2024年债务化解预算。</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3. 国有资本经营预算财政拨款本年收入完成年初预算的0.0%，比年初预算增加0.00万元，主要原因是我单位无国有资本经营项目；支出完成年初预算的0.0%，比年初预算增加0.00万元，主要原因是我单位无国有资本经营项目。</w:t>
      </w:r>
    </w:p>
    <w:p>
      <w:pPr>
        <w:pStyle w:val="10"/>
        <w:widowControl/>
        <w:spacing w:beforeAutospacing="0" w:afterAutospacing="0"/>
        <w:rPr>
          <w:rFonts w:ascii="Times New Roman" w:hAnsi="Times New Roman" w:eastAsia="Arial"/>
        </w:rPr>
      </w:pPr>
    </w:p>
    <w:p>
      <w:pPr>
        <w:pStyle w:val="10"/>
        <w:widowControl/>
        <w:spacing w:beforeAutospacing="0" w:afterAutospacing="0"/>
        <w:jc w:val="cente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2024年度财政拨款支出2,424.02万元，主要用于以下方面：</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line="360" w:lineRule="auto"/>
        <w:ind w:firstLine="640" w:firstLineChars="200"/>
        <w:jc w:val="left"/>
        <w:rPr>
          <w:rFonts w:hint="eastAsia" w:ascii="Times New Roman" w:eastAsia="仿宋_GB2312"/>
          <w:sz w:val="32"/>
          <w:szCs w:val="32"/>
          <w:lang w:val="en-US" w:eastAsia="zh-CN"/>
        </w:rPr>
      </w:pPr>
      <w:r>
        <w:rPr>
          <w:rFonts w:ascii="Times New Roman" w:eastAsia="仿宋_GB2312"/>
          <w:sz w:val="32"/>
          <w:szCs w:val="32"/>
        </w:rPr>
        <w:t>社会保障和就业 （类）支出13.84万元，占0.6%，主要用于机关事业单位基本养老保险缴费、生活补助等支出；卫生健康（类）支出6.31万元，占0.3%，主要用于职工基本医疗保险缴费等支出；城乡社区（类）支出496.73万元，占20.5%，主要用于基本工资、津贴补贴、绩效工资、其他社会保障缴费支出、办公费、邮电费、公务接待费、其他交通费等支出；住房保障（类）支出77.13万元，占3.2%，</w:t>
      </w:r>
      <w:bookmarkStart w:id="0" w:name="_GoBack"/>
      <w:bookmarkEnd w:id="0"/>
      <w:r>
        <w:rPr>
          <w:rFonts w:ascii="Times New Roman" w:eastAsia="仿宋_GB2312"/>
          <w:sz w:val="32"/>
          <w:szCs w:val="32"/>
        </w:rPr>
        <w:t>主要用于住房公积金、棚户区改造等支出</w:t>
      </w:r>
      <w:r>
        <w:rPr>
          <w:rFonts w:hint="eastAsia" w:ascii="Times New Roman" w:eastAsia="仿宋_GB2312"/>
          <w:sz w:val="32"/>
          <w:szCs w:val="32"/>
          <w:lang w:eastAsia="zh-CN"/>
        </w:rPr>
        <w:t>。</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其他（类）支出1,830.00万元，占75.5%，主要用于2024年债务化解等支出。</w:t>
      </w:r>
    </w:p>
    <w:p>
      <w:pPr>
        <w:pStyle w:val="10"/>
        <w:widowControl/>
        <w:spacing w:beforeAutospacing="0" w:afterAutospacing="0"/>
        <w:rPr>
          <w:rFonts w:ascii="Times New Roman" w:hAnsi="Times New Roman" w:eastAsia="仿宋_GB2312"/>
          <w:kern w:val="2"/>
          <w:sz w:val="32"/>
          <w:szCs w:val="32"/>
          <w:lang w:val="zh-CN"/>
        </w:rPr>
      </w:pPr>
      <w:r>
        <w:rPr>
          <w:rFonts w:ascii="Times New Roman" w:hAnsi="Times New Roman" w:eastAsia="仿宋_GB2312"/>
          <w:kern w:val="2"/>
          <w:sz w:val="32"/>
          <w:szCs w:val="32"/>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2024年度财政拨款基本支出108.97万元，其中：</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人员经费104.38万元，主要包括基本工资、津贴补贴、奖金、绩效工资、机关事业部门基本养老保险缴费、职工基本医疗保险缴费、住房公积金、其他社会保障缴费、其他对个人和家庭的补助支出。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公用经费4.59万元，主要包括办公费、邮电费、取暖费、差旅费、公务接待费</w:t>
      </w:r>
      <w:r>
        <w:rPr>
          <w:rFonts w:hint="eastAsia" w:ascii="Times New Roman" w:eastAsia="仿宋_GB2312"/>
          <w:sz w:val="32"/>
          <w:szCs w:val="32"/>
          <w:lang w:eastAsia="zh-CN"/>
        </w:rPr>
        <w:t>、</w:t>
      </w:r>
      <w:r>
        <w:rPr>
          <w:rFonts w:ascii="Times New Roman" w:eastAsia="仿宋_GB2312"/>
          <w:sz w:val="32"/>
          <w:szCs w:val="32"/>
        </w:rPr>
        <w:t>其他交通费用支出。</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五、财政拨款“三公” 经费支出决算情况说明</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三公”经费财政拨款支出预算为0.60万元，支出决算为0.60万元，完成预算的100.0%，较预算增加0.00万元，增长0.0%，主要原因是三公经费按标准支出；较2023年度决算减少0.72万元，降低54.5%，主要原因是2023年支出的三公经费包括2022年结转部分。</w:t>
      </w:r>
    </w:p>
    <w:p>
      <w:pPr>
        <w:widowControl/>
        <w:spacing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sz w:val="32"/>
          <w:szCs w:val="32"/>
        </w:rPr>
        <w:t>本单位2024年度因公出国（境）费支出预算为0.00万元,支出决算0.00万元。完成预算的0.0%。因公出国（境）费支出较预算增加0.00万元，增长0.0%,主要原因是；较上年增加0.00万元，增长0.00%,主要原因是。因公出国（境）团组0个、共0人、参加其他单位组织的因公出国（境）团组个、共人/无本部门组织的出国（境）团组。</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sz w:val="32"/>
          <w:szCs w:val="32"/>
        </w:rPr>
        <w:t>本单位2024年度公务用车购置及运行维护费预算为0.00万元，支出决算0.00万元，完成预算的0.0%,较预算增加0.00万元，增长0.0%,主要原因是；较上年增加0.00万元，增长0.00%,主要原因是。其中：</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sz w:val="32"/>
          <w:szCs w:val="32"/>
        </w:rPr>
        <w:t>本单位2024年度公务用车购置量0辆，发生“公务用车购置”经费支出0.00万元。公务用车购置费支出较预算增加0.00万元，增长0.0%,主要原因是；较上年增加0.00万元，增长0.00%,主要原因是。</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公务用车运行维护费支出0.00万元：</w:t>
      </w:r>
      <w:r>
        <w:rPr>
          <w:rFonts w:ascii="Times New Roman" w:eastAsia="仿宋_GB2312"/>
          <w:sz w:val="32"/>
          <w:szCs w:val="32"/>
        </w:rPr>
        <w:t>本单位2024年度单位公务用车保有量0辆，发生运行维护费支出0.00万元。公车运行维护费支出较预算增加0.00万元，增长0.0%,主要原因是；较上年增加0.00万元，增长0.00%，主要原因是。</w:t>
      </w:r>
    </w:p>
    <w:p>
      <w:pPr>
        <w:widowControl/>
        <w:spacing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sz w:val="32"/>
          <w:szCs w:val="32"/>
        </w:rPr>
        <w:t>本单位2024年度公务接待费支出预算为0.60万元，支出决算0.60万元，完成预算的100.0%。公务接待费支出较预算增加0.00万元，增长0.0%,主要原因是三公经费按标准支出；较上年度减少0.72万元，降低54.5%,主要原因是2023年支出的三公经费包括2022年结转部分。本年度共发生公务接待12批次、75人次。</w:t>
      </w:r>
    </w:p>
    <w:p>
      <w:pPr>
        <w:widowControl/>
        <w:spacing w:line="360" w:lineRule="auto"/>
        <w:ind w:firstLine="640" w:firstLineChars="200"/>
        <w:jc w:val="left"/>
        <w:outlineLvl w:val="1"/>
        <w:rPr>
          <w:rFonts w:ascii="Times New Roman" w:eastAsia="黑体"/>
          <w:b w:val="0"/>
          <w:bCs w:val="0"/>
          <w:sz w:val="32"/>
          <w:szCs w:val="32"/>
        </w:rPr>
      </w:pPr>
      <w:r>
        <w:rPr>
          <w:rFonts w:ascii="Times New Roman" w:eastAsia="黑体"/>
          <w:b w:val="0"/>
          <w:bCs w:val="0"/>
          <w:sz w:val="32"/>
          <w:szCs w:val="32"/>
        </w:rPr>
        <w:t>六、机关运行经费支出说明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本单位2024年度机关运行经费支出0.00万元，较2023年度增加0.00万元，增长0.00%。主要原因是。</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七、政府采购支出说明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八、国有资产占用情况说明</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截至2024年12月31日，本单位共有车辆0辆，比上年增加0辆，主要是。其中，副部（省）级及以上领导用车0辆，主要负责人用车0辆，机要通信用车0辆，应急保障用车0辆，执法执勤用车0辆，特种专业技术用车0辆，离退休干部用车0辆，其他用车0辆，其他用车主要是。单位价值100万元（含）以上设备（不含车辆）0台（套）。</w:t>
      </w:r>
    </w:p>
    <w:p>
      <w:pPr>
        <w:widowControl/>
        <w:spacing w:line="360" w:lineRule="auto"/>
        <w:ind w:firstLine="640" w:firstLineChars="200"/>
        <w:jc w:val="left"/>
        <w:outlineLvl w:val="1"/>
        <w:rPr>
          <w:rFonts w:ascii="Times New Roman" w:eastAsia="黑体"/>
          <w:sz w:val="32"/>
          <w:szCs w:val="32"/>
        </w:rPr>
      </w:pPr>
      <w:r>
        <w:rPr>
          <w:rFonts w:ascii="Times New Roman" w:eastAsia="黑体"/>
          <w:sz w:val="32"/>
          <w:szCs w:val="32"/>
        </w:rPr>
        <w:t>九、关于2024年度绩效评价情况的说明</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根据预算绩效管理要求，本单位组织对2024年度本级预算项目支出全面开展绩效自评，共涉及资金1,880.9408万元（决算金额）。其中，一般公共预算项目1个，涉及资金2.9408万元，占一般公共预算项目支出总额的100%；政府性基金预算项目2个，涉及资金1,878万元，占政府性基金预算项目支出总额的100%；国有资本经营预算项目0个，涉及资金0万元，占国有资本经营预算项目支出总额的0%。</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组织对棚改前期费用等</w:t>
      </w:r>
      <w:r>
        <w:rPr>
          <w:rFonts w:hint="eastAsia" w:ascii="Times New Roman" w:eastAsia="仿宋_GB2312"/>
          <w:sz w:val="32"/>
          <w:szCs w:val="32"/>
        </w:rPr>
        <w:t>3</w:t>
      </w:r>
      <w:r>
        <w:rPr>
          <w:rFonts w:ascii="Times New Roman" w:eastAsia="仿宋_GB2312"/>
          <w:sz w:val="32"/>
          <w:szCs w:val="32"/>
        </w:rPr>
        <w:t>个项目开展了部门重点评价，涉及一般公共预算支出2.9408万元，政府性基金预算支出1,878万元，国有资本经营预算支出0万元，从评价情况来看，重点评价的3个项目均为优。</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本单位在今年</w:t>
      </w:r>
      <w:r>
        <w:rPr>
          <w:rFonts w:hint="eastAsia" w:ascii="Times New Roman" w:eastAsia="仿宋_GB2312"/>
          <w:sz w:val="32"/>
          <w:szCs w:val="32"/>
        </w:rPr>
        <w:t>单位</w:t>
      </w:r>
      <w:r>
        <w:rPr>
          <w:rFonts w:ascii="Times New Roman" w:eastAsia="仿宋_GB2312"/>
          <w:sz w:val="32"/>
          <w:szCs w:val="32"/>
        </w:rPr>
        <w:t>决算公开中反映</w:t>
      </w:r>
      <w:r>
        <w:rPr>
          <w:rFonts w:hint="eastAsia" w:ascii="仿宋" w:hAnsi="仿宋" w:eastAsia="仿宋" w:cs="仿宋_GB2312"/>
          <w:sz w:val="32"/>
          <w:szCs w:val="32"/>
        </w:rPr>
        <w:t>棚改前期费用项目</w:t>
      </w:r>
      <w:r>
        <w:rPr>
          <w:rFonts w:ascii="Times New Roman" w:eastAsia="仿宋_GB2312"/>
          <w:sz w:val="32"/>
          <w:szCs w:val="32"/>
        </w:rPr>
        <w:t>等</w:t>
      </w:r>
      <w:r>
        <w:rPr>
          <w:rFonts w:hint="eastAsia" w:ascii="Times New Roman" w:eastAsia="仿宋_GB2312"/>
          <w:sz w:val="32"/>
          <w:szCs w:val="32"/>
        </w:rPr>
        <w:t>3</w:t>
      </w:r>
      <w:r>
        <w:rPr>
          <w:rFonts w:ascii="Times New Roman" w:eastAsia="仿宋_GB2312"/>
          <w:sz w:val="32"/>
          <w:szCs w:val="32"/>
        </w:rPr>
        <w:t>个项目绩效自评结果</w:t>
      </w:r>
      <w:r>
        <w:rPr>
          <w:rFonts w:hint="eastAsia" w:ascii="Times New Roman" w:eastAsia="仿宋_GB2312"/>
          <w:sz w:val="32"/>
          <w:szCs w:val="32"/>
        </w:rPr>
        <w:t>，其中一个为涉密项目</w:t>
      </w:r>
      <w:r>
        <w:rPr>
          <w:rFonts w:ascii="Times New Roman" w:eastAsia="仿宋_GB2312"/>
          <w:sz w:val="32"/>
          <w:szCs w:val="32"/>
        </w:rPr>
        <w:t>。</w:t>
      </w:r>
    </w:p>
    <w:p>
      <w:pPr>
        <w:widowControl/>
        <w:spacing w:line="360" w:lineRule="auto"/>
        <w:ind w:firstLine="640" w:firstLineChars="200"/>
        <w:jc w:val="left"/>
        <w:rPr>
          <w:rFonts w:ascii="Times New Roman" w:eastAsia="仿宋_GB2312"/>
          <w:sz w:val="32"/>
          <w:szCs w:val="32"/>
        </w:rPr>
      </w:pPr>
      <w:r>
        <w:rPr>
          <w:rFonts w:hint="eastAsia" w:ascii="仿宋" w:hAnsi="仿宋" w:eastAsia="仿宋" w:cs="仿宋_GB2312"/>
          <w:sz w:val="32"/>
          <w:szCs w:val="32"/>
        </w:rPr>
        <w:t>（1）棚改前期费用</w:t>
      </w:r>
      <w:r>
        <w:rPr>
          <w:rFonts w:ascii="Times New Roman" w:eastAsia="仿宋_GB2312"/>
          <w:sz w:val="32"/>
          <w:szCs w:val="32"/>
        </w:rPr>
        <w:t>项目绩效自评情况：根据年初设定的绩效目标，</w:t>
      </w:r>
      <w:r>
        <w:rPr>
          <w:rFonts w:hint="eastAsia" w:ascii="仿宋" w:hAnsi="仿宋" w:eastAsia="仿宋" w:cs="仿宋_GB2312"/>
          <w:sz w:val="32"/>
          <w:szCs w:val="32"/>
        </w:rPr>
        <w:t>棚改前期费用</w:t>
      </w:r>
      <w:r>
        <w:rPr>
          <w:rFonts w:ascii="Times New Roman" w:eastAsia="仿宋_GB2312"/>
          <w:sz w:val="32"/>
          <w:szCs w:val="32"/>
        </w:rPr>
        <w:t>项目绩效自评得分为</w:t>
      </w:r>
      <w:r>
        <w:rPr>
          <w:rFonts w:hint="eastAsia" w:ascii="Times New Roman" w:eastAsia="仿宋_GB2312"/>
          <w:sz w:val="32"/>
          <w:szCs w:val="32"/>
        </w:rPr>
        <w:t>97</w:t>
      </w:r>
      <w:r>
        <w:rPr>
          <w:rFonts w:ascii="Times New Roman" w:eastAsia="仿宋_GB2312"/>
          <w:sz w:val="32"/>
          <w:szCs w:val="32"/>
        </w:rPr>
        <w:t>分（绩效自评表附后）。全年预算数为</w:t>
      </w:r>
      <w:r>
        <w:rPr>
          <w:rFonts w:hint="eastAsia" w:ascii="Times New Roman" w:eastAsia="仿宋_GB2312"/>
          <w:sz w:val="32"/>
          <w:szCs w:val="32"/>
        </w:rPr>
        <w:t>2.9408</w:t>
      </w:r>
      <w:r>
        <w:rPr>
          <w:rFonts w:ascii="Times New Roman" w:eastAsia="仿宋_GB2312"/>
          <w:sz w:val="32"/>
          <w:szCs w:val="32"/>
        </w:rPr>
        <w:t>万元，执行数为</w:t>
      </w:r>
      <w:r>
        <w:rPr>
          <w:rFonts w:hint="eastAsia" w:ascii="Times New Roman" w:eastAsia="仿宋_GB2312"/>
          <w:sz w:val="32"/>
          <w:szCs w:val="32"/>
        </w:rPr>
        <w:t>2.9408</w:t>
      </w:r>
      <w:r>
        <w:rPr>
          <w:rFonts w:ascii="Times New Roman" w:eastAsia="仿宋_GB2312"/>
          <w:sz w:val="32"/>
          <w:szCs w:val="32"/>
        </w:rPr>
        <w:t>万元，完成预算的</w:t>
      </w:r>
      <w:r>
        <w:rPr>
          <w:rFonts w:hint="eastAsia" w:ascii="Times New Roman" w:eastAsia="仿宋_GB2312"/>
          <w:sz w:val="32"/>
          <w:szCs w:val="32"/>
        </w:rPr>
        <w:t>100</w:t>
      </w:r>
      <w:r>
        <w:rPr>
          <w:rFonts w:ascii="Times New Roman" w:eastAsia="仿宋_GB2312"/>
          <w:sz w:val="32"/>
          <w:szCs w:val="32"/>
        </w:rPr>
        <w:t>%。项目绩效目标完成情况：一是</w:t>
      </w:r>
      <w:r>
        <w:rPr>
          <w:rFonts w:hint="eastAsia" w:ascii="Times New Roman" w:eastAsia="仿宋_GB2312"/>
          <w:sz w:val="32"/>
          <w:szCs w:val="32"/>
        </w:rPr>
        <w:t>完成预算目标</w:t>
      </w:r>
      <w:r>
        <w:rPr>
          <w:rFonts w:ascii="Times New Roman" w:eastAsia="仿宋_GB2312"/>
          <w:sz w:val="32"/>
          <w:szCs w:val="32"/>
        </w:rPr>
        <w:t>；二是</w:t>
      </w:r>
      <w:r>
        <w:rPr>
          <w:rFonts w:hint="eastAsia" w:ascii="Times New Roman" w:eastAsia="仿宋_GB2312"/>
          <w:sz w:val="32"/>
          <w:szCs w:val="32"/>
        </w:rPr>
        <w:t>完成棚改前期相关工作</w:t>
      </w:r>
      <w:r>
        <w:rPr>
          <w:rFonts w:ascii="Times New Roman" w:eastAsia="仿宋_GB2312"/>
          <w:sz w:val="32"/>
          <w:szCs w:val="32"/>
        </w:rPr>
        <w:t>。发现的主要问题及原因是：</w:t>
      </w:r>
      <w:r>
        <w:rPr>
          <w:rFonts w:hint="eastAsia" w:ascii="Times New Roman" w:eastAsia="仿宋_GB2312"/>
          <w:sz w:val="32"/>
          <w:szCs w:val="32"/>
        </w:rPr>
        <w:t>无</w:t>
      </w:r>
      <w:r>
        <w:rPr>
          <w:rFonts w:ascii="Times New Roman" w:eastAsia="仿宋_GB2312"/>
          <w:sz w:val="32"/>
          <w:szCs w:val="32"/>
        </w:rPr>
        <w:t>。</w:t>
      </w:r>
    </w:p>
    <w:p>
      <w:pPr>
        <w:adjustRightInd w:val="0"/>
        <w:snapToGrid w:val="0"/>
        <w:spacing w:line="580" w:lineRule="exact"/>
        <w:jc w:val="center"/>
        <w:rPr>
          <w:rFonts w:ascii="方正小标宋_GBK" w:hAnsi="宋体" w:eastAsia="方正小标宋_GBK"/>
          <w:color w:val="000000"/>
          <w:sz w:val="40"/>
          <w:szCs w:val="40"/>
        </w:rPr>
      </w:pPr>
      <w:r>
        <w:rPr>
          <w:rFonts w:hint="eastAsia" w:ascii="方正小标宋_GBK" w:hAnsi="宋体" w:eastAsia="方正小标宋_GBK"/>
          <w:color w:val="000000"/>
          <w:sz w:val="40"/>
          <w:szCs w:val="40"/>
        </w:rPr>
        <w:t>预算项目绩效自评表</w:t>
      </w:r>
    </w:p>
    <w:tbl>
      <w:tblPr>
        <w:tblStyle w:val="11"/>
        <w:tblpPr w:leftFromText="180" w:rightFromText="180" w:vertAnchor="text" w:horzAnchor="page" w:tblpX="1761" w:tblpY="742"/>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556"/>
        <w:gridCol w:w="775"/>
        <w:gridCol w:w="1354"/>
        <w:gridCol w:w="1851"/>
        <w:gridCol w:w="361"/>
        <w:gridCol w:w="321"/>
        <w:gridCol w:w="261"/>
        <w:gridCol w:w="799"/>
        <w:gridCol w:w="1078"/>
        <w:gridCol w:w="692"/>
        <w:gridCol w:w="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一、基本情况</w:t>
            </w:r>
          </w:p>
        </w:tc>
        <w:tc>
          <w:tcPr>
            <w:tcW w:w="304"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项目名称</w:t>
            </w:r>
          </w:p>
        </w:tc>
        <w:tc>
          <w:tcPr>
            <w:tcW w:w="983" w:type="pct"/>
            <w:gridSpan w:val="2"/>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棚户区改造前期费用</w:t>
            </w:r>
          </w:p>
        </w:tc>
        <w:tc>
          <w:tcPr>
            <w:tcW w:w="861"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项目级次</w:t>
            </w:r>
          </w:p>
        </w:tc>
        <w:tc>
          <w:tcPr>
            <w:tcW w:w="30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本级</w:t>
            </w:r>
          </w:p>
        </w:tc>
        <w:tc>
          <w:tcPr>
            <w:tcW w:w="454" w:type="pct"/>
            <w:gridSpan w:val="2"/>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实施主管单位</w:t>
            </w:r>
          </w:p>
        </w:tc>
        <w:tc>
          <w:tcPr>
            <w:tcW w:w="849" w:type="pct"/>
            <w:gridSpan w:val="2"/>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434006 - 青龙满族自治县城市棚户区改造建设中心</w:t>
            </w:r>
          </w:p>
        </w:tc>
        <w:tc>
          <w:tcPr>
            <w:tcW w:w="454"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金额单位</w:t>
            </w:r>
          </w:p>
        </w:tc>
        <w:tc>
          <w:tcPr>
            <w:tcW w:w="393"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restart"/>
            <w:shd w:val="clear" w:color="auto" w:fill="auto"/>
            <w:noWrap/>
            <w:tcMar>
              <w:top w:w="15" w:type="dxa"/>
              <w:left w:w="15" w:type="dxa"/>
              <w:right w:w="15" w:type="dxa"/>
            </w:tcMar>
          </w:tcPr>
          <w:p>
            <w:pPr>
              <w:widowControl/>
              <w:jc w:val="center"/>
              <w:textAlignment w:val="top"/>
              <w:rPr>
                <w:rFonts w:ascii="宋体" w:hAnsi="宋体" w:eastAsia="宋体"/>
                <w:color w:val="000000"/>
                <w:sz w:val="22"/>
                <w:szCs w:val="22"/>
              </w:rPr>
            </w:pPr>
            <w:r>
              <w:rPr>
                <w:rFonts w:hint="eastAsia" w:ascii="宋体" w:hAnsi="宋体" w:eastAsia="宋体"/>
                <w:color w:val="000000"/>
                <w:sz w:val="22"/>
                <w:szCs w:val="22"/>
              </w:rPr>
              <w:t>二、预算执行情况</w:t>
            </w:r>
          </w:p>
        </w:tc>
        <w:tc>
          <w:tcPr>
            <w:tcW w:w="659" w:type="pct"/>
            <w:gridSpan w:val="2"/>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预算安排情况(调整后)</w:t>
            </w:r>
          </w:p>
        </w:tc>
        <w:tc>
          <w:tcPr>
            <w:tcW w:w="1794" w:type="pct"/>
            <w:gridSpan w:val="3"/>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资金到位情况</w:t>
            </w:r>
          </w:p>
        </w:tc>
        <w:tc>
          <w:tcPr>
            <w:tcW w:w="1304" w:type="pct"/>
            <w:gridSpan w:val="4"/>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资金执行情况</w:t>
            </w:r>
          </w:p>
        </w:tc>
        <w:tc>
          <w:tcPr>
            <w:tcW w:w="848" w:type="pct"/>
            <w:gridSpan w:val="2"/>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noWrap/>
            <w:tcMar>
              <w:top w:w="15" w:type="dxa"/>
              <w:left w:w="15" w:type="dxa"/>
              <w:right w:w="15" w:type="dxa"/>
            </w:tcMar>
          </w:tcPr>
          <w:p>
            <w:pPr>
              <w:jc w:val="center"/>
              <w:rPr>
                <w:rFonts w:ascii="宋体" w:hAnsi="宋体" w:eastAsia="宋体"/>
                <w:color w:val="000000"/>
                <w:sz w:val="22"/>
                <w:szCs w:val="22"/>
              </w:rPr>
            </w:pPr>
          </w:p>
        </w:tc>
        <w:tc>
          <w:tcPr>
            <w:tcW w:w="304"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预算数</w:t>
            </w:r>
          </w:p>
        </w:tc>
        <w:tc>
          <w:tcPr>
            <w:tcW w:w="355"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2.9408</w:t>
            </w:r>
          </w:p>
        </w:tc>
        <w:tc>
          <w:tcPr>
            <w:tcW w:w="628"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到位数</w:t>
            </w:r>
          </w:p>
        </w:tc>
        <w:tc>
          <w:tcPr>
            <w:tcW w:w="1165"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2.9408</w:t>
            </w:r>
          </w:p>
        </w:tc>
        <w:tc>
          <w:tcPr>
            <w:tcW w:w="454" w:type="pct"/>
            <w:gridSpan w:val="2"/>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执行数</w:t>
            </w:r>
          </w:p>
        </w:tc>
        <w:tc>
          <w:tcPr>
            <w:tcW w:w="849"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2.9408</w:t>
            </w:r>
          </w:p>
        </w:tc>
        <w:tc>
          <w:tcPr>
            <w:tcW w:w="848" w:type="pct"/>
            <w:gridSpan w:val="2"/>
            <w:vMerge w:val="restar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noWrap/>
            <w:tcMar>
              <w:top w:w="15" w:type="dxa"/>
              <w:left w:w="15" w:type="dxa"/>
              <w:right w:w="15" w:type="dxa"/>
            </w:tcMar>
          </w:tcPr>
          <w:p>
            <w:pPr>
              <w:jc w:val="center"/>
              <w:rPr>
                <w:rFonts w:ascii="宋体" w:hAnsi="宋体" w:eastAsia="宋体"/>
                <w:color w:val="000000"/>
                <w:sz w:val="22"/>
                <w:szCs w:val="22"/>
              </w:rPr>
            </w:pPr>
          </w:p>
        </w:tc>
        <w:tc>
          <w:tcPr>
            <w:tcW w:w="304"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其中:财政资金</w:t>
            </w:r>
          </w:p>
        </w:tc>
        <w:tc>
          <w:tcPr>
            <w:tcW w:w="355"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2.9408</w:t>
            </w:r>
          </w:p>
        </w:tc>
        <w:tc>
          <w:tcPr>
            <w:tcW w:w="628"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其中:财政资金</w:t>
            </w:r>
          </w:p>
        </w:tc>
        <w:tc>
          <w:tcPr>
            <w:tcW w:w="1165"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2.9408</w:t>
            </w:r>
          </w:p>
        </w:tc>
        <w:tc>
          <w:tcPr>
            <w:tcW w:w="454" w:type="pct"/>
            <w:gridSpan w:val="2"/>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其中:财政资金</w:t>
            </w:r>
          </w:p>
        </w:tc>
        <w:tc>
          <w:tcPr>
            <w:tcW w:w="849"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2.9408</w:t>
            </w:r>
          </w:p>
        </w:tc>
        <w:tc>
          <w:tcPr>
            <w:tcW w:w="848" w:type="pct"/>
            <w:gridSpan w:val="2"/>
            <w:vMerge w:val="continue"/>
            <w:shd w:val="clear" w:color="auto" w:fill="auto"/>
            <w:noWrap/>
            <w:tcMar>
              <w:top w:w="15" w:type="dxa"/>
              <w:left w:w="15" w:type="dxa"/>
              <w:right w:w="15" w:type="dxa"/>
            </w:tcMar>
          </w:tcPr>
          <w:p>
            <w:pPr>
              <w:jc w:val="right"/>
              <w:rPr>
                <w:rFonts w:ascii="Calibri" w:hAnsi="Calibri" w:eastAsia="宋体"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noWrap/>
            <w:tcMar>
              <w:top w:w="15" w:type="dxa"/>
              <w:left w:w="15" w:type="dxa"/>
              <w:right w:w="15" w:type="dxa"/>
            </w:tcMar>
          </w:tcPr>
          <w:p>
            <w:pPr>
              <w:jc w:val="center"/>
              <w:rPr>
                <w:rFonts w:ascii="宋体" w:hAnsi="宋体" w:eastAsia="宋体"/>
                <w:color w:val="000000"/>
                <w:sz w:val="22"/>
                <w:szCs w:val="22"/>
              </w:rPr>
            </w:pPr>
          </w:p>
        </w:tc>
        <w:tc>
          <w:tcPr>
            <w:tcW w:w="304"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其他</w:t>
            </w:r>
          </w:p>
        </w:tc>
        <w:tc>
          <w:tcPr>
            <w:tcW w:w="355"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0</w:t>
            </w:r>
          </w:p>
        </w:tc>
        <w:tc>
          <w:tcPr>
            <w:tcW w:w="628"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其他</w:t>
            </w:r>
          </w:p>
        </w:tc>
        <w:tc>
          <w:tcPr>
            <w:tcW w:w="1165"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0</w:t>
            </w:r>
          </w:p>
        </w:tc>
        <w:tc>
          <w:tcPr>
            <w:tcW w:w="454" w:type="pct"/>
            <w:gridSpan w:val="2"/>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其他</w:t>
            </w:r>
          </w:p>
        </w:tc>
        <w:tc>
          <w:tcPr>
            <w:tcW w:w="849"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0</w:t>
            </w:r>
          </w:p>
        </w:tc>
        <w:tc>
          <w:tcPr>
            <w:tcW w:w="848" w:type="pct"/>
            <w:gridSpan w:val="2"/>
            <w:vMerge w:val="continue"/>
            <w:shd w:val="clear" w:color="auto" w:fill="auto"/>
            <w:noWrap/>
            <w:tcMar>
              <w:top w:w="15" w:type="dxa"/>
              <w:left w:w="15" w:type="dxa"/>
              <w:right w:w="15" w:type="dxa"/>
            </w:tcMar>
          </w:tcPr>
          <w:p>
            <w:pPr>
              <w:jc w:val="right"/>
              <w:rPr>
                <w:rFonts w:ascii="Calibri" w:hAnsi="Calibri" w:eastAsia="宋体"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三、目标完成情况</w:t>
            </w:r>
          </w:p>
        </w:tc>
        <w:tc>
          <w:tcPr>
            <w:tcW w:w="2149" w:type="pct"/>
            <w:gridSpan w:val="4"/>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年度预期目标</w:t>
            </w:r>
          </w:p>
        </w:tc>
        <w:tc>
          <w:tcPr>
            <w:tcW w:w="1608" w:type="pct"/>
            <w:gridSpan w:val="5"/>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具体完成情况</w:t>
            </w:r>
          </w:p>
        </w:tc>
        <w:tc>
          <w:tcPr>
            <w:tcW w:w="848" w:type="pct"/>
            <w:gridSpan w:val="2"/>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2149" w:type="pct"/>
            <w:gridSpan w:val="4"/>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通过做好棚改项目前期的调查、测算、申报及管理工作，保障项目顺利实施。</w:t>
            </w:r>
          </w:p>
        </w:tc>
        <w:tc>
          <w:tcPr>
            <w:tcW w:w="1608" w:type="pct"/>
            <w:gridSpan w:val="5"/>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已完成棚改项目前期的相关工作。</w:t>
            </w:r>
          </w:p>
        </w:tc>
        <w:tc>
          <w:tcPr>
            <w:tcW w:w="848"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2149" w:type="pct"/>
            <w:gridSpan w:val="4"/>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通过完成棚改计划项目人口、面积、改造成本的测算，确保为制定棚户区改造计划提供基础数据。</w:t>
            </w:r>
          </w:p>
        </w:tc>
        <w:tc>
          <w:tcPr>
            <w:tcW w:w="1608" w:type="pct"/>
            <w:gridSpan w:val="5"/>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已完成棚改项目前期的相关工作。</w:t>
            </w:r>
          </w:p>
        </w:tc>
        <w:tc>
          <w:tcPr>
            <w:tcW w:w="848"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restart"/>
            <w:shd w:val="clear" w:color="auto" w:fill="auto"/>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四、年度绩效        指标完成情况</w:t>
            </w:r>
          </w:p>
        </w:tc>
        <w:tc>
          <w:tcPr>
            <w:tcW w:w="304"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一级指标</w:t>
            </w:r>
          </w:p>
        </w:tc>
        <w:tc>
          <w:tcPr>
            <w:tcW w:w="355"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二级指标</w:t>
            </w:r>
          </w:p>
        </w:tc>
        <w:tc>
          <w:tcPr>
            <w:tcW w:w="628"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三级指标</w:t>
            </w:r>
          </w:p>
        </w:tc>
        <w:tc>
          <w:tcPr>
            <w:tcW w:w="861"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指标说明</w:t>
            </w:r>
          </w:p>
        </w:tc>
        <w:tc>
          <w:tcPr>
            <w:tcW w:w="304"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指标分值</w:t>
            </w:r>
          </w:p>
        </w:tc>
        <w:tc>
          <w:tcPr>
            <w:tcW w:w="815" w:type="pct"/>
            <w:gridSpan w:val="3"/>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预期指标值</w:t>
            </w:r>
          </w:p>
        </w:tc>
        <w:tc>
          <w:tcPr>
            <w:tcW w:w="488"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单项指标实际完成值</w:t>
            </w:r>
          </w:p>
        </w:tc>
        <w:tc>
          <w:tcPr>
            <w:tcW w:w="454"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单项指标完成情况</w:t>
            </w:r>
          </w:p>
        </w:tc>
        <w:tc>
          <w:tcPr>
            <w:tcW w:w="393"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355"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628"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861"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304"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255"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符号</w:t>
            </w:r>
          </w:p>
        </w:tc>
        <w:tc>
          <w:tcPr>
            <w:tcW w:w="199"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值</w:t>
            </w:r>
          </w:p>
        </w:tc>
        <w:tc>
          <w:tcPr>
            <w:tcW w:w="360"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单位(文字描述)</w:t>
            </w:r>
          </w:p>
        </w:tc>
        <w:tc>
          <w:tcPr>
            <w:tcW w:w="488"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454"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393"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vMerge w:val="restart"/>
            <w:shd w:val="clear" w:color="auto" w:fill="auto"/>
            <w:noWrap/>
            <w:tcMar>
              <w:top w:w="15" w:type="dxa"/>
              <w:left w:w="15" w:type="dxa"/>
              <w:right w:w="15" w:type="dxa"/>
            </w:tcMar>
          </w:tcPr>
          <w:p>
            <w:pPr>
              <w:widowControl/>
              <w:jc w:val="center"/>
              <w:textAlignment w:val="top"/>
              <w:rPr>
                <w:rFonts w:ascii="Arial" w:hAnsi="Arial" w:eastAsia="宋体" w:cs="Arial"/>
                <w:b/>
                <w:color w:val="000000"/>
                <w:sz w:val="22"/>
                <w:szCs w:val="22"/>
              </w:rPr>
            </w:pPr>
            <w:r>
              <w:rPr>
                <w:rFonts w:ascii="Arial" w:hAnsi="Arial" w:eastAsia="宋体" w:cs="Arial"/>
                <w:b/>
                <w:color w:val="000000"/>
                <w:sz w:val="22"/>
                <w:szCs w:val="22"/>
              </w:rPr>
              <w:t>产出指标</w:t>
            </w: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数量指标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棚改前期调查数量</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需要改造的棚户区前期调查测算的数量</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2</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个</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2个</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数量指标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棚改前期调查次数</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需要改造的棚户区前期调查的次数</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2</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次</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3次</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数量指标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棚户区改造会</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反映参加棚户区改造的会议次数</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2</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次</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3次</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数量指标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参加招商引资</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反映参加棚改项目招商引资的次数</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2</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次</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3次</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数量指标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棚改项目规划制定的数量</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反映棚改项目规划制定的数量</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个</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1个</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质量指标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棚改项目规划制定完成率</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反映棚改项目规划制定完成率</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100</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质量指标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调查完成率</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调查数量占总调查数量的比率</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100</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时效指标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前期调查完成时间</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棚户区项目前期调查完成时间</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10</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月底</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已完成</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成本指标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支出控制数</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总体支出控制在预算额度内</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10</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hint="eastAsia" w:ascii="Calibri" w:hAnsi="Calibri" w:eastAsia="宋体" w:cs="Calibri"/>
                <w:color w:val="000000"/>
                <w:sz w:val="22"/>
                <w:szCs w:val="22"/>
              </w:rPr>
              <w:t>2.94</w:t>
            </w:r>
            <w:r>
              <w:rPr>
                <w:rFonts w:ascii="Calibri" w:hAnsi="Calibri" w:eastAsia="宋体" w:cs="Calibri"/>
                <w:color w:val="000000"/>
                <w:sz w:val="22"/>
                <w:szCs w:val="22"/>
              </w:rPr>
              <w:t>0</w:t>
            </w:r>
            <w:r>
              <w:rPr>
                <w:rFonts w:hint="eastAsia" w:ascii="Calibri" w:hAnsi="Calibri" w:eastAsia="宋体" w:cs="Calibri"/>
                <w:color w:val="000000"/>
                <w:sz w:val="22"/>
                <w:szCs w:val="22"/>
              </w:rPr>
              <w:t>8</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万元</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已完成</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shd w:val="clear" w:color="auto" w:fill="auto"/>
            <w:noWrap/>
            <w:tcMar>
              <w:top w:w="15" w:type="dxa"/>
              <w:left w:w="15" w:type="dxa"/>
              <w:right w:w="15" w:type="dxa"/>
            </w:tcMar>
          </w:tcPr>
          <w:p>
            <w:pPr>
              <w:widowControl/>
              <w:jc w:val="center"/>
              <w:textAlignment w:val="top"/>
              <w:rPr>
                <w:rFonts w:ascii="Arial" w:hAnsi="Arial" w:eastAsia="宋体" w:cs="Arial"/>
                <w:b/>
                <w:color w:val="000000"/>
                <w:sz w:val="22"/>
                <w:szCs w:val="22"/>
              </w:rPr>
            </w:pPr>
            <w:r>
              <w:rPr>
                <w:rFonts w:ascii="Arial" w:hAnsi="Arial" w:eastAsia="宋体" w:cs="Arial"/>
                <w:b/>
                <w:color w:val="000000"/>
                <w:sz w:val="22"/>
                <w:szCs w:val="22"/>
              </w:rPr>
              <w:t>效益指标</w:t>
            </w: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社会效益指标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为制定棚户区改造计划提供基础数据</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掌握棚改计划项目人口、面积，完成改造成本测算</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30</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100</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w:t>
            </w:r>
            <w:r>
              <w:rPr>
                <w:rFonts w:hint="eastAsia" w:ascii="Calibri" w:hAnsi="Calibri" w:eastAsia="宋体" w:cs="Calibri"/>
                <w:color w:val="000000"/>
                <w:sz w:val="22"/>
                <w:szCs w:val="22"/>
              </w:rPr>
              <w:t>00%</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shd w:val="clear" w:color="auto" w:fill="auto"/>
            <w:noWrap/>
            <w:tcMar>
              <w:top w:w="15" w:type="dxa"/>
              <w:left w:w="15" w:type="dxa"/>
              <w:right w:w="15" w:type="dxa"/>
            </w:tcMar>
          </w:tcPr>
          <w:p>
            <w:pPr>
              <w:widowControl/>
              <w:jc w:val="center"/>
              <w:textAlignment w:val="top"/>
              <w:rPr>
                <w:rFonts w:ascii="Arial" w:hAnsi="Arial" w:eastAsia="宋体" w:cs="Arial"/>
                <w:b/>
                <w:color w:val="000000"/>
                <w:sz w:val="22"/>
                <w:szCs w:val="22"/>
              </w:rPr>
            </w:pPr>
            <w:r>
              <w:rPr>
                <w:rFonts w:ascii="Arial" w:hAnsi="Arial" w:eastAsia="宋体" w:cs="Arial"/>
                <w:b/>
                <w:color w:val="000000"/>
                <w:sz w:val="22"/>
                <w:szCs w:val="22"/>
              </w:rPr>
              <w:t>满意度指标</w:t>
            </w: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服务对象满意度指标</w:t>
            </w:r>
          </w:p>
        </w:tc>
        <w:tc>
          <w:tcPr>
            <w:tcW w:w="62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工作人员满意度</w:t>
            </w:r>
          </w:p>
        </w:tc>
        <w:tc>
          <w:tcPr>
            <w:tcW w:w="86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工作人员对棚改工作条件的满意度</w:t>
            </w: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10.00</w:t>
            </w:r>
          </w:p>
        </w:tc>
        <w:tc>
          <w:tcPr>
            <w:tcW w:w="2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99"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95</w:t>
            </w:r>
          </w:p>
        </w:tc>
        <w:tc>
          <w:tcPr>
            <w:tcW w:w="360"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48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hint="eastAsia" w:ascii="Calibri" w:hAnsi="Calibri" w:eastAsia="宋体" w:cs="Calibri"/>
                <w:color w:val="000000"/>
                <w:sz w:val="22"/>
                <w:szCs w:val="22"/>
              </w:rPr>
              <w:t>97%</w:t>
            </w:r>
          </w:p>
        </w:tc>
        <w:tc>
          <w:tcPr>
            <w:tcW w:w="45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shd w:val="clear" w:color="auto" w:fill="auto"/>
            <w:noWrap/>
            <w:tcMar>
              <w:top w:w="15" w:type="dxa"/>
              <w:left w:w="15" w:type="dxa"/>
              <w:right w:w="15" w:type="dxa"/>
            </w:tcMar>
          </w:tcPr>
          <w:p>
            <w:pPr>
              <w:widowControl/>
              <w:jc w:val="center"/>
              <w:textAlignment w:val="top"/>
              <w:rPr>
                <w:rFonts w:ascii="Arial" w:hAnsi="Arial" w:eastAsia="宋体" w:cs="Arial"/>
                <w:b/>
                <w:color w:val="000000"/>
                <w:sz w:val="22"/>
                <w:szCs w:val="22"/>
              </w:rPr>
            </w:pPr>
            <w:r>
              <w:rPr>
                <w:rFonts w:ascii="Arial" w:hAnsi="Arial" w:eastAsia="宋体" w:cs="Arial"/>
                <w:b/>
                <w:color w:val="000000"/>
                <w:sz w:val="22"/>
                <w:szCs w:val="22"/>
              </w:rPr>
              <w:t>预算执行率</w:t>
            </w:r>
          </w:p>
        </w:tc>
        <w:tc>
          <w:tcPr>
            <w:tcW w:w="355"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预算执行率</w:t>
            </w:r>
          </w:p>
        </w:tc>
        <w:tc>
          <w:tcPr>
            <w:tcW w:w="628"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861"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30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10</w:t>
            </w:r>
          </w:p>
        </w:tc>
        <w:tc>
          <w:tcPr>
            <w:tcW w:w="255"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199"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360"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488"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454"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393"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304" w:type="pct"/>
            <w:shd w:val="clear" w:color="auto" w:fill="auto"/>
            <w:noWrap/>
            <w:tcMar>
              <w:top w:w="15" w:type="dxa"/>
              <w:left w:w="15" w:type="dxa"/>
              <w:right w:w="15" w:type="dxa"/>
            </w:tcMar>
          </w:tcPr>
          <w:p>
            <w:pPr>
              <w:widowControl/>
              <w:jc w:val="center"/>
              <w:textAlignment w:val="top"/>
              <w:rPr>
                <w:rFonts w:ascii="Arial" w:hAnsi="Arial" w:eastAsia="宋体" w:cs="Arial"/>
                <w:b/>
                <w:color w:val="000000"/>
                <w:sz w:val="22"/>
                <w:szCs w:val="22"/>
              </w:rPr>
            </w:pPr>
            <w:r>
              <w:rPr>
                <w:rFonts w:ascii="Arial" w:hAnsi="Arial" w:eastAsia="宋体" w:cs="Arial"/>
                <w:b/>
                <w:color w:val="000000"/>
                <w:sz w:val="22"/>
                <w:szCs w:val="22"/>
              </w:rPr>
              <w:t>自评总分</w:t>
            </w:r>
          </w:p>
        </w:tc>
        <w:tc>
          <w:tcPr>
            <w:tcW w:w="4302" w:type="pct"/>
            <w:gridSpan w:val="10"/>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393" w:type="pct"/>
            <w:vMerge w:val="restart"/>
            <w:shd w:val="clear" w:color="auto" w:fill="auto"/>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五、存在问题         原因及整改措施</w:t>
            </w:r>
          </w:p>
        </w:tc>
        <w:tc>
          <w:tcPr>
            <w:tcW w:w="4606" w:type="pct"/>
            <w:gridSpan w:val="11"/>
            <w:vMerge w:val="restar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393"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4606" w:type="pct"/>
            <w:gridSpan w:val="11"/>
            <w:vMerge w:val="continue"/>
            <w:shd w:val="clear" w:color="auto" w:fill="auto"/>
            <w:noWrap/>
            <w:tcMar>
              <w:top w:w="15" w:type="dxa"/>
              <w:left w:w="15" w:type="dxa"/>
              <w:right w:w="15" w:type="dxa"/>
            </w:tcMar>
          </w:tcPr>
          <w:p>
            <w:pPr>
              <w:jc w:val="left"/>
              <w:rPr>
                <w:rFonts w:ascii="Calibri" w:hAnsi="Calibri" w:eastAsia="宋体" w:cs="Calibri"/>
                <w:color w:val="000000"/>
                <w:sz w:val="22"/>
                <w:szCs w:val="22"/>
              </w:rPr>
            </w:pPr>
          </w:p>
        </w:tc>
      </w:tr>
    </w:tbl>
    <w:p>
      <w:pPr>
        <w:widowControl/>
        <w:spacing w:line="360" w:lineRule="auto"/>
        <w:ind w:firstLine="640" w:firstLineChars="200"/>
        <w:jc w:val="left"/>
        <w:rPr>
          <w:rFonts w:ascii="Times New Roman" w:eastAsia="仿宋_GB2312"/>
          <w:sz w:val="32"/>
          <w:szCs w:val="32"/>
        </w:rPr>
      </w:pPr>
    </w:p>
    <w:p>
      <w:pPr>
        <w:widowControl/>
        <w:spacing w:line="360" w:lineRule="auto"/>
        <w:ind w:firstLine="640" w:firstLineChars="200"/>
        <w:jc w:val="left"/>
        <w:rPr>
          <w:rFonts w:ascii="仿宋" w:hAnsi="仿宋" w:eastAsia="仿宋" w:cs="仿宋_GB2312"/>
          <w:sz w:val="32"/>
          <w:szCs w:val="32"/>
        </w:rPr>
      </w:pPr>
      <w:r>
        <w:rPr>
          <w:rFonts w:hint="eastAsia" w:ascii="Times New Roman" w:eastAsia="仿宋_GB2312"/>
          <w:sz w:val="32"/>
          <w:szCs w:val="32"/>
        </w:rPr>
        <w:t>（2）</w:t>
      </w:r>
      <w:r>
        <w:rPr>
          <w:rFonts w:hint="eastAsia" w:ascii="仿宋" w:hAnsi="仿宋" w:eastAsia="仿宋" w:cs="仿宋_GB2312"/>
          <w:sz w:val="32"/>
          <w:szCs w:val="32"/>
        </w:rPr>
        <w:t>商贸中心北侧六个棚厅租金项目自评综述：根据年初设定的绩效目标，商贸中心北侧六个棚厅租金项目绩效自评得分为97分（绩效自评表附后）。全年预算数为48万元，执行数为48万元，完成预算的100%。项目绩效目标完成情况：</w:t>
      </w:r>
      <w:r>
        <w:rPr>
          <w:rFonts w:hint="eastAsia" w:ascii="仿宋_GB2312" w:hAnsi="仿宋_GB2312" w:eastAsia="仿宋" w:cs="仿宋_GB2312"/>
          <w:sz w:val="32"/>
          <w:szCs w:val="32"/>
        </w:rPr>
        <w:t>通过项目实施，顺利完成</w:t>
      </w:r>
      <w:r>
        <w:rPr>
          <w:rFonts w:hint="eastAsia" w:ascii="仿宋" w:hAnsi="仿宋" w:eastAsia="仿宋" w:cs="仿宋_GB2312"/>
          <w:sz w:val="32"/>
          <w:szCs w:val="32"/>
        </w:rPr>
        <w:t>商贸中心北侧六个棚厅租金支付</w:t>
      </w:r>
      <w:r>
        <w:rPr>
          <w:rFonts w:hint="eastAsia" w:ascii="仿宋_GB2312" w:hAnsi="仿宋_GB2312" w:eastAsia="仿宋" w:cs="仿宋_GB2312"/>
          <w:sz w:val="32"/>
          <w:szCs w:val="32"/>
        </w:rPr>
        <w:t>等工作。</w:t>
      </w:r>
      <w:r>
        <w:rPr>
          <w:rFonts w:hint="eastAsia" w:ascii="仿宋" w:hAnsi="仿宋" w:eastAsia="仿宋" w:cs="仿宋_GB2312"/>
          <w:sz w:val="32"/>
          <w:szCs w:val="32"/>
        </w:rPr>
        <w:t>未发现问题。</w:t>
      </w:r>
    </w:p>
    <w:p>
      <w:pPr>
        <w:adjustRightInd w:val="0"/>
        <w:snapToGrid w:val="0"/>
        <w:spacing w:line="580" w:lineRule="exact"/>
        <w:jc w:val="center"/>
        <w:rPr>
          <w:rFonts w:ascii="仿宋" w:hAnsi="仿宋" w:eastAsia="仿宋" w:cs="仿宋_GB2312"/>
          <w:sz w:val="32"/>
          <w:szCs w:val="32"/>
        </w:rPr>
      </w:pPr>
      <w:r>
        <w:rPr>
          <w:rFonts w:hint="eastAsia" w:ascii="方正小标宋_GBK" w:hAnsi="宋体" w:eastAsia="方正小标宋_GBK"/>
          <w:color w:val="000000"/>
          <w:sz w:val="40"/>
          <w:szCs w:val="40"/>
        </w:rPr>
        <w:t>预算项目绩效自评表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6"/>
        <w:gridCol w:w="552"/>
        <w:gridCol w:w="769"/>
        <w:gridCol w:w="687"/>
        <w:gridCol w:w="2574"/>
        <w:gridCol w:w="358"/>
        <w:gridCol w:w="398"/>
        <w:gridCol w:w="172"/>
        <w:gridCol w:w="791"/>
        <w:gridCol w:w="1070"/>
        <w:gridCol w:w="687"/>
        <w:gridCol w:w="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一、基本情况</w:t>
            </w:r>
          </w:p>
        </w:tc>
        <w:tc>
          <w:tcPr>
            <w:tcW w:w="296"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项目名称</w:t>
            </w:r>
          </w:p>
        </w:tc>
        <w:tc>
          <w:tcPr>
            <w:tcW w:w="740" w:type="pct"/>
            <w:gridSpan w:val="2"/>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商贸中心北侧六个棚厅租金</w:t>
            </w:r>
          </w:p>
        </w:tc>
        <w:tc>
          <w:tcPr>
            <w:tcW w:w="1182"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项目级次</w:t>
            </w:r>
          </w:p>
        </w:tc>
        <w:tc>
          <w:tcPr>
            <w:tcW w:w="296"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本级</w:t>
            </w:r>
          </w:p>
        </w:tc>
        <w:tc>
          <w:tcPr>
            <w:tcW w:w="444" w:type="pct"/>
            <w:gridSpan w:val="2"/>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实施主管单位</w:t>
            </w:r>
          </w:p>
        </w:tc>
        <w:tc>
          <w:tcPr>
            <w:tcW w:w="828" w:type="pct"/>
            <w:gridSpan w:val="2"/>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434006 - 青龙满族自治县城市棚户区改造建设中心</w:t>
            </w:r>
          </w:p>
        </w:tc>
        <w:tc>
          <w:tcPr>
            <w:tcW w:w="444"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金额单位</w:t>
            </w:r>
          </w:p>
        </w:tc>
        <w:tc>
          <w:tcPr>
            <w:tcW w:w="384"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二、预算执行情况</w:t>
            </w:r>
          </w:p>
        </w:tc>
        <w:tc>
          <w:tcPr>
            <w:tcW w:w="688" w:type="pct"/>
            <w:gridSpan w:val="2"/>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预算安排情况(调整后)</w:t>
            </w:r>
          </w:p>
        </w:tc>
        <w:tc>
          <w:tcPr>
            <w:tcW w:w="1827" w:type="pct"/>
            <w:gridSpan w:val="3"/>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资金到位情况</w:t>
            </w:r>
          </w:p>
        </w:tc>
        <w:tc>
          <w:tcPr>
            <w:tcW w:w="1272" w:type="pct"/>
            <w:gridSpan w:val="4"/>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资金执行情况</w:t>
            </w:r>
          </w:p>
        </w:tc>
        <w:tc>
          <w:tcPr>
            <w:tcW w:w="828" w:type="pct"/>
            <w:gridSpan w:val="2"/>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预算执行进度(%)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296"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预算数</w:t>
            </w:r>
          </w:p>
        </w:tc>
        <w:tc>
          <w:tcPr>
            <w:tcW w:w="391"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48.000000</w:t>
            </w:r>
          </w:p>
        </w:tc>
        <w:tc>
          <w:tcPr>
            <w:tcW w:w="348"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到位数</w:t>
            </w:r>
          </w:p>
        </w:tc>
        <w:tc>
          <w:tcPr>
            <w:tcW w:w="1478"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48.000000</w:t>
            </w:r>
          </w:p>
        </w:tc>
        <w:tc>
          <w:tcPr>
            <w:tcW w:w="444" w:type="pct"/>
            <w:gridSpan w:val="2"/>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执行数</w:t>
            </w:r>
          </w:p>
        </w:tc>
        <w:tc>
          <w:tcPr>
            <w:tcW w:w="828"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48.000000</w:t>
            </w:r>
          </w:p>
        </w:tc>
        <w:tc>
          <w:tcPr>
            <w:tcW w:w="828" w:type="pct"/>
            <w:gridSpan w:val="2"/>
            <w:vMerge w:val="restar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296"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其中:财政资金</w:t>
            </w:r>
          </w:p>
        </w:tc>
        <w:tc>
          <w:tcPr>
            <w:tcW w:w="391"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48.000000</w:t>
            </w:r>
          </w:p>
        </w:tc>
        <w:tc>
          <w:tcPr>
            <w:tcW w:w="348"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其中:财政资金</w:t>
            </w:r>
          </w:p>
        </w:tc>
        <w:tc>
          <w:tcPr>
            <w:tcW w:w="1478"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48.000000</w:t>
            </w:r>
          </w:p>
        </w:tc>
        <w:tc>
          <w:tcPr>
            <w:tcW w:w="444" w:type="pct"/>
            <w:gridSpan w:val="2"/>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其中:财政资金</w:t>
            </w:r>
          </w:p>
        </w:tc>
        <w:tc>
          <w:tcPr>
            <w:tcW w:w="828"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48.000000</w:t>
            </w:r>
          </w:p>
        </w:tc>
        <w:tc>
          <w:tcPr>
            <w:tcW w:w="828" w:type="pct"/>
            <w:gridSpan w:val="2"/>
            <w:vMerge w:val="continue"/>
            <w:shd w:val="clear" w:color="auto" w:fill="auto"/>
            <w:noWrap/>
            <w:tcMar>
              <w:top w:w="15" w:type="dxa"/>
              <w:left w:w="15" w:type="dxa"/>
              <w:right w:w="15" w:type="dxa"/>
            </w:tcMar>
          </w:tcPr>
          <w:p>
            <w:pPr>
              <w:jc w:val="right"/>
              <w:rPr>
                <w:rFonts w:ascii="Calibri" w:hAnsi="Calibri" w:eastAsia="宋体"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296"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其他</w:t>
            </w:r>
          </w:p>
        </w:tc>
        <w:tc>
          <w:tcPr>
            <w:tcW w:w="391"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0</w:t>
            </w:r>
          </w:p>
        </w:tc>
        <w:tc>
          <w:tcPr>
            <w:tcW w:w="348" w:type="pct"/>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其他</w:t>
            </w:r>
          </w:p>
        </w:tc>
        <w:tc>
          <w:tcPr>
            <w:tcW w:w="1478"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0</w:t>
            </w:r>
          </w:p>
        </w:tc>
        <w:tc>
          <w:tcPr>
            <w:tcW w:w="444" w:type="pct"/>
            <w:gridSpan w:val="2"/>
            <w:shd w:val="clear" w:color="auto" w:fill="auto"/>
            <w:noWrap/>
            <w:tcMar>
              <w:top w:w="15" w:type="dxa"/>
              <w:left w:w="15" w:type="dxa"/>
              <w:right w:w="15" w:type="dxa"/>
            </w:tcMar>
          </w:tcPr>
          <w:p>
            <w:pPr>
              <w:widowControl/>
              <w:jc w:val="left"/>
              <w:textAlignment w:val="top"/>
              <w:rPr>
                <w:rFonts w:ascii="Arial" w:hAnsi="Arial" w:eastAsia="宋体" w:cs="Arial"/>
                <w:b/>
                <w:color w:val="000000"/>
                <w:sz w:val="22"/>
                <w:szCs w:val="22"/>
              </w:rPr>
            </w:pPr>
            <w:r>
              <w:rPr>
                <w:rFonts w:ascii="Arial" w:hAnsi="Arial" w:eastAsia="宋体" w:cs="Arial"/>
                <w:b/>
                <w:color w:val="000000"/>
                <w:sz w:val="22"/>
                <w:szCs w:val="22"/>
              </w:rPr>
              <w:t>其他</w:t>
            </w:r>
          </w:p>
        </w:tc>
        <w:tc>
          <w:tcPr>
            <w:tcW w:w="828"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0</w:t>
            </w:r>
          </w:p>
        </w:tc>
        <w:tc>
          <w:tcPr>
            <w:tcW w:w="828" w:type="pct"/>
            <w:gridSpan w:val="2"/>
            <w:vMerge w:val="continue"/>
            <w:shd w:val="clear" w:color="auto" w:fill="auto"/>
            <w:noWrap/>
            <w:tcMar>
              <w:top w:w="15" w:type="dxa"/>
              <w:left w:w="15" w:type="dxa"/>
              <w:right w:w="15" w:type="dxa"/>
            </w:tcMar>
          </w:tcPr>
          <w:p>
            <w:pPr>
              <w:jc w:val="right"/>
              <w:rPr>
                <w:rFonts w:ascii="Calibri" w:hAnsi="Calibri" w:eastAsia="宋体"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三、目标完成情况</w:t>
            </w:r>
          </w:p>
        </w:tc>
        <w:tc>
          <w:tcPr>
            <w:tcW w:w="2219" w:type="pct"/>
            <w:gridSpan w:val="4"/>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年度预期目标</w:t>
            </w:r>
          </w:p>
        </w:tc>
        <w:tc>
          <w:tcPr>
            <w:tcW w:w="1568" w:type="pct"/>
            <w:gridSpan w:val="5"/>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具体完成情况</w:t>
            </w:r>
          </w:p>
        </w:tc>
        <w:tc>
          <w:tcPr>
            <w:tcW w:w="828" w:type="pct"/>
            <w:gridSpan w:val="2"/>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总体完成率(%)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2219" w:type="pct"/>
            <w:gridSpan w:val="4"/>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通过此项目建成地上停车场及地下商铺，有利于县区经济的可持续发展。</w:t>
            </w:r>
          </w:p>
        </w:tc>
        <w:tc>
          <w:tcPr>
            <w:tcW w:w="1568" w:type="pct"/>
            <w:gridSpan w:val="5"/>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已完成项目建设，投入使用。</w:t>
            </w:r>
          </w:p>
        </w:tc>
        <w:tc>
          <w:tcPr>
            <w:tcW w:w="828"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2219" w:type="pct"/>
            <w:gridSpan w:val="4"/>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通过费用补贴资金及时拨付，提高受补贴单位满意度。</w:t>
            </w:r>
          </w:p>
        </w:tc>
        <w:tc>
          <w:tcPr>
            <w:tcW w:w="1568" w:type="pct"/>
            <w:gridSpan w:val="5"/>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补贴资金已及时发放。</w:t>
            </w:r>
          </w:p>
        </w:tc>
        <w:tc>
          <w:tcPr>
            <w:tcW w:w="828" w:type="pct"/>
            <w:gridSpan w:val="2"/>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restart"/>
            <w:shd w:val="clear" w:color="auto" w:fill="auto"/>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四、年度绩效        指标完成情况</w:t>
            </w:r>
          </w:p>
        </w:tc>
        <w:tc>
          <w:tcPr>
            <w:tcW w:w="296"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一级指标</w:t>
            </w:r>
          </w:p>
        </w:tc>
        <w:tc>
          <w:tcPr>
            <w:tcW w:w="391"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二级指标</w:t>
            </w:r>
          </w:p>
        </w:tc>
        <w:tc>
          <w:tcPr>
            <w:tcW w:w="348"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三级指标</w:t>
            </w:r>
          </w:p>
        </w:tc>
        <w:tc>
          <w:tcPr>
            <w:tcW w:w="1182"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指标说明</w:t>
            </w:r>
          </w:p>
        </w:tc>
        <w:tc>
          <w:tcPr>
            <w:tcW w:w="296"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指标分值</w:t>
            </w:r>
          </w:p>
        </w:tc>
        <w:tc>
          <w:tcPr>
            <w:tcW w:w="795" w:type="pct"/>
            <w:gridSpan w:val="3"/>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预期指标值</w:t>
            </w:r>
          </w:p>
        </w:tc>
        <w:tc>
          <w:tcPr>
            <w:tcW w:w="476"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单项指标实际完成值</w:t>
            </w:r>
          </w:p>
        </w:tc>
        <w:tc>
          <w:tcPr>
            <w:tcW w:w="444"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单项指标完成情况</w:t>
            </w:r>
          </w:p>
        </w:tc>
        <w:tc>
          <w:tcPr>
            <w:tcW w:w="384" w:type="pct"/>
            <w:vMerge w:val="restar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391"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348"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1182"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296"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316"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符号</w:t>
            </w:r>
          </w:p>
        </w:tc>
        <w:tc>
          <w:tcPr>
            <w:tcW w:w="127"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值</w:t>
            </w:r>
          </w:p>
        </w:tc>
        <w:tc>
          <w:tcPr>
            <w:tcW w:w="351"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单位(文字描述)</w:t>
            </w:r>
          </w:p>
        </w:tc>
        <w:tc>
          <w:tcPr>
            <w:tcW w:w="476"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444"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c>
          <w:tcPr>
            <w:tcW w:w="384" w:type="pct"/>
            <w:vMerge w:val="continue"/>
            <w:shd w:val="clear" w:color="auto" w:fill="auto"/>
            <w:noWrap/>
            <w:tcMar>
              <w:top w:w="15" w:type="dxa"/>
              <w:left w:w="15" w:type="dxa"/>
              <w:right w:w="15" w:type="dxa"/>
            </w:tcMar>
          </w:tcPr>
          <w:p>
            <w:pPr>
              <w:jc w:val="center"/>
              <w:rPr>
                <w:rFonts w:ascii="Calibri" w:hAnsi="Calibri" w:eastAsia="宋体"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vMerge w:val="restart"/>
            <w:shd w:val="clear" w:color="auto" w:fill="auto"/>
            <w:noWrap/>
            <w:tcMar>
              <w:top w:w="15" w:type="dxa"/>
              <w:left w:w="15" w:type="dxa"/>
              <w:right w:w="15" w:type="dxa"/>
            </w:tcMar>
          </w:tcPr>
          <w:p>
            <w:pPr>
              <w:widowControl/>
              <w:jc w:val="center"/>
              <w:textAlignment w:val="top"/>
              <w:rPr>
                <w:rFonts w:ascii="Arial" w:hAnsi="Arial" w:eastAsia="宋体" w:cs="Arial"/>
                <w:b/>
                <w:color w:val="000000"/>
                <w:sz w:val="22"/>
                <w:szCs w:val="22"/>
              </w:rPr>
            </w:pPr>
            <w:r>
              <w:rPr>
                <w:rFonts w:ascii="Arial" w:hAnsi="Arial" w:eastAsia="宋体" w:cs="Arial"/>
                <w:b/>
                <w:color w:val="000000"/>
                <w:sz w:val="22"/>
                <w:szCs w:val="22"/>
              </w:rPr>
              <w:t>产出指标</w:t>
            </w:r>
          </w:p>
        </w:tc>
        <w:tc>
          <w:tcPr>
            <w:tcW w:w="39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数量指标</w:t>
            </w:r>
          </w:p>
        </w:tc>
        <w:tc>
          <w:tcPr>
            <w:tcW w:w="34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补偿款支付次数</w:t>
            </w:r>
          </w:p>
        </w:tc>
        <w:tc>
          <w:tcPr>
            <w:tcW w:w="1182"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损失补偿款支付次数</w:t>
            </w:r>
          </w:p>
        </w:tc>
        <w:tc>
          <w:tcPr>
            <w:tcW w:w="296"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c>
          <w:tcPr>
            <w:tcW w:w="31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27"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w:t>
            </w:r>
          </w:p>
        </w:tc>
        <w:tc>
          <w:tcPr>
            <w:tcW w:w="35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次/年</w:t>
            </w:r>
          </w:p>
        </w:tc>
        <w:tc>
          <w:tcPr>
            <w:tcW w:w="47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1次</w:t>
            </w:r>
          </w:p>
        </w:tc>
        <w:tc>
          <w:tcPr>
            <w:tcW w:w="44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8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9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数量指标</w:t>
            </w:r>
          </w:p>
        </w:tc>
        <w:tc>
          <w:tcPr>
            <w:tcW w:w="34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补偿棚厅的个数</w:t>
            </w:r>
          </w:p>
        </w:tc>
        <w:tc>
          <w:tcPr>
            <w:tcW w:w="1182"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补偿大杖子村棚厅的个数</w:t>
            </w:r>
          </w:p>
        </w:tc>
        <w:tc>
          <w:tcPr>
            <w:tcW w:w="296"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c>
          <w:tcPr>
            <w:tcW w:w="31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27"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6</w:t>
            </w:r>
          </w:p>
        </w:tc>
        <w:tc>
          <w:tcPr>
            <w:tcW w:w="35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个</w:t>
            </w:r>
          </w:p>
        </w:tc>
        <w:tc>
          <w:tcPr>
            <w:tcW w:w="47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6个</w:t>
            </w:r>
          </w:p>
        </w:tc>
        <w:tc>
          <w:tcPr>
            <w:tcW w:w="44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8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9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质量指标</w:t>
            </w:r>
          </w:p>
        </w:tc>
        <w:tc>
          <w:tcPr>
            <w:tcW w:w="34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补偿款到位率</w:t>
            </w:r>
          </w:p>
        </w:tc>
        <w:tc>
          <w:tcPr>
            <w:tcW w:w="1182"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财政及时拨付拆迁补偿款的数量占应补偿数比率</w:t>
            </w:r>
          </w:p>
        </w:tc>
        <w:tc>
          <w:tcPr>
            <w:tcW w:w="296"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c>
          <w:tcPr>
            <w:tcW w:w="31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27"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100</w:t>
            </w:r>
          </w:p>
        </w:tc>
        <w:tc>
          <w:tcPr>
            <w:tcW w:w="35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47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w:t>
            </w:r>
          </w:p>
        </w:tc>
        <w:tc>
          <w:tcPr>
            <w:tcW w:w="44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8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9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质量指标</w:t>
            </w:r>
          </w:p>
        </w:tc>
        <w:tc>
          <w:tcPr>
            <w:tcW w:w="34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补偿款发放率</w:t>
            </w:r>
          </w:p>
        </w:tc>
        <w:tc>
          <w:tcPr>
            <w:tcW w:w="1182"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补偿款到位后及时发放额度占总补偿款的比率</w:t>
            </w:r>
          </w:p>
        </w:tc>
        <w:tc>
          <w:tcPr>
            <w:tcW w:w="296"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c>
          <w:tcPr>
            <w:tcW w:w="31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27"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100</w:t>
            </w:r>
          </w:p>
        </w:tc>
        <w:tc>
          <w:tcPr>
            <w:tcW w:w="35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47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1</w:t>
            </w:r>
          </w:p>
        </w:tc>
        <w:tc>
          <w:tcPr>
            <w:tcW w:w="44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8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9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时效指标</w:t>
            </w:r>
          </w:p>
        </w:tc>
        <w:tc>
          <w:tcPr>
            <w:tcW w:w="34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补偿款发放时间</w:t>
            </w:r>
          </w:p>
        </w:tc>
        <w:tc>
          <w:tcPr>
            <w:tcW w:w="1182"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补偿款到位时间，并于收到补偿款时开具村的收款收据</w:t>
            </w:r>
          </w:p>
        </w:tc>
        <w:tc>
          <w:tcPr>
            <w:tcW w:w="296"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c>
          <w:tcPr>
            <w:tcW w:w="31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27"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3</w:t>
            </w:r>
          </w:p>
        </w:tc>
        <w:tc>
          <w:tcPr>
            <w:tcW w:w="35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月底前</w:t>
            </w:r>
          </w:p>
        </w:tc>
        <w:tc>
          <w:tcPr>
            <w:tcW w:w="47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3月底</w:t>
            </w:r>
          </w:p>
        </w:tc>
        <w:tc>
          <w:tcPr>
            <w:tcW w:w="44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8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9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成本指标</w:t>
            </w:r>
          </w:p>
        </w:tc>
        <w:tc>
          <w:tcPr>
            <w:tcW w:w="34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单位成本</w:t>
            </w:r>
          </w:p>
        </w:tc>
        <w:tc>
          <w:tcPr>
            <w:tcW w:w="1182"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支付补偿款金额</w:t>
            </w:r>
          </w:p>
        </w:tc>
        <w:tc>
          <w:tcPr>
            <w:tcW w:w="296"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10</w:t>
            </w:r>
          </w:p>
        </w:tc>
        <w:tc>
          <w:tcPr>
            <w:tcW w:w="31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127"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48</w:t>
            </w:r>
          </w:p>
        </w:tc>
        <w:tc>
          <w:tcPr>
            <w:tcW w:w="35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万元</w:t>
            </w:r>
          </w:p>
        </w:tc>
        <w:tc>
          <w:tcPr>
            <w:tcW w:w="47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48万元</w:t>
            </w:r>
          </w:p>
        </w:tc>
        <w:tc>
          <w:tcPr>
            <w:tcW w:w="44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8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vMerge w:val="restart"/>
            <w:shd w:val="clear" w:color="auto" w:fill="auto"/>
            <w:noWrap/>
            <w:tcMar>
              <w:top w:w="15" w:type="dxa"/>
              <w:left w:w="15" w:type="dxa"/>
              <w:right w:w="15" w:type="dxa"/>
            </w:tcMar>
          </w:tcPr>
          <w:p>
            <w:pPr>
              <w:widowControl/>
              <w:jc w:val="center"/>
              <w:textAlignment w:val="top"/>
              <w:rPr>
                <w:rFonts w:ascii="Arial" w:hAnsi="Arial" w:eastAsia="宋体" w:cs="Arial"/>
                <w:b/>
                <w:color w:val="000000"/>
                <w:sz w:val="22"/>
                <w:szCs w:val="22"/>
              </w:rPr>
            </w:pPr>
            <w:r>
              <w:rPr>
                <w:rFonts w:ascii="Arial" w:hAnsi="Arial" w:eastAsia="宋体" w:cs="Arial"/>
                <w:b/>
                <w:color w:val="000000"/>
                <w:sz w:val="22"/>
                <w:szCs w:val="22"/>
              </w:rPr>
              <w:t>效益指标</w:t>
            </w:r>
          </w:p>
        </w:tc>
        <w:tc>
          <w:tcPr>
            <w:tcW w:w="39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社会效益指标</w:t>
            </w:r>
          </w:p>
        </w:tc>
        <w:tc>
          <w:tcPr>
            <w:tcW w:w="34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提高合同</w:t>
            </w:r>
            <w:r>
              <w:rPr>
                <w:rFonts w:hint="eastAsia" w:ascii="Calibri" w:hAnsi="Calibri" w:eastAsia="宋体" w:cs="Calibri"/>
                <w:color w:val="000000"/>
                <w:sz w:val="22"/>
                <w:szCs w:val="22"/>
              </w:rPr>
              <w:t>履行</w:t>
            </w:r>
            <w:r>
              <w:rPr>
                <w:rFonts w:ascii="Calibri" w:hAnsi="Calibri" w:eastAsia="宋体" w:cs="Calibri"/>
                <w:color w:val="000000"/>
                <w:sz w:val="22"/>
                <w:szCs w:val="22"/>
              </w:rPr>
              <w:t>行率</w:t>
            </w:r>
          </w:p>
        </w:tc>
        <w:tc>
          <w:tcPr>
            <w:tcW w:w="1182"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及时发放补偿款，保障承租人每年按合同要求，</w:t>
            </w:r>
            <w:r>
              <w:rPr>
                <w:rFonts w:hint="eastAsia" w:ascii="Calibri" w:hAnsi="Calibri" w:eastAsia="宋体" w:cs="Calibri"/>
                <w:color w:val="000000"/>
                <w:sz w:val="22"/>
                <w:szCs w:val="22"/>
              </w:rPr>
              <w:t>履</w:t>
            </w:r>
            <w:r>
              <w:rPr>
                <w:rFonts w:ascii="Calibri" w:hAnsi="Calibri" w:eastAsia="宋体" w:cs="Calibri"/>
                <w:color w:val="000000"/>
                <w:sz w:val="22"/>
                <w:szCs w:val="22"/>
              </w:rPr>
              <w:t>行合同义务</w:t>
            </w:r>
          </w:p>
        </w:tc>
        <w:tc>
          <w:tcPr>
            <w:tcW w:w="296"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15</w:t>
            </w:r>
          </w:p>
        </w:tc>
        <w:tc>
          <w:tcPr>
            <w:tcW w:w="31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&gt;=</w:t>
            </w:r>
          </w:p>
        </w:tc>
        <w:tc>
          <w:tcPr>
            <w:tcW w:w="127"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95</w:t>
            </w:r>
          </w:p>
        </w:tc>
        <w:tc>
          <w:tcPr>
            <w:tcW w:w="35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47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0.96</w:t>
            </w:r>
          </w:p>
        </w:tc>
        <w:tc>
          <w:tcPr>
            <w:tcW w:w="44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8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vMerge w:val="continue"/>
            <w:shd w:val="clear" w:color="auto" w:fill="auto"/>
            <w:noWrap/>
            <w:tcMar>
              <w:top w:w="15" w:type="dxa"/>
              <w:left w:w="15" w:type="dxa"/>
              <w:right w:w="15" w:type="dxa"/>
            </w:tcMar>
          </w:tcPr>
          <w:p>
            <w:pPr>
              <w:jc w:val="center"/>
              <w:rPr>
                <w:rFonts w:ascii="Arial" w:hAnsi="Arial" w:eastAsia="宋体" w:cs="Arial"/>
                <w:b/>
                <w:color w:val="000000"/>
                <w:sz w:val="22"/>
                <w:szCs w:val="22"/>
              </w:rPr>
            </w:pPr>
          </w:p>
        </w:tc>
        <w:tc>
          <w:tcPr>
            <w:tcW w:w="39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可持续影响指标</w:t>
            </w:r>
          </w:p>
        </w:tc>
        <w:tc>
          <w:tcPr>
            <w:tcW w:w="34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经济发展的可持续</w:t>
            </w:r>
          </w:p>
        </w:tc>
        <w:tc>
          <w:tcPr>
            <w:tcW w:w="1182"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通过此项目建成地上停车场及地下商铺，有利于县区经济的可持续发展</w:t>
            </w:r>
          </w:p>
        </w:tc>
        <w:tc>
          <w:tcPr>
            <w:tcW w:w="296"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15</w:t>
            </w:r>
          </w:p>
        </w:tc>
        <w:tc>
          <w:tcPr>
            <w:tcW w:w="31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文字描述</w:t>
            </w:r>
          </w:p>
        </w:tc>
        <w:tc>
          <w:tcPr>
            <w:tcW w:w="127"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35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长期可持续</w:t>
            </w:r>
          </w:p>
        </w:tc>
        <w:tc>
          <w:tcPr>
            <w:tcW w:w="47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已完成</w:t>
            </w:r>
          </w:p>
        </w:tc>
        <w:tc>
          <w:tcPr>
            <w:tcW w:w="44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8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shd w:val="clear" w:color="auto" w:fill="auto"/>
            <w:noWrap/>
            <w:tcMar>
              <w:top w:w="15" w:type="dxa"/>
              <w:left w:w="15" w:type="dxa"/>
              <w:right w:w="15" w:type="dxa"/>
            </w:tcMar>
          </w:tcPr>
          <w:p>
            <w:pPr>
              <w:widowControl/>
              <w:jc w:val="center"/>
              <w:textAlignment w:val="top"/>
              <w:rPr>
                <w:rFonts w:ascii="Arial" w:hAnsi="Arial" w:eastAsia="宋体" w:cs="Arial"/>
                <w:b/>
                <w:color w:val="000000"/>
                <w:sz w:val="22"/>
                <w:szCs w:val="22"/>
              </w:rPr>
            </w:pPr>
            <w:r>
              <w:rPr>
                <w:rFonts w:ascii="Arial" w:hAnsi="Arial" w:eastAsia="宋体" w:cs="Arial"/>
                <w:b/>
                <w:color w:val="000000"/>
                <w:sz w:val="22"/>
                <w:szCs w:val="22"/>
              </w:rPr>
              <w:t>满意度指标</w:t>
            </w:r>
          </w:p>
        </w:tc>
        <w:tc>
          <w:tcPr>
            <w:tcW w:w="39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服务对象满意度指标</w:t>
            </w:r>
          </w:p>
        </w:tc>
        <w:tc>
          <w:tcPr>
            <w:tcW w:w="348"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受补贴单位满意度</w:t>
            </w:r>
          </w:p>
        </w:tc>
        <w:tc>
          <w:tcPr>
            <w:tcW w:w="1182"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受补贴单位对补贴工作的满意程度</w:t>
            </w:r>
          </w:p>
        </w:tc>
        <w:tc>
          <w:tcPr>
            <w:tcW w:w="296"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10.00</w:t>
            </w:r>
          </w:p>
        </w:tc>
        <w:tc>
          <w:tcPr>
            <w:tcW w:w="31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&gt;=</w:t>
            </w:r>
          </w:p>
        </w:tc>
        <w:tc>
          <w:tcPr>
            <w:tcW w:w="127"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95</w:t>
            </w:r>
          </w:p>
        </w:tc>
        <w:tc>
          <w:tcPr>
            <w:tcW w:w="35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w:t>
            </w:r>
          </w:p>
        </w:tc>
        <w:tc>
          <w:tcPr>
            <w:tcW w:w="476"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0.96</w:t>
            </w:r>
          </w:p>
        </w:tc>
        <w:tc>
          <w:tcPr>
            <w:tcW w:w="444" w:type="pct"/>
            <w:shd w:val="clear" w:color="auto" w:fill="auto"/>
            <w:noWrap/>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完成</w:t>
            </w:r>
          </w:p>
        </w:tc>
        <w:tc>
          <w:tcPr>
            <w:tcW w:w="38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shd w:val="clear" w:color="auto" w:fill="auto"/>
            <w:noWrap/>
            <w:tcMar>
              <w:top w:w="15" w:type="dxa"/>
              <w:left w:w="15" w:type="dxa"/>
              <w:right w:w="15" w:type="dxa"/>
            </w:tcMar>
          </w:tcPr>
          <w:p>
            <w:pPr>
              <w:widowControl/>
              <w:jc w:val="center"/>
              <w:textAlignment w:val="top"/>
              <w:rPr>
                <w:rFonts w:ascii="Arial" w:hAnsi="Arial" w:eastAsia="宋体" w:cs="Arial"/>
                <w:b/>
                <w:color w:val="000000"/>
                <w:sz w:val="22"/>
                <w:szCs w:val="22"/>
              </w:rPr>
            </w:pPr>
            <w:r>
              <w:rPr>
                <w:rFonts w:ascii="Arial" w:hAnsi="Arial" w:eastAsia="宋体" w:cs="Arial"/>
                <w:b/>
                <w:color w:val="000000"/>
                <w:sz w:val="22"/>
                <w:szCs w:val="22"/>
              </w:rPr>
              <w:t>预算执行率</w:t>
            </w:r>
          </w:p>
        </w:tc>
        <w:tc>
          <w:tcPr>
            <w:tcW w:w="391" w:type="pc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预算执行率</w:t>
            </w:r>
          </w:p>
        </w:tc>
        <w:tc>
          <w:tcPr>
            <w:tcW w:w="348"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1182"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296"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10</w:t>
            </w:r>
          </w:p>
        </w:tc>
        <w:tc>
          <w:tcPr>
            <w:tcW w:w="316"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127"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351"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476"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444" w:type="pct"/>
            <w:shd w:val="clear" w:color="auto" w:fill="auto"/>
            <w:noWrap/>
            <w:tcMar>
              <w:top w:w="15" w:type="dxa"/>
              <w:left w:w="15" w:type="dxa"/>
              <w:right w:w="15" w:type="dxa"/>
            </w:tcMar>
          </w:tcPr>
          <w:p>
            <w:pPr>
              <w:rPr>
                <w:rFonts w:ascii="Calibri" w:hAnsi="Calibri" w:eastAsia="宋体" w:cs="Calibri"/>
                <w:color w:val="000000"/>
                <w:sz w:val="22"/>
                <w:szCs w:val="22"/>
              </w:rPr>
            </w:pPr>
          </w:p>
        </w:tc>
        <w:tc>
          <w:tcPr>
            <w:tcW w:w="384" w:type="pct"/>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ascii="Calibri" w:hAnsi="Calibri" w:eastAsia="宋体" w:cs="Calibri"/>
                <w:color w:val="00000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296" w:type="pct"/>
            <w:shd w:val="clear" w:color="auto" w:fill="auto"/>
            <w:noWrap/>
            <w:tcMar>
              <w:top w:w="15" w:type="dxa"/>
              <w:left w:w="15" w:type="dxa"/>
              <w:right w:w="15" w:type="dxa"/>
            </w:tcMar>
          </w:tcPr>
          <w:p>
            <w:pPr>
              <w:widowControl/>
              <w:jc w:val="center"/>
              <w:textAlignment w:val="top"/>
              <w:rPr>
                <w:rFonts w:ascii="Arial" w:hAnsi="Arial" w:eastAsia="宋体" w:cs="Arial"/>
                <w:b/>
                <w:color w:val="000000"/>
                <w:sz w:val="22"/>
                <w:szCs w:val="22"/>
              </w:rPr>
            </w:pPr>
            <w:r>
              <w:rPr>
                <w:rFonts w:ascii="Arial" w:hAnsi="Arial" w:eastAsia="宋体" w:cs="Arial"/>
                <w:b/>
                <w:color w:val="000000"/>
                <w:sz w:val="22"/>
                <w:szCs w:val="22"/>
              </w:rPr>
              <w:t>自评总分</w:t>
            </w:r>
          </w:p>
        </w:tc>
        <w:tc>
          <w:tcPr>
            <w:tcW w:w="4319" w:type="pct"/>
            <w:gridSpan w:val="10"/>
            <w:shd w:val="clear" w:color="auto" w:fill="auto"/>
            <w:noWrap/>
            <w:tcMar>
              <w:top w:w="15" w:type="dxa"/>
              <w:left w:w="15" w:type="dxa"/>
              <w:right w:w="15" w:type="dxa"/>
            </w:tcMar>
          </w:tcPr>
          <w:p>
            <w:pPr>
              <w:widowControl/>
              <w:jc w:val="right"/>
              <w:textAlignment w:val="top"/>
              <w:rPr>
                <w:rFonts w:ascii="Calibri" w:hAnsi="Calibri" w:eastAsia="宋体" w:cs="Calibri"/>
                <w:color w:val="000000"/>
                <w:sz w:val="22"/>
                <w:szCs w:val="22"/>
              </w:rPr>
            </w:pPr>
            <w:r>
              <w:rPr>
                <w:rFonts w:hint="eastAsia" w:ascii="Calibri" w:hAnsi="Calibri" w:eastAsia="宋体" w:cs="Calibri"/>
                <w:color w:val="000000"/>
                <w:sz w:val="22"/>
                <w:szCs w:val="22"/>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384" w:type="pct"/>
            <w:vMerge w:val="restart"/>
            <w:shd w:val="clear" w:color="auto" w:fill="auto"/>
            <w:tcMar>
              <w:top w:w="15" w:type="dxa"/>
              <w:left w:w="15" w:type="dxa"/>
              <w:right w:w="15" w:type="dxa"/>
            </w:tcMar>
          </w:tcPr>
          <w:p>
            <w:pPr>
              <w:widowControl/>
              <w:jc w:val="center"/>
              <w:textAlignment w:val="top"/>
              <w:rPr>
                <w:rFonts w:ascii="Calibri" w:hAnsi="Calibri" w:eastAsia="宋体" w:cs="Calibri"/>
                <w:color w:val="000000"/>
                <w:sz w:val="22"/>
                <w:szCs w:val="22"/>
              </w:rPr>
            </w:pPr>
            <w:r>
              <w:rPr>
                <w:rFonts w:ascii="Calibri" w:hAnsi="Calibri" w:eastAsia="宋体" w:cs="Calibri"/>
                <w:color w:val="000000"/>
                <w:sz w:val="22"/>
                <w:szCs w:val="22"/>
              </w:rPr>
              <w:t>五、存在问题         原因及整改措施</w:t>
            </w:r>
          </w:p>
        </w:tc>
        <w:tc>
          <w:tcPr>
            <w:tcW w:w="4615" w:type="pct"/>
            <w:gridSpan w:val="11"/>
            <w:vMerge w:val="restart"/>
            <w:shd w:val="clear" w:color="auto" w:fill="auto"/>
            <w:noWrap/>
            <w:tcMar>
              <w:top w:w="15" w:type="dxa"/>
              <w:left w:w="15" w:type="dxa"/>
              <w:right w:w="15" w:type="dxa"/>
            </w:tcMar>
          </w:tcPr>
          <w:p>
            <w:pPr>
              <w:widowControl/>
              <w:jc w:val="left"/>
              <w:textAlignment w:val="top"/>
              <w:rPr>
                <w:rFonts w:ascii="Calibri" w:hAnsi="Calibri" w:eastAsia="宋体" w:cs="Calibri"/>
                <w:color w:val="000000"/>
                <w:sz w:val="22"/>
                <w:szCs w:val="22"/>
              </w:rPr>
            </w:pPr>
            <w:r>
              <w:rPr>
                <w:rFonts w:ascii="Calibri" w:hAnsi="Calibri" w:eastAsia="宋体" w:cs="Calibri"/>
                <w:color w:val="000000"/>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384" w:type="pct"/>
            <w:vMerge w:val="continue"/>
            <w:shd w:val="clear" w:color="auto" w:fill="auto"/>
            <w:tcMar>
              <w:top w:w="15" w:type="dxa"/>
              <w:left w:w="15" w:type="dxa"/>
              <w:right w:w="15" w:type="dxa"/>
            </w:tcMar>
          </w:tcPr>
          <w:p>
            <w:pPr>
              <w:jc w:val="center"/>
              <w:rPr>
                <w:rFonts w:ascii="Calibri" w:hAnsi="Calibri" w:eastAsia="宋体" w:cs="Calibri"/>
                <w:color w:val="000000"/>
                <w:sz w:val="22"/>
                <w:szCs w:val="22"/>
              </w:rPr>
            </w:pPr>
          </w:p>
        </w:tc>
        <w:tc>
          <w:tcPr>
            <w:tcW w:w="4615" w:type="pct"/>
            <w:gridSpan w:val="11"/>
            <w:vMerge w:val="continue"/>
            <w:shd w:val="clear" w:color="auto" w:fill="auto"/>
            <w:noWrap/>
            <w:tcMar>
              <w:top w:w="15" w:type="dxa"/>
              <w:left w:w="15" w:type="dxa"/>
              <w:right w:w="15" w:type="dxa"/>
            </w:tcMar>
          </w:tcPr>
          <w:p>
            <w:pPr>
              <w:jc w:val="left"/>
              <w:rPr>
                <w:rFonts w:ascii="Calibri" w:hAnsi="Calibri" w:eastAsia="宋体" w:cs="Calibri"/>
                <w:color w:val="000000"/>
                <w:sz w:val="22"/>
                <w:szCs w:val="22"/>
              </w:rPr>
            </w:pPr>
          </w:p>
        </w:tc>
      </w:tr>
    </w:tbl>
    <w:p>
      <w:pPr>
        <w:widowControl/>
        <w:spacing w:line="360" w:lineRule="auto"/>
        <w:jc w:val="left"/>
        <w:rPr>
          <w:rFonts w:ascii="Times New Roman" w:eastAsia="仿宋_GB2312"/>
          <w:sz w:val="32"/>
          <w:szCs w:val="32"/>
        </w:rPr>
      </w:pP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（三）部门评价项目绩效评价结果（如有）</w:t>
      </w:r>
    </w:p>
    <w:tbl>
      <w:tblPr>
        <w:tblStyle w:val="11"/>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515"/>
        <w:gridCol w:w="100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63" w:type="dxa"/>
            <w:vAlign w:val="center"/>
          </w:tcPr>
          <w:p>
            <w:pPr>
              <w:widowControl/>
              <w:spacing w:line="360" w:lineRule="auto"/>
              <w:ind w:left="-120" w:leftChars="-50" w:right="-120" w:rightChars="-50"/>
              <w:jc w:val="center"/>
              <w:rPr>
                <w:rFonts w:ascii="黑体" w:hAnsi="黑体" w:eastAsia="黑体" w:cs="黑体"/>
                <w:sz w:val="22"/>
              </w:rPr>
            </w:pPr>
            <w:r>
              <w:rPr>
                <w:rFonts w:hint="eastAsia" w:ascii="黑体" w:hAnsi="黑体" w:eastAsia="黑体" w:cs="黑体"/>
                <w:sz w:val="22"/>
              </w:rPr>
              <w:t>序号</w:t>
            </w:r>
          </w:p>
        </w:tc>
        <w:tc>
          <w:tcPr>
            <w:tcW w:w="5515" w:type="dxa"/>
            <w:vAlign w:val="center"/>
          </w:tcPr>
          <w:p>
            <w:pPr>
              <w:widowControl/>
              <w:spacing w:line="360" w:lineRule="auto"/>
              <w:ind w:left="-120" w:leftChars="-50" w:right="-120" w:rightChars="-50"/>
              <w:jc w:val="center"/>
              <w:rPr>
                <w:rFonts w:ascii="黑体" w:hAnsi="黑体" w:eastAsia="黑体" w:cs="黑体"/>
                <w:sz w:val="22"/>
              </w:rPr>
            </w:pPr>
            <w:r>
              <w:rPr>
                <w:rFonts w:hint="eastAsia" w:ascii="黑体" w:hAnsi="黑体" w:eastAsia="黑体" w:cs="黑体"/>
                <w:sz w:val="22"/>
              </w:rPr>
              <w:t>项目名称</w:t>
            </w:r>
          </w:p>
        </w:tc>
        <w:tc>
          <w:tcPr>
            <w:tcW w:w="1000" w:type="dxa"/>
            <w:vAlign w:val="center"/>
          </w:tcPr>
          <w:p>
            <w:pPr>
              <w:widowControl/>
              <w:spacing w:line="360" w:lineRule="auto"/>
              <w:ind w:left="-120" w:leftChars="-50" w:right="-120" w:rightChars="-50"/>
              <w:jc w:val="center"/>
              <w:rPr>
                <w:rFonts w:ascii="黑体" w:hAnsi="黑体" w:eastAsia="黑体" w:cs="黑体"/>
                <w:sz w:val="22"/>
              </w:rPr>
            </w:pPr>
            <w:r>
              <w:rPr>
                <w:rFonts w:hint="eastAsia" w:ascii="黑体" w:hAnsi="黑体" w:eastAsia="黑体" w:cs="黑体"/>
                <w:sz w:val="22"/>
              </w:rPr>
              <w:t>自评得分</w:t>
            </w:r>
          </w:p>
        </w:tc>
        <w:tc>
          <w:tcPr>
            <w:tcW w:w="960" w:type="dxa"/>
            <w:vAlign w:val="center"/>
          </w:tcPr>
          <w:p>
            <w:pPr>
              <w:widowControl/>
              <w:spacing w:line="360" w:lineRule="auto"/>
              <w:ind w:left="-120" w:leftChars="-50" w:right="-120" w:rightChars="-50"/>
              <w:jc w:val="center"/>
              <w:rPr>
                <w:rFonts w:ascii="黑体" w:hAnsi="黑体" w:eastAsia="黑体" w:cs="黑体"/>
                <w:sz w:val="22"/>
              </w:rPr>
            </w:pPr>
            <w:r>
              <w:rPr>
                <w:rFonts w:hint="eastAsia" w:ascii="黑体" w:hAnsi="黑体" w:eastAsia="黑体" w:cs="黑体"/>
                <w:sz w:val="22"/>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63" w:type="dxa"/>
            <w:vAlign w:val="center"/>
          </w:tcPr>
          <w:p>
            <w:pPr>
              <w:widowControl/>
              <w:spacing w:line="360" w:lineRule="auto"/>
              <w:ind w:left="-120" w:leftChars="-50" w:right="-120" w:rightChars="-50"/>
              <w:jc w:val="center"/>
              <w:rPr>
                <w:rFonts w:ascii="仿宋_GB2312" w:hAnsi="宋体" w:eastAsia="仿宋_GB2312"/>
                <w:sz w:val="22"/>
              </w:rPr>
            </w:pPr>
            <w:r>
              <w:rPr>
                <w:rFonts w:hint="eastAsia" w:ascii="仿宋_GB2312" w:hAnsi="宋体" w:eastAsia="仿宋_GB2312"/>
                <w:sz w:val="22"/>
              </w:rPr>
              <w:t>1</w:t>
            </w:r>
          </w:p>
        </w:tc>
        <w:tc>
          <w:tcPr>
            <w:tcW w:w="5515" w:type="dxa"/>
            <w:vAlign w:val="center"/>
          </w:tcPr>
          <w:p>
            <w:pPr>
              <w:widowControl/>
              <w:spacing w:line="360" w:lineRule="auto"/>
              <w:ind w:left="-120" w:leftChars="-50" w:right="-120" w:rightChars="-50"/>
              <w:rPr>
                <w:rFonts w:ascii="仿宋" w:hAnsi="仿宋" w:eastAsia="仿宋"/>
                <w:sz w:val="28"/>
                <w:szCs w:val="32"/>
              </w:rPr>
            </w:pPr>
            <w:r>
              <w:rPr>
                <w:rFonts w:hint="eastAsia" w:ascii="仿宋" w:hAnsi="仿宋" w:eastAsia="仿宋"/>
                <w:sz w:val="28"/>
                <w:szCs w:val="32"/>
              </w:rPr>
              <w:t>棚改前期费用</w:t>
            </w:r>
          </w:p>
        </w:tc>
        <w:tc>
          <w:tcPr>
            <w:tcW w:w="1000" w:type="dxa"/>
            <w:vAlign w:val="center"/>
          </w:tcPr>
          <w:p>
            <w:pPr>
              <w:widowControl/>
              <w:spacing w:line="360" w:lineRule="auto"/>
              <w:ind w:left="-120" w:leftChars="-50" w:right="-120" w:rightChars="-50"/>
              <w:jc w:val="center"/>
              <w:rPr>
                <w:rFonts w:ascii="仿宋" w:hAnsi="仿宋" w:eastAsia="仿宋"/>
                <w:sz w:val="28"/>
                <w:szCs w:val="32"/>
              </w:rPr>
            </w:pPr>
            <w:r>
              <w:rPr>
                <w:rFonts w:hint="eastAsia" w:ascii="仿宋" w:hAnsi="仿宋" w:eastAsia="仿宋"/>
                <w:sz w:val="28"/>
                <w:szCs w:val="32"/>
              </w:rPr>
              <w:t>97</w:t>
            </w:r>
          </w:p>
        </w:tc>
        <w:tc>
          <w:tcPr>
            <w:tcW w:w="960" w:type="dxa"/>
            <w:vAlign w:val="center"/>
          </w:tcPr>
          <w:p>
            <w:pPr>
              <w:widowControl/>
              <w:spacing w:line="360" w:lineRule="auto"/>
              <w:ind w:left="-120" w:leftChars="-50" w:right="-120" w:rightChars="-50"/>
              <w:jc w:val="center"/>
              <w:rPr>
                <w:rFonts w:ascii="Times New Roman" w:hAnsi="Times New Roman" w:eastAsia="仿宋_GB2312" w:cs="Times New Roman"/>
                <w:sz w:val="22"/>
              </w:rPr>
            </w:pPr>
            <w:r>
              <w:rPr>
                <w:rFonts w:ascii="Times New Roman" w:hAnsi="Times New Roman" w:eastAsia="仿宋_GB2312" w:cs="Times New Roman"/>
                <w:sz w:val="2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63" w:type="dxa"/>
            <w:vAlign w:val="center"/>
          </w:tcPr>
          <w:p>
            <w:pPr>
              <w:widowControl/>
              <w:spacing w:line="360" w:lineRule="auto"/>
              <w:ind w:left="-120" w:leftChars="-50" w:right="-120" w:rightChars="-50"/>
              <w:jc w:val="center"/>
              <w:rPr>
                <w:rFonts w:ascii="仿宋_GB2312" w:hAnsi="宋体" w:eastAsia="仿宋_GB2312"/>
                <w:sz w:val="22"/>
              </w:rPr>
            </w:pPr>
            <w:r>
              <w:rPr>
                <w:rFonts w:hint="eastAsia" w:ascii="仿宋_GB2312" w:hAnsi="宋体" w:eastAsia="仿宋_GB2312"/>
                <w:sz w:val="22"/>
              </w:rPr>
              <w:t>2</w:t>
            </w:r>
          </w:p>
        </w:tc>
        <w:tc>
          <w:tcPr>
            <w:tcW w:w="5515" w:type="dxa"/>
            <w:vAlign w:val="center"/>
          </w:tcPr>
          <w:p>
            <w:pPr>
              <w:widowControl/>
              <w:spacing w:line="360" w:lineRule="auto"/>
              <w:ind w:left="-120" w:leftChars="-50" w:right="-120" w:rightChars="-50"/>
              <w:rPr>
                <w:rFonts w:ascii="仿宋" w:hAnsi="仿宋" w:eastAsia="仿宋"/>
                <w:sz w:val="28"/>
                <w:szCs w:val="32"/>
              </w:rPr>
            </w:pPr>
            <w:r>
              <w:rPr>
                <w:rFonts w:ascii="仿宋" w:hAnsi="仿宋" w:eastAsia="仿宋"/>
                <w:sz w:val="28"/>
                <w:szCs w:val="32"/>
              </w:rPr>
              <w:t>商贸中心北侧六个棚厅租金</w:t>
            </w:r>
          </w:p>
        </w:tc>
        <w:tc>
          <w:tcPr>
            <w:tcW w:w="1000" w:type="dxa"/>
            <w:vAlign w:val="center"/>
          </w:tcPr>
          <w:p>
            <w:pPr>
              <w:widowControl/>
              <w:spacing w:line="360" w:lineRule="auto"/>
              <w:ind w:left="-120" w:leftChars="-50" w:right="-120" w:rightChars="-50"/>
              <w:jc w:val="center"/>
              <w:rPr>
                <w:rFonts w:ascii="仿宋" w:hAnsi="仿宋" w:eastAsia="仿宋"/>
                <w:sz w:val="28"/>
                <w:szCs w:val="32"/>
              </w:rPr>
            </w:pPr>
            <w:r>
              <w:rPr>
                <w:rFonts w:hint="eastAsia" w:ascii="仿宋" w:hAnsi="仿宋" w:eastAsia="仿宋"/>
                <w:sz w:val="28"/>
                <w:szCs w:val="32"/>
              </w:rPr>
              <w:t>96</w:t>
            </w:r>
          </w:p>
        </w:tc>
        <w:tc>
          <w:tcPr>
            <w:tcW w:w="960" w:type="dxa"/>
            <w:vAlign w:val="center"/>
          </w:tcPr>
          <w:p>
            <w:pPr>
              <w:widowControl/>
              <w:spacing w:line="360" w:lineRule="auto"/>
              <w:ind w:left="-120" w:leftChars="-50" w:right="-120" w:rightChars="-50"/>
              <w:jc w:val="center"/>
              <w:rPr>
                <w:rFonts w:ascii="Times New Roman" w:hAnsi="Times New Roman" w:eastAsia="仿宋_GB2312" w:cs="Times New Roman"/>
                <w:sz w:val="22"/>
              </w:rPr>
            </w:pPr>
            <w:r>
              <w:rPr>
                <w:rFonts w:ascii="Times New Roman" w:hAnsi="Times New Roman" w:eastAsia="仿宋_GB2312" w:cs="Times New Roman"/>
                <w:sz w:val="22"/>
              </w:rPr>
              <w:t>优</w:t>
            </w:r>
          </w:p>
        </w:tc>
      </w:tr>
    </w:tbl>
    <w:p>
      <w:pPr>
        <w:widowControl/>
        <w:spacing w:line="360" w:lineRule="auto"/>
        <w:ind w:firstLine="960" w:firstLineChars="300"/>
        <w:jc w:val="left"/>
        <w:rPr>
          <w:rFonts w:ascii="Times New Roman" w:eastAsia="黑体"/>
          <w:sz w:val="32"/>
          <w:szCs w:val="32"/>
        </w:rPr>
      </w:pPr>
      <w:r>
        <w:rPr>
          <w:rFonts w:ascii="Times New Roman" w:eastAsia="黑体"/>
          <w:sz w:val="32"/>
          <w:szCs w:val="32"/>
        </w:rPr>
        <w:t>十、其他需要说明的情况</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1.本单位2024年度国有资本经营预算财政拨款支出决算表（公开08表）无相应收支，故空表列示。</w:t>
      </w:r>
    </w:p>
    <w:p>
      <w:pPr>
        <w:widowControl/>
        <w:spacing w:line="360" w:lineRule="auto"/>
        <w:ind w:firstLine="640" w:firstLineChars="200"/>
        <w:jc w:val="left"/>
        <w:rPr>
          <w:rFonts w:ascii="Times New Roman" w:eastAsia="仿宋_GB2312"/>
          <w:sz w:val="32"/>
          <w:szCs w:val="32"/>
        </w:rPr>
      </w:pPr>
      <w:r>
        <w:rPr>
          <w:rFonts w:ascii="Times New Roman" w:eastAsia="仿宋_GB2312"/>
          <w:sz w:val="32"/>
          <w:szCs w:val="32"/>
        </w:rPr>
        <w:t>2. 由于决算公开表格中金额数值应当保留两位小数，公开数据为四舍五入计算结果，个别数据合计项与分项之和存在小数点后差额，特此说明。</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widowControl/>
        <w:spacing w:line="360" w:lineRule="auto"/>
        <w:jc w:val="center"/>
        <w:outlineLvl w:val="0"/>
        <w:rPr>
          <w:rFonts w:ascii="Times New Roman" w:eastAsia="黑体"/>
          <w:sz w:val="44"/>
          <w:szCs w:val="44"/>
        </w:rPr>
      </w:pPr>
      <w:r>
        <w:rPr>
          <w:rFonts w:ascii="Times New Roman" w:eastAsia="黑体"/>
          <w:sz w:val="44"/>
          <w:szCs w:val="44"/>
        </w:rPr>
        <w:t>第四部分 名词解释</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sz w:val="32"/>
          <w:szCs w:val="32"/>
        </w:rPr>
        <w:t>指为保障机构正常运转、完成日常工作任务而发生的人员支出和公用支出。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sz w:val="32"/>
          <w:szCs w:val="32"/>
        </w:rPr>
        <w:t>指在基本支出之外为完成特定行政任务和事业发展目标所发生的支出。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sz w:val="32"/>
          <w:szCs w:val="32"/>
        </w:rPr>
        <w:t>指事业单位在专业业务活动及其辅助活动之外开展非独立核算经营活动发生的支出。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填列单位除公务用车运行维护费以外的其他交通费用。如公务交通补贴、租车费用、出租车费用，飞机、船舶等燃料费、维修费、保险费等。</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pPr>
        <w:widowControl/>
        <w:spacing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1" w:type="default"/>
      <w:pgSz w:w="11906" w:h="16838"/>
      <w:pgMar w:top="2098" w:right="1417" w:bottom="1871" w:left="1417" w:header="851" w:footer="992" w:gutter="0"/>
      <w:pgNumType w:start="1"/>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E5044C6-7E65-4C6C-84A0-AAC828230C2B}"/>
  </w:font>
  <w:font w:name="黑体">
    <w:altName w:val="宋体"/>
    <w:panose1 w:val="02010609060101010101"/>
    <w:charset w:val="86"/>
    <w:family w:val="auto"/>
    <w:pitch w:val="default"/>
    <w:sig w:usb0="800002BF" w:usb1="38CF7CFA" w:usb2="00000016" w:usb3="00000000" w:csb0="00040001" w:csb1="00000000"/>
    <w:embedRegular r:id="rId2" w:fontKey="{846063A1-4AA5-466F-B435-A2D1DB300AC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0903F66-BDBC-49CE-9D67-66EFF73C49EB}"/>
  </w:font>
  <w:font w:name="仿宋">
    <w:panose1 w:val="02010609060101010101"/>
    <w:charset w:val="86"/>
    <w:family w:val="modern"/>
    <w:pitch w:val="default"/>
    <w:sig w:usb0="800002BF" w:usb1="38CF7CFA" w:usb2="00000016" w:usb3="00000000" w:csb0="00040001" w:csb1="00000000"/>
    <w:embedRegular r:id="rId4" w:fontKey="{F5E25E6D-FEA0-4D22-A94E-CD7095D1DAFB}"/>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0" w:usb1="00000000" w:usb2="00000000" w:usb3="00000000" w:csb0="00000000" w:csb1="00000000"/>
    <w:embedRegular r:id="rId5" w:fontKey="{E291D7CF-DDCF-4A0D-B8DC-412DD2C32551}"/>
  </w:font>
  <w:font w:name="方正小标宋_GBK">
    <w:altName w:val="宋体"/>
    <w:panose1 w:val="00000000000000000000"/>
    <w:charset w:val="86"/>
    <w:family w:val="roman"/>
    <w:pitch w:val="default"/>
    <w:sig w:usb0="00000000" w:usb1="00000000" w:usb2="00000000" w:usb3="00000000" w:csb0="00040001" w:csb1="00000000"/>
    <w:embedRegular r:id="rId6" w:fontKey="{E8F1414D-0315-4CB7-94B7-0F3F4320DEBE}"/>
  </w:font>
  <w:font w:name="仿宋_GB2312">
    <w:panose1 w:val="02010609030101010101"/>
    <w:charset w:val="86"/>
    <w:family w:val="modern"/>
    <w:pitch w:val="default"/>
    <w:sig w:usb0="00000000" w:usb1="00000000" w:usb2="00000000" w:usb3="00000000" w:csb0="00000000" w:csb1="00000000"/>
    <w:embedRegular r:id="rId7" w:fontKey="{0C5E3341-A0BA-4EF3-8592-37223C1E6291}"/>
  </w:font>
  <w:font w:name="ArialUnicodeMS">
    <w:altName w:val="Times New Roman"/>
    <w:panose1 w:val="00000000000000000000"/>
    <w:charset w:val="81"/>
    <w:family w:val="auto"/>
    <w:pitch w:val="default"/>
    <w:sig w:usb0="00000000" w:usb1="00000000" w:usb2="00000010" w:usb3="00000000" w:csb0="00080001" w:csb1="00000000"/>
    <w:embedRegular r:id="rId8" w:fontKey="{331ACC04-AC2E-494F-AC00-7711E8536106}"/>
  </w:font>
  <w:font w:name="方正仿宋_GB2312">
    <w:altName w:val="仿宋"/>
    <w:panose1 w:val="00000000000000000000"/>
    <w:charset w:val="86"/>
    <w:family w:val="auto"/>
    <w:pitch w:val="default"/>
    <w:sig w:usb0="00000000" w:usb1="00000000" w:usb2="00000012" w:usb3="00000000" w:csb0="00040001" w:csb1="00000000"/>
    <w:embedRegular r:id="rId9" w:fontKey="{7AC922D4-70C6-44F6-BBF8-950B1F3B4A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p/>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4</w:t>
    </w:r>
    <w:r>
      <w:fldChar w:fldCharType="end"/>
    </w:r>
  </w:p>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21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TrueTypeFonts/>
  <w:saveSubsetFonts/>
  <w:bordersDoNotSurroundHeader w:val="1"/>
  <w:bordersDoNotSurroundFooter w:val="1"/>
  <w:documentProtection w:enforcement="0"/>
  <w:defaultTabStop w:val="420"/>
  <w:drawingGridVerticalSpacing w:val="165"/>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jb3VudCI6NjksImhkaWQiOiJiMzk2N2EzZjUyYWViODRjZjJhMDZjM2YyYjk4MTExMiIsInVzZXJDb3VudCI6MX0="/>
  </w:docVars>
  <w:rsids>
    <w:rsidRoot w:val="00C02BF2"/>
    <w:rsid w:val="00086151"/>
    <w:rsid w:val="000C642F"/>
    <w:rsid w:val="001A682B"/>
    <w:rsid w:val="00236F8C"/>
    <w:rsid w:val="0029299D"/>
    <w:rsid w:val="0031107E"/>
    <w:rsid w:val="003E3AE0"/>
    <w:rsid w:val="004E056E"/>
    <w:rsid w:val="00526378"/>
    <w:rsid w:val="00563ED9"/>
    <w:rsid w:val="00783B20"/>
    <w:rsid w:val="007B7BCD"/>
    <w:rsid w:val="00822154"/>
    <w:rsid w:val="0082420E"/>
    <w:rsid w:val="00827EBF"/>
    <w:rsid w:val="00965CCE"/>
    <w:rsid w:val="00986730"/>
    <w:rsid w:val="009B0C9E"/>
    <w:rsid w:val="009D30B5"/>
    <w:rsid w:val="00A10574"/>
    <w:rsid w:val="00C02BF2"/>
    <w:rsid w:val="00C1625E"/>
    <w:rsid w:val="00C23501"/>
    <w:rsid w:val="00C60047"/>
    <w:rsid w:val="00C65689"/>
    <w:rsid w:val="00C849F0"/>
    <w:rsid w:val="00CC1CDE"/>
    <w:rsid w:val="00CC2C8E"/>
    <w:rsid w:val="00CC535C"/>
    <w:rsid w:val="00CD54B4"/>
    <w:rsid w:val="00D66286"/>
    <w:rsid w:val="00D745FE"/>
    <w:rsid w:val="00D75128"/>
    <w:rsid w:val="00DD1054"/>
    <w:rsid w:val="00DD26E0"/>
    <w:rsid w:val="00DE552A"/>
    <w:rsid w:val="00E02856"/>
    <w:rsid w:val="00F40D83"/>
    <w:rsid w:val="00FE5993"/>
    <w:rsid w:val="015A054E"/>
    <w:rsid w:val="01836688"/>
    <w:rsid w:val="01A03C5A"/>
    <w:rsid w:val="01A5267D"/>
    <w:rsid w:val="01AF6A8D"/>
    <w:rsid w:val="01FD4921"/>
    <w:rsid w:val="02112515"/>
    <w:rsid w:val="024808A2"/>
    <w:rsid w:val="025C3821"/>
    <w:rsid w:val="026C0E22"/>
    <w:rsid w:val="02AE0C8C"/>
    <w:rsid w:val="02C00893"/>
    <w:rsid w:val="02DA3B1B"/>
    <w:rsid w:val="02E57B4D"/>
    <w:rsid w:val="03450B90"/>
    <w:rsid w:val="037B12D4"/>
    <w:rsid w:val="03804D63"/>
    <w:rsid w:val="039F088E"/>
    <w:rsid w:val="03C857CE"/>
    <w:rsid w:val="03FB73B0"/>
    <w:rsid w:val="04806B11"/>
    <w:rsid w:val="049C1B9D"/>
    <w:rsid w:val="04BD008C"/>
    <w:rsid w:val="04C55939"/>
    <w:rsid w:val="04DA28BB"/>
    <w:rsid w:val="04F528BE"/>
    <w:rsid w:val="050E10CE"/>
    <w:rsid w:val="054F2DFB"/>
    <w:rsid w:val="05991C82"/>
    <w:rsid w:val="05CD1EC8"/>
    <w:rsid w:val="061416A9"/>
    <w:rsid w:val="061D60A6"/>
    <w:rsid w:val="06236884"/>
    <w:rsid w:val="06607D08"/>
    <w:rsid w:val="06B07006"/>
    <w:rsid w:val="06FC7C2A"/>
    <w:rsid w:val="072C26A8"/>
    <w:rsid w:val="07533AFE"/>
    <w:rsid w:val="07AC18F2"/>
    <w:rsid w:val="07B3657A"/>
    <w:rsid w:val="07C857D0"/>
    <w:rsid w:val="08013AB5"/>
    <w:rsid w:val="083F3A0A"/>
    <w:rsid w:val="08AB5AAF"/>
    <w:rsid w:val="09012C64"/>
    <w:rsid w:val="093B2E99"/>
    <w:rsid w:val="095D7943"/>
    <w:rsid w:val="09C006C6"/>
    <w:rsid w:val="0A10621F"/>
    <w:rsid w:val="0A464C4F"/>
    <w:rsid w:val="0A6729A3"/>
    <w:rsid w:val="0A694877"/>
    <w:rsid w:val="0A93237E"/>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EF90EF7"/>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8C16D1"/>
    <w:rsid w:val="11E35B5A"/>
    <w:rsid w:val="11E42DD6"/>
    <w:rsid w:val="125F5A1B"/>
    <w:rsid w:val="12646A88"/>
    <w:rsid w:val="126979D6"/>
    <w:rsid w:val="129E45A7"/>
    <w:rsid w:val="13074404"/>
    <w:rsid w:val="136A5C00"/>
    <w:rsid w:val="13B97B08"/>
    <w:rsid w:val="13C527AC"/>
    <w:rsid w:val="14711797"/>
    <w:rsid w:val="147B6F17"/>
    <w:rsid w:val="14933E11"/>
    <w:rsid w:val="14D42061"/>
    <w:rsid w:val="15081C8B"/>
    <w:rsid w:val="15090D5C"/>
    <w:rsid w:val="15CF053D"/>
    <w:rsid w:val="15E0131A"/>
    <w:rsid w:val="15E11DC0"/>
    <w:rsid w:val="16457D9F"/>
    <w:rsid w:val="17223EFF"/>
    <w:rsid w:val="17AA5F28"/>
    <w:rsid w:val="17B713F6"/>
    <w:rsid w:val="184350A0"/>
    <w:rsid w:val="18935485"/>
    <w:rsid w:val="18A34206"/>
    <w:rsid w:val="18B51209"/>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CB3BD5"/>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8A5F6D"/>
    <w:rsid w:val="1EBB195D"/>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1936DC"/>
    <w:rsid w:val="2237486E"/>
    <w:rsid w:val="223D1378"/>
    <w:rsid w:val="22451BC7"/>
    <w:rsid w:val="22940650"/>
    <w:rsid w:val="229E4F8A"/>
    <w:rsid w:val="22AD4B1E"/>
    <w:rsid w:val="22C43743"/>
    <w:rsid w:val="22D31DF3"/>
    <w:rsid w:val="22FD3CF7"/>
    <w:rsid w:val="232C221B"/>
    <w:rsid w:val="2356249E"/>
    <w:rsid w:val="236A0EA0"/>
    <w:rsid w:val="236E713A"/>
    <w:rsid w:val="23700968"/>
    <w:rsid w:val="238761A6"/>
    <w:rsid w:val="23920578"/>
    <w:rsid w:val="23BB6F9A"/>
    <w:rsid w:val="23FC3864"/>
    <w:rsid w:val="24857B00"/>
    <w:rsid w:val="24997508"/>
    <w:rsid w:val="24F25212"/>
    <w:rsid w:val="250D7435"/>
    <w:rsid w:val="251B0465"/>
    <w:rsid w:val="254B0AC6"/>
    <w:rsid w:val="25571AB6"/>
    <w:rsid w:val="25B16037"/>
    <w:rsid w:val="25B40AD6"/>
    <w:rsid w:val="25BE7872"/>
    <w:rsid w:val="25BF702A"/>
    <w:rsid w:val="25D24617"/>
    <w:rsid w:val="26103A08"/>
    <w:rsid w:val="26390459"/>
    <w:rsid w:val="264D2D17"/>
    <w:rsid w:val="26D50E55"/>
    <w:rsid w:val="26F617AD"/>
    <w:rsid w:val="271A539C"/>
    <w:rsid w:val="273823FA"/>
    <w:rsid w:val="274972D4"/>
    <w:rsid w:val="27AA3D97"/>
    <w:rsid w:val="280A3758"/>
    <w:rsid w:val="28292E99"/>
    <w:rsid w:val="287817E5"/>
    <w:rsid w:val="289057C5"/>
    <w:rsid w:val="28A67C7A"/>
    <w:rsid w:val="28D56BCF"/>
    <w:rsid w:val="28EA3248"/>
    <w:rsid w:val="28F879DA"/>
    <w:rsid w:val="29444251"/>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241AC7"/>
    <w:rsid w:val="30630612"/>
    <w:rsid w:val="308E59B0"/>
    <w:rsid w:val="30B10568"/>
    <w:rsid w:val="30E55DD3"/>
    <w:rsid w:val="30E60399"/>
    <w:rsid w:val="31356AA5"/>
    <w:rsid w:val="313E22F0"/>
    <w:rsid w:val="31B0194C"/>
    <w:rsid w:val="31CE17D1"/>
    <w:rsid w:val="31F91EB4"/>
    <w:rsid w:val="32270449"/>
    <w:rsid w:val="323E4515"/>
    <w:rsid w:val="326430EE"/>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0C3D83"/>
    <w:rsid w:val="35277FF8"/>
    <w:rsid w:val="35763460"/>
    <w:rsid w:val="35776F72"/>
    <w:rsid w:val="35997371"/>
    <w:rsid w:val="35DD4D47"/>
    <w:rsid w:val="360134DF"/>
    <w:rsid w:val="360B1E2F"/>
    <w:rsid w:val="360D500F"/>
    <w:rsid w:val="36330424"/>
    <w:rsid w:val="36727700"/>
    <w:rsid w:val="36BD39F5"/>
    <w:rsid w:val="36C20097"/>
    <w:rsid w:val="36D56EA0"/>
    <w:rsid w:val="36FE3ABA"/>
    <w:rsid w:val="37072BDE"/>
    <w:rsid w:val="37455334"/>
    <w:rsid w:val="37527C32"/>
    <w:rsid w:val="37731921"/>
    <w:rsid w:val="378513FD"/>
    <w:rsid w:val="37C17F06"/>
    <w:rsid w:val="37E509C0"/>
    <w:rsid w:val="37E96FB8"/>
    <w:rsid w:val="38222D85"/>
    <w:rsid w:val="38230D03"/>
    <w:rsid w:val="38803721"/>
    <w:rsid w:val="38925A62"/>
    <w:rsid w:val="389F5F4F"/>
    <w:rsid w:val="38A07B39"/>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CD23EF"/>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934E65"/>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593B9C"/>
    <w:rsid w:val="47617242"/>
    <w:rsid w:val="478C16C9"/>
    <w:rsid w:val="47BD246B"/>
    <w:rsid w:val="47CB2B0C"/>
    <w:rsid w:val="47E773CE"/>
    <w:rsid w:val="47EE2C9A"/>
    <w:rsid w:val="47F00499"/>
    <w:rsid w:val="48015FF5"/>
    <w:rsid w:val="483820D2"/>
    <w:rsid w:val="48692CD0"/>
    <w:rsid w:val="48AE3D01"/>
    <w:rsid w:val="48B96318"/>
    <w:rsid w:val="49067B2F"/>
    <w:rsid w:val="494F4FFC"/>
    <w:rsid w:val="49677E31"/>
    <w:rsid w:val="496C2225"/>
    <w:rsid w:val="49A35E02"/>
    <w:rsid w:val="49AE2880"/>
    <w:rsid w:val="49F42EAF"/>
    <w:rsid w:val="4A337323"/>
    <w:rsid w:val="4A5B28DC"/>
    <w:rsid w:val="4AA06B93"/>
    <w:rsid w:val="4ADB18EB"/>
    <w:rsid w:val="4B3A6FE7"/>
    <w:rsid w:val="4B3D0503"/>
    <w:rsid w:val="4B96118E"/>
    <w:rsid w:val="4BAE1B66"/>
    <w:rsid w:val="4BC806E6"/>
    <w:rsid w:val="4BED4708"/>
    <w:rsid w:val="4BF133DC"/>
    <w:rsid w:val="4C2E4987"/>
    <w:rsid w:val="4C4117A4"/>
    <w:rsid w:val="4C421751"/>
    <w:rsid w:val="4C507D4A"/>
    <w:rsid w:val="4CDF5563"/>
    <w:rsid w:val="4CFB2214"/>
    <w:rsid w:val="4D2C4D26"/>
    <w:rsid w:val="4D335E0E"/>
    <w:rsid w:val="4D4E4EA3"/>
    <w:rsid w:val="4D9A5B1B"/>
    <w:rsid w:val="4DA55D85"/>
    <w:rsid w:val="4DBB20DB"/>
    <w:rsid w:val="4DDC3F22"/>
    <w:rsid w:val="4DE66FB2"/>
    <w:rsid w:val="4DEC6CB8"/>
    <w:rsid w:val="4E1040C7"/>
    <w:rsid w:val="4E1760BF"/>
    <w:rsid w:val="4E2D51F5"/>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86E33"/>
    <w:rsid w:val="55BE1959"/>
    <w:rsid w:val="56113D5D"/>
    <w:rsid w:val="56232437"/>
    <w:rsid w:val="56541A75"/>
    <w:rsid w:val="568832FC"/>
    <w:rsid w:val="568C4181"/>
    <w:rsid w:val="56DB0E56"/>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A064F8"/>
    <w:rsid w:val="5AD609D8"/>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5FDA0C2E"/>
    <w:rsid w:val="600C7843"/>
    <w:rsid w:val="604F6C39"/>
    <w:rsid w:val="60806DF2"/>
    <w:rsid w:val="61072DA5"/>
    <w:rsid w:val="611C0817"/>
    <w:rsid w:val="61224A52"/>
    <w:rsid w:val="61520CCB"/>
    <w:rsid w:val="61851A29"/>
    <w:rsid w:val="61F36A32"/>
    <w:rsid w:val="620D30A5"/>
    <w:rsid w:val="62222C76"/>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368BE"/>
    <w:rsid w:val="665D0213"/>
    <w:rsid w:val="668506C7"/>
    <w:rsid w:val="669E59F1"/>
    <w:rsid w:val="66A2024B"/>
    <w:rsid w:val="66CB5E2D"/>
    <w:rsid w:val="66D95D5E"/>
    <w:rsid w:val="6704732B"/>
    <w:rsid w:val="670F6731"/>
    <w:rsid w:val="67585CB0"/>
    <w:rsid w:val="67770F0C"/>
    <w:rsid w:val="67B03535"/>
    <w:rsid w:val="68174F69"/>
    <w:rsid w:val="682C436A"/>
    <w:rsid w:val="68382778"/>
    <w:rsid w:val="68391F41"/>
    <w:rsid w:val="68436B8C"/>
    <w:rsid w:val="68797358"/>
    <w:rsid w:val="6884624F"/>
    <w:rsid w:val="689B27BE"/>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33819"/>
    <w:rsid w:val="6DBF2759"/>
    <w:rsid w:val="6DC96F36"/>
    <w:rsid w:val="6DFA3EBF"/>
    <w:rsid w:val="6E3E63D2"/>
    <w:rsid w:val="6E5F7BE6"/>
    <w:rsid w:val="6E6918C6"/>
    <w:rsid w:val="6EC4769C"/>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1B62"/>
    <w:rsid w:val="71D95B7C"/>
    <w:rsid w:val="71EA6A50"/>
    <w:rsid w:val="71FE31A8"/>
    <w:rsid w:val="720C30AE"/>
    <w:rsid w:val="721A7983"/>
    <w:rsid w:val="721F6113"/>
    <w:rsid w:val="7233782C"/>
    <w:rsid w:val="72555882"/>
    <w:rsid w:val="726A729D"/>
    <w:rsid w:val="72C81B45"/>
    <w:rsid w:val="73177841"/>
    <w:rsid w:val="733774FE"/>
    <w:rsid w:val="73617E1B"/>
    <w:rsid w:val="736D7653"/>
    <w:rsid w:val="738035CB"/>
    <w:rsid w:val="73812ACB"/>
    <w:rsid w:val="73852C46"/>
    <w:rsid w:val="7396335C"/>
    <w:rsid w:val="73F46595"/>
    <w:rsid w:val="73F47FAE"/>
    <w:rsid w:val="74283FA2"/>
    <w:rsid w:val="742C135B"/>
    <w:rsid w:val="74463733"/>
    <w:rsid w:val="748A2F40"/>
    <w:rsid w:val="74D84FF7"/>
    <w:rsid w:val="74F85778"/>
    <w:rsid w:val="75272439"/>
    <w:rsid w:val="75421682"/>
    <w:rsid w:val="758F1E9B"/>
    <w:rsid w:val="75CE266B"/>
    <w:rsid w:val="75D02868"/>
    <w:rsid w:val="76120141"/>
    <w:rsid w:val="768216BE"/>
    <w:rsid w:val="76C23B43"/>
    <w:rsid w:val="76FD6F97"/>
    <w:rsid w:val="770218E8"/>
    <w:rsid w:val="776E1A83"/>
    <w:rsid w:val="779469CE"/>
    <w:rsid w:val="77C875A5"/>
    <w:rsid w:val="78A27DF6"/>
    <w:rsid w:val="79285B3A"/>
    <w:rsid w:val="79375366"/>
    <w:rsid w:val="79490B03"/>
    <w:rsid w:val="79625CA9"/>
    <w:rsid w:val="79880F62"/>
    <w:rsid w:val="79A91196"/>
    <w:rsid w:val="79C21497"/>
    <w:rsid w:val="7A0B32D3"/>
    <w:rsid w:val="7AC13CD3"/>
    <w:rsid w:val="7AE10264"/>
    <w:rsid w:val="7AE4248E"/>
    <w:rsid w:val="7B4A207F"/>
    <w:rsid w:val="7B936F45"/>
    <w:rsid w:val="7BA47419"/>
    <w:rsid w:val="7BB10D45"/>
    <w:rsid w:val="7BB44151"/>
    <w:rsid w:val="7C656A39"/>
    <w:rsid w:val="7CB93996"/>
    <w:rsid w:val="7CBE0F99"/>
    <w:rsid w:val="7D4B0278"/>
    <w:rsid w:val="7D4E45F1"/>
    <w:rsid w:val="7DA45205"/>
    <w:rsid w:val="7DFB6D82"/>
    <w:rsid w:val="7E1D71D1"/>
    <w:rsid w:val="7E246254"/>
    <w:rsid w:val="7E2A781E"/>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Lines="50" w:line="578" w:lineRule="auto"/>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Lines="50" w:afterLines="50" w:line="416" w:lineRule="auto"/>
      <w:outlineLvl w:val="2"/>
    </w:pPr>
    <w:rPr>
      <w:rFonts w:ascii="宋体" w:hAnsi="宋体" w:eastAsia="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Autospacing="1" w:afterAutospacing="1"/>
      <w:jc w:val="left"/>
    </w:pPr>
    <w:rPr>
      <w:rFonts w:cs="Times New Roman"/>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678.290000000001</c:v>
                </c:pt>
                <c:pt idx="1">
                  <c:v>2434.02</c:v>
                </c:pt>
              </c:numCache>
            </c:numRef>
          </c:val>
        </c:ser>
        <c:dLbls>
          <c:showLegendKey val="0"/>
          <c:showVal val="1"/>
          <c:showCatName val="0"/>
          <c:showSerName val="0"/>
          <c:showPercent val="0"/>
          <c:showBubbleSize val="0"/>
        </c:dLbls>
        <c:gapWidth val="246"/>
        <c:overlap val="-28"/>
        <c:axId val="122118912"/>
        <c:axId val="170743296"/>
      </c:barChart>
      <c:catAx>
        <c:axId val="1221189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0743296"/>
        <c:crosses val="autoZero"/>
        <c:auto val="1"/>
        <c:lblAlgn val="ctr"/>
        <c:lblOffset val="100"/>
        <c:noMultiLvlLbl val="0"/>
      </c:catAx>
      <c:valAx>
        <c:axId val="17074329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2118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6"/>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24340227.36</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6"/>
                  <c:y val="0.71821036974079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1089719.78</c:v>
                </c:pt>
                <c:pt idx="1">
                  <c:v>23150507.58</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194.04</c:v>
                </c:pt>
                <c:pt idx="1">
                  <c:v>416.29</c:v>
                </c:pt>
                <c:pt idx="2">
                  <c:v>141.42</c:v>
                </c:pt>
                <c:pt idx="3">
                  <c:v>363.67</c:v>
                </c:pt>
                <c:pt idx="4">
                  <c:v>52.62</c:v>
                </c:pt>
                <c:pt idx="5">
                  <c:v>52.62</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2434.02</c:v>
                </c:pt>
                <c:pt idx="1">
                  <c:v>2424.02</c:v>
                </c:pt>
                <c:pt idx="2">
                  <c:v>604.02</c:v>
                </c:pt>
                <c:pt idx="3">
                  <c:v>594.02</c:v>
                </c:pt>
                <c:pt idx="4">
                  <c:v>1830</c:v>
                </c:pt>
                <c:pt idx="5">
                  <c:v>1830</c:v>
                </c:pt>
                <c:pt idx="6">
                  <c:v>0</c:v>
                </c:pt>
                <c:pt idx="7">
                  <c:v>0</c:v>
                </c:pt>
              </c:numCache>
            </c:numRef>
          </c:val>
        </c:ser>
        <c:dLbls>
          <c:showLegendKey val="0"/>
          <c:showVal val="1"/>
          <c:showCatName val="0"/>
          <c:showSerName val="0"/>
          <c:showPercent val="0"/>
          <c:showBubbleSize val="0"/>
        </c:dLbls>
        <c:gapWidth val="246"/>
        <c:overlap val="-28"/>
        <c:axId val="96028160"/>
        <c:axId val="96029696"/>
      </c:barChart>
      <c:catAx>
        <c:axId val="96028160"/>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029696"/>
        <c:crosses val="autoZero"/>
        <c:auto val="1"/>
        <c:lblAlgn val="ctr"/>
        <c:lblOffset val="100"/>
        <c:noMultiLvlLbl val="0"/>
      </c:catAx>
      <c:valAx>
        <c:axId val="9602969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out"/>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028160"/>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5"/>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173.52</c:v>
                </c:pt>
                <c:pt idx="1">
                  <c:v>173.52</c:v>
                </c:pt>
                <c:pt idx="2">
                  <c:v>125.52</c:v>
                </c:pt>
                <c:pt idx="3">
                  <c:v>125.52</c:v>
                </c:pt>
                <c:pt idx="4">
                  <c:v>48</c:v>
                </c:pt>
                <c:pt idx="5">
                  <c:v>48</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2434.02</c:v>
                </c:pt>
                <c:pt idx="1">
                  <c:v>2424.02</c:v>
                </c:pt>
                <c:pt idx="2">
                  <c:v>604.02</c:v>
                </c:pt>
                <c:pt idx="3">
                  <c:v>594.02</c:v>
                </c:pt>
                <c:pt idx="4">
                  <c:v>1830</c:v>
                </c:pt>
                <c:pt idx="5">
                  <c:v>1830</c:v>
                </c:pt>
                <c:pt idx="6">
                  <c:v>0</c:v>
                </c:pt>
                <c:pt idx="7">
                  <c:v>0</c:v>
                </c:pt>
              </c:numCache>
            </c:numRef>
          </c:val>
        </c:ser>
        <c:dLbls>
          <c:showLegendKey val="0"/>
          <c:showVal val="1"/>
          <c:showCatName val="0"/>
          <c:showSerName val="0"/>
          <c:showPercent val="0"/>
          <c:showBubbleSize val="0"/>
        </c:dLbls>
        <c:gapWidth val="150"/>
        <c:axId val="122529664"/>
        <c:axId val="122531200"/>
      </c:barChart>
      <c:catAx>
        <c:axId val="1225296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2531200"/>
        <c:crosses val="autoZero"/>
        <c:auto val="1"/>
        <c:lblAlgn val="ctr"/>
        <c:lblOffset val="100"/>
        <c:noMultiLvlLbl val="0"/>
      </c:catAx>
      <c:valAx>
        <c:axId val="12253120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252966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13.84</c:v>
                </c:pt>
                <c:pt idx="8">
                  <c:v>6.31</c:v>
                </c:pt>
                <c:pt idx="9">
                  <c:v>0</c:v>
                </c:pt>
                <c:pt idx="10">
                  <c:v>496.73</c:v>
                </c:pt>
                <c:pt idx="11">
                  <c:v>0</c:v>
                </c:pt>
                <c:pt idx="12">
                  <c:v>0</c:v>
                </c:pt>
                <c:pt idx="13">
                  <c:v>0</c:v>
                </c:pt>
                <c:pt idx="14">
                  <c:v>0</c:v>
                </c:pt>
                <c:pt idx="15">
                  <c:v>0</c:v>
                </c:pt>
                <c:pt idx="16">
                  <c:v>0</c:v>
                </c:pt>
                <c:pt idx="17">
                  <c:v>0</c:v>
                </c:pt>
                <c:pt idx="18">
                  <c:v>77.13</c:v>
                </c:pt>
                <c:pt idx="19">
                  <c:v>0</c:v>
                </c:pt>
                <c:pt idx="20">
                  <c:v>0</c:v>
                </c:pt>
                <c:pt idx="21">
                  <c:v>0</c:v>
                </c:pt>
                <c:pt idx="22">
                  <c:v>1830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44</Pages>
  <Words>2788</Words>
  <Characters>15898</Characters>
  <Lines>132</Lines>
  <Paragraphs>37</Paragraphs>
  <TotalTime>78</TotalTime>
  <ScaleCrop>false</ScaleCrop>
  <LinksUpToDate>false</LinksUpToDate>
  <CharactersWithSpaces>18649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2025-10-13T06:46:00Z</dcterms:created>
  <dc:creator>王明新TIAD</dc:creator>
  <cp:lastModifiedBy>逍遥</cp:lastModifiedBy>
  <cp:lastPrinted>2023-08-04T01:00:00Z</cp:lastPrinted>
  <dcterms:modified xsi:type="dcterms:W3CDTF">2025-10-21T07:40:22Z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