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425" w:rsidRDefault="008E4780">
      <w:pPr>
        <w:spacing w:line="600" w:lineRule="auto"/>
        <w:rPr>
          <w:rFonts w:ascii="楷体_GB2312" w:eastAsia="楷体_GB2312" w:hAnsi="楷体_GB2312" w:cs="楷体_GB2312"/>
          <w:color w:val="000000"/>
          <w:sz w:val="40"/>
          <w:szCs w:val="40"/>
        </w:rPr>
      </w:pPr>
      <w:r>
        <w:rPr>
          <w:noProof/>
        </w:rP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8" cstate="print">
                      <a:lum bright="6000"/>
                    </a:blip>
                    <a:srcRect t="559" b="3637"/>
                    <a:stretch>
                      <a:fillRect/>
                    </a:stretch>
                  </pic:blipFill>
                  <pic:spPr>
                    <a:xfrm>
                      <a:off x="0" y="0"/>
                      <a:ext cx="8646795" cy="11107420"/>
                    </a:xfrm>
                    <a:prstGeom prst="rect">
                      <a:avLst/>
                    </a:prstGeom>
                  </pic:spPr>
                </pic:pic>
              </a:graphicData>
            </a:graphic>
          </wp:anchor>
        </w:drawing>
      </w:r>
      <w:r w:rsidR="0049756E" w:rsidRPr="0049756E">
        <w:pict>
          <v:shapetype id="_x0000_t202" coordsize="21600,21600" o:spt="202" path="m,l,21600r21600,l21600,xe">
            <v:stroke joinstyle="miter"/>
            <v:path gradientshapeok="t" o:connecttype="rect"/>
          </v:shapetype>
          <v:shape id="_x0000_s1026" type="#_x0000_t202" alt="7b0a2020202022776f7264617274223a20227b5c2269645c223a32353030323136362c5c227469645c223a5c225c227d220a7d0a" style="position:absolute;left:0;text-align:left;margin-left:-43.05pt;margin-top:19.95pt;width:506.4pt;height:225.4pt;z-index:251660288;mso-position-horizontal-relative:text;mso-position-vertical-relative:text" filled="f" stroked="f">
            <v:textbox>
              <w:txbxContent>
                <w:p w:rsidR="009E1F42" w:rsidRDefault="009E1F42">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2024</w:t>
                  </w:r>
                  <w:r>
                    <w:rPr>
                      <w:rFonts w:ascii="宋体" w:eastAsia="宋体" w:hAnsi="宋体" w:hint="eastAsia"/>
                      <w:b/>
                      <w:bCs/>
                      <w:color w:val="0D0D0D" w:themeColor="text1" w:themeTint="F2"/>
                      <w:sz w:val="112"/>
                      <w:szCs w:val="112"/>
                    </w:rPr>
                    <w:t>2024</w:t>
                  </w:r>
                  <w:r>
                    <w:rPr>
                      <w:rFonts w:ascii="方正小标宋_GBK" w:eastAsia="方正小标宋_GBK" w:hAnsi="方正小标宋_GBK" w:cs="方正小标宋_GBK" w:hint="eastAsia"/>
                      <w:b/>
                      <w:bCs/>
                      <w:color w:val="0D0D0D" w:themeColor="text1" w:themeTint="F2"/>
                      <w:sz w:val="112"/>
                      <w:szCs w:val="112"/>
                    </w:rPr>
                    <w:t>年度</w:t>
                  </w:r>
                </w:p>
                <w:p w:rsidR="009E1F42" w:rsidRDefault="009E1F42">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单位决算公开文本</w:t>
                  </w:r>
                </w:p>
              </w:txbxContent>
            </v:textbox>
          </v:shape>
        </w:pict>
      </w:r>
    </w:p>
    <w:p w:rsidR="00281425" w:rsidRDefault="00281425">
      <w:pPr>
        <w:spacing w:line="600" w:lineRule="auto"/>
        <w:rPr>
          <w:rFonts w:ascii="楷体_GB2312" w:eastAsia="楷体_GB2312" w:hAnsi="楷体_GB2312" w:cs="楷体_GB2312"/>
          <w:color w:val="000000"/>
          <w:sz w:val="40"/>
          <w:szCs w:val="40"/>
        </w:rPr>
      </w:pPr>
    </w:p>
    <w:p w:rsidR="00281425" w:rsidRDefault="00281425">
      <w:pPr>
        <w:spacing w:line="600" w:lineRule="auto"/>
        <w:rPr>
          <w:rFonts w:ascii="楷体_GB2312" w:eastAsia="楷体_GB2312" w:hAnsi="楷体_GB2312" w:cs="楷体_GB2312"/>
          <w:color w:val="000000"/>
          <w:sz w:val="40"/>
          <w:szCs w:val="40"/>
        </w:rPr>
      </w:pPr>
    </w:p>
    <w:p w:rsidR="00281425" w:rsidRDefault="00281425">
      <w:pPr>
        <w:spacing w:line="600" w:lineRule="auto"/>
        <w:rPr>
          <w:rFonts w:ascii="楷体_GB2312" w:eastAsia="楷体_GB2312" w:hAnsi="楷体_GB2312" w:cs="楷体_GB2312"/>
          <w:color w:val="000000"/>
          <w:sz w:val="40"/>
          <w:szCs w:val="40"/>
        </w:rPr>
      </w:pPr>
    </w:p>
    <w:p w:rsidR="00281425" w:rsidRDefault="00281425">
      <w:pPr>
        <w:spacing w:line="600" w:lineRule="auto"/>
        <w:rPr>
          <w:rFonts w:ascii="楷体_GB2312" w:eastAsia="楷体_GB2312" w:hAnsi="楷体_GB2312" w:cs="楷体_GB2312"/>
          <w:color w:val="000000"/>
          <w:sz w:val="40"/>
          <w:szCs w:val="40"/>
        </w:rPr>
      </w:pPr>
    </w:p>
    <w:p w:rsidR="00281425" w:rsidRDefault="00281425">
      <w:pPr>
        <w:spacing w:line="600" w:lineRule="auto"/>
        <w:rPr>
          <w:rFonts w:ascii="楷体_GB2312" w:eastAsia="楷体_GB2312" w:hAnsi="楷体_GB2312" w:cs="楷体_GB2312"/>
          <w:color w:val="000000"/>
          <w:sz w:val="40"/>
          <w:szCs w:val="40"/>
        </w:rPr>
      </w:pPr>
    </w:p>
    <w:p w:rsidR="00281425" w:rsidRDefault="00281425">
      <w:pPr>
        <w:spacing w:line="600" w:lineRule="auto"/>
        <w:rPr>
          <w:rFonts w:ascii="楷体_GB2312" w:eastAsia="楷体_GB2312" w:hAnsi="楷体_GB2312" w:cs="楷体_GB2312"/>
          <w:color w:val="000000"/>
          <w:sz w:val="40"/>
          <w:szCs w:val="40"/>
        </w:rPr>
      </w:pPr>
    </w:p>
    <w:p w:rsidR="00281425" w:rsidRDefault="00281425">
      <w:pPr>
        <w:spacing w:line="600" w:lineRule="auto"/>
        <w:rPr>
          <w:rFonts w:ascii="楷体_GB2312" w:eastAsia="楷体_GB2312" w:hAnsi="楷体_GB2312" w:cs="楷体_GB2312"/>
          <w:color w:val="000000"/>
          <w:sz w:val="40"/>
          <w:szCs w:val="40"/>
        </w:rPr>
      </w:pPr>
    </w:p>
    <w:p w:rsidR="00281425" w:rsidRDefault="00281425">
      <w:pPr>
        <w:spacing w:line="600" w:lineRule="auto"/>
        <w:rPr>
          <w:rFonts w:ascii="楷体_GB2312" w:eastAsia="楷体_GB2312" w:hAnsi="楷体_GB2312" w:cs="楷体_GB2312"/>
          <w:color w:val="000000"/>
          <w:sz w:val="40"/>
          <w:szCs w:val="40"/>
        </w:rPr>
      </w:pPr>
    </w:p>
    <w:p w:rsidR="00281425" w:rsidRDefault="00281425">
      <w:pPr>
        <w:spacing w:line="600" w:lineRule="auto"/>
        <w:rPr>
          <w:rFonts w:ascii="楷体_GB2312" w:eastAsia="楷体_GB2312" w:hAnsi="楷体_GB2312" w:cs="楷体_GB2312"/>
          <w:color w:val="000000"/>
          <w:sz w:val="40"/>
          <w:szCs w:val="40"/>
        </w:rPr>
      </w:pPr>
    </w:p>
    <w:p w:rsidR="00281425" w:rsidRDefault="00281425">
      <w:pPr>
        <w:spacing w:line="600" w:lineRule="auto"/>
        <w:rPr>
          <w:rFonts w:ascii="楷体_GB2312" w:eastAsia="楷体_GB2312" w:hAnsi="楷体_GB2312" w:cs="楷体_GB2312"/>
          <w:color w:val="000000"/>
          <w:sz w:val="40"/>
          <w:szCs w:val="40"/>
        </w:rPr>
      </w:pPr>
    </w:p>
    <w:p w:rsidR="00281425" w:rsidRDefault="00281425">
      <w:pPr>
        <w:spacing w:line="600" w:lineRule="auto"/>
        <w:rPr>
          <w:rFonts w:ascii="楷体_GB2312" w:eastAsia="楷体_GB2312" w:hAnsi="楷体_GB2312" w:cs="楷体_GB2312"/>
          <w:color w:val="000000"/>
          <w:sz w:val="40"/>
          <w:szCs w:val="40"/>
        </w:rPr>
      </w:pPr>
    </w:p>
    <w:p w:rsidR="00281425" w:rsidRDefault="008E4780">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w:t>
      </w:r>
      <w:r>
        <w:rPr>
          <w:rFonts w:ascii="宋体" w:eastAsia="宋体" w:hAnsi="宋体" w:hint="eastAsia"/>
          <w:color w:val="000000"/>
          <w:sz w:val="40"/>
          <w:szCs w:val="40"/>
        </w:rPr>
        <w:t>324005</w:t>
      </w:r>
      <w:r>
        <w:rPr>
          <w:rFonts w:ascii="楷体_GB2312" w:eastAsia="楷体_GB2312" w:hAnsi="楷体_GB2312" w:cs="楷体_GB2312" w:hint="eastAsia"/>
          <w:color w:val="000000"/>
          <w:sz w:val="40"/>
          <w:szCs w:val="40"/>
        </w:rPr>
        <w:t>324005</w:t>
      </w:r>
    </w:p>
    <w:p w:rsidR="00281425" w:rsidRDefault="008E4780">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：青龙满族自治县不动产登记中心</w:t>
      </w:r>
    </w:p>
    <w:p w:rsidR="00281425" w:rsidRDefault="00281425">
      <w:pPr>
        <w:spacing w:line="600" w:lineRule="auto"/>
        <w:rPr>
          <w:rFonts w:ascii="楷体_GB2312" w:eastAsia="楷体_GB2312" w:hAnsi="楷体_GB2312" w:cs="楷体_GB2312"/>
          <w:color w:val="000000"/>
          <w:sz w:val="40"/>
          <w:szCs w:val="40"/>
        </w:rPr>
        <w:sectPr w:rsidR="00281425">
          <w:footerReference w:type="default" r:id="rId9"/>
          <w:pgSz w:w="11906" w:h="16838"/>
          <w:pgMar w:top="2098" w:right="1417" w:bottom="1871" w:left="1417" w:header="851" w:footer="992" w:gutter="0"/>
          <w:pgNumType w:start="1"/>
          <w:cols w:space="720"/>
          <w:docGrid w:type="lines" w:linePitch="312"/>
        </w:sectPr>
      </w:pPr>
    </w:p>
    <w:p w:rsidR="00281425" w:rsidRDefault="00281425">
      <w:pPr>
        <w:spacing w:line="600" w:lineRule="auto"/>
        <w:jc w:val="center"/>
        <w:rPr>
          <w:rFonts w:ascii="楷体_GB2312" w:eastAsia="楷体_GB2312" w:hAnsi="楷体_GB2312" w:cs="楷体_GB2312"/>
          <w:color w:val="000000"/>
          <w:sz w:val="40"/>
          <w:szCs w:val="40"/>
        </w:rPr>
      </w:pPr>
    </w:p>
    <w:p w:rsidR="00281425" w:rsidRDefault="00281425">
      <w:pPr>
        <w:rPr>
          <w:rFonts w:ascii="黑体" w:eastAsia="黑体" w:hAnsi="黑体" w:cs="黑体"/>
          <w:b/>
          <w:bCs/>
          <w:sz w:val="32"/>
          <w:szCs w:val="36"/>
          <w:highlight w:val="yellow"/>
        </w:rPr>
      </w:pPr>
    </w:p>
    <w:p w:rsidR="00281425" w:rsidRDefault="008E4780">
      <w:pPr>
        <w:widowControl/>
        <w:spacing w:line="360" w:lineRule="auto"/>
        <w:jc w:val="center"/>
        <w:rPr>
          <w:rFonts w:ascii="Times New Roman" w:eastAsia="方正小标宋_GBK"/>
          <w:sz w:val="72"/>
          <w:szCs w:val="72"/>
        </w:rPr>
      </w:pPr>
      <w:r>
        <w:rPr>
          <w:rFonts w:ascii="Times New Roman" w:eastAsia="方正小标宋_GBK"/>
          <w:sz w:val="72"/>
          <w:szCs w:val="72"/>
        </w:rPr>
        <w:t>青龙满族自治县不动产登记中心</w:t>
      </w:r>
    </w:p>
    <w:p w:rsidR="00281425" w:rsidRDefault="008E4780">
      <w:pPr>
        <w:widowControl/>
        <w:spacing w:line="360" w:lineRule="auto"/>
        <w:jc w:val="center"/>
        <w:rPr>
          <w:rFonts w:ascii="Times New Roman" w:eastAsia="方正小标宋_GBK"/>
          <w:sz w:val="72"/>
          <w:szCs w:val="72"/>
        </w:rPr>
      </w:pPr>
      <w:r>
        <w:rPr>
          <w:rFonts w:ascii="Times New Roman" w:eastAsia="仿宋_GB2312"/>
          <w:sz w:val="72"/>
          <w:szCs w:val="72"/>
        </w:rPr>
        <w:t>2024</w:t>
      </w:r>
      <w:r>
        <w:rPr>
          <w:rFonts w:ascii="Times New Roman" w:eastAsia="方正小标宋_GBK"/>
          <w:sz w:val="72"/>
          <w:szCs w:val="72"/>
        </w:rPr>
        <w:t>年度</w:t>
      </w:r>
      <w:r>
        <w:rPr>
          <w:rFonts w:ascii="Times New Roman" w:eastAsia="方正小标宋_GBK" w:hint="eastAsia"/>
          <w:sz w:val="72"/>
          <w:szCs w:val="72"/>
        </w:rPr>
        <w:t>单位</w:t>
      </w:r>
      <w:r>
        <w:rPr>
          <w:rFonts w:ascii="Times New Roman" w:eastAsia="方正小标宋_GBK"/>
          <w:sz w:val="72"/>
          <w:szCs w:val="72"/>
        </w:rPr>
        <w:t>决算公开文本</w:t>
      </w:r>
    </w:p>
    <w:p w:rsidR="00281425" w:rsidRDefault="00281425">
      <w:pPr>
        <w:spacing w:line="360" w:lineRule="auto"/>
        <w:jc w:val="center"/>
        <w:rPr>
          <w:rFonts w:ascii="黑体" w:eastAsia="黑体" w:hAnsi="黑体" w:cs="黑体"/>
          <w:sz w:val="56"/>
          <w:szCs w:val="72"/>
        </w:rPr>
      </w:pPr>
    </w:p>
    <w:p w:rsidR="00281425" w:rsidRDefault="00281425">
      <w:pPr>
        <w:spacing w:line="600" w:lineRule="auto"/>
        <w:jc w:val="center"/>
        <w:rPr>
          <w:rFonts w:ascii="黑体" w:eastAsia="黑体" w:hAnsi="黑体" w:cs="黑体"/>
          <w:sz w:val="56"/>
          <w:szCs w:val="72"/>
        </w:rPr>
      </w:pPr>
    </w:p>
    <w:p w:rsidR="00281425" w:rsidRDefault="00281425">
      <w:pPr>
        <w:spacing w:line="600" w:lineRule="auto"/>
        <w:jc w:val="center"/>
        <w:rPr>
          <w:rFonts w:ascii="黑体" w:eastAsia="黑体" w:hAnsi="黑体" w:cs="黑体"/>
          <w:sz w:val="56"/>
          <w:szCs w:val="72"/>
        </w:rPr>
      </w:pPr>
    </w:p>
    <w:p w:rsidR="00281425" w:rsidRDefault="00281425">
      <w:pPr>
        <w:spacing w:line="480" w:lineRule="auto"/>
        <w:rPr>
          <w:rFonts w:ascii="黑体" w:eastAsia="黑体" w:hAnsi="黑体" w:cs="黑体"/>
          <w:sz w:val="56"/>
          <w:szCs w:val="72"/>
        </w:rPr>
      </w:pPr>
    </w:p>
    <w:p w:rsidR="00281425" w:rsidRDefault="008E4780">
      <w:pPr>
        <w:widowControl/>
        <w:spacing w:line="360" w:lineRule="auto"/>
        <w:jc w:val="center"/>
        <w:rPr>
          <w:rFonts w:ascii="Times New Roman" w:eastAsia="楷体_GB2312"/>
          <w:sz w:val="44"/>
          <w:szCs w:val="44"/>
        </w:rPr>
      </w:pPr>
      <w:r>
        <w:rPr>
          <w:rFonts w:ascii="Times New Roman" w:eastAsia="楷体_GB2312"/>
          <w:sz w:val="44"/>
          <w:szCs w:val="44"/>
        </w:rPr>
        <w:t>青龙满族自治县不动产登记中心</w:t>
      </w:r>
    </w:p>
    <w:p w:rsidR="00281425" w:rsidRDefault="008E4780">
      <w:pPr>
        <w:widowControl/>
        <w:spacing w:line="360" w:lineRule="auto"/>
        <w:jc w:val="center"/>
        <w:rPr>
          <w:rFonts w:ascii="Times New Roman" w:eastAsia="楷体_GB2312"/>
          <w:sz w:val="44"/>
          <w:szCs w:val="44"/>
        </w:rPr>
      </w:pPr>
      <w:r>
        <w:rPr>
          <w:rFonts w:ascii="Times New Roman" w:eastAsia="楷体_GB2312"/>
          <w:sz w:val="44"/>
          <w:szCs w:val="44"/>
        </w:rPr>
        <w:t>二〇二五年八月</w:t>
      </w:r>
    </w:p>
    <w:p w:rsidR="00281425" w:rsidRDefault="00281425">
      <w:pPr>
        <w:snapToGrid w:val="0"/>
        <w:jc w:val="left"/>
        <w:rPr>
          <w:rFonts w:ascii="楷体_GB2312" w:eastAsia="楷体_GB2312" w:hAnsi="楷体_GB2312" w:cs="楷体_GB2312"/>
          <w:color w:val="000000" w:themeColor="text1"/>
          <w:sz w:val="44"/>
          <w:szCs w:val="44"/>
        </w:rPr>
      </w:pPr>
    </w:p>
    <w:p w:rsidR="00281425" w:rsidRDefault="00281425">
      <w:pPr>
        <w:snapToGrid w:val="0"/>
        <w:jc w:val="left"/>
        <w:rPr>
          <w:rFonts w:ascii="楷体_GB2312" w:eastAsia="楷体_GB2312" w:hAnsi="楷体_GB2312" w:cs="楷体_GB2312"/>
          <w:color w:val="000000" w:themeColor="text1"/>
          <w:sz w:val="44"/>
          <w:szCs w:val="44"/>
        </w:rPr>
        <w:sectPr w:rsidR="00281425">
          <w:footerReference w:type="default" r:id="rId10"/>
          <w:pgSz w:w="11906" w:h="16838"/>
          <w:pgMar w:top="1531" w:right="1984" w:bottom="1531" w:left="2098" w:header="851" w:footer="992" w:gutter="0"/>
          <w:cols w:space="720"/>
          <w:docGrid w:type="lines" w:linePitch="312"/>
        </w:sectPr>
      </w:pPr>
    </w:p>
    <w:p w:rsidR="00281425" w:rsidRDefault="00281425">
      <w:pPr>
        <w:widowControl/>
        <w:spacing w:line="600" w:lineRule="exact"/>
        <w:jc w:val="left"/>
        <w:rPr>
          <w:rFonts w:ascii="黑体" w:eastAsia="黑体" w:hAnsi="黑体" w:cs="黑体"/>
          <w:bCs/>
          <w:sz w:val="32"/>
          <w:szCs w:val="32"/>
        </w:rPr>
      </w:pPr>
    </w:p>
    <w:p w:rsidR="00281425" w:rsidRDefault="00281425">
      <w:pPr>
        <w:tabs>
          <w:tab w:val="left" w:pos="2728"/>
        </w:tabs>
        <w:jc w:val="center"/>
        <w:rPr>
          <w:rFonts w:ascii="黑体" w:eastAsia="黑体" w:hAnsi="Times New Roman" w:cs="Times New Roman"/>
          <w:sz w:val="48"/>
          <w:szCs w:val="48"/>
        </w:rPr>
      </w:pPr>
    </w:p>
    <w:p w:rsidR="00281425" w:rsidRDefault="008E4780">
      <w:pPr>
        <w:widowControl/>
        <w:spacing w:line="360" w:lineRule="auto"/>
        <w:jc w:val="center"/>
        <w:outlineLvl w:val="0"/>
        <w:rPr>
          <w:rFonts w:ascii="Times New Roman" w:eastAsia="黑体"/>
          <w:sz w:val="44"/>
          <w:szCs w:val="44"/>
        </w:rPr>
      </w:pPr>
      <w:r>
        <w:rPr>
          <w:rFonts w:ascii="Times New Roman" w:eastAsia="黑体"/>
          <w:sz w:val="44"/>
          <w:szCs w:val="44"/>
        </w:rPr>
        <w:t>目</w:t>
      </w:r>
      <w:r>
        <w:rPr>
          <w:rFonts w:ascii="Times New Roman" w:eastAsia="黑体"/>
          <w:sz w:val="44"/>
          <w:szCs w:val="44"/>
        </w:rPr>
        <w:t xml:space="preserve">  </w:t>
      </w:r>
      <w:r>
        <w:rPr>
          <w:rFonts w:ascii="Times New Roman" w:eastAsia="黑体"/>
          <w:sz w:val="44"/>
          <w:szCs w:val="44"/>
        </w:rPr>
        <w:t>录</w:t>
      </w:r>
    </w:p>
    <w:p w:rsidR="00281425" w:rsidRDefault="00281425">
      <w:pPr>
        <w:widowControl/>
        <w:spacing w:after="160" w:line="580" w:lineRule="exact"/>
        <w:ind w:firstLineChars="200" w:firstLine="640"/>
        <w:rPr>
          <w:rFonts w:ascii="Times New Roman" w:eastAsia="黑体" w:hAnsi="Times New Roman" w:cs="Times New Roman"/>
          <w:sz w:val="32"/>
          <w:szCs w:val="32"/>
        </w:rPr>
      </w:pPr>
    </w:p>
    <w:p w:rsidR="00281425" w:rsidRDefault="008E4780">
      <w:pPr>
        <w:widowControl/>
        <w:spacing w:line="360" w:lineRule="auto"/>
        <w:jc w:val="left"/>
        <w:rPr>
          <w:rFonts w:ascii="Times New Roman" w:eastAsia="黑体"/>
          <w:sz w:val="32"/>
          <w:szCs w:val="32"/>
        </w:rPr>
      </w:pPr>
      <w:r>
        <w:rPr>
          <w:rFonts w:ascii="Times New Roman" w:eastAsia="黑体"/>
          <w:sz w:val="32"/>
          <w:szCs w:val="32"/>
        </w:rPr>
        <w:t>第一部分单位概况</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一、单位职责</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二、机构设置</w:t>
      </w:r>
    </w:p>
    <w:p w:rsidR="00281425" w:rsidRDefault="008E4780">
      <w:pPr>
        <w:widowControl/>
        <w:spacing w:line="360" w:lineRule="auto"/>
        <w:jc w:val="left"/>
        <w:outlineLvl w:val="0"/>
        <w:rPr>
          <w:rFonts w:ascii="Times New Roman" w:eastAsia="黑体"/>
          <w:sz w:val="32"/>
          <w:szCs w:val="32"/>
        </w:rPr>
      </w:pPr>
      <w:r>
        <w:rPr>
          <w:rFonts w:ascii="Times New Roman" w:eastAsia="黑体"/>
          <w:sz w:val="32"/>
          <w:szCs w:val="32"/>
        </w:rPr>
        <w:t>第二部分</w:t>
      </w:r>
      <w:r>
        <w:rPr>
          <w:rFonts w:ascii="Times New Roman" w:eastAsia="黑体"/>
          <w:sz w:val="32"/>
          <w:szCs w:val="32"/>
        </w:rPr>
        <w:t xml:space="preserve"> 2024</w:t>
      </w:r>
      <w:r>
        <w:rPr>
          <w:rFonts w:ascii="Times New Roman" w:eastAsia="黑体"/>
          <w:sz w:val="32"/>
          <w:szCs w:val="32"/>
        </w:rPr>
        <w:t>年度部门决算报表</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一、收入支出决算总表</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二、收入决算表</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三、支出决算表</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四、财政拨款收入支出决算总表</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五、一般公共预算财政拨款支出决算表</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六、一般公共预算财政拨款基本支出决算明细表</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七、政府性基金预算财政拨款收入支出决算表</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八、国有资本经营预算财政拨款支出决算表</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经费支出决算表</w:t>
      </w:r>
    </w:p>
    <w:p w:rsidR="00281425" w:rsidRDefault="008E4780">
      <w:pPr>
        <w:widowControl/>
        <w:spacing w:line="360" w:lineRule="auto"/>
        <w:jc w:val="left"/>
        <w:rPr>
          <w:rFonts w:ascii="Times New Roman" w:eastAsia="黑体"/>
          <w:sz w:val="32"/>
          <w:szCs w:val="32"/>
        </w:rPr>
      </w:pPr>
      <w:r>
        <w:rPr>
          <w:rFonts w:ascii="Times New Roman" w:eastAsia="黑体"/>
          <w:sz w:val="32"/>
          <w:szCs w:val="32"/>
        </w:rPr>
        <w:t>第三部分</w:t>
      </w:r>
      <w:r>
        <w:rPr>
          <w:rFonts w:ascii="Times New Roman" w:eastAsia="黑体"/>
          <w:sz w:val="32"/>
          <w:szCs w:val="32"/>
        </w:rPr>
        <w:t xml:space="preserve"> 2024</w:t>
      </w:r>
      <w:r>
        <w:rPr>
          <w:rFonts w:ascii="Times New Roman" w:eastAsia="黑体"/>
          <w:sz w:val="32"/>
          <w:szCs w:val="32"/>
        </w:rPr>
        <w:t>年度部门决算情况说明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一、收入支出决算总体情况说明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四、财政拨款收入支出决算总体情况说明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五、财政拨款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六、机关运行经费支出说明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七、政府采购支出说明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八、国有资产占用情况说明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九、关于</w:t>
      </w:r>
      <w:r>
        <w:rPr>
          <w:rFonts w:ascii="Times New Roman" w:eastAsia="仿宋_GB2312"/>
          <w:sz w:val="32"/>
          <w:szCs w:val="32"/>
        </w:rPr>
        <w:t>2024</w:t>
      </w:r>
      <w:r>
        <w:rPr>
          <w:rFonts w:ascii="Times New Roman" w:eastAsia="仿宋_GB2312"/>
          <w:sz w:val="32"/>
          <w:szCs w:val="32"/>
        </w:rPr>
        <w:t>年度绩效评价情况的说明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十、其他需要说明的情况</w:t>
      </w:r>
    </w:p>
    <w:p w:rsidR="00281425" w:rsidRDefault="008E4780">
      <w:pPr>
        <w:widowControl/>
        <w:spacing w:line="360" w:lineRule="auto"/>
        <w:jc w:val="left"/>
        <w:rPr>
          <w:rFonts w:ascii="Times New Roman" w:eastAsia="黑体"/>
          <w:sz w:val="32"/>
          <w:szCs w:val="32"/>
        </w:rPr>
      </w:pPr>
      <w:r>
        <w:rPr>
          <w:rFonts w:ascii="Times New Roman" w:eastAsia="黑体"/>
          <w:sz w:val="32"/>
          <w:szCs w:val="32"/>
        </w:rPr>
        <w:t>第四部分</w:t>
      </w:r>
      <w:r>
        <w:rPr>
          <w:rFonts w:ascii="Times New Roman" w:eastAsia="黑体"/>
          <w:sz w:val="32"/>
          <w:szCs w:val="32"/>
        </w:rPr>
        <w:t xml:space="preserve"> </w:t>
      </w:r>
      <w:r>
        <w:rPr>
          <w:rFonts w:ascii="Times New Roman" w:eastAsia="黑体"/>
          <w:sz w:val="32"/>
          <w:szCs w:val="32"/>
        </w:rPr>
        <w:t>名词解释</w:t>
      </w:r>
    </w:p>
    <w:p w:rsidR="00281425" w:rsidRDefault="00281425">
      <w:pPr>
        <w:widowControl/>
        <w:spacing w:after="160" w:line="580" w:lineRule="exact"/>
        <w:rPr>
          <w:rFonts w:ascii="Times New Roman" w:eastAsia="黑体" w:hAnsi="Times New Roman" w:cs="Times New Roman"/>
          <w:sz w:val="32"/>
          <w:szCs w:val="32"/>
        </w:rPr>
        <w:sectPr w:rsidR="00281425">
          <w:headerReference w:type="default" r:id="rId11"/>
          <w:footerReference w:type="default" r:id="rId12"/>
          <w:headerReference w:type="first" r:id="rId13"/>
          <w:footerReference w:type="first" r:id="rId14"/>
          <w:pgSz w:w="11906" w:h="16838"/>
          <w:pgMar w:top="1474" w:right="1531" w:bottom="1474" w:left="1531" w:header="851" w:footer="992" w:gutter="0"/>
          <w:cols w:space="0"/>
          <w:titlePg/>
          <w:docGrid w:type="lines" w:linePitch="312"/>
        </w:sectPr>
      </w:pPr>
    </w:p>
    <w:p w:rsidR="00281425" w:rsidRDefault="008E478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第一部分单位概况</w:t>
      </w:r>
    </w:p>
    <w:p w:rsidR="00281425" w:rsidRDefault="008E4780">
      <w:pPr>
        <w:widowControl/>
        <w:spacing w:line="360" w:lineRule="auto"/>
        <w:jc w:val="left"/>
        <w:outlineLvl w:val="1"/>
        <w:rPr>
          <w:rFonts w:ascii="Times New Roman" w:eastAsia="黑体"/>
          <w:sz w:val="32"/>
          <w:szCs w:val="32"/>
        </w:rPr>
      </w:pPr>
      <w:r>
        <w:rPr>
          <w:rFonts w:ascii="Times New Roman" w:eastAsia="黑体"/>
          <w:sz w:val="32"/>
          <w:szCs w:val="32"/>
        </w:rPr>
        <w:t>一、单位职责</w:t>
      </w:r>
    </w:p>
    <w:p w:rsidR="00281425" w:rsidRDefault="008E4780">
      <w:pPr>
        <w:spacing w:line="360" w:lineRule="auto"/>
        <w:ind w:firstLineChars="200" w:firstLine="640"/>
        <w:rPr>
          <w:rFonts w:ascii="Times New Roman" w:eastAsia="仿宋_GB2312"/>
          <w:sz w:val="32"/>
          <w:szCs w:val="32"/>
        </w:rPr>
      </w:pPr>
      <w:r>
        <w:rPr>
          <w:rFonts w:ascii="仿宋_GB2312" w:eastAsia="仿宋" w:cs="ArialUnicodeMS" w:hint="eastAsia"/>
          <w:sz w:val="32"/>
          <w:szCs w:val="32"/>
        </w:rPr>
        <w:t>负责全县自然资源不动产统一确权登记工作。贯彻执行国家、省、市各类自然资源不动产统一确权登记、权籍调查、不动产测绘、争议调处、成果应用方面的制度、标准、规范；建立健全全县自然资源不动产登记信息管理基础平台；负责全县自然资源不动产资料收集、整理、共享、汇交管理等。</w:t>
      </w:r>
    </w:p>
    <w:p w:rsidR="00281425" w:rsidRDefault="008E4780">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从决算编报单位构成看，纳入</w:t>
      </w:r>
      <w:r>
        <w:rPr>
          <w:rFonts w:ascii="Times New Roman" w:eastAsia="仿宋_GB2312"/>
          <w:sz w:val="32"/>
          <w:szCs w:val="32"/>
        </w:rPr>
        <w:t>2024</w:t>
      </w:r>
      <w:r>
        <w:rPr>
          <w:rFonts w:ascii="Times New Roman" w:eastAsia="仿宋_GB2312"/>
          <w:sz w:val="32"/>
          <w:szCs w:val="32"/>
        </w:rPr>
        <w:t>年度本部门决算汇编范围的独立核算单位（以下简称</w:t>
      </w:r>
      <w:r>
        <w:rPr>
          <w:rFonts w:ascii="Times New Roman" w:eastAsia="仿宋_GB2312"/>
          <w:sz w:val="32"/>
          <w:szCs w:val="32"/>
        </w:rPr>
        <w:t>“</w:t>
      </w:r>
      <w:r>
        <w:rPr>
          <w:rFonts w:ascii="Times New Roman" w:eastAsia="仿宋_GB2312"/>
          <w:sz w:val="32"/>
          <w:szCs w:val="32"/>
        </w:rPr>
        <w:t>单位</w:t>
      </w:r>
      <w:r>
        <w:rPr>
          <w:rFonts w:ascii="Times New Roman" w:eastAsia="仿宋_GB2312"/>
          <w:sz w:val="32"/>
          <w:szCs w:val="32"/>
        </w:rPr>
        <w:t>”</w:t>
      </w:r>
      <w:r>
        <w:rPr>
          <w:rFonts w:ascii="Times New Roman" w:eastAsia="仿宋_GB2312"/>
          <w:sz w:val="32"/>
          <w:szCs w:val="32"/>
        </w:rPr>
        <w:t>）共</w:t>
      </w:r>
      <w:r>
        <w:rPr>
          <w:rFonts w:ascii="Times New Roman" w:eastAsia="仿宋_GB2312" w:hint="eastAsia"/>
          <w:sz w:val="32"/>
          <w:szCs w:val="32"/>
        </w:rPr>
        <w:t>1</w:t>
      </w:r>
      <w:r>
        <w:rPr>
          <w:rFonts w:ascii="Times New Roman" w:eastAsia="仿宋_GB2312"/>
          <w:sz w:val="32"/>
          <w:szCs w:val="32"/>
        </w:rPr>
        <w:t>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281425">
        <w:trPr>
          <w:trHeight w:val="811"/>
          <w:jc w:val="center"/>
        </w:trPr>
        <w:tc>
          <w:tcPr>
            <w:tcW w:w="985" w:type="dxa"/>
            <w:vAlign w:val="center"/>
          </w:tcPr>
          <w:p w:rsidR="00281425" w:rsidRDefault="008E478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序号</w:t>
            </w:r>
          </w:p>
        </w:tc>
        <w:tc>
          <w:tcPr>
            <w:tcW w:w="3485" w:type="dxa"/>
            <w:vAlign w:val="center"/>
          </w:tcPr>
          <w:p w:rsidR="00281425" w:rsidRDefault="008E478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单位名称</w:t>
            </w:r>
          </w:p>
        </w:tc>
        <w:tc>
          <w:tcPr>
            <w:tcW w:w="2445" w:type="dxa"/>
            <w:vAlign w:val="center"/>
          </w:tcPr>
          <w:p w:rsidR="00281425" w:rsidRDefault="008E478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单位基本性质</w:t>
            </w:r>
          </w:p>
        </w:tc>
        <w:tc>
          <w:tcPr>
            <w:tcW w:w="2665" w:type="dxa"/>
            <w:vAlign w:val="center"/>
          </w:tcPr>
          <w:p w:rsidR="00281425" w:rsidRDefault="008E4780">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经费形式</w:t>
            </w:r>
          </w:p>
        </w:tc>
      </w:tr>
      <w:tr w:rsidR="00281425">
        <w:trPr>
          <w:trHeight w:val="596"/>
          <w:jc w:val="center"/>
        </w:trPr>
        <w:tc>
          <w:tcPr>
            <w:tcW w:w="985" w:type="dxa"/>
          </w:tcPr>
          <w:p w:rsidR="00281425" w:rsidRDefault="008E4780">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1</w:t>
            </w:r>
          </w:p>
        </w:tc>
        <w:tc>
          <w:tcPr>
            <w:tcW w:w="3485" w:type="dxa"/>
          </w:tcPr>
          <w:p w:rsidR="00281425" w:rsidRDefault="008E4780">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青龙满族自治县不动产登记中心</w:t>
            </w:r>
          </w:p>
        </w:tc>
        <w:tc>
          <w:tcPr>
            <w:tcW w:w="2445" w:type="dxa"/>
          </w:tcPr>
          <w:p w:rsidR="00281425" w:rsidRDefault="008E4780">
            <w:pPr>
              <w:spacing w:line="560" w:lineRule="exact"/>
              <w:jc w:val="center"/>
              <w:rPr>
                <w:rFonts w:ascii="仿宋_GB2312" w:eastAsia="仿宋_GB2312" w:hAnsi="Calibri" w:cs="ArialUnicodeMS"/>
                <w:sz w:val="28"/>
                <w:szCs w:val="28"/>
              </w:rPr>
            </w:pPr>
            <w:r>
              <w:rPr>
                <w:rFonts w:ascii="仿宋_GB2312" w:eastAsia="仿宋_GB2312" w:hAnsi="仿宋_GB2312" w:cs="仿宋_GB2312" w:hint="eastAsia"/>
                <w:sz w:val="32"/>
                <w:szCs w:val="32"/>
                <w:shd w:val="clear" w:color="auto" w:fill="FFFFFF"/>
              </w:rPr>
              <w:t>经费自理事业单位</w:t>
            </w:r>
          </w:p>
        </w:tc>
        <w:tc>
          <w:tcPr>
            <w:tcW w:w="2665" w:type="dxa"/>
          </w:tcPr>
          <w:p w:rsidR="00281425" w:rsidRDefault="008E4780">
            <w:pPr>
              <w:spacing w:line="560" w:lineRule="exact"/>
              <w:jc w:val="center"/>
              <w:rPr>
                <w:rFonts w:ascii="仿宋_GB2312" w:eastAsia="仿宋_GB2312" w:hAnsi="Calibri" w:cs="ArialUnicodeMS"/>
                <w:sz w:val="28"/>
                <w:szCs w:val="28"/>
              </w:rPr>
            </w:pPr>
            <w:r>
              <w:rPr>
                <w:rFonts w:ascii="仿宋_GB2312" w:eastAsia="仿宋_GB2312" w:hAnsi="仿宋_GB2312" w:cs="仿宋_GB2312" w:hint="eastAsia"/>
                <w:sz w:val="32"/>
                <w:szCs w:val="32"/>
                <w:shd w:val="clear" w:color="auto" w:fill="FFFFFF"/>
              </w:rPr>
              <w:t>财政性资金零补助</w:t>
            </w:r>
          </w:p>
        </w:tc>
      </w:tr>
    </w:tbl>
    <w:p w:rsidR="00281425" w:rsidRPr="00C85C0B" w:rsidRDefault="008E4780">
      <w:pPr>
        <w:rPr>
          <w:rFonts w:ascii="Times New Roman" w:eastAsia="黑体" w:hAnsi="Times New Roman" w:cs="Times New Roman"/>
          <w:sz w:val="32"/>
          <w:szCs w:val="32"/>
        </w:rPr>
      </w:pPr>
      <w:r w:rsidRPr="00C85C0B">
        <w:rPr>
          <w:rFonts w:ascii="Times New Roman" w:eastAsia="黑体" w:hAnsi="Times New Roman" w:cs="Times New Roman" w:hint="eastAsia"/>
          <w:sz w:val="32"/>
          <w:szCs w:val="32"/>
        </w:rPr>
        <w:br w:type="page"/>
      </w:r>
    </w:p>
    <w:p w:rsidR="00281425" w:rsidRDefault="008E478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第二部分</w:t>
      </w:r>
      <w:r>
        <w:rPr>
          <w:rFonts w:ascii="Times New Roman" w:eastAsia="仿宋_GB2312"/>
          <w:sz w:val="44"/>
          <w:szCs w:val="44"/>
        </w:rPr>
        <w:t>2024</w:t>
      </w:r>
      <w:r>
        <w:rPr>
          <w:rFonts w:ascii="Times New Roman" w:eastAsia="黑体"/>
          <w:sz w:val="44"/>
          <w:szCs w:val="44"/>
        </w:rPr>
        <w:t>年度部门决算表</w:t>
      </w:r>
    </w:p>
    <w:tbl>
      <w:tblPr>
        <w:tblW w:w="7250" w:type="pct"/>
        <w:tblInd w:w="-1817" w:type="dxa"/>
        <w:tblLayout w:type="fixed"/>
        <w:tblLook w:val="04A0"/>
      </w:tblPr>
      <w:tblGrid>
        <w:gridCol w:w="3343"/>
        <w:gridCol w:w="623"/>
        <w:gridCol w:w="613"/>
        <w:gridCol w:w="1317"/>
        <w:gridCol w:w="1625"/>
        <w:gridCol w:w="1548"/>
        <w:gridCol w:w="623"/>
        <w:gridCol w:w="1931"/>
        <w:gridCol w:w="35"/>
      </w:tblGrid>
      <w:tr w:rsidR="00281425">
        <w:trPr>
          <w:gridAfter w:val="1"/>
          <w:wAfter w:w="14" w:type="pct"/>
          <w:trHeight w:val="361"/>
        </w:trPr>
        <w:tc>
          <w:tcPr>
            <w:tcW w:w="4985" w:type="pct"/>
            <w:gridSpan w:val="8"/>
            <w:tcBorders>
              <w:top w:val="nil"/>
              <w:left w:val="nil"/>
              <w:bottom w:val="nil"/>
              <w:right w:val="nil"/>
            </w:tcBorders>
            <w:noWrap/>
            <w:vAlign w:val="bottom"/>
          </w:tcPr>
          <w:p w:rsidR="00281425" w:rsidRDefault="008E478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t>收入支出决算总表</w:t>
            </w:r>
          </w:p>
        </w:tc>
      </w:tr>
      <w:tr w:rsidR="00281425">
        <w:trPr>
          <w:gridAfter w:val="1"/>
          <w:wAfter w:w="14" w:type="pct"/>
          <w:trHeight w:val="357"/>
        </w:trPr>
        <w:tc>
          <w:tcPr>
            <w:tcW w:w="4985" w:type="pct"/>
            <w:gridSpan w:val="8"/>
            <w:tcBorders>
              <w:top w:val="nil"/>
              <w:left w:val="nil"/>
              <w:bottom w:val="nil"/>
              <w:right w:val="nil"/>
            </w:tcBorders>
            <w:noWrap/>
            <w:vAlign w:val="bottom"/>
          </w:tcPr>
          <w:p w:rsidR="00281425" w:rsidRDefault="008E478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 xml:space="preserve"> 公开</w:t>
            </w:r>
            <w:r>
              <w:rPr>
                <w:rFonts w:ascii="Times New Roman" w:eastAsia="宋体" w:hAnsi="Times New Roman" w:cs="Times New Roman" w:hint="eastAsia"/>
                <w:color w:val="000000"/>
                <w:sz w:val="20"/>
                <w:szCs w:val="20"/>
              </w:rPr>
              <w:t>01</w:t>
            </w:r>
            <w:r>
              <w:rPr>
                <w:rFonts w:ascii="方正仿宋_GB2312" w:eastAsia="方正仿宋_GB2312" w:hAnsi="方正仿宋_GB2312" w:cs="方正仿宋_GB2312" w:hint="eastAsia"/>
                <w:color w:val="000000"/>
                <w:sz w:val="20"/>
                <w:szCs w:val="20"/>
              </w:rPr>
              <w:t>表</w:t>
            </w:r>
          </w:p>
        </w:tc>
      </w:tr>
      <w:tr w:rsidR="00281425">
        <w:trPr>
          <w:gridAfter w:val="1"/>
          <w:wAfter w:w="14" w:type="pct"/>
          <w:trHeight w:val="351"/>
        </w:trPr>
        <w:tc>
          <w:tcPr>
            <w:tcW w:w="1964" w:type="pct"/>
            <w:gridSpan w:val="3"/>
            <w:tcBorders>
              <w:top w:val="nil"/>
              <w:left w:val="nil"/>
              <w:bottom w:val="single" w:sz="4" w:space="0" w:color="auto"/>
              <w:right w:val="nil"/>
            </w:tcBorders>
            <w:noWrap/>
            <w:vAlign w:val="bottom"/>
          </w:tcPr>
          <w:p w:rsidR="00281425" w:rsidRDefault="008E4780">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部门（单位）：青龙满族自治县不动产登记中心</w:t>
            </w:r>
          </w:p>
        </w:tc>
        <w:tc>
          <w:tcPr>
            <w:tcW w:w="1262" w:type="pct"/>
            <w:gridSpan w:val="2"/>
            <w:tcBorders>
              <w:top w:val="nil"/>
              <w:left w:val="nil"/>
              <w:bottom w:val="single" w:sz="4" w:space="0" w:color="auto"/>
              <w:right w:val="nil"/>
            </w:tcBorders>
            <w:noWrap/>
            <w:vAlign w:val="bottom"/>
          </w:tcPr>
          <w:p w:rsidR="00281425" w:rsidRDefault="008E4780">
            <w:pPr>
              <w:jc w:val="center"/>
              <w:rPr>
                <w:rFonts w:ascii="宋体" w:eastAsia="宋体" w:hAnsi="宋体"/>
                <w:color w:val="000000"/>
                <w:sz w:val="20"/>
                <w:szCs w:val="20"/>
              </w:rPr>
            </w:pPr>
            <w:r>
              <w:rPr>
                <w:rFonts w:ascii="Times New Roman" w:eastAsia="宋体" w:hAnsi="Times New Roman" w:cs="Times New Roman" w:hint="eastAsia"/>
                <w:color w:val="000000"/>
                <w:sz w:val="20"/>
                <w:szCs w:val="20"/>
              </w:rPr>
              <w:t>2024</w:t>
            </w:r>
            <w:r>
              <w:rPr>
                <w:rFonts w:ascii="方正仿宋_GB2312" w:eastAsia="方正仿宋_GB2312" w:hAnsi="方正仿宋_GB2312" w:cs="方正仿宋_GB2312" w:hint="eastAsia"/>
                <w:color w:val="000000"/>
                <w:sz w:val="20"/>
                <w:szCs w:val="20"/>
              </w:rPr>
              <w:t>年度</w:t>
            </w:r>
          </w:p>
        </w:tc>
        <w:tc>
          <w:tcPr>
            <w:tcW w:w="1757" w:type="pct"/>
            <w:gridSpan w:val="3"/>
            <w:tcBorders>
              <w:top w:val="nil"/>
              <w:left w:val="nil"/>
              <w:bottom w:val="single" w:sz="4" w:space="0" w:color="auto"/>
              <w:right w:val="nil"/>
            </w:tcBorders>
            <w:noWrap/>
            <w:vAlign w:val="bottom"/>
          </w:tcPr>
          <w:p w:rsidR="00281425" w:rsidRDefault="008E4780">
            <w:pPr>
              <w:jc w:val="right"/>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281425">
        <w:trPr>
          <w:gridAfter w:val="1"/>
          <w:wAfter w:w="14" w:type="pct"/>
          <w:trHeight w:val="544"/>
        </w:trPr>
        <w:tc>
          <w:tcPr>
            <w:tcW w:w="2529" w:type="pct"/>
            <w:gridSpan w:val="4"/>
            <w:tcBorders>
              <w:top w:val="single" w:sz="4" w:space="0" w:color="auto"/>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收入</w:t>
            </w:r>
          </w:p>
        </w:tc>
        <w:tc>
          <w:tcPr>
            <w:tcW w:w="2456" w:type="pct"/>
            <w:gridSpan w:val="4"/>
            <w:tcBorders>
              <w:top w:val="single" w:sz="4" w:space="0" w:color="auto"/>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支出</w:t>
            </w:r>
          </w:p>
        </w:tc>
      </w:tr>
      <w:tr w:rsidR="00281425">
        <w:trPr>
          <w:gridAfter w:val="1"/>
          <w:wAfter w:w="14" w:type="pct"/>
          <w:trHeight w:val="308"/>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项目</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行次</w:t>
            </w:r>
          </w:p>
        </w:tc>
        <w:tc>
          <w:tcPr>
            <w:tcW w:w="826"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决算数</w:t>
            </w: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项目</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行次</w:t>
            </w:r>
          </w:p>
        </w:tc>
        <w:tc>
          <w:tcPr>
            <w:tcW w:w="82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决算数</w:t>
            </w: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栏次</w:t>
            </w:r>
          </w:p>
        </w:tc>
        <w:tc>
          <w:tcPr>
            <w:tcW w:w="267" w:type="pct"/>
            <w:tcBorders>
              <w:top w:val="nil"/>
              <w:left w:val="nil"/>
              <w:bottom w:val="single" w:sz="4" w:space="0" w:color="000000"/>
              <w:right w:val="single" w:sz="4" w:space="0" w:color="000000"/>
            </w:tcBorders>
            <w:noWrap/>
            <w:vAlign w:val="center"/>
          </w:tcPr>
          <w:p w:rsidR="00281425" w:rsidRDefault="00281425">
            <w:pPr>
              <w:jc w:val="center"/>
              <w:rPr>
                <w:rFonts w:ascii="宋体" w:eastAsia="宋体" w:hAnsi="宋体"/>
                <w:color w:val="000000"/>
                <w:sz w:val="20"/>
                <w:szCs w:val="20"/>
              </w:rPr>
            </w:pPr>
          </w:p>
        </w:tc>
        <w:tc>
          <w:tcPr>
            <w:tcW w:w="826"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1</w:t>
            </w: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栏次</w:t>
            </w:r>
          </w:p>
        </w:tc>
        <w:tc>
          <w:tcPr>
            <w:tcW w:w="267" w:type="pct"/>
            <w:tcBorders>
              <w:top w:val="nil"/>
              <w:left w:val="nil"/>
              <w:bottom w:val="single" w:sz="4" w:space="0" w:color="000000"/>
              <w:right w:val="single" w:sz="4" w:space="0" w:color="000000"/>
            </w:tcBorders>
            <w:noWrap/>
            <w:vAlign w:val="center"/>
          </w:tcPr>
          <w:p w:rsidR="00281425" w:rsidRDefault="00281425">
            <w:pPr>
              <w:jc w:val="center"/>
              <w:rPr>
                <w:rFonts w:ascii="宋体" w:eastAsia="宋体" w:hAnsi="宋体"/>
                <w:color w:val="000000"/>
                <w:sz w:val="20"/>
                <w:szCs w:val="20"/>
              </w:rPr>
            </w:pPr>
          </w:p>
        </w:tc>
        <w:tc>
          <w:tcPr>
            <w:tcW w:w="82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2</w:t>
            </w: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一、一般公共预算财政拨款收入</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宋体" w:eastAsia="宋体" w:hAnsi="宋体"/>
                <w:color w:val="000000"/>
                <w:sz w:val="20"/>
                <w:szCs w:val="20"/>
              </w:rPr>
              <w:t>1</w:t>
            </w:r>
          </w:p>
        </w:tc>
        <w:tc>
          <w:tcPr>
            <w:tcW w:w="826"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149.68</w:t>
            </w: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一、一般公共服务支出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二、政府性基金预算财政拨款收入</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w:t>
            </w:r>
          </w:p>
        </w:tc>
        <w:tc>
          <w:tcPr>
            <w:tcW w:w="826"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15.00</w:t>
            </w: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二、外交支出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三、国有资本经营预算财政拨款收入</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三、国防支出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四、上级补助收入</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四、公共安全支出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五、事业收入</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五、教育支出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六、经营收入</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六、科学技术支出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37</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七、附属单位上缴收入</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七、文化旅游体育与传媒支出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38</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八、其他收入</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八、社会保障和就业支出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39</w:t>
            </w:r>
          </w:p>
        </w:tc>
        <w:tc>
          <w:tcPr>
            <w:tcW w:w="826"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27.88</w:t>
            </w: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九、卫生健康支出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w:t>
            </w:r>
          </w:p>
        </w:tc>
        <w:tc>
          <w:tcPr>
            <w:tcW w:w="826"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8.06</w:t>
            </w: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十、节能环保支出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41</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十一、城乡社区支出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w:t>
            </w:r>
          </w:p>
        </w:tc>
        <w:tc>
          <w:tcPr>
            <w:tcW w:w="826"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15.00</w:t>
            </w: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十二、农林水支出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43</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十三、交通运输支出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44</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auto"/>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nil"/>
              <w:left w:val="nil"/>
              <w:bottom w:val="single" w:sz="4" w:space="0" w:color="auto"/>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w:t>
            </w:r>
          </w:p>
        </w:tc>
        <w:tc>
          <w:tcPr>
            <w:tcW w:w="826" w:type="pct"/>
            <w:gridSpan w:val="2"/>
            <w:tcBorders>
              <w:top w:val="nil"/>
              <w:left w:val="nil"/>
              <w:bottom w:val="single" w:sz="4" w:space="0" w:color="auto"/>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auto"/>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十四、资源勘探工业信息等支出</w:t>
            </w:r>
          </w:p>
        </w:tc>
        <w:tc>
          <w:tcPr>
            <w:tcW w:w="267" w:type="pct"/>
            <w:tcBorders>
              <w:top w:val="nil"/>
              <w:left w:val="nil"/>
              <w:bottom w:val="single" w:sz="4" w:space="0" w:color="auto"/>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w:t>
            </w:r>
          </w:p>
        </w:tc>
        <w:tc>
          <w:tcPr>
            <w:tcW w:w="826" w:type="pct"/>
            <w:tcBorders>
              <w:top w:val="nil"/>
              <w:left w:val="nil"/>
              <w:bottom w:val="single" w:sz="4" w:space="0" w:color="auto"/>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十五、商业服务业等支出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46</w:t>
            </w:r>
          </w:p>
        </w:tc>
        <w:tc>
          <w:tcPr>
            <w:tcW w:w="826"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十六、金融支出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47</w:t>
            </w:r>
          </w:p>
        </w:tc>
        <w:tc>
          <w:tcPr>
            <w:tcW w:w="826"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十七、援助其他地区支出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48</w:t>
            </w:r>
          </w:p>
        </w:tc>
        <w:tc>
          <w:tcPr>
            <w:tcW w:w="826"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十八、自然资源海洋气象等支出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49</w:t>
            </w:r>
          </w:p>
        </w:tc>
        <w:tc>
          <w:tcPr>
            <w:tcW w:w="82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110.26</w:t>
            </w:r>
          </w:p>
        </w:tc>
      </w:tr>
      <w:tr w:rsidR="00281425">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19</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十九、住房保障支出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w:t>
            </w:r>
          </w:p>
        </w:tc>
        <w:tc>
          <w:tcPr>
            <w:tcW w:w="82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6.13</w:t>
            </w:r>
          </w:p>
        </w:tc>
      </w:tr>
      <w:tr w:rsidR="00281425">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二十、粮油物资储备支出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51</w:t>
            </w:r>
          </w:p>
        </w:tc>
        <w:tc>
          <w:tcPr>
            <w:tcW w:w="826"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single" w:sz="4" w:space="0" w:color="auto"/>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single" w:sz="4" w:space="0" w:color="auto"/>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w:t>
            </w:r>
          </w:p>
        </w:tc>
        <w:tc>
          <w:tcPr>
            <w:tcW w:w="826" w:type="pct"/>
            <w:gridSpan w:val="2"/>
            <w:tcBorders>
              <w:top w:val="single" w:sz="4" w:space="0" w:color="auto"/>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single" w:sz="4" w:space="0" w:color="auto"/>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二十一、国有资本经营预算支出</w:t>
            </w:r>
          </w:p>
        </w:tc>
        <w:tc>
          <w:tcPr>
            <w:tcW w:w="267" w:type="pct"/>
            <w:tcBorders>
              <w:top w:val="single" w:sz="4" w:space="0" w:color="auto"/>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w:t>
            </w:r>
          </w:p>
        </w:tc>
        <w:tc>
          <w:tcPr>
            <w:tcW w:w="826" w:type="pct"/>
            <w:tcBorders>
              <w:top w:val="single" w:sz="4" w:space="0" w:color="auto"/>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22</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二十二、灾害防治及应急管理支出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二十三、其他支出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54</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24</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二十四、债务还本支出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55</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二十五、债务付息支出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56</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二十六、抗疫特别国债安排的支出</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57</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本年收入合计</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27</w:t>
            </w:r>
          </w:p>
        </w:tc>
        <w:tc>
          <w:tcPr>
            <w:tcW w:w="826"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164.68</w:t>
            </w: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本年支出合计</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58</w:t>
            </w:r>
          </w:p>
        </w:tc>
        <w:tc>
          <w:tcPr>
            <w:tcW w:w="826"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167.34</w:t>
            </w: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使用非财政拨款结余（含专用结余）</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结余分配</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59</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年初结转和结余</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w:t>
            </w:r>
          </w:p>
        </w:tc>
        <w:tc>
          <w:tcPr>
            <w:tcW w:w="826"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15.22</w:t>
            </w: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年末结转和结余</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w:t>
            </w:r>
          </w:p>
        </w:tc>
        <w:tc>
          <w:tcPr>
            <w:tcW w:w="826"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12.57</w:t>
            </w:r>
          </w:p>
        </w:tc>
      </w:tr>
      <w:tr w:rsidR="00281425">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281425" w:rsidRDefault="00281425">
            <w:pPr>
              <w:widowControl/>
              <w:jc w:val="center"/>
              <w:textAlignment w:val="center"/>
              <w:rPr>
                <w:rFonts w:ascii="方正仿宋_GB2312" w:eastAsia="方正仿宋_GB2312" w:hAnsi="方正仿宋_GB2312" w:cs="方正仿宋_GB2312"/>
                <w:b/>
                <w:bCs/>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w:t>
            </w:r>
          </w:p>
        </w:tc>
        <w:tc>
          <w:tcPr>
            <w:tcW w:w="826"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281425" w:rsidRDefault="00281425">
            <w:pPr>
              <w:widowControl/>
              <w:jc w:val="center"/>
              <w:textAlignment w:val="center"/>
              <w:rPr>
                <w:rFonts w:ascii="方正仿宋_GB2312" w:eastAsia="方正仿宋_GB2312" w:hAnsi="方正仿宋_GB2312" w:cs="方正仿宋_GB2312"/>
                <w:b/>
                <w:bCs/>
                <w:color w:val="000000"/>
                <w:sz w:val="20"/>
                <w:szCs w:val="20"/>
              </w:rPr>
            </w:pP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w:t>
            </w:r>
          </w:p>
        </w:tc>
        <w:tc>
          <w:tcPr>
            <w:tcW w:w="82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gridAfter w:val="1"/>
          <w:wAfter w:w="14" w:type="pct"/>
          <w:trHeight w:val="308"/>
        </w:trPr>
        <w:tc>
          <w:tcPr>
            <w:tcW w:w="1434" w:type="pct"/>
            <w:tcBorders>
              <w:top w:val="nil"/>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总计</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w:t>
            </w:r>
          </w:p>
        </w:tc>
        <w:tc>
          <w:tcPr>
            <w:tcW w:w="826"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179.90</w:t>
            </w:r>
          </w:p>
        </w:tc>
        <w:tc>
          <w:tcPr>
            <w:tcW w:w="1361"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总计</w:t>
            </w:r>
          </w:p>
        </w:tc>
        <w:tc>
          <w:tcPr>
            <w:tcW w:w="26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62</w:t>
            </w:r>
          </w:p>
        </w:tc>
        <w:tc>
          <w:tcPr>
            <w:tcW w:w="826"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179.90</w:t>
            </w:r>
          </w:p>
        </w:tc>
      </w:tr>
      <w:tr w:rsidR="00281425">
        <w:trPr>
          <w:trHeight w:val="308"/>
        </w:trPr>
        <w:tc>
          <w:tcPr>
            <w:tcW w:w="5000" w:type="pct"/>
            <w:gridSpan w:val="9"/>
            <w:tcBorders>
              <w:top w:val="nil"/>
              <w:left w:val="nil"/>
              <w:bottom w:val="nil"/>
              <w:right w:val="nil"/>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注：1.本表反映部门本年度的总收支和年末结转结余情况。</w:t>
            </w:r>
          </w:p>
          <w:p w:rsidR="00281425" w:rsidRDefault="008E4780">
            <w:pPr>
              <w:widowControl/>
              <w:ind w:firstLineChars="200" w:firstLine="400"/>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2.本套报表金额转换时可能存在尾数误差。</w:t>
            </w:r>
          </w:p>
        </w:tc>
      </w:tr>
    </w:tbl>
    <w:p w:rsidR="00281425" w:rsidRDefault="00281425">
      <w:pPr>
        <w:rPr>
          <w:rFonts w:ascii="仿宋_GB2312" w:eastAsia="仿宋_GB2312" w:hAnsi="宋体"/>
          <w:b/>
          <w:sz w:val="32"/>
          <w:szCs w:val="32"/>
        </w:rPr>
      </w:pPr>
    </w:p>
    <w:p w:rsidR="00281425" w:rsidRDefault="008E4780">
      <w:pPr>
        <w:rPr>
          <w:rFonts w:ascii="仿宋_GB2312" w:eastAsia="仿宋_GB2312" w:hAnsi="宋体"/>
          <w:b/>
          <w:sz w:val="32"/>
          <w:szCs w:val="32"/>
        </w:rPr>
      </w:pPr>
      <w:r>
        <w:rPr>
          <w:rFonts w:ascii="仿宋_GB2312" w:eastAsia="仿宋_GB2312" w:hAnsi="宋体" w:hint="eastAsia"/>
          <w:b/>
          <w:sz w:val="32"/>
          <w:szCs w:val="32"/>
        </w:rPr>
        <w:br w:type="page"/>
      </w:r>
    </w:p>
    <w:tbl>
      <w:tblPr>
        <w:tblW w:w="9230" w:type="dxa"/>
        <w:jc w:val="center"/>
        <w:tblLayout w:type="fixed"/>
        <w:tblLook w:val="04A0"/>
      </w:tblPr>
      <w:tblGrid>
        <w:gridCol w:w="1040"/>
        <w:gridCol w:w="1160"/>
        <w:gridCol w:w="1037"/>
        <w:gridCol w:w="1037"/>
        <w:gridCol w:w="1037"/>
        <w:gridCol w:w="964"/>
        <w:gridCol w:w="367"/>
        <w:gridCol w:w="597"/>
        <w:gridCol w:w="1027"/>
        <w:gridCol w:w="964"/>
      </w:tblGrid>
      <w:tr w:rsidR="00281425">
        <w:trPr>
          <w:trHeight w:val="550"/>
          <w:jc w:val="center"/>
        </w:trPr>
        <w:tc>
          <w:tcPr>
            <w:tcW w:w="9230" w:type="dxa"/>
            <w:gridSpan w:val="10"/>
            <w:tcBorders>
              <w:top w:val="nil"/>
              <w:left w:val="nil"/>
              <w:bottom w:val="nil"/>
              <w:right w:val="nil"/>
            </w:tcBorders>
            <w:noWrap/>
            <w:vAlign w:val="bottom"/>
          </w:tcPr>
          <w:p w:rsidR="00281425" w:rsidRDefault="008E478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收入决算表</w:t>
            </w:r>
          </w:p>
        </w:tc>
      </w:tr>
      <w:tr w:rsidR="00281425">
        <w:trPr>
          <w:trHeight w:val="300"/>
          <w:jc w:val="center"/>
        </w:trPr>
        <w:tc>
          <w:tcPr>
            <w:tcW w:w="9230" w:type="dxa"/>
            <w:gridSpan w:val="10"/>
            <w:tcBorders>
              <w:top w:val="nil"/>
              <w:left w:val="nil"/>
              <w:bottom w:val="nil"/>
              <w:right w:val="nil"/>
            </w:tcBorders>
            <w:noWrap/>
            <w:vAlign w:val="bottom"/>
          </w:tcPr>
          <w:p w:rsidR="00281425" w:rsidRDefault="008E478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w:t>
            </w:r>
            <w:r>
              <w:rPr>
                <w:rFonts w:ascii="Times New Roman" w:eastAsia="宋体" w:hAnsi="Times New Roman" w:cs="Times New Roman" w:hint="eastAsia"/>
                <w:color w:val="000000"/>
                <w:sz w:val="20"/>
                <w:szCs w:val="20"/>
              </w:rPr>
              <w:t>02</w:t>
            </w:r>
            <w:r>
              <w:rPr>
                <w:rFonts w:ascii="方正仿宋_GB2312" w:eastAsia="方正仿宋_GB2312" w:hAnsi="方正仿宋_GB2312" w:cs="方正仿宋_GB2312" w:hint="eastAsia"/>
                <w:color w:val="000000"/>
                <w:sz w:val="20"/>
                <w:szCs w:val="20"/>
              </w:rPr>
              <w:t>表</w:t>
            </w:r>
          </w:p>
        </w:tc>
      </w:tr>
      <w:tr w:rsidR="00281425">
        <w:trPr>
          <w:trHeight w:val="300"/>
          <w:jc w:val="center"/>
        </w:trPr>
        <w:tc>
          <w:tcPr>
            <w:tcW w:w="3237" w:type="dxa"/>
            <w:gridSpan w:val="3"/>
            <w:tcBorders>
              <w:top w:val="nil"/>
              <w:left w:val="nil"/>
              <w:bottom w:val="single" w:sz="4" w:space="0" w:color="auto"/>
              <w:right w:val="nil"/>
            </w:tcBorders>
            <w:noWrap/>
            <w:vAlign w:val="bottom"/>
          </w:tcPr>
          <w:p w:rsidR="00281425" w:rsidRDefault="008E4780">
            <w:pP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 xml:space="preserve">部门（单位）：青龙满族自治县不动产登记中心                                                                                                         </w:t>
            </w:r>
          </w:p>
        </w:tc>
        <w:tc>
          <w:tcPr>
            <w:tcW w:w="3405" w:type="dxa"/>
            <w:gridSpan w:val="4"/>
            <w:tcBorders>
              <w:top w:val="nil"/>
              <w:left w:val="nil"/>
              <w:bottom w:val="single" w:sz="4" w:space="0" w:color="auto"/>
              <w:right w:val="nil"/>
            </w:tcBorders>
            <w:noWrap/>
            <w:vAlign w:val="bottom"/>
          </w:tcPr>
          <w:p w:rsidR="00281425" w:rsidRDefault="008E4780">
            <w:pPr>
              <w:jc w:val="center"/>
              <w:rPr>
                <w:rFonts w:ascii="方正仿宋_GB2312" w:eastAsia="方正仿宋_GB2312" w:hAnsi="方正仿宋_GB2312" w:cs="方正仿宋_GB2312"/>
                <w:color w:val="000000"/>
                <w:sz w:val="20"/>
                <w:szCs w:val="20"/>
              </w:rPr>
            </w:pPr>
            <w:r>
              <w:rPr>
                <w:rFonts w:ascii="Times New Roman" w:eastAsia="方正仿宋_GB2312" w:hAnsi="Times New Roman" w:cs="Times New Roman"/>
                <w:color w:val="000000"/>
                <w:sz w:val="20"/>
                <w:szCs w:val="20"/>
              </w:rPr>
              <w:t>202</w:t>
            </w:r>
            <w:r>
              <w:rPr>
                <w:rFonts w:ascii="Times New Roman" w:eastAsia="方正仿宋_GB2312"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2588" w:type="dxa"/>
            <w:gridSpan w:val="3"/>
            <w:tcBorders>
              <w:top w:val="nil"/>
              <w:left w:val="nil"/>
              <w:bottom w:val="single" w:sz="4" w:space="0" w:color="auto"/>
              <w:right w:val="nil"/>
            </w:tcBorders>
            <w:noWrap/>
            <w:vAlign w:val="bottom"/>
          </w:tcPr>
          <w:p w:rsidR="00281425" w:rsidRDefault="008E4780">
            <w:pPr>
              <w:jc w:val="righ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281425">
        <w:trPr>
          <w:trHeight w:val="510"/>
          <w:jc w:val="center"/>
        </w:trPr>
        <w:tc>
          <w:tcPr>
            <w:tcW w:w="2200" w:type="dxa"/>
            <w:gridSpan w:val="2"/>
            <w:tcBorders>
              <w:top w:val="single" w:sz="4" w:space="0" w:color="auto"/>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w:t>
            </w:r>
          </w:p>
        </w:tc>
        <w:tc>
          <w:tcPr>
            <w:tcW w:w="1037" w:type="dxa"/>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本年收入合计</w:t>
            </w:r>
          </w:p>
        </w:tc>
        <w:tc>
          <w:tcPr>
            <w:tcW w:w="1037" w:type="dxa"/>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财政拨款收入</w:t>
            </w:r>
          </w:p>
        </w:tc>
        <w:tc>
          <w:tcPr>
            <w:tcW w:w="1037" w:type="dxa"/>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上级补助收入</w:t>
            </w:r>
          </w:p>
        </w:tc>
        <w:tc>
          <w:tcPr>
            <w:tcW w:w="964" w:type="dxa"/>
            <w:vMerge w:val="restart"/>
            <w:tcBorders>
              <w:top w:val="single" w:sz="4" w:space="0" w:color="auto"/>
              <w:left w:val="nil"/>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事业收入</w:t>
            </w:r>
          </w:p>
        </w:tc>
        <w:tc>
          <w:tcPr>
            <w:tcW w:w="964" w:type="dxa"/>
            <w:gridSpan w:val="2"/>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经营收入</w:t>
            </w:r>
          </w:p>
        </w:tc>
        <w:tc>
          <w:tcPr>
            <w:tcW w:w="1027" w:type="dxa"/>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附属单位上缴收入</w:t>
            </w:r>
          </w:p>
        </w:tc>
        <w:tc>
          <w:tcPr>
            <w:tcW w:w="964" w:type="dxa"/>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其他收入</w:t>
            </w:r>
          </w:p>
        </w:tc>
      </w:tr>
      <w:tr w:rsidR="00281425">
        <w:trPr>
          <w:trHeight w:val="312"/>
          <w:jc w:val="center"/>
        </w:trPr>
        <w:tc>
          <w:tcPr>
            <w:tcW w:w="1040" w:type="dxa"/>
            <w:vMerge w:val="restart"/>
            <w:tcBorders>
              <w:top w:val="nil"/>
              <w:left w:val="single" w:sz="4" w:space="0" w:color="000000"/>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160" w:type="dxa"/>
            <w:vMerge w:val="restar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103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281425" w:rsidRDefault="00281425">
            <w:pPr>
              <w:widowControl/>
              <w:jc w:val="center"/>
              <w:textAlignment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r>
      <w:tr w:rsidR="00281425">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281425" w:rsidRDefault="00281425">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281425" w:rsidRDefault="00281425">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r>
      <w:tr w:rsidR="00281425">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281425" w:rsidRDefault="00281425">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964" w:type="dxa"/>
            <w:vMerge/>
            <w:tcBorders>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r>
      <w:tr w:rsidR="00281425">
        <w:trPr>
          <w:trHeight w:val="454"/>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栏次</w:t>
            </w:r>
          </w:p>
        </w:tc>
        <w:tc>
          <w:tcPr>
            <w:tcW w:w="1037" w:type="dxa"/>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1</w:t>
            </w:r>
          </w:p>
        </w:tc>
        <w:tc>
          <w:tcPr>
            <w:tcW w:w="1037" w:type="dxa"/>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2</w:t>
            </w:r>
          </w:p>
        </w:tc>
        <w:tc>
          <w:tcPr>
            <w:tcW w:w="1037" w:type="dxa"/>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3</w:t>
            </w:r>
          </w:p>
        </w:tc>
        <w:tc>
          <w:tcPr>
            <w:tcW w:w="964" w:type="dxa"/>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4</w:t>
            </w:r>
          </w:p>
        </w:tc>
        <w:tc>
          <w:tcPr>
            <w:tcW w:w="964" w:type="dxa"/>
            <w:gridSpan w:val="2"/>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5</w:t>
            </w:r>
          </w:p>
        </w:tc>
        <w:tc>
          <w:tcPr>
            <w:tcW w:w="1027" w:type="dxa"/>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6</w:t>
            </w:r>
          </w:p>
        </w:tc>
        <w:tc>
          <w:tcPr>
            <w:tcW w:w="964" w:type="dxa"/>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7</w:t>
            </w:r>
          </w:p>
        </w:tc>
      </w:tr>
      <w:tr w:rsidR="00281425">
        <w:trPr>
          <w:trHeight w:val="567"/>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164.68</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164.68</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社会保障和就业支出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26.13</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26.13</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行政事业单位养老支出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25.03</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25.03</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2080502</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事业单位离退休</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4.50</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4.50</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2080505</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机关事业单位基本养老保险缴费支出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13.70</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13.70</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2080506</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机关事业单位职业年金缴费支出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6.83</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6.83</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20808</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抚恤</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1.10</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1.10</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2080899</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其他优抚支出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1.10</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1.10</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卫生健康支出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7.58</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7.58</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行政事业单位医疗</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7.58</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7.58</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2101102</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事业单位医疗</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7.58</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7.58</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212</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城乡社区支出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21208</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国有土地使用权出让收入安</w:t>
            </w:r>
            <w:r>
              <w:rPr>
                <w:rFonts w:ascii="方正仿宋_GB2312" w:eastAsia="方正仿宋_GB2312" w:hAnsi="方正仿宋_GB2312" w:cs="方正仿宋_GB2312" w:hint="eastAsia"/>
                <w:spacing w:val="-2"/>
                <w:sz w:val="20"/>
                <w:szCs w:val="20"/>
              </w:rPr>
              <w:lastRenderedPageBreak/>
              <w:t>排的支出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lastRenderedPageBreak/>
              <w:t>15.00</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lastRenderedPageBreak/>
              <w:t>2120899</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其他国有土地使用权出让收入安排的支出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220</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自然资源海洋气象等支出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110.41</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110.41</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22001</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自然资源事务</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110.41</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110.41</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2200150</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事业运行</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110.41</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110.41</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住房保障支出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5.56</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5.56</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住房改革支出</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5.56</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5.56</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2210201</w:t>
            </w:r>
          </w:p>
        </w:tc>
        <w:tc>
          <w:tcPr>
            <w:tcW w:w="1160" w:type="dxa"/>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住房公积金</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5.56</w:t>
            </w:r>
          </w:p>
        </w:tc>
        <w:tc>
          <w:tcPr>
            <w:tcW w:w="1037" w:type="dxa"/>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5.56</w:t>
            </w:r>
          </w:p>
        </w:tc>
        <w:tc>
          <w:tcPr>
            <w:tcW w:w="103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9230" w:type="dxa"/>
            <w:gridSpan w:val="10"/>
            <w:tcBorders>
              <w:top w:val="nil"/>
              <w:left w:val="nil"/>
              <w:bottom w:val="nil"/>
              <w:right w:val="nil"/>
            </w:tcBorders>
            <w:noWrap/>
            <w:vAlign w:val="center"/>
          </w:tcPr>
          <w:p w:rsidR="00281425" w:rsidRDefault="008E478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注：本表反映部门本年度取得的各项收入情况。</w:t>
            </w:r>
          </w:p>
        </w:tc>
      </w:tr>
    </w:tbl>
    <w:p w:rsidR="00281425" w:rsidRDefault="00281425">
      <w:pPr>
        <w:rPr>
          <w:rFonts w:ascii="仿宋_GB2312" w:eastAsia="仿宋_GB2312" w:hAnsi="宋体"/>
          <w:b/>
          <w:sz w:val="32"/>
          <w:szCs w:val="32"/>
        </w:rPr>
      </w:pPr>
    </w:p>
    <w:p w:rsidR="00281425" w:rsidRDefault="008E4780">
      <w:pPr>
        <w:rPr>
          <w:rFonts w:ascii="黑体" w:eastAsia="黑体" w:hAnsi="黑体"/>
          <w:bCs/>
          <w:sz w:val="32"/>
          <w:szCs w:val="32"/>
        </w:rPr>
      </w:pPr>
      <w:r>
        <w:rPr>
          <w:rFonts w:ascii="仿宋_GB2312" w:eastAsia="仿宋_GB2312" w:hAnsi="宋体" w:hint="eastAsia"/>
          <w:b/>
          <w:sz w:val="32"/>
          <w:szCs w:val="32"/>
        </w:rPr>
        <w:br w:type="page"/>
      </w:r>
    </w:p>
    <w:tbl>
      <w:tblPr>
        <w:tblW w:w="5812" w:type="pct"/>
        <w:jc w:val="center"/>
        <w:tblLayout w:type="fixed"/>
        <w:tblLook w:val="04A0"/>
      </w:tblPr>
      <w:tblGrid>
        <w:gridCol w:w="1040"/>
        <w:gridCol w:w="1187"/>
        <w:gridCol w:w="1127"/>
        <w:gridCol w:w="127"/>
        <w:gridCol w:w="998"/>
        <w:gridCol w:w="1125"/>
        <w:gridCol w:w="499"/>
        <w:gridCol w:w="626"/>
        <w:gridCol w:w="1125"/>
        <w:gridCol w:w="1492"/>
      </w:tblGrid>
      <w:tr w:rsidR="00281425">
        <w:trPr>
          <w:trHeight w:val="550"/>
          <w:jc w:val="center"/>
        </w:trPr>
        <w:tc>
          <w:tcPr>
            <w:tcW w:w="5000" w:type="pct"/>
            <w:gridSpan w:val="10"/>
            <w:tcBorders>
              <w:top w:val="nil"/>
              <w:left w:val="nil"/>
              <w:bottom w:val="nil"/>
              <w:right w:val="nil"/>
            </w:tcBorders>
            <w:noWrap/>
            <w:vAlign w:val="bottom"/>
          </w:tcPr>
          <w:p w:rsidR="00281425" w:rsidRDefault="008E4780">
            <w:pPr>
              <w:jc w:val="center"/>
              <w:outlineLvl w:val="1"/>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br w:type="page"/>
              <w:t>支出决算表</w:t>
            </w:r>
          </w:p>
        </w:tc>
      </w:tr>
      <w:tr w:rsidR="00281425">
        <w:trPr>
          <w:trHeight w:val="300"/>
          <w:jc w:val="center"/>
        </w:trPr>
        <w:tc>
          <w:tcPr>
            <w:tcW w:w="5000" w:type="pct"/>
            <w:gridSpan w:val="10"/>
            <w:tcBorders>
              <w:top w:val="nil"/>
              <w:left w:val="nil"/>
              <w:bottom w:val="nil"/>
              <w:right w:val="nil"/>
            </w:tcBorders>
            <w:noWrap/>
            <w:vAlign w:val="bottom"/>
          </w:tcPr>
          <w:p w:rsidR="00281425" w:rsidRDefault="008E478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w:t>
            </w:r>
            <w:r>
              <w:rPr>
                <w:rFonts w:ascii="Times New Roman" w:eastAsia="宋体" w:hAnsi="Times New Roman" w:cs="Times New Roman"/>
                <w:color w:val="000000"/>
                <w:sz w:val="20"/>
                <w:szCs w:val="20"/>
              </w:rPr>
              <w:t>03</w:t>
            </w:r>
            <w:r>
              <w:rPr>
                <w:rFonts w:ascii="方正仿宋_GB2312" w:eastAsia="方正仿宋_GB2312" w:hAnsi="方正仿宋_GB2312" w:cs="方正仿宋_GB2312" w:hint="eastAsia"/>
                <w:color w:val="000000"/>
                <w:sz w:val="20"/>
                <w:szCs w:val="20"/>
              </w:rPr>
              <w:t>表</w:t>
            </w:r>
          </w:p>
        </w:tc>
      </w:tr>
      <w:tr w:rsidR="00281425">
        <w:trPr>
          <w:trHeight w:val="300"/>
          <w:jc w:val="center"/>
        </w:trPr>
        <w:tc>
          <w:tcPr>
            <w:tcW w:w="1862" w:type="pct"/>
            <w:gridSpan w:val="4"/>
            <w:tcBorders>
              <w:top w:val="nil"/>
              <w:left w:val="nil"/>
              <w:bottom w:val="single" w:sz="4" w:space="0" w:color="auto"/>
              <w:right w:val="nil"/>
            </w:tcBorders>
            <w:noWrap/>
            <w:vAlign w:val="bottom"/>
          </w:tcPr>
          <w:p w:rsidR="00281425" w:rsidRDefault="008E4780">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 xml:space="preserve">部门（单位）：青龙满族自治县不动产登记中心 </w:t>
            </w:r>
            <w:r>
              <w:rPr>
                <w:rFonts w:asciiTheme="minorEastAsia" w:hAnsiTheme="minorEastAsia" w:cstheme="minorEastAsia" w:hint="eastAsia"/>
                <w:color w:val="000000"/>
                <w:sz w:val="20"/>
                <w:szCs w:val="20"/>
              </w:rPr>
              <w:t xml:space="preserve">                                                                                                         </w:t>
            </w:r>
          </w:p>
        </w:tc>
        <w:tc>
          <w:tcPr>
            <w:tcW w:w="1403" w:type="pct"/>
            <w:gridSpan w:val="3"/>
            <w:tcBorders>
              <w:top w:val="nil"/>
              <w:left w:val="nil"/>
              <w:bottom w:val="single" w:sz="4" w:space="0" w:color="auto"/>
              <w:right w:val="nil"/>
            </w:tcBorders>
            <w:noWrap/>
            <w:vAlign w:val="bottom"/>
          </w:tcPr>
          <w:p w:rsidR="00281425" w:rsidRDefault="008E4780">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ascii="Times New Roman"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1734" w:type="pct"/>
            <w:gridSpan w:val="3"/>
            <w:tcBorders>
              <w:top w:val="nil"/>
              <w:left w:val="nil"/>
              <w:bottom w:val="single" w:sz="4" w:space="0" w:color="auto"/>
              <w:right w:val="nil"/>
            </w:tcBorders>
            <w:noWrap/>
            <w:vAlign w:val="bottom"/>
          </w:tcPr>
          <w:p w:rsidR="00281425" w:rsidRDefault="008E4780">
            <w:pPr>
              <w:widowControl/>
              <w:jc w:val="right"/>
              <w:textAlignment w:val="bottom"/>
              <w:rPr>
                <w:rFonts w:asciiTheme="minorEastAsia" w:hAnsiTheme="minorEastAsia" w:cstheme="minorEastAsia"/>
                <w:color w:val="000000"/>
                <w:sz w:val="20"/>
                <w:szCs w:val="20"/>
              </w:rPr>
            </w:pPr>
            <w:r>
              <w:rPr>
                <w:rFonts w:ascii="方正仿宋_GB2312" w:eastAsia="方正仿宋_GB2312" w:hAnsi="方正仿宋_GB2312" w:cs="方正仿宋_GB2312" w:hint="eastAsia"/>
                <w:color w:val="000000"/>
                <w:sz w:val="20"/>
                <w:szCs w:val="20"/>
              </w:rPr>
              <w:t xml:space="preserve"> 金额单位：万元</w:t>
            </w:r>
          </w:p>
        </w:tc>
      </w:tr>
      <w:tr w:rsidR="00281425">
        <w:trPr>
          <w:trHeight w:val="510"/>
          <w:jc w:val="center"/>
        </w:trPr>
        <w:tc>
          <w:tcPr>
            <w:tcW w:w="1191" w:type="pct"/>
            <w:gridSpan w:val="2"/>
            <w:tcBorders>
              <w:top w:val="single" w:sz="4" w:space="0" w:color="auto"/>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w:t>
            </w:r>
          </w:p>
        </w:tc>
        <w:tc>
          <w:tcPr>
            <w:tcW w:w="603" w:type="pct"/>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本年支出合计</w:t>
            </w:r>
          </w:p>
        </w:tc>
        <w:tc>
          <w:tcPr>
            <w:tcW w:w="602" w:type="pct"/>
            <w:gridSpan w:val="2"/>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602" w:type="pct"/>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c>
          <w:tcPr>
            <w:tcW w:w="602" w:type="pct"/>
            <w:gridSpan w:val="2"/>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上缴上级支出</w:t>
            </w:r>
          </w:p>
        </w:tc>
        <w:tc>
          <w:tcPr>
            <w:tcW w:w="602" w:type="pct"/>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经营支出</w:t>
            </w:r>
          </w:p>
        </w:tc>
        <w:tc>
          <w:tcPr>
            <w:tcW w:w="795" w:type="pct"/>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对附属单位补助支出</w:t>
            </w:r>
          </w:p>
        </w:tc>
      </w:tr>
      <w:tr w:rsidR="00281425">
        <w:trPr>
          <w:trHeight w:val="312"/>
          <w:jc w:val="center"/>
        </w:trPr>
        <w:tc>
          <w:tcPr>
            <w:tcW w:w="556" w:type="pct"/>
            <w:vMerge w:val="restart"/>
            <w:tcBorders>
              <w:top w:val="nil"/>
              <w:left w:val="single" w:sz="4" w:space="0" w:color="000000"/>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635" w:type="pct"/>
            <w:vMerge w:val="restar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603"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r>
      <w:tr w:rsidR="00281425">
        <w:trPr>
          <w:trHeight w:val="312"/>
          <w:jc w:val="center"/>
        </w:trPr>
        <w:tc>
          <w:tcPr>
            <w:tcW w:w="556" w:type="pct"/>
            <w:vMerge/>
            <w:tcBorders>
              <w:top w:val="nil"/>
              <w:left w:val="single" w:sz="4" w:space="0" w:color="000000"/>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35" w:type="pct"/>
            <w:vMerge/>
            <w:tcBorders>
              <w:top w:val="nil"/>
              <w:left w:val="nil"/>
              <w:bottom w:val="single" w:sz="4" w:space="0" w:color="000000"/>
              <w:right w:val="single" w:sz="4" w:space="0" w:color="000000"/>
            </w:tcBorders>
            <w:noWrap/>
            <w:vAlign w:val="center"/>
          </w:tcPr>
          <w:p w:rsidR="00281425" w:rsidRDefault="00281425">
            <w:pPr>
              <w:jc w:val="center"/>
              <w:rPr>
                <w:rFonts w:ascii="宋体" w:eastAsia="宋体" w:hAnsi="宋体"/>
                <w:color w:val="000000"/>
                <w:sz w:val="20"/>
                <w:szCs w:val="20"/>
              </w:rPr>
            </w:pPr>
          </w:p>
        </w:tc>
        <w:tc>
          <w:tcPr>
            <w:tcW w:w="603"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r>
      <w:tr w:rsidR="00281425">
        <w:trPr>
          <w:trHeight w:val="312"/>
          <w:jc w:val="center"/>
        </w:trPr>
        <w:tc>
          <w:tcPr>
            <w:tcW w:w="556" w:type="pct"/>
            <w:vMerge/>
            <w:tcBorders>
              <w:top w:val="nil"/>
              <w:left w:val="single" w:sz="4" w:space="0" w:color="000000"/>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35" w:type="pct"/>
            <w:vMerge/>
            <w:tcBorders>
              <w:top w:val="nil"/>
              <w:left w:val="nil"/>
              <w:bottom w:val="single" w:sz="4" w:space="0" w:color="000000"/>
              <w:right w:val="single" w:sz="4" w:space="0" w:color="000000"/>
            </w:tcBorders>
            <w:noWrap/>
            <w:vAlign w:val="center"/>
          </w:tcPr>
          <w:p w:rsidR="00281425" w:rsidRDefault="00281425">
            <w:pPr>
              <w:jc w:val="center"/>
              <w:rPr>
                <w:rFonts w:ascii="宋体" w:eastAsia="宋体" w:hAnsi="宋体"/>
                <w:color w:val="000000"/>
                <w:sz w:val="20"/>
                <w:szCs w:val="20"/>
              </w:rPr>
            </w:pPr>
          </w:p>
        </w:tc>
        <w:tc>
          <w:tcPr>
            <w:tcW w:w="603"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宋体" w:eastAsia="宋体" w:hAnsi="宋体"/>
                <w:color w:val="000000"/>
                <w:sz w:val="20"/>
                <w:szCs w:val="20"/>
              </w:rPr>
            </w:pPr>
          </w:p>
        </w:tc>
      </w:tr>
      <w:tr w:rsidR="00281425">
        <w:trPr>
          <w:trHeight w:val="454"/>
          <w:jc w:val="center"/>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栏次</w:t>
            </w:r>
          </w:p>
        </w:tc>
        <w:tc>
          <w:tcPr>
            <w:tcW w:w="603" w:type="pc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w:t>
            </w:r>
          </w:p>
        </w:tc>
        <w:tc>
          <w:tcPr>
            <w:tcW w:w="602" w:type="pct"/>
            <w:gridSpan w:val="2"/>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w:t>
            </w:r>
          </w:p>
        </w:tc>
        <w:tc>
          <w:tcPr>
            <w:tcW w:w="602" w:type="pc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w:t>
            </w:r>
          </w:p>
        </w:tc>
        <w:tc>
          <w:tcPr>
            <w:tcW w:w="602" w:type="pct"/>
            <w:gridSpan w:val="2"/>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w:t>
            </w:r>
          </w:p>
        </w:tc>
        <w:tc>
          <w:tcPr>
            <w:tcW w:w="602" w:type="pc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w:t>
            </w:r>
          </w:p>
        </w:tc>
        <w:tc>
          <w:tcPr>
            <w:tcW w:w="795" w:type="pc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w:t>
            </w:r>
          </w:p>
        </w:tc>
      </w:tr>
      <w:tr w:rsidR="00281425">
        <w:trPr>
          <w:trHeight w:val="308"/>
          <w:jc w:val="center"/>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167.34</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152.34</w:t>
            </w:r>
          </w:p>
        </w:tc>
        <w:tc>
          <w:tcPr>
            <w:tcW w:w="602"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15.00</w:t>
            </w: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27.88</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27.88</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26.78</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26.78</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2080502</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事业单位离退休</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4.50</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4.50</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14.59</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14.59</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2080506</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机关事业单位职业年金缴费支出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7.69</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7.69</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抚恤</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2080899</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其他优抚支出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212</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城乡社区支出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15.00</w:t>
            </w: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15.00</w:t>
            </w: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21208</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国有土地使用权出让收入安排的支出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15.00</w:t>
            </w: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15.00</w:t>
            </w: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2120899</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其他国有土地使用权出让收入安排的支出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15.00</w:t>
            </w: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15.00</w:t>
            </w: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220</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自然资源海洋气象等支出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22001</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自然资源事务</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2200150</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635"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603"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60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jc w:val="center"/>
        </w:trPr>
        <w:tc>
          <w:tcPr>
            <w:tcW w:w="5000" w:type="pct"/>
            <w:gridSpan w:val="10"/>
            <w:tcBorders>
              <w:top w:val="nil"/>
              <w:left w:val="nil"/>
              <w:bottom w:val="nil"/>
              <w:right w:val="nil"/>
            </w:tcBorders>
            <w:noWrap/>
            <w:vAlign w:val="center"/>
          </w:tcPr>
          <w:p w:rsidR="00281425" w:rsidRDefault="008E478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注：本表反映部门本年度各项支出情况。</w:t>
            </w:r>
          </w:p>
        </w:tc>
      </w:tr>
    </w:tbl>
    <w:p w:rsidR="00281425" w:rsidRDefault="00281425">
      <w:pPr>
        <w:rPr>
          <w:rFonts w:ascii="仿宋_GB2312" w:eastAsia="仿宋_GB2312" w:hAnsi="宋体"/>
          <w:b/>
          <w:sz w:val="32"/>
          <w:szCs w:val="32"/>
        </w:rPr>
      </w:pPr>
    </w:p>
    <w:p w:rsidR="00281425" w:rsidRDefault="008E4780">
      <w:pPr>
        <w:rPr>
          <w:rFonts w:ascii="仿宋_GB2312" w:eastAsia="仿宋_GB2312" w:hAnsi="宋体"/>
          <w:b/>
          <w:sz w:val="32"/>
          <w:szCs w:val="32"/>
        </w:rPr>
      </w:pPr>
      <w:r>
        <w:rPr>
          <w:rFonts w:ascii="仿宋_GB2312" w:eastAsia="仿宋_GB2312" w:hAnsi="宋体" w:hint="eastAsia"/>
          <w:b/>
          <w:sz w:val="32"/>
          <w:szCs w:val="32"/>
        </w:rPr>
        <w:br w:type="page"/>
      </w:r>
    </w:p>
    <w:tbl>
      <w:tblPr>
        <w:tblW w:w="7281" w:type="pct"/>
        <w:tblInd w:w="-1857" w:type="dxa"/>
        <w:tblLayout w:type="fixed"/>
        <w:tblLook w:val="04A0"/>
      </w:tblPr>
      <w:tblGrid>
        <w:gridCol w:w="1982"/>
        <w:gridCol w:w="623"/>
        <w:gridCol w:w="1428"/>
        <w:gridCol w:w="1658"/>
        <w:gridCol w:w="438"/>
        <w:gridCol w:w="623"/>
        <w:gridCol w:w="459"/>
        <w:gridCol w:w="834"/>
        <w:gridCol w:w="1218"/>
        <w:gridCol w:w="1218"/>
        <w:gridCol w:w="1227"/>
      </w:tblGrid>
      <w:tr w:rsidR="00281425">
        <w:trPr>
          <w:trHeight w:val="550"/>
        </w:trPr>
        <w:tc>
          <w:tcPr>
            <w:tcW w:w="5000" w:type="pct"/>
            <w:gridSpan w:val="11"/>
            <w:tcBorders>
              <w:top w:val="nil"/>
              <w:left w:val="nil"/>
              <w:bottom w:val="nil"/>
              <w:right w:val="nil"/>
            </w:tcBorders>
            <w:noWrap/>
            <w:vAlign w:val="bottom"/>
          </w:tcPr>
          <w:p w:rsidR="00281425" w:rsidRDefault="008E478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财政拨款收入支出决算总表</w:t>
            </w:r>
          </w:p>
        </w:tc>
      </w:tr>
      <w:tr w:rsidR="00281425">
        <w:trPr>
          <w:trHeight w:val="300"/>
        </w:trPr>
        <w:tc>
          <w:tcPr>
            <w:tcW w:w="5000" w:type="pct"/>
            <w:gridSpan w:val="11"/>
            <w:tcBorders>
              <w:top w:val="nil"/>
              <w:left w:val="nil"/>
              <w:bottom w:val="nil"/>
              <w:right w:val="nil"/>
            </w:tcBorders>
            <w:noWrap/>
            <w:vAlign w:val="bottom"/>
          </w:tcPr>
          <w:p w:rsidR="00281425" w:rsidRDefault="008E478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公开04表</w:t>
            </w:r>
          </w:p>
        </w:tc>
      </w:tr>
      <w:tr w:rsidR="00281425">
        <w:trPr>
          <w:trHeight w:val="300"/>
        </w:trPr>
        <w:tc>
          <w:tcPr>
            <w:tcW w:w="2431" w:type="pct"/>
            <w:gridSpan w:val="4"/>
            <w:tcBorders>
              <w:top w:val="nil"/>
              <w:left w:val="nil"/>
              <w:bottom w:val="single" w:sz="4" w:space="0" w:color="auto"/>
              <w:right w:val="nil"/>
            </w:tcBorders>
            <w:noWrap/>
            <w:vAlign w:val="bottom"/>
          </w:tcPr>
          <w:p w:rsidR="00281425" w:rsidRDefault="008E4780">
            <w:pPr>
              <w:rPr>
                <w:rFonts w:ascii="仿宋" w:eastAsia="仿宋" w:hAnsi="仿宋" w:cs="仿宋"/>
                <w:color w:val="000000"/>
                <w:sz w:val="20"/>
                <w:szCs w:val="20"/>
              </w:rPr>
            </w:pPr>
            <w:r>
              <w:rPr>
                <w:rFonts w:ascii="方正仿宋_GB2312" w:eastAsia="方正仿宋_GB2312" w:hAnsi="方正仿宋_GB2312" w:cs="方正仿宋_GB2312" w:hint="eastAsia"/>
                <w:color w:val="000000"/>
                <w:sz w:val="20"/>
                <w:szCs w:val="20"/>
              </w:rPr>
              <w:t xml:space="preserve">部门（单位）：青龙满族自治县不动产登记中心 </w:t>
            </w:r>
            <w:r>
              <w:rPr>
                <w:rFonts w:asciiTheme="minorEastAsia" w:hAnsiTheme="minorEastAsia" w:cstheme="minorEastAsia" w:hint="eastAsia"/>
                <w:color w:val="000000"/>
                <w:sz w:val="20"/>
                <w:szCs w:val="20"/>
              </w:rPr>
              <w:t xml:space="preserve">                                                                                                   </w:t>
            </w:r>
          </w:p>
        </w:tc>
        <w:tc>
          <w:tcPr>
            <w:tcW w:w="649" w:type="pct"/>
            <w:gridSpan w:val="3"/>
            <w:tcBorders>
              <w:top w:val="nil"/>
              <w:left w:val="nil"/>
              <w:bottom w:val="single" w:sz="4" w:space="0" w:color="auto"/>
              <w:right w:val="nil"/>
            </w:tcBorders>
            <w:noWrap/>
            <w:vAlign w:val="bottom"/>
          </w:tcPr>
          <w:p w:rsidR="00281425" w:rsidRDefault="008E4780">
            <w:pPr>
              <w:jc w:val="center"/>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ascii="Times New Roman"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1919" w:type="pct"/>
            <w:gridSpan w:val="4"/>
            <w:tcBorders>
              <w:top w:val="nil"/>
              <w:left w:val="nil"/>
              <w:bottom w:val="single" w:sz="4" w:space="0" w:color="auto"/>
              <w:right w:val="nil"/>
            </w:tcBorders>
            <w:noWrap/>
            <w:vAlign w:val="bottom"/>
          </w:tcPr>
          <w:p w:rsidR="00281425" w:rsidRDefault="008E4780">
            <w:pPr>
              <w:jc w:val="right"/>
              <w:rPr>
                <w:rFonts w:asciiTheme="minorEastAsia" w:hAnsiTheme="minorEastAsia" w:cstheme="minorEastAsia"/>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281425">
        <w:trPr>
          <w:trHeight w:val="308"/>
        </w:trPr>
        <w:tc>
          <w:tcPr>
            <w:tcW w:w="1723" w:type="pct"/>
            <w:gridSpan w:val="3"/>
            <w:tcBorders>
              <w:top w:val="single" w:sz="4" w:space="0" w:color="auto"/>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收入</w:t>
            </w:r>
          </w:p>
        </w:tc>
        <w:tc>
          <w:tcPr>
            <w:tcW w:w="3276" w:type="pct"/>
            <w:gridSpan w:val="8"/>
            <w:tcBorders>
              <w:top w:val="single" w:sz="4" w:space="0" w:color="auto"/>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支出</w:t>
            </w:r>
          </w:p>
        </w:tc>
      </w:tr>
      <w:tr w:rsidR="00281425">
        <w:trPr>
          <w:trHeight w:val="312"/>
        </w:trPr>
        <w:tc>
          <w:tcPr>
            <w:tcW w:w="847" w:type="pct"/>
            <w:vMerge w:val="restart"/>
            <w:tcBorders>
              <w:top w:val="nil"/>
              <w:left w:val="single" w:sz="4" w:space="0" w:color="000000"/>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    目</w:t>
            </w:r>
          </w:p>
        </w:tc>
        <w:tc>
          <w:tcPr>
            <w:tcW w:w="266" w:type="pct"/>
            <w:vMerge w:val="restar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行次</w:t>
            </w:r>
          </w:p>
        </w:tc>
        <w:tc>
          <w:tcPr>
            <w:tcW w:w="609" w:type="pct"/>
            <w:vMerge w:val="restar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金额</w:t>
            </w:r>
          </w:p>
        </w:tc>
        <w:tc>
          <w:tcPr>
            <w:tcW w:w="895" w:type="pct"/>
            <w:gridSpan w:val="2"/>
            <w:vMerge w:val="restar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w:t>
            </w:r>
          </w:p>
        </w:tc>
        <w:tc>
          <w:tcPr>
            <w:tcW w:w="266" w:type="pct"/>
            <w:vMerge w:val="restar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行次</w:t>
            </w:r>
          </w:p>
        </w:tc>
        <w:tc>
          <w:tcPr>
            <w:tcW w:w="552" w:type="pct"/>
            <w:gridSpan w:val="2"/>
            <w:vMerge w:val="restart"/>
            <w:tcBorders>
              <w:top w:val="nil"/>
              <w:left w:val="nil"/>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520" w:type="pct"/>
            <w:vMerge w:val="restart"/>
            <w:tcBorders>
              <w:top w:val="nil"/>
              <w:left w:val="nil"/>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一般公共预算财政拨款</w:t>
            </w:r>
          </w:p>
        </w:tc>
        <w:tc>
          <w:tcPr>
            <w:tcW w:w="520" w:type="pct"/>
            <w:vMerge w:val="restart"/>
            <w:tcBorders>
              <w:top w:val="nil"/>
              <w:left w:val="nil"/>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政府性基金预算财政拨款</w:t>
            </w:r>
          </w:p>
        </w:tc>
        <w:tc>
          <w:tcPr>
            <w:tcW w:w="520" w:type="pct"/>
            <w:vMerge w:val="restart"/>
            <w:tcBorders>
              <w:top w:val="nil"/>
              <w:left w:val="nil"/>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国有资本经营预算财政拨款</w:t>
            </w:r>
          </w:p>
        </w:tc>
      </w:tr>
      <w:tr w:rsidR="00281425">
        <w:trPr>
          <w:trHeight w:val="312"/>
        </w:trPr>
        <w:tc>
          <w:tcPr>
            <w:tcW w:w="847" w:type="pct"/>
            <w:vMerge/>
            <w:tcBorders>
              <w:top w:val="nil"/>
              <w:left w:val="single" w:sz="4" w:space="0" w:color="000000"/>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266" w:type="pct"/>
            <w:vMerge/>
            <w:tcBorders>
              <w:top w:val="nil"/>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609" w:type="pct"/>
            <w:vMerge/>
            <w:tcBorders>
              <w:top w:val="nil"/>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895" w:type="pct"/>
            <w:gridSpan w:val="2"/>
            <w:vMerge/>
            <w:tcBorders>
              <w:top w:val="nil"/>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266" w:type="pct"/>
            <w:vMerge/>
            <w:tcBorders>
              <w:top w:val="nil"/>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552" w:type="pct"/>
            <w:gridSpan w:val="2"/>
            <w:vMerge/>
            <w:tcBorders>
              <w:left w:val="nil"/>
              <w:bottom w:val="single" w:sz="4" w:space="0" w:color="000000"/>
              <w:right w:val="single" w:sz="8" w:space="0" w:color="000000"/>
            </w:tcBorders>
            <w:vAlign w:val="center"/>
          </w:tcPr>
          <w:p w:rsidR="00281425" w:rsidRDefault="00281425">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vAlign w:val="center"/>
          </w:tcPr>
          <w:p w:rsidR="00281425" w:rsidRDefault="00281425">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vAlign w:val="center"/>
          </w:tcPr>
          <w:p w:rsidR="00281425" w:rsidRDefault="00281425">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vAlign w:val="center"/>
          </w:tcPr>
          <w:p w:rsidR="00281425" w:rsidRDefault="00281425">
            <w:pPr>
              <w:widowControl/>
              <w:jc w:val="center"/>
              <w:textAlignment w:val="center"/>
              <w:rPr>
                <w:rFonts w:ascii="方正仿宋_GB2312" w:eastAsia="方正仿宋_GB2312" w:hAnsi="方正仿宋_GB2312" w:cs="方正仿宋_GB2312"/>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    次</w:t>
            </w:r>
          </w:p>
        </w:tc>
        <w:tc>
          <w:tcPr>
            <w:tcW w:w="266" w:type="pct"/>
            <w:tcBorders>
              <w:top w:val="nil"/>
              <w:left w:val="nil"/>
              <w:bottom w:val="single" w:sz="4" w:space="0" w:color="000000"/>
              <w:right w:val="single" w:sz="4" w:space="0" w:color="000000"/>
            </w:tcBorders>
            <w:noWrap/>
            <w:vAlign w:val="center"/>
          </w:tcPr>
          <w:p w:rsidR="00281425" w:rsidRDefault="00281425">
            <w:pPr>
              <w:jc w:val="center"/>
              <w:rPr>
                <w:rFonts w:ascii="宋体" w:eastAsia="宋体" w:hAnsi="宋体"/>
                <w:color w:val="000000"/>
                <w:sz w:val="20"/>
                <w:szCs w:val="20"/>
              </w:rPr>
            </w:pPr>
          </w:p>
        </w:tc>
        <w:tc>
          <w:tcPr>
            <w:tcW w:w="609"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1</w:t>
            </w: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    次</w:t>
            </w:r>
          </w:p>
        </w:tc>
        <w:tc>
          <w:tcPr>
            <w:tcW w:w="266" w:type="pct"/>
            <w:tcBorders>
              <w:top w:val="nil"/>
              <w:left w:val="nil"/>
              <w:bottom w:val="single" w:sz="4" w:space="0" w:color="000000"/>
              <w:right w:val="single" w:sz="4" w:space="0" w:color="000000"/>
            </w:tcBorders>
            <w:noWrap/>
            <w:vAlign w:val="center"/>
          </w:tcPr>
          <w:p w:rsidR="00281425" w:rsidRDefault="00281425">
            <w:pPr>
              <w:jc w:val="center"/>
              <w:rPr>
                <w:rFonts w:ascii="宋体" w:eastAsia="宋体" w:hAnsi="宋体"/>
                <w:color w:val="000000"/>
                <w:sz w:val="20"/>
                <w:szCs w:val="20"/>
              </w:rPr>
            </w:pPr>
          </w:p>
        </w:tc>
        <w:tc>
          <w:tcPr>
            <w:tcW w:w="552"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2</w:t>
            </w:r>
          </w:p>
        </w:tc>
        <w:tc>
          <w:tcPr>
            <w:tcW w:w="520"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3</w:t>
            </w:r>
          </w:p>
        </w:tc>
        <w:tc>
          <w:tcPr>
            <w:tcW w:w="520"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4</w:t>
            </w:r>
          </w:p>
        </w:tc>
        <w:tc>
          <w:tcPr>
            <w:tcW w:w="520" w:type="pct"/>
            <w:tcBorders>
              <w:top w:val="nil"/>
              <w:left w:val="nil"/>
              <w:bottom w:val="single" w:sz="4" w:space="0" w:color="000000"/>
              <w:right w:val="single" w:sz="8" w:space="0" w:color="000000"/>
            </w:tcBorders>
            <w:noWrap/>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5</w:t>
            </w: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一、一般公共预算财政拨款</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w:t>
            </w:r>
          </w:p>
        </w:tc>
        <w:tc>
          <w:tcPr>
            <w:tcW w:w="609"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149.68</w:t>
            </w: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一、一般公共服务支出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二、政府性基金预算财政拨款</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w:t>
            </w:r>
          </w:p>
        </w:tc>
        <w:tc>
          <w:tcPr>
            <w:tcW w:w="609"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15.00</w:t>
            </w: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二、外交支出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三、国有资本经营预算财政拨款</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三、国防支出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四、公共安全支出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五、教育支出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37</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六、科学技术支出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38</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七、文化旅游体育与传媒支出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39</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八、社会保障和就业支出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w:t>
            </w:r>
          </w:p>
        </w:tc>
        <w:tc>
          <w:tcPr>
            <w:tcW w:w="55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27.88</w:t>
            </w:r>
          </w:p>
        </w:tc>
        <w:tc>
          <w:tcPr>
            <w:tcW w:w="520"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27.88</w:t>
            </w: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九、卫生健康支出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41</w:t>
            </w:r>
          </w:p>
        </w:tc>
        <w:tc>
          <w:tcPr>
            <w:tcW w:w="55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8.06</w:t>
            </w:r>
          </w:p>
        </w:tc>
        <w:tc>
          <w:tcPr>
            <w:tcW w:w="520"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8.06</w:t>
            </w: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十、节能环保支出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十一、城乡社区支出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43</w:t>
            </w:r>
          </w:p>
        </w:tc>
        <w:tc>
          <w:tcPr>
            <w:tcW w:w="55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15.00</w:t>
            </w: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15.00</w:t>
            </w: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auto"/>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6" w:type="pct"/>
            <w:tcBorders>
              <w:top w:val="nil"/>
              <w:left w:val="nil"/>
              <w:bottom w:val="single" w:sz="4" w:space="0" w:color="auto"/>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12</w:t>
            </w:r>
          </w:p>
        </w:tc>
        <w:tc>
          <w:tcPr>
            <w:tcW w:w="609" w:type="pct"/>
            <w:tcBorders>
              <w:top w:val="nil"/>
              <w:left w:val="nil"/>
              <w:bottom w:val="single" w:sz="4" w:space="0" w:color="auto"/>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auto"/>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十二、农林水支出</w:t>
            </w:r>
          </w:p>
        </w:tc>
        <w:tc>
          <w:tcPr>
            <w:tcW w:w="266" w:type="pct"/>
            <w:tcBorders>
              <w:top w:val="nil"/>
              <w:left w:val="nil"/>
              <w:bottom w:val="single" w:sz="4" w:space="0" w:color="auto"/>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44</w:t>
            </w:r>
          </w:p>
        </w:tc>
        <w:tc>
          <w:tcPr>
            <w:tcW w:w="552" w:type="pct"/>
            <w:gridSpan w:val="2"/>
            <w:tcBorders>
              <w:top w:val="nil"/>
              <w:left w:val="nil"/>
              <w:bottom w:val="single" w:sz="4" w:space="0" w:color="auto"/>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auto"/>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auto"/>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auto"/>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w:t>
            </w:r>
          </w:p>
        </w:tc>
        <w:tc>
          <w:tcPr>
            <w:tcW w:w="60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十三、交通运输支出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w:t>
            </w:r>
          </w:p>
        </w:tc>
        <w:tc>
          <w:tcPr>
            <w:tcW w:w="60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十四、资源勘探工业信息等支出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46</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w:t>
            </w:r>
          </w:p>
        </w:tc>
        <w:tc>
          <w:tcPr>
            <w:tcW w:w="60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十五、商业服务业等支出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47</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w:t>
            </w:r>
          </w:p>
        </w:tc>
        <w:tc>
          <w:tcPr>
            <w:tcW w:w="60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十六、金融支出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48</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17</w:t>
            </w:r>
          </w:p>
        </w:tc>
        <w:tc>
          <w:tcPr>
            <w:tcW w:w="60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十七、援助其他地区支出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49</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w:t>
            </w:r>
          </w:p>
        </w:tc>
        <w:tc>
          <w:tcPr>
            <w:tcW w:w="60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十八、自然资源海洋气象等支出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110.26</w:t>
            </w: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110.26</w:t>
            </w: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19</w:t>
            </w:r>
          </w:p>
        </w:tc>
        <w:tc>
          <w:tcPr>
            <w:tcW w:w="60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十九、住房保障支出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51</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6.13</w:t>
            </w: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6.13</w:t>
            </w: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w:t>
            </w:r>
          </w:p>
        </w:tc>
        <w:tc>
          <w:tcPr>
            <w:tcW w:w="60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二十、粮油物资储备支出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21</w:t>
            </w:r>
          </w:p>
        </w:tc>
        <w:tc>
          <w:tcPr>
            <w:tcW w:w="60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二十一、国有资本经营预算支出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53</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22</w:t>
            </w:r>
          </w:p>
        </w:tc>
        <w:tc>
          <w:tcPr>
            <w:tcW w:w="60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二十二、灾害防治及应急管理支出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54</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w:t>
            </w:r>
          </w:p>
        </w:tc>
        <w:tc>
          <w:tcPr>
            <w:tcW w:w="60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二十三、其他支出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single" w:sz="4" w:space="0" w:color="auto"/>
              <w:left w:val="single" w:sz="4" w:space="0" w:color="000000"/>
              <w:bottom w:val="single" w:sz="4" w:space="0" w:color="000000"/>
              <w:right w:val="single" w:sz="4" w:space="0" w:color="000000"/>
            </w:tcBorders>
            <w:noWrap/>
            <w:vAlign w:val="center"/>
          </w:tcPr>
          <w:p w:rsidR="00281425" w:rsidRDefault="00281425">
            <w:pPr>
              <w:jc w:val="left"/>
              <w:rPr>
                <w:rFonts w:ascii="宋体" w:eastAsia="宋体" w:hAnsi="宋体"/>
                <w:color w:val="000000"/>
                <w:sz w:val="20"/>
                <w:szCs w:val="20"/>
              </w:rPr>
            </w:pPr>
          </w:p>
        </w:tc>
        <w:tc>
          <w:tcPr>
            <w:tcW w:w="266" w:type="pct"/>
            <w:tcBorders>
              <w:top w:val="single" w:sz="4" w:space="0" w:color="auto"/>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24</w:t>
            </w:r>
          </w:p>
        </w:tc>
        <w:tc>
          <w:tcPr>
            <w:tcW w:w="609" w:type="pct"/>
            <w:tcBorders>
              <w:top w:val="single" w:sz="4" w:space="0" w:color="auto"/>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single" w:sz="4" w:space="0" w:color="auto"/>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二十四、债务还本支出</w:t>
            </w:r>
          </w:p>
        </w:tc>
        <w:tc>
          <w:tcPr>
            <w:tcW w:w="266" w:type="pct"/>
            <w:tcBorders>
              <w:top w:val="single" w:sz="4" w:space="0" w:color="auto"/>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56</w:t>
            </w:r>
          </w:p>
        </w:tc>
        <w:tc>
          <w:tcPr>
            <w:tcW w:w="552" w:type="pct"/>
            <w:gridSpan w:val="2"/>
            <w:tcBorders>
              <w:top w:val="single" w:sz="4" w:space="0" w:color="auto"/>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281425">
            <w:pPr>
              <w:jc w:val="center"/>
              <w:rPr>
                <w:rFonts w:ascii="宋体" w:eastAsia="宋体" w:hAnsi="宋体"/>
                <w:b/>
                <w:bCs/>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25</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二十五、债务付息支出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57</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281425">
            <w:pPr>
              <w:jc w:val="center"/>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二十六、抗疫特别国债安排的支出</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58</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本年收入合计</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27</w:t>
            </w:r>
          </w:p>
        </w:tc>
        <w:tc>
          <w:tcPr>
            <w:tcW w:w="609"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164.68</w:t>
            </w: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本年支出合计</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59</w:t>
            </w:r>
          </w:p>
        </w:tc>
        <w:tc>
          <w:tcPr>
            <w:tcW w:w="55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167.34</w:t>
            </w:r>
          </w:p>
        </w:tc>
        <w:tc>
          <w:tcPr>
            <w:tcW w:w="520"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152.34</w:t>
            </w:r>
          </w:p>
        </w:tc>
        <w:tc>
          <w:tcPr>
            <w:tcW w:w="520"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15.00</w:t>
            </w:r>
          </w:p>
        </w:tc>
        <w:tc>
          <w:tcPr>
            <w:tcW w:w="520" w:type="pct"/>
            <w:tcBorders>
              <w:top w:val="nil"/>
              <w:left w:val="nil"/>
              <w:bottom w:val="single" w:sz="4"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年初财政拨款结转和结余</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w:t>
            </w:r>
          </w:p>
        </w:tc>
        <w:tc>
          <w:tcPr>
            <w:tcW w:w="609"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15.22</w:t>
            </w:r>
          </w:p>
        </w:tc>
        <w:tc>
          <w:tcPr>
            <w:tcW w:w="895" w:type="pct"/>
            <w:gridSpan w:val="2"/>
            <w:tcBorders>
              <w:top w:val="nil"/>
              <w:left w:val="nil"/>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年末财政拨款结转和结余</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w:t>
            </w:r>
          </w:p>
        </w:tc>
        <w:tc>
          <w:tcPr>
            <w:tcW w:w="552" w:type="pct"/>
            <w:gridSpan w:val="2"/>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12.57</w:t>
            </w:r>
          </w:p>
        </w:tc>
        <w:tc>
          <w:tcPr>
            <w:tcW w:w="520" w:type="pct"/>
            <w:tcBorders>
              <w:top w:val="nil"/>
              <w:left w:val="nil"/>
              <w:bottom w:val="single" w:sz="4" w:space="0" w:color="000000"/>
              <w:right w:val="single" w:sz="4" w:space="0" w:color="000000"/>
            </w:tcBorders>
            <w:noWrap/>
            <w:vAlign w:val="center"/>
          </w:tcPr>
          <w:p w:rsidR="00281425" w:rsidRDefault="008E4780">
            <w:pPr>
              <w:rPr>
                <w:rFonts w:ascii="Times New Roman" w:eastAsia="宋体" w:hAnsi="Times New Roman" w:cs="Times New Roman"/>
                <w:color w:val="000000"/>
                <w:sz w:val="20"/>
                <w:szCs w:val="20"/>
              </w:rPr>
            </w:pPr>
            <w:r>
              <w:rPr>
                <w:rFonts w:ascii="Times New Roman" w:hAnsi="Times New Roman" w:cs="Times New Roman"/>
                <w:sz w:val="20"/>
                <w:szCs w:val="20"/>
              </w:rPr>
              <w:t>12.57</w:t>
            </w: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一、一般公共预算财政拨款</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w:t>
            </w:r>
          </w:p>
        </w:tc>
        <w:tc>
          <w:tcPr>
            <w:tcW w:w="609"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15.22</w:t>
            </w:r>
          </w:p>
        </w:tc>
        <w:tc>
          <w:tcPr>
            <w:tcW w:w="895" w:type="pct"/>
            <w:gridSpan w:val="2"/>
            <w:tcBorders>
              <w:top w:val="nil"/>
              <w:left w:val="nil"/>
              <w:bottom w:val="single" w:sz="4" w:space="0" w:color="000000"/>
              <w:right w:val="single" w:sz="4" w:space="0" w:color="000000"/>
            </w:tcBorders>
            <w:noWrap/>
            <w:vAlign w:val="center"/>
          </w:tcPr>
          <w:p w:rsidR="00281425" w:rsidRDefault="00281425">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lef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二、政府性基金预算财政拨款</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30</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281425">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62</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lef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4" w:space="0" w:color="000000"/>
              <w:right w:val="single" w:sz="4" w:space="0" w:color="000000"/>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三、国有资本经营预算财政拨款</w:t>
            </w: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w:t>
            </w:r>
          </w:p>
        </w:tc>
        <w:tc>
          <w:tcPr>
            <w:tcW w:w="609"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281425" w:rsidRDefault="00281425">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w:t>
            </w:r>
          </w:p>
        </w:tc>
        <w:tc>
          <w:tcPr>
            <w:tcW w:w="552"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281425" w:rsidRDefault="00281425">
            <w:pPr>
              <w:jc w:val="left"/>
              <w:rPr>
                <w:rFonts w:ascii="Times New Roman" w:eastAsia="宋体" w:hAnsi="Times New Roman" w:cs="Times New Roman"/>
                <w:color w:val="000000"/>
                <w:sz w:val="20"/>
                <w:szCs w:val="20"/>
              </w:rPr>
            </w:pPr>
          </w:p>
        </w:tc>
      </w:tr>
      <w:tr w:rsidR="00281425">
        <w:trPr>
          <w:trHeight w:val="308"/>
        </w:trPr>
        <w:tc>
          <w:tcPr>
            <w:tcW w:w="847" w:type="pct"/>
            <w:tcBorders>
              <w:top w:val="nil"/>
              <w:left w:val="single" w:sz="4" w:space="0" w:color="000000"/>
              <w:bottom w:val="single" w:sz="8"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总计</w:t>
            </w:r>
          </w:p>
        </w:tc>
        <w:tc>
          <w:tcPr>
            <w:tcW w:w="266" w:type="pct"/>
            <w:tcBorders>
              <w:top w:val="nil"/>
              <w:left w:val="nil"/>
              <w:bottom w:val="single" w:sz="8"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w:t>
            </w:r>
          </w:p>
        </w:tc>
        <w:tc>
          <w:tcPr>
            <w:tcW w:w="609" w:type="pct"/>
            <w:tcBorders>
              <w:top w:val="nil"/>
              <w:left w:val="nil"/>
              <w:bottom w:val="single" w:sz="8"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179.90</w:t>
            </w:r>
          </w:p>
        </w:tc>
        <w:tc>
          <w:tcPr>
            <w:tcW w:w="895" w:type="pct"/>
            <w:gridSpan w:val="2"/>
            <w:tcBorders>
              <w:top w:val="nil"/>
              <w:left w:val="nil"/>
              <w:bottom w:val="single" w:sz="8"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rPr>
              <w:t>总计</w:t>
            </w:r>
          </w:p>
        </w:tc>
        <w:tc>
          <w:tcPr>
            <w:tcW w:w="266" w:type="pct"/>
            <w:tcBorders>
              <w:top w:val="nil"/>
              <w:left w:val="nil"/>
              <w:bottom w:val="single" w:sz="8" w:space="0" w:color="000000"/>
              <w:right w:val="single" w:sz="4" w:space="0" w:color="000000"/>
            </w:tcBorders>
            <w:noWrap/>
            <w:vAlign w:val="center"/>
          </w:tcPr>
          <w:p w:rsidR="00281425" w:rsidRDefault="008E478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64</w:t>
            </w:r>
          </w:p>
        </w:tc>
        <w:tc>
          <w:tcPr>
            <w:tcW w:w="552" w:type="pct"/>
            <w:gridSpan w:val="2"/>
            <w:tcBorders>
              <w:top w:val="nil"/>
              <w:left w:val="nil"/>
              <w:bottom w:val="single" w:sz="8"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179.90</w:t>
            </w:r>
          </w:p>
        </w:tc>
        <w:tc>
          <w:tcPr>
            <w:tcW w:w="520" w:type="pct"/>
            <w:tcBorders>
              <w:top w:val="nil"/>
              <w:left w:val="nil"/>
              <w:bottom w:val="single" w:sz="8" w:space="0" w:color="000000"/>
              <w:right w:val="single" w:sz="4" w:space="0" w:color="000000"/>
            </w:tcBorders>
            <w:noWrap/>
            <w:vAlign w:val="center"/>
          </w:tcPr>
          <w:p w:rsidR="00281425" w:rsidRDefault="00281425">
            <w:pPr>
              <w:jc w:val="right"/>
              <w:rPr>
                <w:rFonts w:ascii="Times New Roman" w:hAnsi="Times New Roman" w:cs="Times New Roman"/>
                <w:sz w:val="20"/>
                <w:szCs w:val="20"/>
              </w:rPr>
            </w:pPr>
          </w:p>
          <w:p w:rsidR="00281425" w:rsidRDefault="008E4780">
            <w:pPr>
              <w:jc w:val="right"/>
              <w:rPr>
                <w:rFonts w:ascii="Times New Roman" w:hAnsi="Times New Roman" w:cs="Times New Roman"/>
                <w:sz w:val="20"/>
                <w:szCs w:val="20"/>
              </w:rPr>
            </w:pPr>
            <w:r>
              <w:rPr>
                <w:rFonts w:ascii="Times New Roman" w:hAnsi="Times New Roman" w:cs="Times New Roman"/>
                <w:sz w:val="20"/>
                <w:szCs w:val="20"/>
              </w:rPr>
              <w:t>164.90</w:t>
            </w:r>
          </w:p>
          <w:p w:rsidR="00281425" w:rsidRDefault="00281425">
            <w:pPr>
              <w:jc w:val="right"/>
              <w:rPr>
                <w:rFonts w:ascii="Times New Roman" w:eastAsia="宋体" w:hAnsi="Times New Roman" w:cs="Times New Roman"/>
                <w:color w:val="000000"/>
                <w:sz w:val="20"/>
                <w:szCs w:val="20"/>
              </w:rPr>
            </w:pPr>
          </w:p>
        </w:tc>
        <w:tc>
          <w:tcPr>
            <w:tcW w:w="520" w:type="pct"/>
            <w:tcBorders>
              <w:top w:val="nil"/>
              <w:left w:val="nil"/>
              <w:bottom w:val="single" w:sz="8"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15.00</w:t>
            </w:r>
          </w:p>
        </w:tc>
        <w:tc>
          <w:tcPr>
            <w:tcW w:w="520" w:type="pct"/>
            <w:tcBorders>
              <w:top w:val="nil"/>
              <w:left w:val="nil"/>
              <w:bottom w:val="single" w:sz="8" w:space="0" w:color="000000"/>
              <w:right w:val="single" w:sz="8"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5000" w:type="pct"/>
            <w:gridSpan w:val="11"/>
            <w:tcBorders>
              <w:top w:val="nil"/>
              <w:left w:val="nil"/>
              <w:bottom w:val="nil"/>
              <w:right w:val="nil"/>
            </w:tcBorders>
            <w:noWrap/>
            <w:vAlign w:val="center"/>
          </w:tcPr>
          <w:p w:rsidR="00281425" w:rsidRDefault="008E478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注：本表反映部门本年度一般公共预算财政拨款、政府性基金预算财政拨款和国有资本经营预算财政拨款的总收支和年末结转结余情况。</w:t>
            </w:r>
          </w:p>
        </w:tc>
      </w:tr>
    </w:tbl>
    <w:p w:rsidR="00281425" w:rsidRDefault="00281425">
      <w:pPr>
        <w:rPr>
          <w:rFonts w:ascii="仿宋_GB2312" w:eastAsia="仿宋_GB2312" w:hAnsi="宋体"/>
          <w:b/>
          <w:sz w:val="32"/>
          <w:szCs w:val="32"/>
        </w:rPr>
      </w:pPr>
    </w:p>
    <w:p w:rsidR="00281425" w:rsidRDefault="008E4780">
      <w:pPr>
        <w:rPr>
          <w:rFonts w:ascii="仿宋_GB2312" w:eastAsia="仿宋_GB2312" w:hAnsi="宋体"/>
          <w:b/>
          <w:sz w:val="32"/>
          <w:szCs w:val="32"/>
        </w:rPr>
      </w:pPr>
      <w:r>
        <w:rPr>
          <w:rFonts w:ascii="仿宋_GB2312" w:eastAsia="仿宋_GB2312" w:hAnsi="宋体" w:hint="eastAsia"/>
          <w:b/>
          <w:sz w:val="32"/>
          <w:szCs w:val="32"/>
        </w:rPr>
        <w:br w:type="page"/>
      </w:r>
    </w:p>
    <w:tbl>
      <w:tblPr>
        <w:tblW w:w="5348" w:type="pct"/>
        <w:tblInd w:w="-657" w:type="dxa"/>
        <w:tblLook w:val="04A0"/>
      </w:tblPr>
      <w:tblGrid>
        <w:gridCol w:w="1665"/>
        <w:gridCol w:w="3116"/>
        <w:gridCol w:w="971"/>
        <w:gridCol w:w="704"/>
        <w:gridCol w:w="736"/>
        <w:gridCol w:w="363"/>
        <w:gridCol w:w="1142"/>
      </w:tblGrid>
      <w:tr w:rsidR="00281425">
        <w:trPr>
          <w:trHeight w:val="657"/>
        </w:trPr>
        <w:tc>
          <w:tcPr>
            <w:tcW w:w="5000" w:type="pct"/>
            <w:gridSpan w:val="7"/>
            <w:tcBorders>
              <w:top w:val="nil"/>
              <w:left w:val="nil"/>
              <w:bottom w:val="nil"/>
              <w:right w:val="nil"/>
            </w:tcBorders>
            <w:noWrap/>
            <w:vAlign w:val="bottom"/>
          </w:tcPr>
          <w:p w:rsidR="00281425" w:rsidRDefault="008E478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一般公共预算财政拨款支出决算表</w:t>
            </w:r>
          </w:p>
        </w:tc>
      </w:tr>
      <w:tr w:rsidR="00281425">
        <w:trPr>
          <w:trHeight w:val="329"/>
        </w:trPr>
        <w:tc>
          <w:tcPr>
            <w:tcW w:w="5000" w:type="pct"/>
            <w:gridSpan w:val="7"/>
            <w:tcBorders>
              <w:top w:val="nil"/>
              <w:left w:val="nil"/>
              <w:bottom w:val="nil"/>
              <w:right w:val="nil"/>
            </w:tcBorders>
            <w:noWrap/>
            <w:vAlign w:val="bottom"/>
          </w:tcPr>
          <w:p w:rsidR="00281425" w:rsidRDefault="008E478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w:t>
            </w:r>
            <w:r>
              <w:rPr>
                <w:rFonts w:ascii="Times New Roman" w:eastAsia="方正仿宋_GB2312" w:hAnsi="Times New Roman" w:cs="Times New Roman"/>
                <w:color w:val="000000"/>
                <w:sz w:val="20"/>
                <w:szCs w:val="20"/>
              </w:rPr>
              <w:t>05</w:t>
            </w:r>
            <w:r>
              <w:rPr>
                <w:rFonts w:ascii="方正仿宋_GB2312" w:eastAsia="方正仿宋_GB2312" w:hAnsi="方正仿宋_GB2312" w:cs="方正仿宋_GB2312" w:hint="eastAsia"/>
                <w:color w:val="000000"/>
                <w:sz w:val="20"/>
                <w:szCs w:val="20"/>
              </w:rPr>
              <w:t>表</w:t>
            </w:r>
          </w:p>
        </w:tc>
      </w:tr>
      <w:tr w:rsidR="00281425">
        <w:trPr>
          <w:trHeight w:val="329"/>
        </w:trPr>
        <w:tc>
          <w:tcPr>
            <w:tcW w:w="1868" w:type="pct"/>
            <w:gridSpan w:val="3"/>
            <w:tcBorders>
              <w:top w:val="nil"/>
              <w:left w:val="nil"/>
              <w:bottom w:val="single" w:sz="4" w:space="0" w:color="auto"/>
              <w:right w:val="nil"/>
            </w:tcBorders>
            <w:noWrap/>
            <w:vAlign w:val="bottom"/>
          </w:tcPr>
          <w:p w:rsidR="00281425" w:rsidRDefault="008E4780">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编制部门（单位）：青龙满族自治县不动产登记中心</w:t>
            </w:r>
          </w:p>
        </w:tc>
        <w:tc>
          <w:tcPr>
            <w:tcW w:w="1541" w:type="pct"/>
            <w:gridSpan w:val="2"/>
            <w:tcBorders>
              <w:top w:val="nil"/>
              <w:left w:val="nil"/>
              <w:bottom w:val="single" w:sz="4" w:space="0" w:color="auto"/>
              <w:right w:val="nil"/>
            </w:tcBorders>
            <w:noWrap/>
            <w:vAlign w:val="bottom"/>
          </w:tcPr>
          <w:p w:rsidR="00281425" w:rsidRDefault="008E4780">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ascii="Times New Roman"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1590" w:type="pct"/>
            <w:gridSpan w:val="2"/>
            <w:tcBorders>
              <w:top w:val="nil"/>
              <w:left w:val="nil"/>
              <w:bottom w:val="single" w:sz="4" w:space="0" w:color="auto"/>
              <w:right w:val="nil"/>
            </w:tcBorders>
            <w:noWrap/>
            <w:vAlign w:val="bottom"/>
          </w:tcPr>
          <w:p w:rsidR="00281425" w:rsidRDefault="008E4780">
            <w:pPr>
              <w:widowControl/>
              <w:jc w:val="right"/>
              <w:textAlignment w:val="bottom"/>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281425">
        <w:trPr>
          <w:trHeight w:val="510"/>
        </w:trPr>
        <w:tc>
          <w:tcPr>
            <w:tcW w:w="1461" w:type="pct"/>
            <w:gridSpan w:val="2"/>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w:t>
            </w:r>
          </w:p>
        </w:tc>
        <w:tc>
          <w:tcPr>
            <w:tcW w:w="3538" w:type="pct"/>
            <w:gridSpan w:val="5"/>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w:t>
            </w:r>
          </w:p>
        </w:tc>
      </w:tr>
      <w:tr w:rsidR="00281425">
        <w:trPr>
          <w:trHeight w:val="369"/>
        </w:trPr>
        <w:tc>
          <w:tcPr>
            <w:tcW w:w="704" w:type="pct"/>
            <w:vMerge w:val="restart"/>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756" w:type="pct"/>
            <w:vMerge w:val="restart"/>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1218" w:type="pct"/>
            <w:vMerge w:val="restart"/>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r>
      <w:tr w:rsidR="00281425">
        <w:trPr>
          <w:trHeight w:val="346"/>
        </w:trPr>
        <w:tc>
          <w:tcPr>
            <w:tcW w:w="704" w:type="pct"/>
            <w:vMerge/>
            <w:tcBorders>
              <w:top w:val="single" w:sz="4" w:space="0" w:color="auto"/>
              <w:left w:val="single" w:sz="4" w:space="0" w:color="auto"/>
              <w:bottom w:val="single" w:sz="4" w:space="0" w:color="auto"/>
              <w:right w:val="single" w:sz="4" w:space="0" w:color="auto"/>
            </w:tcBorders>
            <w:vAlign w:val="center"/>
          </w:tcPr>
          <w:p w:rsidR="00281425" w:rsidRDefault="00281425">
            <w:pPr>
              <w:jc w:val="center"/>
              <w:rPr>
                <w:rFonts w:ascii="宋体" w:eastAsia="宋体" w:hAnsi="宋体"/>
                <w:color w:val="000000"/>
                <w:sz w:val="20"/>
                <w:szCs w:val="20"/>
              </w:rPr>
            </w:pPr>
          </w:p>
        </w:tc>
        <w:tc>
          <w:tcPr>
            <w:tcW w:w="756" w:type="pct"/>
            <w:vMerge/>
            <w:tcBorders>
              <w:top w:val="single" w:sz="4" w:space="0" w:color="auto"/>
              <w:left w:val="single" w:sz="4" w:space="0" w:color="auto"/>
              <w:bottom w:val="single" w:sz="4" w:space="0" w:color="auto"/>
              <w:right w:val="single" w:sz="4" w:space="0" w:color="auto"/>
            </w:tcBorders>
            <w:vAlign w:val="center"/>
          </w:tcPr>
          <w:p w:rsidR="00281425" w:rsidRDefault="00281425">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281425" w:rsidRDefault="00281425">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281425" w:rsidRDefault="00281425">
            <w:pPr>
              <w:jc w:val="center"/>
              <w:rPr>
                <w:rFonts w:ascii="宋体" w:eastAsia="宋体" w:hAnsi="宋体"/>
                <w:color w:val="000000"/>
                <w:sz w:val="20"/>
                <w:szCs w:val="20"/>
              </w:rPr>
            </w:pPr>
          </w:p>
        </w:tc>
        <w:tc>
          <w:tcPr>
            <w:tcW w:w="1218" w:type="pct"/>
            <w:vMerge/>
            <w:tcBorders>
              <w:top w:val="single" w:sz="4" w:space="0" w:color="auto"/>
              <w:left w:val="single" w:sz="4" w:space="0" w:color="auto"/>
              <w:bottom w:val="single" w:sz="4" w:space="0" w:color="auto"/>
              <w:right w:val="single" w:sz="4" w:space="0" w:color="auto"/>
            </w:tcBorders>
            <w:vAlign w:val="center"/>
          </w:tcPr>
          <w:p w:rsidR="00281425" w:rsidRDefault="00281425">
            <w:pPr>
              <w:jc w:val="center"/>
              <w:rPr>
                <w:rFonts w:ascii="宋体" w:eastAsia="宋体" w:hAnsi="宋体"/>
                <w:color w:val="000000"/>
                <w:sz w:val="20"/>
                <w:szCs w:val="20"/>
              </w:rPr>
            </w:pPr>
          </w:p>
        </w:tc>
      </w:tr>
      <w:tr w:rsidR="00281425">
        <w:trPr>
          <w:trHeight w:val="369"/>
        </w:trPr>
        <w:tc>
          <w:tcPr>
            <w:tcW w:w="704" w:type="pct"/>
            <w:vMerge/>
            <w:tcBorders>
              <w:top w:val="single" w:sz="4" w:space="0" w:color="auto"/>
              <w:left w:val="single" w:sz="4" w:space="0" w:color="auto"/>
              <w:bottom w:val="single" w:sz="4" w:space="0" w:color="auto"/>
              <w:right w:val="single" w:sz="4" w:space="0" w:color="auto"/>
            </w:tcBorders>
            <w:vAlign w:val="center"/>
          </w:tcPr>
          <w:p w:rsidR="00281425" w:rsidRDefault="00281425">
            <w:pPr>
              <w:jc w:val="center"/>
              <w:rPr>
                <w:rFonts w:ascii="宋体" w:eastAsia="宋体" w:hAnsi="宋体"/>
                <w:color w:val="000000"/>
                <w:sz w:val="20"/>
                <w:szCs w:val="20"/>
              </w:rPr>
            </w:pPr>
          </w:p>
        </w:tc>
        <w:tc>
          <w:tcPr>
            <w:tcW w:w="756" w:type="pct"/>
            <w:vMerge/>
            <w:tcBorders>
              <w:top w:val="single" w:sz="4" w:space="0" w:color="auto"/>
              <w:left w:val="single" w:sz="4" w:space="0" w:color="auto"/>
              <w:bottom w:val="single" w:sz="4" w:space="0" w:color="auto"/>
              <w:right w:val="single" w:sz="4" w:space="0" w:color="auto"/>
            </w:tcBorders>
            <w:vAlign w:val="center"/>
          </w:tcPr>
          <w:p w:rsidR="00281425" w:rsidRDefault="00281425">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281425" w:rsidRDefault="00281425">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281425" w:rsidRDefault="00281425">
            <w:pPr>
              <w:jc w:val="center"/>
              <w:rPr>
                <w:rFonts w:ascii="宋体" w:eastAsia="宋体" w:hAnsi="宋体"/>
                <w:color w:val="000000"/>
                <w:sz w:val="20"/>
                <w:szCs w:val="20"/>
              </w:rPr>
            </w:pPr>
          </w:p>
        </w:tc>
        <w:tc>
          <w:tcPr>
            <w:tcW w:w="1218" w:type="pct"/>
            <w:vMerge/>
            <w:tcBorders>
              <w:top w:val="single" w:sz="4" w:space="0" w:color="auto"/>
              <w:left w:val="single" w:sz="4" w:space="0" w:color="auto"/>
              <w:bottom w:val="single" w:sz="4" w:space="0" w:color="auto"/>
              <w:right w:val="single" w:sz="4" w:space="0" w:color="auto"/>
            </w:tcBorders>
            <w:vAlign w:val="center"/>
          </w:tcPr>
          <w:p w:rsidR="00281425" w:rsidRDefault="00281425">
            <w:pPr>
              <w:jc w:val="center"/>
              <w:rPr>
                <w:rFonts w:ascii="宋体" w:eastAsia="宋体" w:hAnsi="宋体"/>
                <w:color w:val="000000"/>
                <w:sz w:val="20"/>
                <w:szCs w:val="20"/>
              </w:rPr>
            </w:pPr>
          </w:p>
        </w:tc>
      </w:tr>
      <w:tr w:rsidR="00281425">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2</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3</w:t>
            </w:r>
          </w:p>
        </w:tc>
      </w:tr>
      <w:tr w:rsidR="00281425">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152.34</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hAnsi="Times New Roman" w:cs="Times New Roman"/>
                <w:sz w:val="20"/>
                <w:szCs w:val="20"/>
              </w:rPr>
              <w:t>152.34</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27.88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27.88</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26.78</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26.78</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2080502</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事业单位离退休</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4.50</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14.59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14.59</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2080506</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机关事业单位职业年金缴费支出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7.69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7.69</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抚恤</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2080899</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其他优抚支出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8.06</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220</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自然资源海洋气象等支出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22001</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自然资源事务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2200150</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110.26</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22102</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756"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6.13</w:t>
            </w:r>
          </w:p>
        </w:tc>
        <w:tc>
          <w:tcPr>
            <w:tcW w:w="1218"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661"/>
        </w:trPr>
        <w:tc>
          <w:tcPr>
            <w:tcW w:w="5000" w:type="pct"/>
            <w:gridSpan w:val="7"/>
            <w:tcBorders>
              <w:top w:val="single" w:sz="4" w:space="0" w:color="auto"/>
              <w:left w:val="nil"/>
              <w:bottom w:val="nil"/>
              <w:right w:val="nil"/>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注：本表反映部门本年度一般公共预算财政拨款支出情况。</w:t>
            </w:r>
          </w:p>
        </w:tc>
      </w:tr>
    </w:tbl>
    <w:p w:rsidR="00281425" w:rsidRDefault="00281425">
      <w:pPr>
        <w:rPr>
          <w:rFonts w:ascii="仿宋_GB2312" w:eastAsia="仿宋_GB2312" w:hAnsi="宋体"/>
          <w:b/>
          <w:sz w:val="32"/>
          <w:szCs w:val="32"/>
        </w:rPr>
      </w:pPr>
    </w:p>
    <w:p w:rsidR="00281425" w:rsidRDefault="008E4780">
      <w:pPr>
        <w:rPr>
          <w:rFonts w:ascii="仿宋_GB2312" w:eastAsia="仿宋_GB2312" w:hAnsi="宋体"/>
          <w:b/>
          <w:sz w:val="32"/>
          <w:szCs w:val="32"/>
        </w:rPr>
      </w:pPr>
      <w:r>
        <w:rPr>
          <w:rFonts w:ascii="仿宋_GB2312" w:eastAsia="仿宋_GB2312" w:hAnsi="宋体" w:hint="eastAsia"/>
          <w:b/>
          <w:sz w:val="32"/>
          <w:szCs w:val="32"/>
        </w:rPr>
        <w:br w:type="page"/>
      </w:r>
    </w:p>
    <w:tbl>
      <w:tblPr>
        <w:tblW w:w="7050" w:type="pct"/>
        <w:tblInd w:w="-1617" w:type="dxa"/>
        <w:tblLayout w:type="fixed"/>
        <w:tblLook w:val="04A0"/>
      </w:tblPr>
      <w:tblGrid>
        <w:gridCol w:w="963"/>
        <w:gridCol w:w="1813"/>
        <w:gridCol w:w="1018"/>
        <w:gridCol w:w="964"/>
        <w:gridCol w:w="440"/>
        <w:gridCol w:w="1372"/>
        <w:gridCol w:w="589"/>
        <w:gridCol w:w="374"/>
        <w:gridCol w:w="964"/>
        <w:gridCol w:w="1816"/>
        <w:gridCol w:w="1023"/>
      </w:tblGrid>
      <w:tr w:rsidR="00281425">
        <w:trPr>
          <w:trHeight w:val="624"/>
        </w:trPr>
        <w:tc>
          <w:tcPr>
            <w:tcW w:w="5000" w:type="pct"/>
            <w:gridSpan w:val="11"/>
            <w:tcBorders>
              <w:top w:val="nil"/>
              <w:left w:val="nil"/>
              <w:bottom w:val="nil"/>
              <w:right w:val="nil"/>
            </w:tcBorders>
            <w:noWrap/>
            <w:vAlign w:val="bottom"/>
          </w:tcPr>
          <w:p w:rsidR="00281425" w:rsidRDefault="008E4780">
            <w:pPr>
              <w:widowControl/>
              <w:jc w:val="center"/>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bCs/>
                <w:sz w:val="32"/>
                <w:szCs w:val="32"/>
              </w:rPr>
              <w:lastRenderedPageBreak/>
              <w:t>一般公共预算财政拨款基本支出决算明细表</w:t>
            </w:r>
          </w:p>
        </w:tc>
      </w:tr>
      <w:tr w:rsidR="00281425">
        <w:trPr>
          <w:trHeight w:val="300"/>
        </w:trPr>
        <w:tc>
          <w:tcPr>
            <w:tcW w:w="5000" w:type="pct"/>
            <w:gridSpan w:val="11"/>
            <w:tcBorders>
              <w:top w:val="nil"/>
              <w:left w:val="nil"/>
              <w:bottom w:val="nil"/>
              <w:right w:val="nil"/>
            </w:tcBorders>
            <w:noWrap/>
            <w:vAlign w:val="bottom"/>
          </w:tcPr>
          <w:p w:rsidR="00281425" w:rsidRDefault="008E4780">
            <w:pPr>
              <w:widowControl/>
              <w:jc w:val="right"/>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rPr>
              <w:t>公开</w:t>
            </w:r>
            <w:r>
              <w:rPr>
                <w:rFonts w:ascii="Times New Roman" w:eastAsia="方正仿宋_GB2312" w:hAnsi="Times New Roman" w:cs="Times New Roman"/>
                <w:color w:val="000000"/>
                <w:sz w:val="18"/>
                <w:szCs w:val="18"/>
              </w:rPr>
              <w:t>06</w:t>
            </w:r>
            <w:r>
              <w:rPr>
                <w:rFonts w:ascii="方正仿宋_GB2312" w:eastAsia="方正仿宋_GB2312" w:hAnsi="方正仿宋_GB2312" w:cs="方正仿宋_GB2312" w:hint="eastAsia"/>
                <w:color w:val="000000"/>
                <w:sz w:val="18"/>
                <w:szCs w:val="18"/>
              </w:rPr>
              <w:t>表</w:t>
            </w:r>
          </w:p>
        </w:tc>
      </w:tr>
      <w:tr w:rsidR="00281425">
        <w:trPr>
          <w:trHeight w:val="90"/>
        </w:trPr>
        <w:tc>
          <w:tcPr>
            <w:tcW w:w="2293" w:type="pct"/>
            <w:gridSpan w:val="5"/>
            <w:tcBorders>
              <w:top w:val="nil"/>
              <w:left w:val="nil"/>
              <w:bottom w:val="single" w:sz="4" w:space="0" w:color="auto"/>
              <w:right w:val="nil"/>
            </w:tcBorders>
            <w:noWrap/>
            <w:vAlign w:val="bottom"/>
          </w:tcPr>
          <w:p w:rsidR="00281425" w:rsidRDefault="008E4780">
            <w:pP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rPr>
              <w:t xml:space="preserve">部门（单位）：青龙满族自治县不动产登记中心 </w:t>
            </w:r>
            <w:r>
              <w:rPr>
                <w:rFonts w:asciiTheme="minorEastAsia" w:hAnsiTheme="minorEastAsia" w:cstheme="minorEastAsia" w:hint="eastAsia"/>
                <w:color w:val="000000"/>
                <w:sz w:val="18"/>
                <w:szCs w:val="18"/>
              </w:rPr>
              <w:t xml:space="preserve">                                                                   </w:t>
            </w:r>
          </w:p>
        </w:tc>
        <w:tc>
          <w:tcPr>
            <w:tcW w:w="865" w:type="pct"/>
            <w:gridSpan w:val="2"/>
            <w:tcBorders>
              <w:top w:val="nil"/>
              <w:left w:val="nil"/>
              <w:bottom w:val="single" w:sz="4" w:space="0" w:color="auto"/>
              <w:right w:val="nil"/>
            </w:tcBorders>
            <w:noWrap/>
            <w:vAlign w:val="bottom"/>
          </w:tcPr>
          <w:p w:rsidR="00281425" w:rsidRDefault="008E4780">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2024</w:t>
            </w:r>
            <w:r>
              <w:rPr>
                <w:rFonts w:ascii="方正仿宋_GB2312" w:eastAsia="方正仿宋_GB2312" w:hAnsi="方正仿宋_GB2312" w:cs="方正仿宋_GB2312" w:hint="eastAsia"/>
                <w:color w:val="000000"/>
                <w:sz w:val="18"/>
                <w:szCs w:val="18"/>
              </w:rPr>
              <w:t>年度</w:t>
            </w:r>
          </w:p>
        </w:tc>
        <w:tc>
          <w:tcPr>
            <w:tcW w:w="1841" w:type="pct"/>
            <w:gridSpan w:val="4"/>
            <w:tcBorders>
              <w:top w:val="nil"/>
              <w:left w:val="nil"/>
              <w:bottom w:val="single" w:sz="4" w:space="0" w:color="auto"/>
              <w:right w:val="nil"/>
            </w:tcBorders>
            <w:noWrap/>
            <w:vAlign w:val="bottom"/>
          </w:tcPr>
          <w:p w:rsidR="00281425" w:rsidRDefault="008E4780">
            <w:pPr>
              <w:jc w:val="right"/>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rPr>
              <w:t>金额单位：万元</w:t>
            </w:r>
          </w:p>
        </w:tc>
      </w:tr>
      <w:tr w:rsidR="00281425">
        <w:trPr>
          <w:trHeight w:val="510"/>
        </w:trPr>
        <w:tc>
          <w:tcPr>
            <w:tcW w:w="1674" w:type="pct"/>
            <w:gridSpan w:val="3"/>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人员经费</w:t>
            </w:r>
          </w:p>
        </w:tc>
        <w:tc>
          <w:tcPr>
            <w:tcW w:w="3325" w:type="pct"/>
            <w:gridSpan w:val="8"/>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公用经费</w:t>
            </w: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金额</w:t>
            </w:r>
          </w:p>
        </w:tc>
        <w:tc>
          <w:tcPr>
            <w:tcW w:w="425" w:type="pct"/>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科目名称</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金额</w:t>
            </w:r>
          </w:p>
        </w:tc>
        <w:tc>
          <w:tcPr>
            <w:tcW w:w="425" w:type="pct"/>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金额</w:t>
            </w: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125.87</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19.31</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债务利息及费用支出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30101</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基本工资</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36.81</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办公费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sz w:val="18"/>
                <w:szCs w:val="18"/>
              </w:rPr>
            </w:pPr>
            <w:r>
              <w:rPr>
                <w:rFonts w:ascii="Times New Roman" w:hAnsi="Times New Roman" w:cs="Times New Roman" w:hint="eastAsia"/>
                <w:sz w:val="18"/>
                <w:szCs w:val="18"/>
              </w:rPr>
              <w:t>11.43</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30701</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国内债务付息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30102</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津贴补贴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4.25</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印刷费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sz w:val="18"/>
                <w:szCs w:val="18"/>
              </w:rPr>
            </w:pPr>
            <w:r>
              <w:rPr>
                <w:rFonts w:ascii="Times New Roman" w:hAnsi="Times New Roman" w:cs="Times New Roman" w:hint="eastAsia"/>
                <w:sz w:val="18"/>
                <w:szCs w:val="18"/>
              </w:rPr>
              <w:t>7.62</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30702</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国外债务付息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30103</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奖金</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5.46</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咨询费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sz w:val="18"/>
                <w:szCs w:val="18"/>
              </w:rPr>
            </w:pPr>
            <w:r>
              <w:rPr>
                <w:rFonts w:ascii="Times New Roman" w:hAnsi="Times New Roman" w:cs="Times New Roman" w:hint="eastAsia"/>
                <w:sz w:val="18"/>
                <w:szCs w:val="18"/>
              </w:rPr>
              <w:t>1.55</w:t>
            </w: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30106</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伙食补助费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手续费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31001</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房屋建筑物购建</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30107</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绩效工资</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19.42</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水费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31002</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办公设备购置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sz w:val="18"/>
                <w:szCs w:val="18"/>
              </w:rPr>
            </w:pPr>
            <w:r>
              <w:rPr>
                <w:rFonts w:ascii="Times New Roman" w:hAnsi="Times New Roman" w:cs="Times New Roman" w:hint="eastAsia"/>
                <w:sz w:val="18"/>
                <w:szCs w:val="18"/>
              </w:rPr>
              <w:t>1.55</w:t>
            </w: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30108</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机关事业单位基本养老保险缴费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sz w:val="18"/>
                <w:szCs w:val="18"/>
              </w:rPr>
            </w:pPr>
            <w:r>
              <w:rPr>
                <w:rFonts w:ascii="Times New Roman" w:hAnsi="Times New Roman" w:cs="Times New Roman" w:hint="eastAsia"/>
                <w:sz w:val="18"/>
                <w:szCs w:val="18"/>
              </w:rPr>
              <w:t>14.59</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31003</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专用设备购置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heme="minorEastAsia" w:hAnsiTheme="minorEastAsia" w:cstheme="minorEastAsia"/>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30109</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职业年金缴费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sz w:val="18"/>
                <w:szCs w:val="18"/>
              </w:rPr>
            </w:pPr>
            <w:r>
              <w:rPr>
                <w:rFonts w:ascii="Times New Roman" w:hAnsi="Times New Roman" w:cs="Times New Roman" w:hint="eastAsia"/>
                <w:sz w:val="18"/>
                <w:szCs w:val="18"/>
              </w:rPr>
              <w:t>7.69</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邮电费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31005</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基础设施建设</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heme="minorEastAsia" w:hAnsiTheme="minorEastAsia" w:cstheme="minorEastAsia"/>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30110</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职工基本医疗保险缴费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color w:val="000000"/>
                <w:sz w:val="18"/>
                <w:szCs w:val="18"/>
              </w:rPr>
            </w:pPr>
            <w:r>
              <w:rPr>
                <w:rFonts w:ascii="Times New Roman" w:hAnsi="Times New Roman" w:cs="Times New Roman"/>
                <w:sz w:val="18"/>
                <w:szCs w:val="18"/>
              </w:rPr>
              <w:t>7.82</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取暖费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31006</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大型修缮</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30111</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公务员医疗补助缴费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物业管理费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31007</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信息网络及软件购置更新</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30112</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其他社会保障缴费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color w:val="000000"/>
                <w:sz w:val="18"/>
                <w:szCs w:val="18"/>
              </w:rPr>
            </w:pPr>
            <w:r>
              <w:rPr>
                <w:rFonts w:ascii="Times New Roman" w:hAnsi="Times New Roman" w:cs="Times New Roman"/>
                <w:sz w:val="18"/>
                <w:szCs w:val="18"/>
              </w:rPr>
              <w:t>0.67</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差旅费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color w:val="000000"/>
                <w:sz w:val="18"/>
                <w:szCs w:val="18"/>
              </w:rPr>
            </w:pPr>
            <w:r>
              <w:rPr>
                <w:rFonts w:ascii="Times New Roman" w:hAnsi="Times New Roman" w:cs="Times New Roman"/>
                <w:sz w:val="18"/>
                <w:szCs w:val="18"/>
              </w:rPr>
              <w:t>0.26</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31008</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物资储备</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30113</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住房公积金</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color w:val="000000"/>
                <w:sz w:val="18"/>
                <w:szCs w:val="18"/>
              </w:rPr>
            </w:pPr>
            <w:r>
              <w:rPr>
                <w:rFonts w:ascii="Times New Roman" w:hAnsi="Times New Roman" w:cs="Times New Roman"/>
                <w:sz w:val="18"/>
                <w:szCs w:val="18"/>
              </w:rPr>
              <w:t>6.13</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因公出国（境）费用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31009</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土地补偿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30114</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医疗费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维修（护）费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31010</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安置补助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30199</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color w:val="000000"/>
                <w:sz w:val="18"/>
                <w:szCs w:val="18"/>
              </w:rPr>
            </w:pPr>
            <w:r>
              <w:rPr>
                <w:rFonts w:ascii="Times New Roman" w:hAnsi="Times New Roman" w:cs="Times New Roman"/>
                <w:sz w:val="18"/>
                <w:szCs w:val="18"/>
              </w:rPr>
              <w:t>23.04</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 xml:space="preserve">  租赁费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31011</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地上附着物和青苗补偿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color w:val="000000"/>
                <w:sz w:val="18"/>
                <w:szCs w:val="18"/>
              </w:rPr>
            </w:pPr>
            <w:r>
              <w:rPr>
                <w:rFonts w:ascii="Times New Roman" w:hAnsi="Times New Roman" w:cs="Times New Roman"/>
                <w:sz w:val="18"/>
                <w:szCs w:val="18"/>
              </w:rPr>
              <w:t>5.61</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会议费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31012</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拆迁补偿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30301</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离休费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培训费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31013</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30302</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退休费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color w:val="000000"/>
                <w:sz w:val="18"/>
                <w:szCs w:val="18"/>
              </w:rPr>
            </w:pPr>
            <w:r>
              <w:rPr>
                <w:rFonts w:ascii="Times New Roman" w:hAnsi="Times New Roman" w:cs="Times New Roman"/>
                <w:sz w:val="18"/>
                <w:szCs w:val="18"/>
              </w:rPr>
              <w:t>4.50</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公务接待费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31019</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其他交通工具购置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30303</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退职（役）费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专用材料费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31021</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文物和陈列品购置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30304</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抚恤金</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被装购置费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31022</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无形资产购置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30305</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生活补助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color w:val="000000"/>
                <w:sz w:val="18"/>
                <w:szCs w:val="18"/>
              </w:rPr>
            </w:pPr>
            <w:r>
              <w:rPr>
                <w:rFonts w:ascii="Times New Roman" w:hAnsi="Times New Roman" w:cs="Times New Roman"/>
                <w:sz w:val="18"/>
                <w:szCs w:val="18"/>
              </w:rPr>
              <w:t>1.10</w:t>
            </w: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专用燃料费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31099</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30306</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救济费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劳务费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30307</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医疗费补助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委托业务费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31201</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资本金注入</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30308</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助学金</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工会经费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31203</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政府投资基金股权投资</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30309</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奖励金</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福利费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31204</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费用补贴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30310</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个人农业生产补贴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公务用车运行维护费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31205</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利息补贴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30311</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代缴社会保险费</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其他交通费用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31299</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30399</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30240</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税金及附加费用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30299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39907</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国家赔偿费用支出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39908</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对民间非营利组织和群众性自治组织补贴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39909</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经常性赠与</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39910</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资本性赠与</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281425">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39999</w:t>
            </w:r>
          </w:p>
        </w:tc>
        <w:tc>
          <w:tcPr>
            <w:tcW w:w="799" w:type="pct"/>
            <w:tcBorders>
              <w:top w:val="single" w:sz="4" w:space="0" w:color="auto"/>
              <w:left w:val="single" w:sz="4" w:space="0" w:color="auto"/>
              <w:bottom w:val="single" w:sz="4" w:space="0" w:color="auto"/>
              <w:right w:val="single" w:sz="4" w:space="0" w:color="auto"/>
            </w:tcBorders>
            <w:noWrap/>
            <w:vAlign w:val="center"/>
          </w:tcPr>
          <w:p w:rsidR="00281425" w:rsidRDefault="008E4780">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281425">
            <w:pPr>
              <w:jc w:val="right"/>
              <w:rPr>
                <w:rFonts w:ascii="Times New Roman" w:hAnsi="Times New Roman" w:cs="Times New Roman"/>
                <w:color w:val="000000"/>
                <w:sz w:val="18"/>
                <w:szCs w:val="18"/>
              </w:rPr>
            </w:pPr>
          </w:p>
        </w:tc>
      </w:tr>
      <w:tr w:rsidR="00281425">
        <w:trPr>
          <w:trHeight w:val="510"/>
        </w:trPr>
        <w:tc>
          <w:tcPr>
            <w:tcW w:w="1225" w:type="pct"/>
            <w:gridSpan w:val="2"/>
            <w:tcBorders>
              <w:top w:val="single" w:sz="4" w:space="0" w:color="auto"/>
              <w:left w:val="single" w:sz="4" w:space="0" w:color="auto"/>
              <w:bottom w:val="single" w:sz="4" w:space="0" w:color="auto"/>
              <w:right w:val="single" w:sz="4" w:space="0" w:color="auto"/>
            </w:tcBorders>
            <w:noWrap/>
            <w:vAlign w:val="center"/>
          </w:tcPr>
          <w:p w:rsidR="00281425" w:rsidRDefault="008E4780">
            <w:pPr>
              <w:jc w:val="center"/>
              <w:rPr>
                <w:rFonts w:ascii="Times New Roman" w:hAnsi="Times New Roman" w:cs="Times New Roman"/>
                <w:sz w:val="18"/>
                <w:szCs w:val="18"/>
              </w:rPr>
            </w:pPr>
            <w:r>
              <w:rPr>
                <w:rFonts w:ascii="方正仿宋_GB2312" w:eastAsia="方正仿宋_GB2312" w:hAnsi="方正仿宋_GB2312" w:cs="方正仿宋_GB2312" w:hint="eastAsia"/>
                <w:color w:val="000000"/>
                <w:sz w:val="18"/>
                <w:szCs w:val="18"/>
              </w:rPr>
              <w:t>人员经费合计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imes New Roman" w:hAnsi="Times New Roman" w:cs="Times New Roman"/>
                <w:sz w:val="18"/>
                <w:szCs w:val="18"/>
              </w:rPr>
            </w:pPr>
            <w:r>
              <w:rPr>
                <w:rFonts w:ascii="Times New Roman" w:hAnsi="Times New Roman" w:cs="Times New Roman"/>
                <w:sz w:val="18"/>
                <w:szCs w:val="18"/>
              </w:rPr>
              <w:t>131.48</w:t>
            </w:r>
          </w:p>
        </w:tc>
        <w:tc>
          <w:tcPr>
            <w:tcW w:w="2875" w:type="pct"/>
            <w:gridSpan w:val="7"/>
            <w:tcBorders>
              <w:top w:val="single" w:sz="4" w:space="0" w:color="auto"/>
              <w:left w:val="single" w:sz="4" w:space="0" w:color="auto"/>
              <w:bottom w:val="single" w:sz="4" w:space="0" w:color="auto"/>
              <w:right w:val="single" w:sz="4" w:space="0" w:color="auto"/>
            </w:tcBorders>
            <w:noWrap/>
            <w:vAlign w:val="center"/>
          </w:tcPr>
          <w:p w:rsidR="00281425" w:rsidRDefault="008E4780">
            <w:pPr>
              <w:jc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rPr>
              <w:t>公用经费合计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rsidR="00281425" w:rsidRDefault="008E4780">
            <w:pPr>
              <w:jc w:val="right"/>
              <w:rPr>
                <w:rFonts w:asciiTheme="minorEastAsia" w:hAnsiTheme="minorEastAsia" w:cstheme="minorEastAsia"/>
                <w:color w:val="000000"/>
                <w:sz w:val="18"/>
                <w:szCs w:val="18"/>
              </w:rPr>
            </w:pPr>
            <w:r>
              <w:rPr>
                <w:rFonts w:ascii="Times New Roman" w:hAnsi="Times New Roman" w:cs="Times New Roman"/>
                <w:sz w:val="18"/>
                <w:szCs w:val="18"/>
              </w:rPr>
              <w:t>20.86</w:t>
            </w:r>
          </w:p>
        </w:tc>
      </w:tr>
      <w:tr w:rsidR="00281425">
        <w:trPr>
          <w:trHeight w:val="510"/>
        </w:trPr>
        <w:tc>
          <w:tcPr>
            <w:tcW w:w="5000" w:type="pct"/>
            <w:gridSpan w:val="11"/>
            <w:tcBorders>
              <w:top w:val="single" w:sz="4" w:space="0" w:color="auto"/>
              <w:left w:val="nil"/>
              <w:bottom w:val="nil"/>
              <w:right w:val="nil"/>
            </w:tcBorders>
            <w:noWrap/>
            <w:vAlign w:val="center"/>
          </w:tcPr>
          <w:p w:rsidR="00281425" w:rsidRDefault="008E4780">
            <w:pPr>
              <w:widowControl/>
              <w:jc w:val="left"/>
              <w:textAlignment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rPr>
              <w:t>注：本表反映部门本年度一般公共预算财政拨款基本支出明细情况。</w:t>
            </w:r>
          </w:p>
        </w:tc>
      </w:tr>
    </w:tbl>
    <w:p w:rsidR="00281425" w:rsidRDefault="00281425">
      <w:pPr>
        <w:rPr>
          <w:rFonts w:ascii="仿宋_GB2312" w:eastAsia="仿宋_GB2312" w:hAnsi="宋体"/>
          <w:b/>
          <w:sz w:val="32"/>
          <w:szCs w:val="32"/>
        </w:rPr>
      </w:pPr>
    </w:p>
    <w:p w:rsidR="00281425" w:rsidRDefault="008E4780">
      <w:pPr>
        <w:rPr>
          <w:rFonts w:ascii="仿宋_GB2312" w:eastAsia="仿宋_GB2312" w:hAnsi="宋体"/>
          <w:b/>
          <w:sz w:val="32"/>
          <w:szCs w:val="32"/>
        </w:rPr>
      </w:pPr>
      <w:r>
        <w:rPr>
          <w:rFonts w:ascii="仿宋_GB2312" w:eastAsia="仿宋_GB2312" w:hAnsi="宋体" w:hint="eastAsia"/>
          <w:b/>
          <w:sz w:val="32"/>
          <w:szCs w:val="32"/>
        </w:rPr>
        <w:br w:type="page"/>
      </w:r>
    </w:p>
    <w:tbl>
      <w:tblPr>
        <w:tblW w:w="6517" w:type="pct"/>
        <w:tblInd w:w="-1404" w:type="dxa"/>
        <w:tblLayout w:type="fixed"/>
        <w:tblLook w:val="04A0"/>
      </w:tblPr>
      <w:tblGrid>
        <w:gridCol w:w="1260"/>
        <w:gridCol w:w="1473"/>
        <w:gridCol w:w="1306"/>
        <w:gridCol w:w="1025"/>
        <w:gridCol w:w="1107"/>
        <w:gridCol w:w="419"/>
        <w:gridCol w:w="700"/>
        <w:gridCol w:w="1146"/>
        <w:gridCol w:w="2043"/>
      </w:tblGrid>
      <w:tr w:rsidR="00281425">
        <w:trPr>
          <w:trHeight w:val="550"/>
        </w:trPr>
        <w:tc>
          <w:tcPr>
            <w:tcW w:w="5000" w:type="pct"/>
            <w:gridSpan w:val="9"/>
            <w:tcBorders>
              <w:top w:val="nil"/>
              <w:left w:val="nil"/>
              <w:bottom w:val="nil"/>
              <w:right w:val="nil"/>
            </w:tcBorders>
            <w:noWrap/>
            <w:vAlign w:val="bottom"/>
          </w:tcPr>
          <w:p w:rsidR="00281425" w:rsidRDefault="008E478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政府性基金预算财政拨款收入支出决算表</w:t>
            </w:r>
          </w:p>
        </w:tc>
      </w:tr>
      <w:tr w:rsidR="00281425">
        <w:trPr>
          <w:trHeight w:val="90"/>
        </w:trPr>
        <w:tc>
          <w:tcPr>
            <w:tcW w:w="5000" w:type="pct"/>
            <w:gridSpan w:val="9"/>
            <w:tcBorders>
              <w:top w:val="nil"/>
              <w:left w:val="nil"/>
              <w:bottom w:val="nil"/>
              <w:right w:val="nil"/>
            </w:tcBorders>
            <w:noWrap/>
            <w:vAlign w:val="bottom"/>
          </w:tcPr>
          <w:p w:rsidR="00281425" w:rsidRDefault="008E478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w:t>
            </w:r>
            <w:r>
              <w:rPr>
                <w:rFonts w:ascii="Times New Roman" w:eastAsia="宋体" w:hAnsi="Times New Roman" w:cs="Times New Roman"/>
                <w:color w:val="000000"/>
                <w:sz w:val="20"/>
                <w:szCs w:val="20"/>
              </w:rPr>
              <w:t>07</w:t>
            </w:r>
            <w:r>
              <w:rPr>
                <w:rFonts w:ascii="方正仿宋_GB2312" w:eastAsia="方正仿宋_GB2312" w:hAnsi="方正仿宋_GB2312" w:cs="方正仿宋_GB2312" w:hint="eastAsia"/>
                <w:color w:val="000000"/>
                <w:sz w:val="20"/>
                <w:szCs w:val="20"/>
              </w:rPr>
              <w:t>表</w:t>
            </w:r>
          </w:p>
        </w:tc>
      </w:tr>
      <w:tr w:rsidR="00281425">
        <w:trPr>
          <w:trHeight w:val="300"/>
        </w:trPr>
        <w:tc>
          <w:tcPr>
            <w:tcW w:w="1927" w:type="pct"/>
            <w:gridSpan w:val="3"/>
            <w:tcBorders>
              <w:top w:val="nil"/>
              <w:left w:val="nil"/>
              <w:bottom w:val="single" w:sz="4" w:space="0" w:color="auto"/>
              <w:right w:val="nil"/>
            </w:tcBorders>
            <w:noWrap/>
            <w:vAlign w:val="bottom"/>
          </w:tcPr>
          <w:p w:rsidR="00281425" w:rsidRDefault="008E4780">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 xml:space="preserve">部门（单位）：青龙满族自治县不动产登记中心 </w:t>
            </w:r>
            <w:r>
              <w:rPr>
                <w:rFonts w:ascii="宋体" w:eastAsia="宋体" w:hAnsi="宋体" w:hint="eastAsia"/>
                <w:color w:val="000000"/>
                <w:sz w:val="20"/>
                <w:szCs w:val="20"/>
              </w:rPr>
              <w:t xml:space="preserve">                                                                                     </w:t>
            </w:r>
          </w:p>
        </w:tc>
        <w:tc>
          <w:tcPr>
            <w:tcW w:w="1217" w:type="pct"/>
            <w:gridSpan w:val="3"/>
            <w:tcBorders>
              <w:top w:val="nil"/>
              <w:left w:val="nil"/>
              <w:bottom w:val="single" w:sz="4" w:space="0" w:color="auto"/>
              <w:right w:val="nil"/>
            </w:tcBorders>
            <w:noWrap/>
            <w:vAlign w:val="bottom"/>
          </w:tcPr>
          <w:p w:rsidR="00281425" w:rsidRDefault="008E4780">
            <w:pPr>
              <w:widowControl/>
              <w:jc w:val="center"/>
              <w:textAlignment w:val="bottom"/>
              <w:rPr>
                <w:rFonts w:ascii="宋体" w:eastAsia="宋体" w:hAnsi="宋体"/>
                <w:color w:val="000000"/>
                <w:sz w:val="20"/>
                <w:szCs w:val="20"/>
              </w:rPr>
            </w:pPr>
            <w:r>
              <w:rPr>
                <w:rFonts w:ascii="Times New Roman" w:eastAsia="宋体" w:hAnsi="Times New Roman" w:cs="Times New Roman"/>
                <w:color w:val="000000"/>
                <w:sz w:val="20"/>
                <w:szCs w:val="20"/>
              </w:rPr>
              <w:t>202</w:t>
            </w:r>
            <w:r>
              <w:rPr>
                <w:rFonts w:ascii="Times New Roman" w:eastAsia="宋体"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1854" w:type="pct"/>
            <w:gridSpan w:val="3"/>
            <w:tcBorders>
              <w:top w:val="nil"/>
              <w:left w:val="nil"/>
              <w:bottom w:val="single" w:sz="4" w:space="0" w:color="auto"/>
              <w:right w:val="nil"/>
            </w:tcBorders>
            <w:noWrap/>
            <w:vAlign w:val="bottom"/>
          </w:tcPr>
          <w:p w:rsidR="00281425" w:rsidRDefault="008E478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281425">
        <w:trPr>
          <w:trHeight w:val="308"/>
        </w:trPr>
        <w:tc>
          <w:tcPr>
            <w:tcW w:w="1304" w:type="pct"/>
            <w:gridSpan w:val="2"/>
            <w:tcBorders>
              <w:top w:val="single" w:sz="4" w:space="0" w:color="auto"/>
              <w:left w:val="single" w:sz="4" w:space="0" w:color="000000"/>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w:t>
            </w:r>
          </w:p>
        </w:tc>
        <w:tc>
          <w:tcPr>
            <w:tcW w:w="623" w:type="pct"/>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年初结转和结余</w:t>
            </w:r>
          </w:p>
        </w:tc>
        <w:tc>
          <w:tcPr>
            <w:tcW w:w="489" w:type="pct"/>
            <w:vMerge w:val="restart"/>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本年收入</w:t>
            </w:r>
          </w:p>
        </w:tc>
        <w:tc>
          <w:tcPr>
            <w:tcW w:w="1609" w:type="pct"/>
            <w:gridSpan w:val="4"/>
            <w:tcBorders>
              <w:top w:val="single" w:sz="4" w:space="0" w:color="auto"/>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w:t>
            </w:r>
          </w:p>
        </w:tc>
        <w:tc>
          <w:tcPr>
            <w:tcW w:w="973" w:type="pct"/>
            <w:vMerge w:val="restart"/>
            <w:tcBorders>
              <w:top w:val="single" w:sz="4" w:space="0" w:color="auto"/>
              <w:left w:val="nil"/>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年末结转和结余</w:t>
            </w:r>
          </w:p>
        </w:tc>
      </w:tr>
      <w:tr w:rsidR="00281425">
        <w:trPr>
          <w:trHeight w:val="312"/>
        </w:trPr>
        <w:tc>
          <w:tcPr>
            <w:tcW w:w="601" w:type="pct"/>
            <w:vMerge w:val="restart"/>
            <w:tcBorders>
              <w:top w:val="nil"/>
              <w:left w:val="single" w:sz="4" w:space="0" w:color="000000"/>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703" w:type="pct"/>
            <w:vMerge w:val="restar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623"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528" w:type="pct"/>
            <w:vMerge w:val="restar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534" w:type="pct"/>
            <w:gridSpan w:val="2"/>
            <w:vMerge w:val="restar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546" w:type="pct"/>
            <w:vMerge w:val="restart"/>
            <w:tcBorders>
              <w:top w:val="nil"/>
              <w:left w:val="nil"/>
              <w:bottom w:val="single" w:sz="4" w:space="0" w:color="000000"/>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c>
          <w:tcPr>
            <w:tcW w:w="973" w:type="pct"/>
            <w:vMerge/>
            <w:tcBorders>
              <w:left w:val="nil"/>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结转</w:t>
            </w:r>
          </w:p>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结余</w:t>
            </w:r>
          </w:p>
        </w:tc>
      </w:tr>
      <w:tr w:rsidR="00281425">
        <w:trPr>
          <w:trHeight w:val="312"/>
        </w:trPr>
        <w:tc>
          <w:tcPr>
            <w:tcW w:w="601" w:type="pct"/>
            <w:vMerge/>
            <w:tcBorders>
              <w:top w:val="nil"/>
              <w:left w:val="single" w:sz="4" w:space="0" w:color="000000"/>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703" w:type="pct"/>
            <w:vMerge/>
            <w:tcBorders>
              <w:top w:val="nil"/>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623"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528" w:type="pct"/>
            <w:vMerge/>
            <w:tcBorders>
              <w:top w:val="nil"/>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534" w:type="pct"/>
            <w:gridSpan w:val="2"/>
            <w:vMerge/>
            <w:tcBorders>
              <w:top w:val="nil"/>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546" w:type="pct"/>
            <w:vMerge/>
            <w:tcBorders>
              <w:top w:val="nil"/>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973" w:type="pct"/>
            <w:vMerge/>
            <w:tcBorders>
              <w:left w:val="nil"/>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r>
      <w:tr w:rsidR="00281425">
        <w:trPr>
          <w:trHeight w:val="312"/>
        </w:trPr>
        <w:tc>
          <w:tcPr>
            <w:tcW w:w="601" w:type="pct"/>
            <w:vMerge/>
            <w:tcBorders>
              <w:top w:val="nil"/>
              <w:left w:val="single" w:sz="4" w:space="0" w:color="000000"/>
              <w:bottom w:val="single" w:sz="4" w:space="0" w:color="auto"/>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703" w:type="pct"/>
            <w:vMerge/>
            <w:tcBorders>
              <w:top w:val="nil"/>
              <w:left w:val="nil"/>
              <w:bottom w:val="single" w:sz="4" w:space="0" w:color="auto"/>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623"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528" w:type="pct"/>
            <w:vMerge/>
            <w:tcBorders>
              <w:top w:val="nil"/>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534" w:type="pct"/>
            <w:gridSpan w:val="2"/>
            <w:vMerge/>
            <w:tcBorders>
              <w:top w:val="nil"/>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546" w:type="pct"/>
            <w:vMerge/>
            <w:tcBorders>
              <w:top w:val="nil"/>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973" w:type="pct"/>
            <w:vMerge/>
            <w:tcBorders>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r>
      <w:tr w:rsidR="00281425">
        <w:trPr>
          <w:trHeight w:val="308"/>
        </w:trPr>
        <w:tc>
          <w:tcPr>
            <w:tcW w:w="1304" w:type="pct"/>
            <w:gridSpan w:val="2"/>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栏次</w:t>
            </w:r>
          </w:p>
        </w:tc>
        <w:tc>
          <w:tcPr>
            <w:tcW w:w="623" w:type="pct"/>
            <w:tcBorders>
              <w:top w:val="nil"/>
              <w:left w:val="single" w:sz="4" w:space="0" w:color="auto"/>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1</w:t>
            </w:r>
          </w:p>
        </w:tc>
        <w:tc>
          <w:tcPr>
            <w:tcW w:w="489"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2</w:t>
            </w:r>
          </w:p>
        </w:tc>
        <w:tc>
          <w:tcPr>
            <w:tcW w:w="528"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3</w:t>
            </w:r>
          </w:p>
        </w:tc>
        <w:tc>
          <w:tcPr>
            <w:tcW w:w="534"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4</w:t>
            </w:r>
          </w:p>
        </w:tc>
        <w:tc>
          <w:tcPr>
            <w:tcW w:w="54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5</w:t>
            </w:r>
          </w:p>
        </w:tc>
        <w:tc>
          <w:tcPr>
            <w:tcW w:w="973"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6</w:t>
            </w:r>
          </w:p>
        </w:tc>
      </w:tr>
      <w:tr w:rsidR="00281425">
        <w:trPr>
          <w:trHeight w:val="869"/>
        </w:trPr>
        <w:tc>
          <w:tcPr>
            <w:tcW w:w="1304" w:type="pct"/>
            <w:gridSpan w:val="2"/>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623" w:type="pct"/>
            <w:tcBorders>
              <w:top w:val="nil"/>
              <w:left w:val="single" w:sz="4" w:space="0" w:color="auto"/>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489"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15.00</w:t>
            </w:r>
          </w:p>
        </w:tc>
        <w:tc>
          <w:tcPr>
            <w:tcW w:w="528"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15.00</w:t>
            </w:r>
          </w:p>
        </w:tc>
        <w:tc>
          <w:tcPr>
            <w:tcW w:w="534"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46"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15.00</w:t>
            </w:r>
          </w:p>
        </w:tc>
        <w:tc>
          <w:tcPr>
            <w:tcW w:w="973"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601"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212</w:t>
            </w:r>
          </w:p>
        </w:tc>
        <w:tc>
          <w:tcPr>
            <w:tcW w:w="703"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城乡社区支出</w:t>
            </w:r>
          </w:p>
        </w:tc>
        <w:tc>
          <w:tcPr>
            <w:tcW w:w="623"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489"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528"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534"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46"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973"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601"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21208</w:t>
            </w:r>
          </w:p>
        </w:tc>
        <w:tc>
          <w:tcPr>
            <w:tcW w:w="703"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国有土地使用权出让收入安排的支出</w:t>
            </w:r>
          </w:p>
        </w:tc>
        <w:tc>
          <w:tcPr>
            <w:tcW w:w="623"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489"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528"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534"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46"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973"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601" w:type="pct"/>
            <w:tcBorders>
              <w:top w:val="nil"/>
              <w:left w:val="single" w:sz="4" w:space="0" w:color="000000"/>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2120899</w:t>
            </w:r>
          </w:p>
        </w:tc>
        <w:tc>
          <w:tcPr>
            <w:tcW w:w="703" w:type="pct"/>
            <w:tcBorders>
              <w:top w:val="nil"/>
              <w:left w:val="nil"/>
              <w:bottom w:val="single" w:sz="4" w:space="0" w:color="000000"/>
              <w:right w:val="single" w:sz="4" w:space="0" w:color="000000"/>
            </w:tcBorders>
            <w:noWrap/>
            <w:vAlign w:val="center"/>
          </w:tcPr>
          <w:p w:rsidR="00281425" w:rsidRDefault="008E4780">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其他国有土地使用权出让收入安排的支出</w:t>
            </w:r>
          </w:p>
        </w:tc>
        <w:tc>
          <w:tcPr>
            <w:tcW w:w="623"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489"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528"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534"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546" w:type="pct"/>
            <w:tcBorders>
              <w:top w:val="nil"/>
              <w:left w:val="nil"/>
              <w:bottom w:val="single" w:sz="4" w:space="0" w:color="000000"/>
              <w:right w:val="single" w:sz="4" w:space="0" w:color="000000"/>
            </w:tcBorders>
            <w:noWrap/>
            <w:vAlign w:val="center"/>
          </w:tcPr>
          <w:p w:rsidR="00281425" w:rsidRDefault="008E4780">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15.00</w:t>
            </w:r>
          </w:p>
        </w:tc>
        <w:tc>
          <w:tcPr>
            <w:tcW w:w="973"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5000" w:type="pct"/>
            <w:gridSpan w:val="9"/>
            <w:tcBorders>
              <w:top w:val="nil"/>
              <w:left w:val="nil"/>
              <w:bottom w:val="nil"/>
              <w:right w:val="nil"/>
            </w:tcBorders>
            <w:noWrap/>
            <w:vAlign w:val="center"/>
          </w:tcPr>
          <w:p w:rsidR="00281425" w:rsidRDefault="008E4780">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注：本表反映部门本年度政府性基金预算财政拨款收入、支出及结转和结余情况。</w:t>
            </w:r>
            <w:r>
              <w:rPr>
                <w:rFonts w:ascii="方正仿宋_GB2312" w:eastAsia="方正仿宋_GB2312" w:hAnsi="方正仿宋_GB2312" w:cs="方正仿宋_GB2312" w:hint="eastAsia"/>
                <w:color w:val="000000"/>
                <w:sz w:val="20"/>
                <w:szCs w:val="20"/>
              </w:rPr>
              <w:br w:type="page"/>
            </w:r>
          </w:p>
        </w:tc>
      </w:tr>
    </w:tbl>
    <w:p w:rsidR="00281425" w:rsidRDefault="00281425">
      <w:pPr>
        <w:rPr>
          <w:rFonts w:ascii="仿宋_GB2312" w:eastAsia="仿宋_GB2312" w:hAnsi="宋体"/>
          <w:b/>
          <w:sz w:val="32"/>
          <w:szCs w:val="32"/>
        </w:rPr>
      </w:pPr>
    </w:p>
    <w:p w:rsidR="00281425" w:rsidRDefault="008E4780">
      <w:pPr>
        <w:rPr>
          <w:rFonts w:ascii="仿宋_GB2312" w:eastAsia="仿宋_GB2312" w:hAnsi="宋体"/>
          <w:b/>
          <w:sz w:val="32"/>
          <w:szCs w:val="32"/>
        </w:rPr>
      </w:pPr>
      <w:r>
        <w:rPr>
          <w:rFonts w:ascii="仿宋_GB2312" w:eastAsia="仿宋_GB2312" w:hAnsi="宋体" w:hint="eastAsia"/>
          <w:b/>
          <w:sz w:val="32"/>
          <w:szCs w:val="32"/>
        </w:rPr>
        <w:br w:type="page"/>
      </w:r>
    </w:p>
    <w:tbl>
      <w:tblPr>
        <w:tblW w:w="5863" w:type="pct"/>
        <w:tblInd w:w="-976" w:type="dxa"/>
        <w:tblLayout w:type="fixed"/>
        <w:tblLook w:val="04A0"/>
      </w:tblPr>
      <w:tblGrid>
        <w:gridCol w:w="2992"/>
        <w:gridCol w:w="730"/>
        <w:gridCol w:w="1297"/>
        <w:gridCol w:w="1337"/>
        <w:gridCol w:w="45"/>
        <w:gridCol w:w="1286"/>
        <w:gridCol w:w="6"/>
        <w:gridCol w:w="1735"/>
      </w:tblGrid>
      <w:tr w:rsidR="00281425">
        <w:trPr>
          <w:trHeight w:val="550"/>
        </w:trPr>
        <w:tc>
          <w:tcPr>
            <w:tcW w:w="5000" w:type="pct"/>
            <w:gridSpan w:val="8"/>
            <w:tcBorders>
              <w:top w:val="nil"/>
              <w:left w:val="nil"/>
              <w:bottom w:val="nil"/>
              <w:right w:val="nil"/>
            </w:tcBorders>
            <w:noWrap/>
            <w:vAlign w:val="bottom"/>
          </w:tcPr>
          <w:p w:rsidR="00281425" w:rsidRDefault="008E4780">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国有资本经营预算财政拨款支出决算表</w:t>
            </w:r>
          </w:p>
        </w:tc>
      </w:tr>
      <w:tr w:rsidR="00281425">
        <w:trPr>
          <w:trHeight w:val="300"/>
        </w:trPr>
        <w:tc>
          <w:tcPr>
            <w:tcW w:w="5000" w:type="pct"/>
            <w:gridSpan w:val="8"/>
            <w:tcBorders>
              <w:top w:val="nil"/>
              <w:left w:val="nil"/>
              <w:bottom w:val="nil"/>
              <w:right w:val="nil"/>
            </w:tcBorders>
            <w:noWrap/>
            <w:vAlign w:val="bottom"/>
          </w:tcPr>
          <w:p w:rsidR="00281425" w:rsidRDefault="008E478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公开</w:t>
            </w:r>
            <w:r>
              <w:rPr>
                <w:rFonts w:ascii="Times New Roman" w:eastAsia="方正仿宋_GB2312" w:hAnsi="Times New Roman" w:cs="Times New Roman"/>
                <w:color w:val="000000"/>
                <w:sz w:val="20"/>
                <w:szCs w:val="20"/>
              </w:rPr>
              <w:t>08</w:t>
            </w:r>
            <w:r>
              <w:rPr>
                <w:rFonts w:ascii="方正仿宋_GB2312" w:eastAsia="方正仿宋_GB2312" w:hAnsi="方正仿宋_GB2312" w:cs="方正仿宋_GB2312" w:hint="eastAsia"/>
                <w:color w:val="000000"/>
                <w:sz w:val="20"/>
                <w:szCs w:val="20"/>
              </w:rPr>
              <w:t>表</w:t>
            </w:r>
          </w:p>
        </w:tc>
      </w:tr>
      <w:tr w:rsidR="00281425">
        <w:trPr>
          <w:trHeight w:val="300"/>
        </w:trPr>
        <w:tc>
          <w:tcPr>
            <w:tcW w:w="1974" w:type="pct"/>
            <w:gridSpan w:val="2"/>
            <w:tcBorders>
              <w:top w:val="nil"/>
              <w:left w:val="nil"/>
              <w:bottom w:val="single" w:sz="4" w:space="0" w:color="auto"/>
              <w:right w:val="nil"/>
            </w:tcBorders>
            <w:noWrap/>
            <w:vAlign w:val="bottom"/>
          </w:tcPr>
          <w:p w:rsidR="00281425" w:rsidRDefault="008E4780">
            <w:pPr>
              <w:widowControl/>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部门（单位）：青龙满族自治县不动产登记中心</w:t>
            </w:r>
          </w:p>
        </w:tc>
        <w:tc>
          <w:tcPr>
            <w:tcW w:w="1421" w:type="pct"/>
            <w:gridSpan w:val="3"/>
            <w:tcBorders>
              <w:top w:val="nil"/>
              <w:left w:val="nil"/>
              <w:bottom w:val="single" w:sz="4" w:space="0" w:color="auto"/>
              <w:right w:val="nil"/>
            </w:tcBorders>
            <w:noWrap/>
            <w:vAlign w:val="bottom"/>
          </w:tcPr>
          <w:p w:rsidR="00281425" w:rsidRDefault="008E4780">
            <w:pPr>
              <w:widowControl/>
              <w:jc w:val="center"/>
              <w:textAlignment w:val="bottom"/>
              <w:rPr>
                <w:rFonts w:ascii="宋体" w:eastAsia="宋体" w:hAnsi="宋体"/>
                <w:color w:val="000000"/>
                <w:sz w:val="20"/>
                <w:szCs w:val="20"/>
              </w:rPr>
            </w:pPr>
            <w:r>
              <w:rPr>
                <w:rFonts w:ascii="Times New Roman" w:eastAsia="宋体" w:hAnsi="Times New Roman" w:cs="Times New Roman"/>
                <w:color w:val="000000"/>
                <w:sz w:val="20"/>
                <w:szCs w:val="20"/>
              </w:rPr>
              <w:t>202</w:t>
            </w:r>
            <w:r>
              <w:rPr>
                <w:rFonts w:ascii="Times New Roman" w:eastAsia="宋体"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rPr>
              <w:t>年度</w:t>
            </w:r>
          </w:p>
        </w:tc>
        <w:tc>
          <w:tcPr>
            <w:tcW w:w="1603" w:type="pct"/>
            <w:gridSpan w:val="3"/>
            <w:tcBorders>
              <w:top w:val="nil"/>
              <w:left w:val="nil"/>
              <w:bottom w:val="single" w:sz="4" w:space="0" w:color="auto"/>
              <w:right w:val="nil"/>
            </w:tcBorders>
            <w:noWrap/>
            <w:vAlign w:val="bottom"/>
          </w:tcPr>
          <w:p w:rsidR="00281425" w:rsidRDefault="008E4780">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金额单位：万元</w:t>
            </w:r>
          </w:p>
        </w:tc>
      </w:tr>
      <w:tr w:rsidR="00281425">
        <w:trPr>
          <w:trHeight w:val="312"/>
        </w:trPr>
        <w:tc>
          <w:tcPr>
            <w:tcW w:w="2662" w:type="pct"/>
            <w:gridSpan w:val="3"/>
            <w:vMerge w:val="restart"/>
            <w:tcBorders>
              <w:top w:val="single" w:sz="4" w:space="0" w:color="auto"/>
              <w:left w:val="single" w:sz="4" w:space="0" w:color="auto"/>
              <w:bottom w:val="single" w:sz="4" w:space="0" w:color="auto"/>
              <w:right w:val="single" w:sz="4" w:space="0" w:color="auto"/>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 xml:space="preserve"> 项目</w:t>
            </w:r>
          </w:p>
        </w:tc>
        <w:tc>
          <w:tcPr>
            <w:tcW w:w="2337" w:type="pct"/>
            <w:gridSpan w:val="5"/>
            <w:vMerge w:val="restart"/>
            <w:tcBorders>
              <w:top w:val="single" w:sz="4" w:space="0" w:color="auto"/>
              <w:left w:val="single" w:sz="4" w:space="0" w:color="auto"/>
              <w:right w:val="single" w:sz="4" w:space="0" w:color="000000"/>
            </w:tcBorders>
            <w:vAlign w:val="center"/>
          </w:tcPr>
          <w:p w:rsidR="00281425" w:rsidRDefault="008E4780">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w:t>
            </w:r>
          </w:p>
        </w:tc>
      </w:tr>
      <w:tr w:rsidR="00281425">
        <w:trPr>
          <w:trHeight w:val="312"/>
        </w:trPr>
        <w:tc>
          <w:tcPr>
            <w:tcW w:w="2662" w:type="pct"/>
            <w:gridSpan w:val="3"/>
            <w:vMerge/>
            <w:tcBorders>
              <w:top w:val="single" w:sz="4" w:space="0" w:color="auto"/>
              <w:left w:val="single" w:sz="4" w:space="0" w:color="auto"/>
              <w:bottom w:val="single" w:sz="4" w:space="0" w:color="auto"/>
              <w:right w:val="single" w:sz="4" w:space="0" w:color="auto"/>
            </w:tcBorders>
            <w:vAlign w:val="center"/>
          </w:tcPr>
          <w:p w:rsidR="00281425" w:rsidRDefault="00281425">
            <w:pPr>
              <w:widowControl/>
              <w:jc w:val="center"/>
              <w:textAlignment w:val="center"/>
              <w:rPr>
                <w:rFonts w:ascii="方正仿宋_GB2312" w:eastAsia="方正仿宋_GB2312" w:hAnsi="方正仿宋_GB2312" w:cs="方正仿宋_GB2312"/>
                <w:color w:val="000000"/>
                <w:sz w:val="20"/>
                <w:szCs w:val="20"/>
              </w:rPr>
            </w:pPr>
          </w:p>
        </w:tc>
        <w:tc>
          <w:tcPr>
            <w:tcW w:w="2337" w:type="pct"/>
            <w:gridSpan w:val="5"/>
            <w:vMerge/>
            <w:tcBorders>
              <w:left w:val="single" w:sz="4" w:space="0" w:color="auto"/>
              <w:bottom w:val="single" w:sz="4" w:space="0" w:color="000000"/>
              <w:right w:val="single" w:sz="4" w:space="0" w:color="000000"/>
            </w:tcBorders>
            <w:vAlign w:val="center"/>
          </w:tcPr>
          <w:p w:rsidR="00281425" w:rsidRDefault="00281425">
            <w:pPr>
              <w:widowControl/>
              <w:jc w:val="center"/>
              <w:textAlignment w:val="center"/>
              <w:rPr>
                <w:rFonts w:ascii="方正仿宋_GB2312" w:eastAsia="方正仿宋_GB2312" w:hAnsi="方正仿宋_GB2312" w:cs="方正仿宋_GB2312"/>
                <w:color w:val="000000"/>
                <w:sz w:val="20"/>
                <w:szCs w:val="20"/>
              </w:rPr>
            </w:pPr>
          </w:p>
        </w:tc>
      </w:tr>
      <w:tr w:rsidR="00281425">
        <w:trPr>
          <w:trHeight w:val="312"/>
        </w:trPr>
        <w:tc>
          <w:tcPr>
            <w:tcW w:w="1587" w:type="pct"/>
            <w:vMerge w:val="restart"/>
            <w:tcBorders>
              <w:top w:val="single" w:sz="4" w:space="0" w:color="auto"/>
              <w:left w:val="single" w:sz="4" w:space="0" w:color="auto"/>
              <w:bottom w:val="single" w:sz="4" w:space="0" w:color="auto"/>
              <w:right w:val="single" w:sz="4" w:space="0" w:color="auto"/>
            </w:tcBorders>
            <w:vAlign w:val="center"/>
          </w:tcPr>
          <w:p w:rsidR="00281425" w:rsidRDefault="008E478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074" w:type="pct"/>
            <w:gridSpan w:val="2"/>
            <w:vMerge w:val="restart"/>
            <w:tcBorders>
              <w:top w:val="single" w:sz="4" w:space="0" w:color="auto"/>
              <w:left w:val="single" w:sz="4" w:space="0" w:color="auto"/>
              <w:bottom w:val="single" w:sz="4" w:space="0" w:color="auto"/>
              <w:right w:val="single" w:sz="4" w:space="0" w:color="auto"/>
            </w:tcBorders>
            <w:vAlign w:val="center"/>
          </w:tcPr>
          <w:p w:rsidR="00281425" w:rsidRDefault="008E478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709" w:type="pct"/>
            <w:vMerge w:val="restart"/>
            <w:tcBorders>
              <w:top w:val="nil"/>
              <w:left w:val="single" w:sz="4" w:space="0" w:color="auto"/>
              <w:right w:val="single" w:sz="4" w:space="0" w:color="000000"/>
            </w:tcBorders>
            <w:vAlign w:val="center"/>
          </w:tcPr>
          <w:p w:rsidR="00281425" w:rsidRDefault="008E478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709" w:type="pct"/>
            <w:gridSpan w:val="3"/>
            <w:vMerge w:val="restart"/>
            <w:tcBorders>
              <w:top w:val="nil"/>
              <w:left w:val="nil"/>
              <w:right w:val="single" w:sz="4" w:space="0" w:color="000000"/>
            </w:tcBorders>
            <w:vAlign w:val="center"/>
          </w:tcPr>
          <w:p w:rsidR="00281425" w:rsidRDefault="008E478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919" w:type="pct"/>
            <w:vMerge w:val="restart"/>
            <w:tcBorders>
              <w:top w:val="nil"/>
              <w:left w:val="nil"/>
              <w:right w:val="single" w:sz="4" w:space="0" w:color="000000"/>
            </w:tcBorders>
            <w:vAlign w:val="center"/>
          </w:tcPr>
          <w:p w:rsidR="00281425" w:rsidRDefault="008E4780">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r>
      <w:tr w:rsidR="00281425">
        <w:trPr>
          <w:trHeight w:val="312"/>
        </w:trPr>
        <w:tc>
          <w:tcPr>
            <w:tcW w:w="1587" w:type="pct"/>
            <w:vMerge/>
            <w:tcBorders>
              <w:top w:val="single" w:sz="4" w:space="0" w:color="auto"/>
              <w:left w:val="single" w:sz="4" w:space="0" w:color="auto"/>
              <w:bottom w:val="single" w:sz="4" w:space="0" w:color="auto"/>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1074" w:type="pct"/>
            <w:gridSpan w:val="2"/>
            <w:vMerge/>
            <w:tcBorders>
              <w:top w:val="single" w:sz="4" w:space="0" w:color="auto"/>
              <w:left w:val="nil"/>
              <w:bottom w:val="single" w:sz="4" w:space="0" w:color="auto"/>
              <w:right w:val="single" w:sz="4" w:space="0" w:color="auto"/>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709" w:type="pct"/>
            <w:vMerge/>
            <w:tcBorders>
              <w:left w:val="single" w:sz="4" w:space="0" w:color="auto"/>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709" w:type="pct"/>
            <w:gridSpan w:val="3"/>
            <w:vMerge/>
            <w:tcBorders>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c>
          <w:tcPr>
            <w:tcW w:w="919" w:type="pct"/>
            <w:vMerge/>
            <w:tcBorders>
              <w:left w:val="nil"/>
              <w:bottom w:val="single" w:sz="4" w:space="0" w:color="000000"/>
              <w:right w:val="single" w:sz="4" w:space="0" w:color="000000"/>
            </w:tcBorders>
            <w:vAlign w:val="center"/>
          </w:tcPr>
          <w:p w:rsidR="00281425" w:rsidRDefault="00281425">
            <w:pPr>
              <w:jc w:val="center"/>
              <w:rPr>
                <w:rFonts w:ascii="方正仿宋_GB2312" w:eastAsia="方正仿宋_GB2312" w:hAnsi="方正仿宋_GB2312" w:cs="方正仿宋_GB2312"/>
                <w:color w:val="000000"/>
                <w:sz w:val="20"/>
                <w:szCs w:val="20"/>
              </w:rPr>
            </w:pPr>
          </w:p>
        </w:tc>
      </w:tr>
      <w:tr w:rsidR="00281425">
        <w:trPr>
          <w:trHeight w:val="308"/>
        </w:trPr>
        <w:tc>
          <w:tcPr>
            <w:tcW w:w="2662" w:type="pct"/>
            <w:gridSpan w:val="3"/>
            <w:tcBorders>
              <w:top w:val="single" w:sz="4" w:space="0" w:color="auto"/>
              <w:left w:val="single" w:sz="4" w:space="0" w:color="auto"/>
              <w:bottom w:val="single" w:sz="4" w:space="0" w:color="000000"/>
              <w:right w:val="single" w:sz="4" w:space="0" w:color="auto"/>
            </w:tcBorders>
            <w:noWrap/>
            <w:vAlign w:val="center"/>
          </w:tcPr>
          <w:p w:rsidR="00281425" w:rsidRDefault="008E478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栏次</w:t>
            </w:r>
          </w:p>
        </w:tc>
        <w:tc>
          <w:tcPr>
            <w:tcW w:w="706" w:type="pct"/>
            <w:tcBorders>
              <w:top w:val="nil"/>
              <w:left w:val="single" w:sz="4" w:space="0" w:color="auto"/>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1</w:t>
            </w:r>
          </w:p>
        </w:tc>
        <w:tc>
          <w:tcPr>
            <w:tcW w:w="706"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2</w:t>
            </w:r>
          </w:p>
        </w:tc>
        <w:tc>
          <w:tcPr>
            <w:tcW w:w="924"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3</w:t>
            </w:r>
          </w:p>
        </w:tc>
      </w:tr>
      <w:tr w:rsidR="00281425">
        <w:trPr>
          <w:trHeight w:val="308"/>
        </w:trPr>
        <w:tc>
          <w:tcPr>
            <w:tcW w:w="2662" w:type="pct"/>
            <w:gridSpan w:val="3"/>
            <w:tcBorders>
              <w:top w:val="single" w:sz="4" w:space="0" w:color="000000"/>
              <w:left w:val="single" w:sz="4" w:space="0" w:color="000000"/>
              <w:bottom w:val="single" w:sz="4" w:space="0" w:color="000000"/>
              <w:right w:val="single" w:sz="4" w:space="0" w:color="000000"/>
            </w:tcBorders>
            <w:noWrap/>
            <w:vAlign w:val="center"/>
          </w:tcPr>
          <w:p w:rsidR="00281425" w:rsidRDefault="008E4780">
            <w:pPr>
              <w:jc w:val="center"/>
              <w:rPr>
                <w:rFonts w:ascii="Times New Roman" w:eastAsia="宋体" w:hAnsi="Times New Roman" w:cs="Times New Roman"/>
                <w:color w:val="000000"/>
                <w:sz w:val="20"/>
                <w:szCs w:val="20"/>
              </w:rPr>
            </w:pPr>
            <w:r>
              <w:rPr>
                <w:rFonts w:ascii="Times New Roman" w:eastAsia="方正仿宋_GB2312" w:hAnsi="Times New Roman" w:cs="Times New Roman" w:hint="eastAsia"/>
                <w:color w:val="000000"/>
                <w:sz w:val="20"/>
                <w:szCs w:val="20"/>
              </w:rPr>
              <w:t>合计</w:t>
            </w:r>
          </w:p>
        </w:tc>
        <w:tc>
          <w:tcPr>
            <w:tcW w:w="706" w:type="pct"/>
            <w:tcBorders>
              <w:top w:val="single" w:sz="4" w:space="0" w:color="000000"/>
              <w:left w:val="single" w:sz="4" w:space="0" w:color="000000"/>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706" w:type="pct"/>
            <w:gridSpan w:val="2"/>
            <w:tcBorders>
              <w:top w:val="single" w:sz="4" w:space="0" w:color="000000"/>
              <w:left w:val="single" w:sz="4" w:space="0" w:color="000000"/>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c>
          <w:tcPr>
            <w:tcW w:w="924" w:type="pct"/>
            <w:gridSpan w:val="2"/>
            <w:tcBorders>
              <w:top w:val="single" w:sz="4" w:space="0" w:color="000000"/>
              <w:left w:val="single" w:sz="4" w:space="0" w:color="000000"/>
              <w:bottom w:val="single" w:sz="4" w:space="0" w:color="000000"/>
              <w:right w:val="single" w:sz="4" w:space="0" w:color="000000"/>
            </w:tcBorders>
            <w:noWrap/>
            <w:vAlign w:val="center"/>
          </w:tcPr>
          <w:p w:rsidR="00281425" w:rsidRDefault="00281425">
            <w:pPr>
              <w:jc w:val="right"/>
              <w:rPr>
                <w:rFonts w:ascii="Times New Roman" w:eastAsia="宋体" w:hAnsi="Times New Roman" w:cs="Times New Roman"/>
                <w:color w:val="000000"/>
                <w:sz w:val="20"/>
                <w:szCs w:val="20"/>
              </w:rPr>
            </w:pPr>
          </w:p>
        </w:tc>
      </w:tr>
      <w:tr w:rsidR="00281425">
        <w:trPr>
          <w:trHeight w:val="308"/>
        </w:trPr>
        <w:tc>
          <w:tcPr>
            <w:tcW w:w="5000" w:type="pct"/>
            <w:gridSpan w:val="8"/>
            <w:tcBorders>
              <w:top w:val="nil"/>
              <w:left w:val="nil"/>
              <w:bottom w:val="nil"/>
              <w:right w:val="nil"/>
            </w:tcBorders>
            <w:noWrap/>
            <w:vAlign w:val="center"/>
          </w:tcPr>
          <w:p w:rsidR="00281425" w:rsidRDefault="008E4780">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rPr>
              <w:t>注：本表反映部门本年度国有资本经营预算财政拨款支出情况。（如无相关数据，则需注明空表列示）</w:t>
            </w:r>
          </w:p>
        </w:tc>
      </w:tr>
    </w:tbl>
    <w:p w:rsidR="00281425" w:rsidRDefault="00281425">
      <w:pPr>
        <w:rPr>
          <w:rFonts w:ascii="仿宋_GB2312" w:eastAsia="仿宋_GB2312" w:hAnsi="宋体"/>
          <w:b/>
          <w:sz w:val="32"/>
          <w:szCs w:val="32"/>
        </w:rPr>
      </w:pPr>
    </w:p>
    <w:p w:rsidR="00281425" w:rsidRDefault="008E4780">
      <w:pPr>
        <w:rPr>
          <w:rFonts w:ascii="仿宋_GB2312" w:eastAsia="仿宋_GB2312" w:hAnsi="宋体"/>
          <w:b/>
          <w:sz w:val="32"/>
          <w:szCs w:val="32"/>
        </w:rPr>
      </w:pPr>
      <w:r>
        <w:rPr>
          <w:rFonts w:ascii="仿宋_GB2312" w:eastAsia="仿宋_GB2312" w:hAnsi="宋体" w:hint="eastAsia"/>
          <w:b/>
          <w:sz w:val="32"/>
          <w:szCs w:val="32"/>
        </w:rPr>
        <w:br w:type="page"/>
      </w:r>
    </w:p>
    <w:tbl>
      <w:tblPr>
        <w:tblpPr w:leftFromText="180" w:rightFromText="180" w:vertAnchor="text" w:horzAnchor="page" w:tblpX="282" w:tblpY="39"/>
        <w:tblOverlap w:val="never"/>
        <w:tblW w:w="7211" w:type="pct"/>
        <w:tblLayout w:type="fixed"/>
        <w:tblLook w:val="04A0"/>
      </w:tblPr>
      <w:tblGrid>
        <w:gridCol w:w="985"/>
        <w:gridCol w:w="1224"/>
        <w:gridCol w:w="812"/>
        <w:gridCol w:w="944"/>
        <w:gridCol w:w="524"/>
        <w:gridCol w:w="543"/>
        <w:gridCol w:w="779"/>
        <w:gridCol w:w="849"/>
        <w:gridCol w:w="1132"/>
        <w:gridCol w:w="638"/>
        <w:gridCol w:w="1025"/>
        <w:gridCol w:w="948"/>
        <w:gridCol w:w="1192"/>
      </w:tblGrid>
      <w:tr w:rsidR="00281425">
        <w:trPr>
          <w:trHeight w:val="550"/>
        </w:trPr>
        <w:tc>
          <w:tcPr>
            <w:tcW w:w="5000" w:type="pct"/>
            <w:gridSpan w:val="13"/>
            <w:tcBorders>
              <w:top w:val="nil"/>
              <w:left w:val="nil"/>
              <w:bottom w:val="nil"/>
              <w:right w:val="nil"/>
            </w:tcBorders>
            <w:noWrap/>
            <w:vAlign w:val="bottom"/>
          </w:tcPr>
          <w:p w:rsidR="00281425" w:rsidRDefault="008E4780">
            <w:pPr>
              <w:widowControl/>
              <w:jc w:val="center"/>
              <w:textAlignment w:val="bottom"/>
              <w:rPr>
                <w:rFonts w:ascii="宋体" w:eastAsia="宋体" w:hAnsi="宋体"/>
                <w:color w:val="000000"/>
                <w:sz w:val="18"/>
                <w:szCs w:val="18"/>
              </w:rPr>
            </w:pPr>
            <w:r>
              <w:rPr>
                <w:rFonts w:ascii="方正仿宋_GB2312" w:eastAsia="方正仿宋_GB2312" w:hAnsi="方正仿宋_GB2312" w:cs="方正仿宋_GB2312" w:hint="eastAsia"/>
                <w:bCs/>
                <w:sz w:val="32"/>
                <w:szCs w:val="32"/>
              </w:rPr>
              <w:lastRenderedPageBreak/>
              <w:t>财政拨款“三公”经费支出决算表</w:t>
            </w:r>
          </w:p>
        </w:tc>
      </w:tr>
      <w:tr w:rsidR="00281425">
        <w:trPr>
          <w:trHeight w:val="260"/>
        </w:trPr>
        <w:tc>
          <w:tcPr>
            <w:tcW w:w="5000" w:type="pct"/>
            <w:gridSpan w:val="13"/>
            <w:tcBorders>
              <w:top w:val="nil"/>
              <w:left w:val="nil"/>
              <w:bottom w:val="nil"/>
              <w:right w:val="nil"/>
            </w:tcBorders>
            <w:noWrap/>
            <w:vAlign w:val="bottom"/>
          </w:tcPr>
          <w:p w:rsidR="00281425" w:rsidRDefault="008E4780">
            <w:pPr>
              <w:widowControl/>
              <w:jc w:val="righ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rPr>
              <w:t>公开</w:t>
            </w:r>
            <w:r>
              <w:rPr>
                <w:rFonts w:ascii="Times New Roman" w:eastAsia="方正仿宋_GB2312" w:hAnsi="Times New Roman" w:cs="Times New Roman"/>
                <w:color w:val="000000"/>
                <w:sz w:val="18"/>
                <w:szCs w:val="18"/>
              </w:rPr>
              <w:t>09</w:t>
            </w:r>
            <w:r>
              <w:rPr>
                <w:rFonts w:ascii="方正仿宋_GB2312" w:eastAsia="方正仿宋_GB2312" w:hAnsi="方正仿宋_GB2312" w:cs="方正仿宋_GB2312" w:hint="eastAsia"/>
                <w:color w:val="000000"/>
                <w:sz w:val="18"/>
                <w:szCs w:val="18"/>
              </w:rPr>
              <w:t>表</w:t>
            </w:r>
          </w:p>
        </w:tc>
      </w:tr>
      <w:tr w:rsidR="00281425">
        <w:trPr>
          <w:trHeight w:val="260"/>
        </w:trPr>
        <w:tc>
          <w:tcPr>
            <w:tcW w:w="1936" w:type="pct"/>
            <w:gridSpan w:val="5"/>
            <w:tcBorders>
              <w:top w:val="nil"/>
              <w:left w:val="nil"/>
              <w:bottom w:val="single" w:sz="4" w:space="0" w:color="auto"/>
              <w:right w:val="nil"/>
            </w:tcBorders>
            <w:noWrap/>
            <w:vAlign w:val="bottom"/>
          </w:tcPr>
          <w:p w:rsidR="00281425" w:rsidRDefault="008E4780">
            <w:pPr>
              <w:widowControl/>
              <w:jc w:val="lef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rPr>
              <w:t>部门（单位）：青龙满族自治县不动产登记中心</w:t>
            </w:r>
          </w:p>
        </w:tc>
        <w:tc>
          <w:tcPr>
            <w:tcW w:w="933" w:type="pct"/>
            <w:gridSpan w:val="3"/>
            <w:tcBorders>
              <w:top w:val="nil"/>
              <w:left w:val="nil"/>
              <w:bottom w:val="single" w:sz="4" w:space="0" w:color="auto"/>
              <w:right w:val="nil"/>
            </w:tcBorders>
            <w:noWrap/>
            <w:vAlign w:val="bottom"/>
          </w:tcPr>
          <w:p w:rsidR="00281425" w:rsidRDefault="008E4780">
            <w:pPr>
              <w:widowControl/>
              <w:jc w:val="center"/>
              <w:textAlignment w:val="bottom"/>
              <w:rPr>
                <w:rFonts w:ascii="宋体" w:eastAsia="宋体" w:hAnsi="宋体"/>
                <w:color w:val="000000"/>
                <w:sz w:val="18"/>
                <w:szCs w:val="18"/>
              </w:rPr>
            </w:pPr>
            <w:r>
              <w:rPr>
                <w:rFonts w:ascii="Times New Roman" w:eastAsia="宋体" w:hAnsi="Times New Roman" w:cs="Times New Roman"/>
                <w:color w:val="000000"/>
                <w:sz w:val="18"/>
                <w:szCs w:val="18"/>
              </w:rPr>
              <w:t>202</w:t>
            </w:r>
            <w:r>
              <w:rPr>
                <w:rFonts w:ascii="Times New Roman" w:eastAsia="宋体" w:hAnsi="Times New Roman" w:cs="Times New Roman" w:hint="eastAsia"/>
                <w:color w:val="000000"/>
                <w:sz w:val="18"/>
                <w:szCs w:val="18"/>
              </w:rPr>
              <w:t>4</w:t>
            </w:r>
            <w:r>
              <w:rPr>
                <w:rFonts w:ascii="方正仿宋_GB2312" w:eastAsia="方正仿宋_GB2312" w:hAnsi="方正仿宋_GB2312" w:cs="方正仿宋_GB2312" w:hint="eastAsia"/>
                <w:color w:val="000000"/>
                <w:sz w:val="18"/>
                <w:szCs w:val="18"/>
              </w:rPr>
              <w:t>年度</w:t>
            </w:r>
          </w:p>
        </w:tc>
        <w:tc>
          <w:tcPr>
            <w:tcW w:w="2129" w:type="pct"/>
            <w:gridSpan w:val="5"/>
            <w:tcBorders>
              <w:top w:val="nil"/>
              <w:left w:val="nil"/>
              <w:bottom w:val="single" w:sz="4" w:space="0" w:color="auto"/>
              <w:right w:val="nil"/>
            </w:tcBorders>
            <w:noWrap/>
            <w:vAlign w:val="bottom"/>
          </w:tcPr>
          <w:p w:rsidR="00281425" w:rsidRDefault="008E4780">
            <w:pPr>
              <w:widowControl/>
              <w:jc w:val="righ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rPr>
              <w:t>金额单位：万元</w:t>
            </w:r>
          </w:p>
        </w:tc>
      </w:tr>
      <w:tr w:rsidR="00281425">
        <w:trPr>
          <w:trHeight w:val="431"/>
        </w:trPr>
        <w:tc>
          <w:tcPr>
            <w:tcW w:w="2506" w:type="pct"/>
            <w:gridSpan w:val="7"/>
            <w:tcBorders>
              <w:top w:val="single" w:sz="4" w:space="0" w:color="auto"/>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预算数</w:t>
            </w:r>
          </w:p>
        </w:tc>
        <w:tc>
          <w:tcPr>
            <w:tcW w:w="2493" w:type="pct"/>
            <w:gridSpan w:val="6"/>
            <w:tcBorders>
              <w:top w:val="single" w:sz="4" w:space="0" w:color="auto"/>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决算数</w:t>
            </w:r>
          </w:p>
        </w:tc>
      </w:tr>
      <w:tr w:rsidR="00281425">
        <w:trPr>
          <w:trHeight w:val="431"/>
        </w:trPr>
        <w:tc>
          <w:tcPr>
            <w:tcW w:w="425" w:type="pct"/>
            <w:vMerge w:val="restart"/>
            <w:tcBorders>
              <w:top w:val="nil"/>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合计</w:t>
            </w:r>
          </w:p>
        </w:tc>
        <w:tc>
          <w:tcPr>
            <w:tcW w:w="528" w:type="pct"/>
            <w:vMerge w:val="restar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因公出国（境）费</w:t>
            </w:r>
          </w:p>
        </w:tc>
        <w:tc>
          <w:tcPr>
            <w:tcW w:w="1217" w:type="pct"/>
            <w:gridSpan w:val="4"/>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公务用车购置及运行维护费</w:t>
            </w:r>
          </w:p>
        </w:tc>
        <w:tc>
          <w:tcPr>
            <w:tcW w:w="335" w:type="pct"/>
            <w:vMerge w:val="restar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公务接待费</w:t>
            </w:r>
          </w:p>
        </w:tc>
        <w:tc>
          <w:tcPr>
            <w:tcW w:w="366" w:type="pct"/>
            <w:vMerge w:val="restar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合计</w:t>
            </w:r>
          </w:p>
        </w:tc>
        <w:tc>
          <w:tcPr>
            <w:tcW w:w="488" w:type="pct"/>
            <w:vMerge w:val="restar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因公出国（境）费</w:t>
            </w:r>
          </w:p>
        </w:tc>
        <w:tc>
          <w:tcPr>
            <w:tcW w:w="1126" w:type="pct"/>
            <w:gridSpan w:val="3"/>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公务用车购置及运行维护费</w:t>
            </w:r>
          </w:p>
        </w:tc>
        <w:tc>
          <w:tcPr>
            <w:tcW w:w="511" w:type="pct"/>
            <w:vMerge w:val="restar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公务接待费</w:t>
            </w:r>
          </w:p>
        </w:tc>
      </w:tr>
      <w:tr w:rsidR="00281425">
        <w:trPr>
          <w:trHeight w:val="431"/>
        </w:trPr>
        <w:tc>
          <w:tcPr>
            <w:tcW w:w="425" w:type="pct"/>
            <w:vMerge/>
            <w:tcBorders>
              <w:top w:val="nil"/>
              <w:left w:val="single" w:sz="4" w:space="0" w:color="000000"/>
              <w:bottom w:val="single" w:sz="4" w:space="0" w:color="000000"/>
              <w:right w:val="single" w:sz="4" w:space="0" w:color="000000"/>
            </w:tcBorders>
            <w:noWrap/>
            <w:vAlign w:val="center"/>
          </w:tcPr>
          <w:p w:rsidR="00281425" w:rsidRDefault="00281425">
            <w:pPr>
              <w:jc w:val="center"/>
              <w:rPr>
                <w:rFonts w:ascii="方正仿宋_GB2312" w:eastAsia="方正仿宋_GB2312" w:hAnsi="方正仿宋_GB2312" w:cs="方正仿宋_GB2312"/>
                <w:color w:val="000000"/>
                <w:sz w:val="18"/>
                <w:szCs w:val="18"/>
              </w:rPr>
            </w:pPr>
          </w:p>
        </w:tc>
        <w:tc>
          <w:tcPr>
            <w:tcW w:w="528" w:type="pct"/>
            <w:vMerge/>
            <w:tcBorders>
              <w:top w:val="nil"/>
              <w:left w:val="nil"/>
              <w:bottom w:val="single" w:sz="4" w:space="0" w:color="000000"/>
              <w:right w:val="single" w:sz="4" w:space="0" w:color="000000"/>
            </w:tcBorders>
            <w:noWrap/>
            <w:vAlign w:val="center"/>
          </w:tcPr>
          <w:p w:rsidR="00281425" w:rsidRDefault="00281425">
            <w:pPr>
              <w:jc w:val="center"/>
              <w:rPr>
                <w:rFonts w:ascii="方正仿宋_GB2312" w:eastAsia="方正仿宋_GB2312" w:hAnsi="方正仿宋_GB2312" w:cs="方正仿宋_GB2312"/>
                <w:color w:val="000000"/>
                <w:sz w:val="18"/>
                <w:szCs w:val="18"/>
              </w:rPr>
            </w:pPr>
          </w:p>
        </w:tc>
        <w:tc>
          <w:tcPr>
            <w:tcW w:w="350"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小计</w:t>
            </w:r>
          </w:p>
        </w:tc>
        <w:tc>
          <w:tcPr>
            <w:tcW w:w="40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公务用车购置费</w:t>
            </w:r>
          </w:p>
        </w:tc>
        <w:tc>
          <w:tcPr>
            <w:tcW w:w="458"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公务用车运行维护费</w:t>
            </w:r>
          </w:p>
        </w:tc>
        <w:tc>
          <w:tcPr>
            <w:tcW w:w="335" w:type="pct"/>
            <w:vMerge/>
            <w:tcBorders>
              <w:top w:val="nil"/>
              <w:left w:val="nil"/>
              <w:bottom w:val="single" w:sz="4" w:space="0" w:color="000000"/>
              <w:right w:val="single" w:sz="4" w:space="0" w:color="000000"/>
            </w:tcBorders>
            <w:noWrap/>
            <w:vAlign w:val="center"/>
          </w:tcPr>
          <w:p w:rsidR="00281425" w:rsidRDefault="00281425">
            <w:pPr>
              <w:jc w:val="center"/>
              <w:rPr>
                <w:rFonts w:ascii="方正仿宋_GB2312" w:eastAsia="方正仿宋_GB2312" w:hAnsi="方正仿宋_GB2312" w:cs="方正仿宋_GB2312"/>
                <w:color w:val="000000"/>
                <w:sz w:val="18"/>
                <w:szCs w:val="18"/>
              </w:rPr>
            </w:pPr>
          </w:p>
        </w:tc>
        <w:tc>
          <w:tcPr>
            <w:tcW w:w="366" w:type="pct"/>
            <w:vMerge/>
            <w:tcBorders>
              <w:top w:val="nil"/>
              <w:left w:val="nil"/>
              <w:bottom w:val="single" w:sz="4" w:space="0" w:color="000000"/>
              <w:right w:val="single" w:sz="4" w:space="0" w:color="000000"/>
            </w:tcBorders>
            <w:noWrap/>
            <w:vAlign w:val="center"/>
          </w:tcPr>
          <w:p w:rsidR="00281425" w:rsidRDefault="00281425">
            <w:pPr>
              <w:jc w:val="center"/>
              <w:rPr>
                <w:rFonts w:ascii="方正仿宋_GB2312" w:eastAsia="方正仿宋_GB2312" w:hAnsi="方正仿宋_GB2312" w:cs="方正仿宋_GB2312"/>
                <w:color w:val="000000"/>
                <w:sz w:val="18"/>
                <w:szCs w:val="18"/>
              </w:rPr>
            </w:pPr>
          </w:p>
        </w:tc>
        <w:tc>
          <w:tcPr>
            <w:tcW w:w="488" w:type="pct"/>
            <w:vMerge/>
            <w:tcBorders>
              <w:top w:val="nil"/>
              <w:left w:val="nil"/>
              <w:bottom w:val="single" w:sz="4" w:space="0" w:color="000000"/>
              <w:right w:val="single" w:sz="4" w:space="0" w:color="000000"/>
            </w:tcBorders>
            <w:noWrap/>
            <w:vAlign w:val="center"/>
          </w:tcPr>
          <w:p w:rsidR="00281425" w:rsidRDefault="00281425">
            <w:pPr>
              <w:jc w:val="center"/>
              <w:rPr>
                <w:rFonts w:ascii="方正仿宋_GB2312" w:eastAsia="方正仿宋_GB2312" w:hAnsi="方正仿宋_GB2312" w:cs="方正仿宋_GB2312"/>
                <w:color w:val="000000"/>
                <w:sz w:val="18"/>
                <w:szCs w:val="18"/>
              </w:rPr>
            </w:pPr>
          </w:p>
        </w:tc>
        <w:tc>
          <w:tcPr>
            <w:tcW w:w="275"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小计</w:t>
            </w:r>
          </w:p>
        </w:tc>
        <w:tc>
          <w:tcPr>
            <w:tcW w:w="442"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公务用车购置费</w:t>
            </w:r>
          </w:p>
        </w:tc>
        <w:tc>
          <w:tcPr>
            <w:tcW w:w="40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公务用车运行维护费</w:t>
            </w:r>
          </w:p>
        </w:tc>
        <w:tc>
          <w:tcPr>
            <w:tcW w:w="511" w:type="pct"/>
            <w:vMerge/>
            <w:tcBorders>
              <w:top w:val="nil"/>
              <w:left w:val="nil"/>
              <w:bottom w:val="single" w:sz="4" w:space="0" w:color="000000"/>
              <w:right w:val="single" w:sz="4" w:space="0" w:color="000000"/>
            </w:tcBorders>
            <w:noWrap/>
            <w:vAlign w:val="center"/>
          </w:tcPr>
          <w:p w:rsidR="00281425" w:rsidRDefault="00281425">
            <w:pPr>
              <w:jc w:val="center"/>
              <w:rPr>
                <w:rFonts w:ascii="方正仿宋_GB2312" w:eastAsia="方正仿宋_GB2312" w:hAnsi="方正仿宋_GB2312" w:cs="方正仿宋_GB2312"/>
                <w:color w:val="000000"/>
                <w:sz w:val="18"/>
                <w:szCs w:val="18"/>
              </w:rPr>
            </w:pPr>
          </w:p>
        </w:tc>
      </w:tr>
      <w:tr w:rsidR="00281425">
        <w:trPr>
          <w:trHeight w:val="431"/>
        </w:trPr>
        <w:tc>
          <w:tcPr>
            <w:tcW w:w="425" w:type="pct"/>
            <w:tcBorders>
              <w:top w:val="nil"/>
              <w:left w:val="single" w:sz="4" w:space="0" w:color="000000"/>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w:t>
            </w:r>
          </w:p>
        </w:tc>
        <w:tc>
          <w:tcPr>
            <w:tcW w:w="528"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w:t>
            </w:r>
          </w:p>
        </w:tc>
        <w:tc>
          <w:tcPr>
            <w:tcW w:w="350"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3</w:t>
            </w:r>
          </w:p>
        </w:tc>
        <w:tc>
          <w:tcPr>
            <w:tcW w:w="40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4</w:t>
            </w:r>
          </w:p>
        </w:tc>
        <w:tc>
          <w:tcPr>
            <w:tcW w:w="458" w:type="pct"/>
            <w:gridSpan w:val="2"/>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5</w:t>
            </w:r>
          </w:p>
        </w:tc>
        <w:tc>
          <w:tcPr>
            <w:tcW w:w="335"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6</w:t>
            </w:r>
          </w:p>
        </w:tc>
        <w:tc>
          <w:tcPr>
            <w:tcW w:w="366"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7</w:t>
            </w:r>
          </w:p>
        </w:tc>
        <w:tc>
          <w:tcPr>
            <w:tcW w:w="488"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8</w:t>
            </w:r>
          </w:p>
        </w:tc>
        <w:tc>
          <w:tcPr>
            <w:tcW w:w="275"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9</w:t>
            </w:r>
          </w:p>
        </w:tc>
        <w:tc>
          <w:tcPr>
            <w:tcW w:w="442"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10</w:t>
            </w:r>
          </w:p>
        </w:tc>
        <w:tc>
          <w:tcPr>
            <w:tcW w:w="407"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11</w:t>
            </w:r>
          </w:p>
        </w:tc>
        <w:tc>
          <w:tcPr>
            <w:tcW w:w="511" w:type="pct"/>
            <w:tcBorders>
              <w:top w:val="nil"/>
              <w:left w:val="nil"/>
              <w:bottom w:val="single" w:sz="4" w:space="0" w:color="000000"/>
              <w:right w:val="single" w:sz="4" w:space="0" w:color="000000"/>
            </w:tcBorders>
            <w:noWrap/>
            <w:vAlign w:val="center"/>
          </w:tcPr>
          <w:p w:rsidR="00281425" w:rsidRDefault="008E4780">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12</w:t>
            </w:r>
          </w:p>
        </w:tc>
      </w:tr>
      <w:tr w:rsidR="00281425">
        <w:trPr>
          <w:trHeight w:val="431"/>
        </w:trPr>
        <w:tc>
          <w:tcPr>
            <w:tcW w:w="425" w:type="pct"/>
            <w:tcBorders>
              <w:top w:val="nil"/>
              <w:left w:val="single" w:sz="4" w:space="0" w:color="000000"/>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c>
          <w:tcPr>
            <w:tcW w:w="528"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c>
          <w:tcPr>
            <w:tcW w:w="350"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c>
          <w:tcPr>
            <w:tcW w:w="407"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c>
          <w:tcPr>
            <w:tcW w:w="458" w:type="pct"/>
            <w:gridSpan w:val="2"/>
            <w:tcBorders>
              <w:top w:val="nil"/>
              <w:left w:val="nil"/>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c>
          <w:tcPr>
            <w:tcW w:w="33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c>
          <w:tcPr>
            <w:tcW w:w="366"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c>
          <w:tcPr>
            <w:tcW w:w="488"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c>
          <w:tcPr>
            <w:tcW w:w="275"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c>
          <w:tcPr>
            <w:tcW w:w="442"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c>
          <w:tcPr>
            <w:tcW w:w="407"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c>
          <w:tcPr>
            <w:tcW w:w="511" w:type="pct"/>
            <w:tcBorders>
              <w:top w:val="nil"/>
              <w:left w:val="nil"/>
              <w:bottom w:val="single" w:sz="4" w:space="0" w:color="000000"/>
              <w:right w:val="single" w:sz="4" w:space="0" w:color="000000"/>
            </w:tcBorders>
            <w:noWrap/>
            <w:vAlign w:val="center"/>
          </w:tcPr>
          <w:p w:rsidR="00281425" w:rsidRDefault="00281425">
            <w:pPr>
              <w:jc w:val="right"/>
              <w:rPr>
                <w:rFonts w:ascii="Times New Roman" w:eastAsia="方正仿宋_GB2312" w:hAnsi="Times New Roman" w:cs="Times New Roman"/>
                <w:color w:val="000000"/>
                <w:sz w:val="18"/>
                <w:szCs w:val="18"/>
              </w:rPr>
            </w:pPr>
          </w:p>
        </w:tc>
      </w:tr>
      <w:tr w:rsidR="00281425">
        <w:trPr>
          <w:trHeight w:val="431"/>
        </w:trPr>
        <w:tc>
          <w:tcPr>
            <w:tcW w:w="5000" w:type="pct"/>
            <w:gridSpan w:val="13"/>
            <w:tcBorders>
              <w:top w:val="nil"/>
              <w:left w:val="nil"/>
              <w:bottom w:val="nil"/>
              <w:right w:val="nil"/>
            </w:tcBorders>
            <w:noWrap/>
            <w:vAlign w:val="center"/>
          </w:tcPr>
          <w:p w:rsidR="00281425" w:rsidRDefault="008E4780">
            <w:pPr>
              <w:widowControl/>
              <w:jc w:val="left"/>
              <w:textAlignment w:val="center"/>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r>
              <w:rPr>
                <w:rFonts w:ascii="方正仿宋_GB2312" w:eastAsia="方正仿宋_GB2312" w:hAnsi="方正仿宋_GB2312" w:cs="方正仿宋_GB2312" w:hint="eastAsia"/>
                <w:color w:val="000000"/>
                <w:sz w:val="20"/>
                <w:szCs w:val="20"/>
              </w:rPr>
              <w:t>（如无相关数据，则需注明空表列示）</w:t>
            </w:r>
          </w:p>
        </w:tc>
      </w:tr>
    </w:tbl>
    <w:p w:rsidR="00281425" w:rsidRDefault="00281425">
      <w:pPr>
        <w:rPr>
          <w:rFonts w:ascii="仿宋_GB2312" w:eastAsia="仿宋_GB2312" w:hAnsi="宋体"/>
          <w:b/>
          <w:sz w:val="32"/>
          <w:szCs w:val="32"/>
        </w:rPr>
      </w:pPr>
    </w:p>
    <w:p w:rsidR="00281425" w:rsidRDefault="008E4780">
      <w:pPr>
        <w:rPr>
          <w:rFonts w:ascii="仿宋_GB2312" w:eastAsia="仿宋_GB2312" w:hAnsi="宋体"/>
          <w:b/>
          <w:sz w:val="32"/>
          <w:szCs w:val="32"/>
        </w:rPr>
      </w:pPr>
      <w:r>
        <w:rPr>
          <w:rFonts w:ascii="仿宋_GB2312" w:eastAsia="仿宋_GB2312" w:hAnsi="宋体" w:hint="eastAsia"/>
          <w:b/>
          <w:sz w:val="32"/>
          <w:szCs w:val="32"/>
        </w:rPr>
        <w:br w:type="page"/>
      </w:r>
    </w:p>
    <w:p w:rsidR="00281425" w:rsidRDefault="00281425">
      <w:pPr>
        <w:rPr>
          <w:rFonts w:ascii="仿宋_GB2312" w:eastAsia="仿宋_GB2312" w:hAnsi="宋体"/>
          <w:b/>
          <w:sz w:val="32"/>
          <w:szCs w:val="32"/>
        </w:rPr>
        <w:sectPr w:rsidR="00281425">
          <w:headerReference w:type="default" r:id="rId15"/>
          <w:footerReference w:type="default" r:id="rId16"/>
          <w:pgSz w:w="11906" w:h="16838"/>
          <w:pgMar w:top="1531" w:right="1984" w:bottom="1531" w:left="2098" w:header="851" w:footer="992" w:gutter="0"/>
          <w:cols w:space="720"/>
          <w:docGrid w:type="lines" w:linePitch="312"/>
        </w:sectPr>
      </w:pPr>
    </w:p>
    <w:p w:rsidR="00281425" w:rsidRDefault="008E478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第三部分</w:t>
      </w:r>
      <w:r>
        <w:rPr>
          <w:rFonts w:ascii="Times New Roman" w:eastAsia="仿宋_GB2312"/>
          <w:sz w:val="44"/>
          <w:szCs w:val="44"/>
        </w:rPr>
        <w:t>2024</w:t>
      </w:r>
      <w:r>
        <w:rPr>
          <w:rFonts w:ascii="Times New Roman" w:eastAsia="黑体"/>
          <w:sz w:val="44"/>
          <w:szCs w:val="44"/>
        </w:rPr>
        <w:t>年度部门决算情况说明</w:t>
      </w:r>
    </w:p>
    <w:p w:rsidR="00281425" w:rsidRDefault="008E4780">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年度收、支总计（含结转和结余）均为</w:t>
      </w:r>
      <w:r>
        <w:rPr>
          <w:rFonts w:ascii="Times New Roman" w:eastAsia="仿宋_GB2312"/>
          <w:sz w:val="32"/>
          <w:szCs w:val="32"/>
        </w:rPr>
        <w:t>179.90</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年度决算相比，收支各减少</w:t>
      </w:r>
      <w:r>
        <w:rPr>
          <w:rFonts w:ascii="Times New Roman" w:eastAsia="仿宋_GB2312"/>
          <w:sz w:val="32"/>
          <w:szCs w:val="32"/>
        </w:rPr>
        <w:t>24.10</w:t>
      </w:r>
      <w:r>
        <w:rPr>
          <w:rFonts w:ascii="Times New Roman" w:eastAsia="仿宋_GB2312"/>
          <w:sz w:val="32"/>
          <w:szCs w:val="32"/>
        </w:rPr>
        <w:t>万元，下降</w:t>
      </w:r>
      <w:r>
        <w:rPr>
          <w:rFonts w:ascii="Times New Roman" w:eastAsia="仿宋_GB2312"/>
          <w:sz w:val="32"/>
          <w:szCs w:val="32"/>
        </w:rPr>
        <w:t>11.8%</w:t>
      </w:r>
      <w:r>
        <w:rPr>
          <w:rFonts w:ascii="Times New Roman" w:eastAsia="仿宋_GB2312"/>
          <w:sz w:val="32"/>
          <w:szCs w:val="32"/>
        </w:rPr>
        <w:t>，</w:t>
      </w:r>
      <w:r w:rsidRPr="009E1F42">
        <w:rPr>
          <w:rFonts w:ascii="Times New Roman" w:eastAsia="仿宋_GB2312"/>
          <w:sz w:val="32"/>
          <w:szCs w:val="32"/>
        </w:rPr>
        <w:t>主要原因是</w:t>
      </w:r>
      <w:r w:rsidR="009E1F42" w:rsidRPr="00DE0BCF">
        <w:rPr>
          <w:rFonts w:ascii="Times New Roman" w:eastAsia="仿宋_GB2312" w:hint="eastAsia"/>
          <w:sz w:val="32"/>
          <w:szCs w:val="32"/>
        </w:rPr>
        <w:t>财政资金紧张，压缩各预算单位开支，消减预算单位收入指标</w:t>
      </w:r>
      <w:r>
        <w:rPr>
          <w:rFonts w:ascii="Times New Roman" w:eastAsia="仿宋_GB2312"/>
          <w:sz w:val="32"/>
          <w:szCs w:val="32"/>
        </w:rPr>
        <w:t>。</w:t>
      </w:r>
    </w:p>
    <w:p w:rsidR="00281425" w:rsidRDefault="008E4780">
      <w:pPr>
        <w:pStyle w:val="a7"/>
        <w:widowControl/>
        <w:spacing w:beforeAutospacing="0" w:afterAutospacing="0"/>
        <w:jc w:val="center"/>
        <w:rPr>
          <w:rFonts w:ascii="Times New Roman" w:eastAsia="Arial" w:hAnsi="Times New Roman"/>
        </w:rPr>
      </w:pPr>
      <w:r>
        <w:rPr>
          <w:rFonts w:ascii="Times New Roman" w:eastAsia="宋体" w:hAnsi="Times New Roman" w:hint="eastAsia"/>
          <w:noProof/>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eastAsia="Arial" w:hAnsi="Times New Roman"/>
          <w:color w:val="000000"/>
          <w:sz w:val="18"/>
          <w:szCs w:val="18"/>
          <w:shd w:val="clear" w:color="auto" w:fill="FFFFFF"/>
        </w:rPr>
        <w:t> </w:t>
      </w:r>
    </w:p>
    <w:p w:rsidR="00281425" w:rsidRDefault="008E4780">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年度本年收入合计</w:t>
      </w:r>
      <w:r>
        <w:rPr>
          <w:rFonts w:ascii="Times New Roman" w:eastAsia="仿宋_GB2312"/>
          <w:sz w:val="32"/>
          <w:szCs w:val="32"/>
        </w:rPr>
        <w:t>164.68</w:t>
      </w:r>
      <w:r>
        <w:rPr>
          <w:rFonts w:ascii="Times New Roman" w:eastAsia="仿宋_GB2312"/>
          <w:sz w:val="32"/>
          <w:szCs w:val="32"/>
        </w:rPr>
        <w:t>万元，其中：财政拨款收入</w:t>
      </w:r>
      <w:r>
        <w:rPr>
          <w:rFonts w:ascii="Times New Roman" w:eastAsia="仿宋_GB2312"/>
          <w:sz w:val="32"/>
          <w:szCs w:val="32"/>
        </w:rPr>
        <w:t>164.68</w:t>
      </w:r>
      <w:r>
        <w:rPr>
          <w:rFonts w:ascii="Times New Roman" w:eastAsia="仿宋_GB2312"/>
          <w:sz w:val="32"/>
          <w:szCs w:val="32"/>
        </w:rPr>
        <w:t>万元，占</w:t>
      </w:r>
      <w:r>
        <w:rPr>
          <w:rFonts w:ascii="Times New Roman" w:eastAsia="仿宋_GB2312"/>
          <w:sz w:val="32"/>
          <w:szCs w:val="32"/>
        </w:rPr>
        <w:t>100.0%</w:t>
      </w:r>
      <w:r>
        <w:rPr>
          <w:rFonts w:ascii="Times New Roman" w:eastAsia="仿宋_GB2312"/>
          <w:sz w:val="32"/>
          <w:szCs w:val="32"/>
        </w:rPr>
        <w:t>；上级补助收入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；事业收入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；附属单位上缴收入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；其他收入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281425" w:rsidRDefault="008E4780">
      <w:pPr>
        <w:adjustRightInd w:val="0"/>
        <w:snapToGrid w:val="0"/>
        <w:spacing w:line="580" w:lineRule="exact"/>
        <w:rPr>
          <w:rFonts w:ascii="Times New Roman" w:eastAsia="仿宋_GB2312" w:hAnsi="Times New Roman" w:cs="Times New Roman"/>
          <w:kern w:val="2"/>
          <w:sz w:val="32"/>
          <w:szCs w:val="32"/>
          <w:highlight w:val="yellow"/>
          <w:lang w:val="zh-CN"/>
        </w:rPr>
      </w:pPr>
      <w:r>
        <w:rPr>
          <w:rFonts w:ascii="Times New Roman" w:eastAsia="仿宋_GB2312" w:hAnsi="Times New Roman"/>
          <w:noProof/>
          <w:kern w:val="2"/>
          <w:sz w:val="32"/>
          <w:szCs w:val="32"/>
          <w:highlight w:val="yellow"/>
        </w:rPr>
        <w:lastRenderedPageBreak/>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281425" w:rsidRDefault="008E4780">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年度本年支出合计</w:t>
      </w:r>
      <w:r>
        <w:rPr>
          <w:rFonts w:ascii="Times New Roman" w:eastAsia="仿宋_GB2312"/>
          <w:sz w:val="32"/>
          <w:szCs w:val="32"/>
        </w:rPr>
        <w:t>167.34</w:t>
      </w:r>
      <w:r>
        <w:rPr>
          <w:rFonts w:ascii="Times New Roman" w:eastAsia="仿宋_GB2312"/>
          <w:sz w:val="32"/>
          <w:szCs w:val="32"/>
        </w:rPr>
        <w:t>万元，其中：基本支出</w:t>
      </w:r>
      <w:r>
        <w:rPr>
          <w:rFonts w:ascii="Times New Roman" w:eastAsia="仿宋_GB2312"/>
          <w:sz w:val="32"/>
          <w:szCs w:val="32"/>
        </w:rPr>
        <w:t>152.34</w:t>
      </w:r>
      <w:r>
        <w:rPr>
          <w:rFonts w:ascii="Times New Roman" w:eastAsia="仿宋_GB2312"/>
          <w:sz w:val="32"/>
          <w:szCs w:val="32"/>
        </w:rPr>
        <w:t>万元，占</w:t>
      </w:r>
      <w:r>
        <w:rPr>
          <w:rFonts w:ascii="Times New Roman" w:eastAsia="仿宋_GB2312"/>
          <w:sz w:val="32"/>
          <w:szCs w:val="32"/>
        </w:rPr>
        <w:t>91.0%</w:t>
      </w:r>
      <w:r>
        <w:rPr>
          <w:rFonts w:ascii="Times New Roman" w:eastAsia="仿宋_GB2312"/>
          <w:sz w:val="32"/>
          <w:szCs w:val="32"/>
        </w:rPr>
        <w:t>；项目支出</w:t>
      </w:r>
      <w:r>
        <w:rPr>
          <w:rFonts w:ascii="Times New Roman" w:eastAsia="仿宋_GB2312"/>
          <w:sz w:val="32"/>
          <w:szCs w:val="32"/>
        </w:rPr>
        <w:t>15.00</w:t>
      </w:r>
      <w:r>
        <w:rPr>
          <w:rFonts w:ascii="Times New Roman" w:eastAsia="仿宋_GB2312"/>
          <w:sz w:val="32"/>
          <w:szCs w:val="32"/>
        </w:rPr>
        <w:t>万元，占</w:t>
      </w:r>
      <w:r>
        <w:rPr>
          <w:rFonts w:ascii="Times New Roman" w:eastAsia="仿宋_GB2312"/>
          <w:sz w:val="32"/>
          <w:szCs w:val="32"/>
        </w:rPr>
        <w:t>9.0%</w:t>
      </w:r>
      <w:r>
        <w:rPr>
          <w:rFonts w:ascii="Times New Roman" w:eastAsia="仿宋_GB2312"/>
          <w:sz w:val="32"/>
          <w:szCs w:val="32"/>
        </w:rPr>
        <w:t>；上缴上级支出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；对附属单位补助支出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281425" w:rsidRDefault="008E4780">
      <w:pPr>
        <w:autoSpaceDE w:val="0"/>
        <w:autoSpaceDN w:val="0"/>
        <w:adjustRightInd w:val="0"/>
        <w:jc w:val="center"/>
        <w:rPr>
          <w:rFonts w:ascii="Times New Roman" w:eastAsia="仿宋_GB2312" w:hAnsi="Times New Roman" w:cs="Times New Roman"/>
          <w:sz w:val="32"/>
          <w:szCs w:val="32"/>
        </w:rPr>
      </w:pPr>
      <w:r>
        <w:rPr>
          <w:rFonts w:ascii="Times New Roman" w:eastAsia="仿宋_GB2312" w:hAnsi="Times New Roman" w:cs="Times New Roman"/>
          <w:noProof/>
          <w:sz w:val="32"/>
          <w:szCs w:val="32"/>
        </w:rPr>
        <w:lastRenderedPageBreak/>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81425" w:rsidRDefault="008E4780">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四、财政拨款收入支出决算总体情况说明</w:t>
      </w:r>
    </w:p>
    <w:p w:rsidR="00281425" w:rsidRDefault="008E4780" w:rsidP="00281425">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年度财政拨款收、支总计（含结转和结余）均为</w:t>
      </w:r>
      <w:r>
        <w:rPr>
          <w:rFonts w:ascii="Times New Roman" w:eastAsia="仿宋_GB2312"/>
          <w:sz w:val="32"/>
          <w:szCs w:val="32"/>
        </w:rPr>
        <w:t>179.90</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年度相比，财政拨款收支各减少</w:t>
      </w:r>
      <w:r>
        <w:rPr>
          <w:rFonts w:ascii="Times New Roman" w:eastAsia="仿宋_GB2312"/>
          <w:sz w:val="32"/>
          <w:szCs w:val="32"/>
        </w:rPr>
        <w:t>24.10</w:t>
      </w:r>
      <w:r>
        <w:rPr>
          <w:rFonts w:ascii="Times New Roman" w:eastAsia="仿宋_GB2312"/>
          <w:sz w:val="32"/>
          <w:szCs w:val="32"/>
        </w:rPr>
        <w:t>万元，降低</w:t>
      </w:r>
      <w:r>
        <w:rPr>
          <w:rFonts w:ascii="Times New Roman" w:eastAsia="仿宋_GB2312"/>
          <w:sz w:val="32"/>
          <w:szCs w:val="32"/>
        </w:rPr>
        <w:t>11.8%</w:t>
      </w:r>
      <w:r>
        <w:rPr>
          <w:rFonts w:ascii="Times New Roman" w:eastAsia="仿宋_GB2312"/>
          <w:sz w:val="32"/>
          <w:szCs w:val="32"/>
        </w:rPr>
        <w:t>，</w:t>
      </w:r>
      <w:r w:rsidRPr="009E1F42">
        <w:rPr>
          <w:rFonts w:ascii="Times New Roman" w:eastAsia="仿宋_GB2312"/>
          <w:sz w:val="32"/>
          <w:szCs w:val="32"/>
        </w:rPr>
        <w:t>主要原因是</w:t>
      </w:r>
      <w:r w:rsidR="009E1F42" w:rsidRPr="00DE0BCF">
        <w:rPr>
          <w:rFonts w:ascii="Times New Roman" w:eastAsia="仿宋_GB2312" w:hint="eastAsia"/>
          <w:sz w:val="32"/>
          <w:szCs w:val="32"/>
        </w:rPr>
        <w:t>财政资金紧张，压缩各预算单位开支，消减预算单位收入指标</w:t>
      </w:r>
      <w:r>
        <w:rPr>
          <w:rFonts w:ascii="Times New Roman" w:eastAsia="仿宋_GB2312"/>
          <w:sz w:val="32"/>
          <w:szCs w:val="32"/>
        </w:rPr>
        <w:t>。</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164.68</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33.89</w:t>
      </w:r>
      <w:r>
        <w:rPr>
          <w:rFonts w:ascii="Times New Roman" w:eastAsia="仿宋_GB2312"/>
          <w:sz w:val="32"/>
          <w:szCs w:val="32"/>
        </w:rPr>
        <w:t>万元，降低</w:t>
      </w:r>
      <w:r>
        <w:rPr>
          <w:rFonts w:ascii="Times New Roman" w:eastAsia="仿宋_GB2312"/>
          <w:sz w:val="32"/>
          <w:szCs w:val="32"/>
        </w:rPr>
        <w:t>17.1%</w:t>
      </w:r>
      <w:r>
        <w:rPr>
          <w:rFonts w:ascii="Times New Roman" w:eastAsia="仿宋_GB2312"/>
          <w:sz w:val="32"/>
          <w:szCs w:val="32"/>
        </w:rPr>
        <w:t>，</w:t>
      </w:r>
      <w:r w:rsidRPr="009E1F42">
        <w:rPr>
          <w:rFonts w:ascii="Times New Roman" w:eastAsia="仿宋_GB2312"/>
          <w:sz w:val="32"/>
          <w:szCs w:val="32"/>
        </w:rPr>
        <w:t>主要原因是</w:t>
      </w:r>
      <w:r>
        <w:rPr>
          <w:rFonts w:ascii="仿宋_GB2312" w:eastAsia="仿宋_GB2312" w:hAnsi="Times New Roman" w:cs="Wingdings" w:hint="eastAsia"/>
          <w:sz w:val="32"/>
          <w:szCs w:val="32"/>
        </w:rPr>
        <w:t>财政资金紧张，压缩各预算单位开支，消减预算单位收入指标</w:t>
      </w:r>
      <w:r>
        <w:rPr>
          <w:rFonts w:ascii="Times New Roman" w:eastAsia="仿宋_GB2312"/>
          <w:sz w:val="32"/>
          <w:szCs w:val="32"/>
        </w:rPr>
        <w:t>；本年支出</w:t>
      </w:r>
      <w:r>
        <w:rPr>
          <w:rFonts w:ascii="Times New Roman" w:eastAsia="仿宋_GB2312"/>
          <w:sz w:val="32"/>
          <w:szCs w:val="32"/>
        </w:rPr>
        <w:t>167.34</w:t>
      </w:r>
      <w:r>
        <w:rPr>
          <w:rFonts w:ascii="Times New Roman" w:eastAsia="仿宋_GB2312"/>
          <w:sz w:val="32"/>
          <w:szCs w:val="32"/>
        </w:rPr>
        <w:t>万元，比上年减少</w:t>
      </w:r>
      <w:r>
        <w:rPr>
          <w:rFonts w:ascii="Times New Roman" w:eastAsia="仿宋_GB2312"/>
          <w:sz w:val="32"/>
          <w:szCs w:val="32"/>
        </w:rPr>
        <w:t>21.45</w:t>
      </w:r>
      <w:r>
        <w:rPr>
          <w:rFonts w:ascii="Times New Roman" w:eastAsia="仿宋_GB2312"/>
          <w:sz w:val="32"/>
          <w:szCs w:val="32"/>
        </w:rPr>
        <w:t>万元，降低</w:t>
      </w:r>
      <w:r>
        <w:rPr>
          <w:rFonts w:ascii="Times New Roman" w:eastAsia="仿宋_GB2312"/>
          <w:sz w:val="32"/>
          <w:szCs w:val="32"/>
        </w:rPr>
        <w:t>11.4%</w:t>
      </w:r>
      <w:r>
        <w:rPr>
          <w:rFonts w:ascii="Times New Roman" w:eastAsia="仿宋_GB2312"/>
          <w:sz w:val="32"/>
          <w:szCs w:val="32"/>
        </w:rPr>
        <w:t>，</w:t>
      </w:r>
      <w:r w:rsidRPr="009E1F42">
        <w:rPr>
          <w:rFonts w:ascii="Times New Roman" w:eastAsia="仿宋_GB2312"/>
          <w:sz w:val="32"/>
          <w:szCs w:val="32"/>
        </w:rPr>
        <w:t>主要原因是</w:t>
      </w:r>
      <w:r>
        <w:rPr>
          <w:rFonts w:ascii="仿宋_GB2312" w:eastAsia="仿宋_GB2312" w:hAnsi="Times New Roman" w:cs="Wingdings" w:hint="eastAsia"/>
          <w:sz w:val="32"/>
          <w:szCs w:val="32"/>
        </w:rPr>
        <w:t>财政资金紧张，压缩各预算单位开支，消减预算单位收入指标</w:t>
      </w:r>
      <w:r>
        <w:rPr>
          <w:rFonts w:ascii="Times New Roman" w:eastAsia="仿宋_GB2312"/>
          <w:sz w:val="32"/>
          <w:szCs w:val="32"/>
        </w:rPr>
        <w:t>。具体情况如下：</w:t>
      </w:r>
    </w:p>
    <w:p w:rsidR="00281425" w:rsidRDefault="008E4780">
      <w:pPr>
        <w:widowControl/>
        <w:spacing w:line="360" w:lineRule="auto"/>
        <w:ind w:firstLineChars="200" w:firstLine="640"/>
        <w:jc w:val="left"/>
        <w:outlineLvl w:val="1"/>
        <w:rPr>
          <w:rFonts w:ascii="Times New Roman" w:eastAsia="仿宋_GB2312"/>
          <w:sz w:val="32"/>
          <w:szCs w:val="32"/>
        </w:rPr>
      </w:pPr>
      <w:r>
        <w:rPr>
          <w:rFonts w:ascii="Times New Roman" w:eastAsia="仿宋_GB2312"/>
          <w:sz w:val="32"/>
          <w:szCs w:val="32"/>
        </w:rPr>
        <w:lastRenderedPageBreak/>
        <w:t xml:space="preserve">1. </w:t>
      </w:r>
      <w:r>
        <w:rPr>
          <w:rFonts w:ascii="Times New Roman" w:eastAsia="仿宋_GB2312"/>
          <w:sz w:val="32"/>
          <w:szCs w:val="32"/>
        </w:rPr>
        <w:t>一般公共预算财政拨款本年收入</w:t>
      </w:r>
      <w:r>
        <w:rPr>
          <w:rFonts w:ascii="Times New Roman" w:eastAsia="仿宋_GB2312"/>
          <w:sz w:val="32"/>
          <w:szCs w:val="32"/>
        </w:rPr>
        <w:t>149.68</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8.89</w:t>
      </w:r>
      <w:r>
        <w:rPr>
          <w:rFonts w:ascii="Times New Roman" w:eastAsia="仿宋_GB2312"/>
          <w:sz w:val="32"/>
          <w:szCs w:val="32"/>
        </w:rPr>
        <w:t>万元，降低</w:t>
      </w:r>
      <w:r>
        <w:rPr>
          <w:rFonts w:ascii="Times New Roman" w:eastAsia="仿宋_GB2312"/>
          <w:sz w:val="32"/>
          <w:szCs w:val="32"/>
        </w:rPr>
        <w:t>5.6%</w:t>
      </w:r>
      <w:r>
        <w:rPr>
          <w:rFonts w:ascii="Times New Roman" w:eastAsia="仿宋_GB2312"/>
          <w:sz w:val="32"/>
          <w:szCs w:val="32"/>
        </w:rPr>
        <w:t>，主要原因</w:t>
      </w:r>
      <w:r>
        <w:rPr>
          <w:rFonts w:ascii="仿宋_GB2312" w:eastAsia="仿宋_GB2312" w:hAnsi="Times New Roman" w:cs="Wingdings" w:hint="eastAsia"/>
          <w:sz w:val="32"/>
          <w:szCs w:val="32"/>
        </w:rPr>
        <w:t>财政资金紧张，压缩各预算单位开支，消减预算单位收入指标</w:t>
      </w:r>
      <w:r>
        <w:rPr>
          <w:rFonts w:ascii="Times New Roman" w:eastAsia="仿宋_GB2312"/>
          <w:sz w:val="32"/>
          <w:szCs w:val="32"/>
        </w:rPr>
        <w:t>；本年支出</w:t>
      </w:r>
      <w:r>
        <w:rPr>
          <w:rFonts w:ascii="Times New Roman" w:eastAsia="仿宋_GB2312"/>
          <w:sz w:val="32"/>
          <w:szCs w:val="32"/>
        </w:rPr>
        <w:t>152.34</w:t>
      </w:r>
      <w:r>
        <w:rPr>
          <w:rFonts w:ascii="Times New Roman" w:eastAsia="仿宋_GB2312"/>
          <w:sz w:val="32"/>
          <w:szCs w:val="32"/>
        </w:rPr>
        <w:t>万元，比上年增加</w:t>
      </w:r>
      <w:r>
        <w:rPr>
          <w:rFonts w:ascii="Times New Roman" w:eastAsia="仿宋_GB2312"/>
          <w:sz w:val="32"/>
          <w:szCs w:val="32"/>
        </w:rPr>
        <w:t>3.55</w:t>
      </w:r>
      <w:r>
        <w:rPr>
          <w:rFonts w:ascii="Times New Roman" w:eastAsia="仿宋_GB2312"/>
          <w:sz w:val="32"/>
          <w:szCs w:val="32"/>
        </w:rPr>
        <w:t>万元，增长</w:t>
      </w:r>
      <w:r>
        <w:rPr>
          <w:rFonts w:ascii="Times New Roman" w:eastAsia="仿宋_GB2312"/>
          <w:sz w:val="32"/>
          <w:szCs w:val="32"/>
        </w:rPr>
        <w:t>2.4%</w:t>
      </w:r>
      <w:r>
        <w:rPr>
          <w:rFonts w:ascii="Times New Roman" w:eastAsia="仿宋_GB2312"/>
          <w:sz w:val="32"/>
          <w:szCs w:val="32"/>
        </w:rPr>
        <w:t>，主要原因是</w:t>
      </w:r>
      <w:r w:rsidR="00762857">
        <w:rPr>
          <w:rFonts w:ascii="仿宋_GB2312" w:eastAsia="仿宋_GB2312" w:hAnsi="仿宋_GB2312" w:cs="仿宋_GB2312" w:hint="eastAsia"/>
          <w:kern w:val="2"/>
          <w:sz w:val="32"/>
          <w:szCs w:val="32"/>
        </w:rPr>
        <w:t>人员经费增加。</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2. </w:t>
      </w:r>
      <w:r>
        <w:rPr>
          <w:rFonts w:ascii="Times New Roman" w:eastAsia="仿宋_GB2312"/>
          <w:sz w:val="32"/>
          <w:szCs w:val="32"/>
        </w:rPr>
        <w:t>政府性基金预算财政拨款本年收入</w:t>
      </w:r>
      <w:r>
        <w:rPr>
          <w:rFonts w:ascii="Times New Roman" w:eastAsia="仿宋_GB2312"/>
          <w:sz w:val="32"/>
          <w:szCs w:val="32"/>
        </w:rPr>
        <w:t>15.00</w:t>
      </w:r>
      <w:r>
        <w:rPr>
          <w:rFonts w:ascii="Times New Roman" w:eastAsia="仿宋_GB2312"/>
          <w:sz w:val="32"/>
          <w:szCs w:val="32"/>
        </w:rPr>
        <w:t>万元，比上年减少</w:t>
      </w:r>
      <w:r>
        <w:rPr>
          <w:rFonts w:ascii="Times New Roman" w:eastAsia="仿宋_GB2312"/>
          <w:sz w:val="32"/>
          <w:szCs w:val="32"/>
        </w:rPr>
        <w:t>25.00</w:t>
      </w:r>
      <w:r>
        <w:rPr>
          <w:rFonts w:ascii="Times New Roman" w:eastAsia="仿宋_GB2312"/>
          <w:sz w:val="32"/>
          <w:szCs w:val="32"/>
        </w:rPr>
        <w:t>万元，降低</w:t>
      </w:r>
      <w:r>
        <w:rPr>
          <w:rFonts w:ascii="Times New Roman" w:eastAsia="仿宋_GB2312"/>
          <w:sz w:val="32"/>
          <w:szCs w:val="32"/>
        </w:rPr>
        <w:t>62.5%</w:t>
      </w:r>
      <w:r>
        <w:rPr>
          <w:rFonts w:ascii="Times New Roman" w:eastAsia="仿宋_GB2312"/>
          <w:sz w:val="32"/>
          <w:szCs w:val="32"/>
        </w:rPr>
        <w:t>，主要原因是</w:t>
      </w:r>
      <w:r>
        <w:rPr>
          <w:rFonts w:ascii="仿宋_GB2312" w:eastAsia="仿宋_GB2312" w:hAnsi="仿宋_GB2312" w:cs="仿宋_GB2312" w:hint="eastAsia"/>
          <w:kern w:val="2"/>
          <w:sz w:val="32"/>
          <w:szCs w:val="32"/>
        </w:rPr>
        <w:t>政府性基金预算财政拨款安排的项目减少</w:t>
      </w:r>
      <w:r>
        <w:rPr>
          <w:rFonts w:ascii="Times New Roman" w:eastAsia="仿宋_GB2312"/>
          <w:sz w:val="32"/>
          <w:szCs w:val="32"/>
        </w:rPr>
        <w:t>；本年支出</w:t>
      </w:r>
      <w:r>
        <w:rPr>
          <w:rFonts w:ascii="Times New Roman" w:eastAsia="仿宋_GB2312"/>
          <w:sz w:val="32"/>
          <w:szCs w:val="32"/>
        </w:rPr>
        <w:t>15.00</w:t>
      </w:r>
      <w:r>
        <w:rPr>
          <w:rFonts w:ascii="Times New Roman" w:eastAsia="仿宋_GB2312"/>
          <w:sz w:val="32"/>
          <w:szCs w:val="32"/>
        </w:rPr>
        <w:t>万元，比上年减少</w:t>
      </w:r>
      <w:r>
        <w:rPr>
          <w:rFonts w:ascii="Times New Roman" w:eastAsia="仿宋_GB2312"/>
          <w:sz w:val="32"/>
          <w:szCs w:val="32"/>
        </w:rPr>
        <w:t>25.00</w:t>
      </w:r>
      <w:r>
        <w:rPr>
          <w:rFonts w:ascii="Times New Roman" w:eastAsia="仿宋_GB2312"/>
          <w:sz w:val="32"/>
          <w:szCs w:val="32"/>
        </w:rPr>
        <w:t>万元，降低</w:t>
      </w:r>
      <w:r>
        <w:rPr>
          <w:rFonts w:ascii="Times New Roman" w:eastAsia="仿宋_GB2312"/>
          <w:sz w:val="32"/>
          <w:szCs w:val="32"/>
        </w:rPr>
        <w:t>62.5%</w:t>
      </w:r>
      <w:r>
        <w:rPr>
          <w:rFonts w:ascii="Times New Roman" w:eastAsia="仿宋_GB2312"/>
          <w:sz w:val="32"/>
          <w:szCs w:val="32"/>
        </w:rPr>
        <w:t>，主要原因是</w:t>
      </w:r>
      <w:r>
        <w:rPr>
          <w:rFonts w:ascii="仿宋_GB2312" w:eastAsia="仿宋_GB2312" w:hAnsi="仿宋_GB2312" w:cs="仿宋_GB2312" w:hint="eastAsia"/>
          <w:kern w:val="2"/>
          <w:sz w:val="32"/>
          <w:szCs w:val="32"/>
        </w:rPr>
        <w:t>政府性基金预算财政拨款安排的项目减少</w:t>
      </w:r>
      <w:r>
        <w:rPr>
          <w:rFonts w:ascii="Times New Roman" w:eastAsia="仿宋_GB2312"/>
          <w:sz w:val="32"/>
          <w:szCs w:val="32"/>
        </w:rPr>
        <w:t>。</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3. </w:t>
      </w:r>
      <w:r>
        <w:rPr>
          <w:rFonts w:ascii="Times New Roman" w:eastAsia="仿宋_GB2312"/>
          <w:sz w:val="32"/>
          <w:szCs w:val="32"/>
        </w:rPr>
        <w:t>国有资本经营预算财政拨款本年收入</w:t>
      </w:r>
      <w:r>
        <w:rPr>
          <w:rFonts w:ascii="Times New Roman" w:eastAsia="仿宋_GB2312"/>
          <w:sz w:val="32"/>
          <w:szCs w:val="32"/>
        </w:rPr>
        <w:t>0.00</w:t>
      </w:r>
      <w:r>
        <w:rPr>
          <w:rFonts w:ascii="Times New Roman" w:eastAsia="仿宋_GB2312"/>
          <w:sz w:val="32"/>
          <w:szCs w:val="32"/>
        </w:rPr>
        <w:t>万元</w:t>
      </w:r>
      <w:r>
        <w:rPr>
          <w:rFonts w:ascii="Times New Roman" w:eastAsia="仿宋_GB2312" w:hint="eastAsia"/>
          <w:sz w:val="32"/>
          <w:szCs w:val="32"/>
        </w:rPr>
        <w:t>，与上年持平</w:t>
      </w:r>
      <w:r>
        <w:rPr>
          <w:rFonts w:ascii="Times New Roman" w:eastAsia="仿宋_GB2312"/>
          <w:sz w:val="32"/>
          <w:szCs w:val="32"/>
        </w:rPr>
        <w:t>；本年支出</w:t>
      </w:r>
      <w:r>
        <w:rPr>
          <w:rFonts w:ascii="Times New Roman" w:eastAsia="仿宋_GB2312"/>
          <w:sz w:val="32"/>
          <w:szCs w:val="32"/>
        </w:rPr>
        <w:t>0.00</w:t>
      </w:r>
      <w:r>
        <w:rPr>
          <w:rFonts w:ascii="Times New Roman" w:eastAsia="仿宋_GB2312"/>
          <w:sz w:val="32"/>
          <w:szCs w:val="32"/>
        </w:rPr>
        <w:t>万元，</w:t>
      </w:r>
      <w:r>
        <w:rPr>
          <w:rFonts w:ascii="Times New Roman" w:eastAsia="仿宋_GB2312" w:hint="eastAsia"/>
          <w:sz w:val="32"/>
          <w:szCs w:val="32"/>
        </w:rPr>
        <w:t>与上年持平</w:t>
      </w:r>
      <w:r>
        <w:rPr>
          <w:rFonts w:ascii="Times New Roman" w:eastAsia="仿宋_GB2312"/>
          <w:sz w:val="32"/>
          <w:szCs w:val="32"/>
        </w:rPr>
        <w:t>。</w:t>
      </w:r>
    </w:p>
    <w:p w:rsidR="00281425" w:rsidRDefault="008E4780">
      <w:pPr>
        <w:pStyle w:val="a7"/>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81425" w:rsidRDefault="008E4780" w:rsidP="00281425">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（二）财政拨款收支与年初预算数对比情况</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本单位</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164.68</w:t>
      </w:r>
      <w:r>
        <w:rPr>
          <w:rFonts w:ascii="Times New Roman" w:eastAsia="仿宋_GB2312"/>
          <w:sz w:val="32"/>
          <w:szCs w:val="32"/>
        </w:rPr>
        <w:t>万元，完成年初预算的</w:t>
      </w:r>
      <w:r>
        <w:rPr>
          <w:rFonts w:ascii="Times New Roman" w:eastAsia="仿宋_GB2312"/>
          <w:sz w:val="32"/>
          <w:szCs w:val="32"/>
        </w:rPr>
        <w:t>30.6%</w:t>
      </w:r>
      <w:r>
        <w:rPr>
          <w:rFonts w:ascii="Times New Roman" w:eastAsia="仿宋_GB2312"/>
          <w:sz w:val="32"/>
          <w:szCs w:val="32"/>
        </w:rPr>
        <w:t>，比年初预算减少</w:t>
      </w:r>
      <w:r>
        <w:rPr>
          <w:rFonts w:ascii="Times New Roman" w:eastAsia="仿宋_GB2312"/>
          <w:sz w:val="32"/>
          <w:szCs w:val="32"/>
        </w:rPr>
        <w:t>372.84</w:t>
      </w:r>
      <w:r>
        <w:rPr>
          <w:rFonts w:ascii="Times New Roman" w:eastAsia="仿宋_GB2312"/>
          <w:sz w:val="32"/>
          <w:szCs w:val="32"/>
        </w:rPr>
        <w:t>万元，决算数小于预算数主要原因是</w:t>
      </w:r>
      <w:r>
        <w:rPr>
          <w:rFonts w:ascii="仿宋_GB2312" w:eastAsia="仿宋_GB2312" w:hAnsi="Times New Roman" w:cs="Wingdings" w:hint="eastAsia"/>
          <w:sz w:val="32"/>
          <w:szCs w:val="32"/>
        </w:rPr>
        <w:t>财政资金紧张，压缩各预算单位开支，消减预算单位收入指标</w:t>
      </w:r>
      <w:r>
        <w:rPr>
          <w:rFonts w:ascii="Times New Roman" w:eastAsia="仿宋_GB2312"/>
          <w:sz w:val="32"/>
          <w:szCs w:val="32"/>
        </w:rPr>
        <w:t>；本年支出</w:t>
      </w:r>
      <w:r>
        <w:rPr>
          <w:rFonts w:ascii="Times New Roman" w:eastAsia="仿宋_GB2312"/>
          <w:sz w:val="32"/>
          <w:szCs w:val="32"/>
        </w:rPr>
        <w:t>167.34</w:t>
      </w:r>
      <w:r>
        <w:rPr>
          <w:rFonts w:ascii="Times New Roman" w:eastAsia="仿宋_GB2312"/>
          <w:sz w:val="32"/>
          <w:szCs w:val="32"/>
        </w:rPr>
        <w:t>万元，完成年初预算的</w:t>
      </w:r>
      <w:r>
        <w:rPr>
          <w:rFonts w:ascii="Times New Roman" w:eastAsia="仿宋_GB2312"/>
          <w:sz w:val="32"/>
          <w:szCs w:val="32"/>
        </w:rPr>
        <w:t>31.1%</w:t>
      </w:r>
      <w:r>
        <w:rPr>
          <w:rFonts w:ascii="Times New Roman" w:eastAsia="仿宋_GB2312"/>
          <w:sz w:val="32"/>
          <w:szCs w:val="32"/>
        </w:rPr>
        <w:t>，比年初预算减少</w:t>
      </w:r>
      <w:r>
        <w:rPr>
          <w:rFonts w:ascii="Times New Roman" w:eastAsia="仿宋_GB2312"/>
          <w:sz w:val="32"/>
          <w:szCs w:val="32"/>
        </w:rPr>
        <w:t>370.18</w:t>
      </w:r>
      <w:r>
        <w:rPr>
          <w:rFonts w:ascii="Times New Roman" w:eastAsia="仿宋_GB2312"/>
          <w:sz w:val="32"/>
          <w:szCs w:val="32"/>
        </w:rPr>
        <w:t>万元，决算数小于预算数主要原因是</w:t>
      </w:r>
      <w:r>
        <w:rPr>
          <w:rFonts w:ascii="仿宋_GB2312" w:eastAsia="仿宋_GB2312" w:hAnsi="Times New Roman" w:cs="Wingdings" w:hint="eastAsia"/>
          <w:sz w:val="32"/>
          <w:szCs w:val="32"/>
        </w:rPr>
        <w:t>财政资金紧张，压缩各预算单位开支，消减预算单位收入指标</w:t>
      </w:r>
      <w:r>
        <w:rPr>
          <w:rFonts w:ascii="Times New Roman" w:eastAsia="仿宋_GB2312"/>
          <w:sz w:val="32"/>
          <w:szCs w:val="32"/>
        </w:rPr>
        <w:t>。具体情况如下：</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1. </w:t>
      </w:r>
      <w:r>
        <w:rPr>
          <w:rFonts w:ascii="Times New Roman" w:eastAsia="仿宋_GB2312"/>
          <w:sz w:val="32"/>
          <w:szCs w:val="32"/>
        </w:rPr>
        <w:t>一般公共预算财政拨款本年收入完成年初预算的</w:t>
      </w:r>
      <w:r>
        <w:rPr>
          <w:rFonts w:ascii="Times New Roman" w:eastAsia="仿宋_GB2312"/>
          <w:sz w:val="32"/>
          <w:szCs w:val="32"/>
        </w:rPr>
        <w:t>63.0%</w:t>
      </w:r>
      <w:r>
        <w:rPr>
          <w:rFonts w:ascii="Times New Roman" w:eastAsia="仿宋_GB2312"/>
          <w:sz w:val="32"/>
          <w:szCs w:val="32"/>
        </w:rPr>
        <w:t>，比年初预算减少</w:t>
      </w:r>
      <w:r>
        <w:rPr>
          <w:rFonts w:ascii="Times New Roman" w:eastAsia="仿宋_GB2312"/>
          <w:sz w:val="32"/>
          <w:szCs w:val="32"/>
        </w:rPr>
        <w:t>87.84</w:t>
      </w:r>
      <w:r>
        <w:rPr>
          <w:rFonts w:ascii="Times New Roman" w:eastAsia="仿宋_GB2312"/>
          <w:sz w:val="32"/>
          <w:szCs w:val="32"/>
        </w:rPr>
        <w:t>万元，主要原因是</w:t>
      </w:r>
      <w:r>
        <w:rPr>
          <w:rFonts w:ascii="仿宋_GB2312" w:eastAsia="仿宋_GB2312" w:hAnsi="Times New Roman" w:cs="Wingdings" w:hint="eastAsia"/>
          <w:sz w:val="32"/>
          <w:szCs w:val="32"/>
        </w:rPr>
        <w:t>财政资金紧张，压缩各预算单位开支，消减预算单位收入指标</w:t>
      </w:r>
      <w:r>
        <w:rPr>
          <w:rFonts w:ascii="Times New Roman" w:eastAsia="仿宋_GB2312"/>
          <w:sz w:val="32"/>
          <w:szCs w:val="32"/>
        </w:rPr>
        <w:t>；支出完成年初预算的</w:t>
      </w:r>
      <w:r>
        <w:rPr>
          <w:rFonts w:ascii="Times New Roman" w:eastAsia="仿宋_GB2312"/>
          <w:sz w:val="32"/>
          <w:szCs w:val="32"/>
        </w:rPr>
        <w:t>64.1%</w:t>
      </w:r>
      <w:r>
        <w:rPr>
          <w:rFonts w:ascii="Times New Roman" w:eastAsia="仿宋_GB2312"/>
          <w:sz w:val="32"/>
          <w:szCs w:val="32"/>
        </w:rPr>
        <w:t>，比年初预算减少</w:t>
      </w:r>
      <w:r>
        <w:rPr>
          <w:rFonts w:ascii="Times New Roman" w:eastAsia="仿宋_GB2312"/>
          <w:sz w:val="32"/>
          <w:szCs w:val="32"/>
        </w:rPr>
        <w:t>85.18</w:t>
      </w:r>
      <w:r>
        <w:rPr>
          <w:rFonts w:ascii="Times New Roman" w:eastAsia="仿宋_GB2312"/>
          <w:sz w:val="32"/>
          <w:szCs w:val="32"/>
        </w:rPr>
        <w:t>万元，主要原因是</w:t>
      </w:r>
      <w:r>
        <w:rPr>
          <w:rFonts w:ascii="仿宋_GB2312" w:eastAsia="仿宋_GB2312" w:hAnsi="Times New Roman" w:cs="Wingdings" w:hint="eastAsia"/>
          <w:sz w:val="32"/>
          <w:szCs w:val="32"/>
        </w:rPr>
        <w:t>财政资金紧张，压缩各预算单位开支，消减预算单位收入指标</w:t>
      </w:r>
      <w:r>
        <w:rPr>
          <w:rFonts w:ascii="Times New Roman" w:eastAsia="仿宋_GB2312"/>
          <w:sz w:val="32"/>
          <w:szCs w:val="32"/>
        </w:rPr>
        <w:t>。</w:t>
      </w:r>
    </w:p>
    <w:p w:rsidR="00281425" w:rsidRDefault="008E4780">
      <w:pPr>
        <w:widowControl/>
        <w:spacing w:line="360" w:lineRule="auto"/>
        <w:ind w:firstLineChars="200" w:firstLine="640"/>
        <w:jc w:val="left"/>
        <w:rPr>
          <w:rFonts w:ascii="仿宋_GB2312" w:eastAsia="仿宋_GB2312" w:hAnsi="仿宋_GB2312" w:cs="仿宋_GB2312"/>
          <w:sz w:val="32"/>
          <w:szCs w:val="32"/>
        </w:rPr>
      </w:pPr>
      <w:r>
        <w:rPr>
          <w:rFonts w:ascii="Times New Roman" w:eastAsia="仿宋_GB2312"/>
          <w:sz w:val="32"/>
          <w:szCs w:val="32"/>
        </w:rPr>
        <w:t xml:space="preserve">2. </w:t>
      </w:r>
      <w:r>
        <w:rPr>
          <w:rFonts w:ascii="仿宋_GB2312" w:eastAsia="仿宋_GB2312" w:hAnsi="仿宋_GB2312" w:cs="仿宋_GB2312" w:hint="eastAsia"/>
          <w:sz w:val="32"/>
          <w:szCs w:val="32"/>
        </w:rPr>
        <w:t>政府性基金预算财政拨款本年收入完成年初预算的</w:t>
      </w:r>
      <w:r>
        <w:rPr>
          <w:rFonts w:ascii="Times New Roman" w:eastAsia="仿宋_GB2312" w:hAnsi="Times New Roman" w:cs="Times New Roman"/>
          <w:sz w:val="32"/>
          <w:szCs w:val="32"/>
        </w:rPr>
        <w:t>5.0%</w:t>
      </w:r>
      <w:r>
        <w:rPr>
          <w:rFonts w:ascii="仿宋_GB2312" w:eastAsia="仿宋_GB2312" w:hAnsi="仿宋_GB2312" w:cs="仿宋_GB2312" w:hint="eastAsia"/>
          <w:sz w:val="32"/>
          <w:szCs w:val="32"/>
        </w:rPr>
        <w:t>，比年初预算减少</w:t>
      </w:r>
      <w:r>
        <w:rPr>
          <w:rFonts w:ascii="Times New Roman" w:eastAsia="仿宋_GB2312" w:hAnsi="Times New Roman" w:cs="Times New Roman"/>
          <w:sz w:val="32"/>
          <w:szCs w:val="32"/>
        </w:rPr>
        <w:t>285.00</w:t>
      </w:r>
      <w:r w:rsidR="00762857">
        <w:rPr>
          <w:rFonts w:ascii="仿宋_GB2312" w:eastAsia="仿宋_GB2312" w:hAnsi="仿宋_GB2312" w:cs="仿宋_GB2312" w:hint="eastAsia"/>
          <w:sz w:val="32"/>
          <w:szCs w:val="32"/>
        </w:rPr>
        <w:t>万元，主要原因是</w:t>
      </w:r>
      <w:r>
        <w:rPr>
          <w:rFonts w:ascii="仿宋_GB2312" w:eastAsia="仿宋_GB2312" w:hAnsi="仿宋_GB2312" w:cs="仿宋_GB2312" w:hint="eastAsia"/>
          <w:sz w:val="32"/>
          <w:szCs w:val="32"/>
        </w:rPr>
        <w:t>财政资金紧张，压缩各预算单位开支，消减预算单位收入指标；支出完成年初预算的</w:t>
      </w:r>
      <w:r>
        <w:rPr>
          <w:rFonts w:ascii="Times New Roman" w:eastAsia="仿宋_GB2312" w:hAnsi="Times New Roman" w:cs="Times New Roman"/>
          <w:sz w:val="32"/>
          <w:szCs w:val="32"/>
        </w:rPr>
        <w:t>5.0%</w:t>
      </w:r>
      <w:r>
        <w:rPr>
          <w:rFonts w:ascii="仿宋_GB2312" w:eastAsia="仿宋_GB2312" w:hAnsi="仿宋_GB2312" w:cs="仿宋_GB2312" w:hint="eastAsia"/>
          <w:sz w:val="32"/>
          <w:szCs w:val="32"/>
        </w:rPr>
        <w:t>，比年初预算减少</w:t>
      </w:r>
      <w:r>
        <w:rPr>
          <w:rFonts w:ascii="Times New Roman" w:eastAsia="仿宋_GB2312" w:hAnsi="Times New Roman" w:cs="Times New Roman"/>
          <w:sz w:val="32"/>
          <w:szCs w:val="32"/>
        </w:rPr>
        <w:t>285.00</w:t>
      </w:r>
      <w:r w:rsidR="00762857">
        <w:rPr>
          <w:rFonts w:ascii="仿宋_GB2312" w:eastAsia="仿宋_GB2312" w:hAnsi="仿宋_GB2312" w:cs="仿宋_GB2312" w:hint="eastAsia"/>
          <w:sz w:val="32"/>
          <w:szCs w:val="32"/>
        </w:rPr>
        <w:t>万元，主要原因是</w:t>
      </w:r>
      <w:r>
        <w:rPr>
          <w:rFonts w:ascii="仿宋_GB2312" w:eastAsia="仿宋_GB2312" w:hAnsi="仿宋_GB2312" w:cs="仿宋_GB2312" w:hint="eastAsia"/>
          <w:sz w:val="32"/>
          <w:szCs w:val="32"/>
        </w:rPr>
        <w:t>财政资金紧张，压缩各预算单位开支，消减预算单位收入指标。</w:t>
      </w:r>
    </w:p>
    <w:p w:rsidR="00281425" w:rsidRDefault="008E4780">
      <w:pPr>
        <w:widowControl/>
        <w:spacing w:line="360" w:lineRule="auto"/>
        <w:ind w:firstLineChars="200" w:firstLine="640"/>
        <w:jc w:val="left"/>
        <w:rPr>
          <w:rFonts w:ascii="Times New Roman" w:eastAsia="仿宋_GB2312"/>
          <w:color w:val="FF0000"/>
          <w:sz w:val="32"/>
          <w:szCs w:val="32"/>
        </w:rPr>
      </w:pPr>
      <w:r w:rsidRPr="00762857">
        <w:rPr>
          <w:rFonts w:ascii="Times New Roman" w:eastAsia="仿宋_GB2312"/>
          <w:sz w:val="32"/>
          <w:szCs w:val="32"/>
        </w:rPr>
        <w:t xml:space="preserve">3. </w:t>
      </w:r>
      <w:r>
        <w:rPr>
          <w:rFonts w:ascii="仿宋_GB2312" w:eastAsia="仿宋_GB2312" w:hAnsi="仿宋_GB2312" w:cs="仿宋_GB2312" w:hint="eastAsia"/>
          <w:kern w:val="2"/>
          <w:sz w:val="32"/>
          <w:szCs w:val="32"/>
          <w:lang w:val="zh-CN"/>
        </w:rPr>
        <w:t xml:space="preserve"> </w:t>
      </w:r>
      <w:r>
        <w:rPr>
          <w:rFonts w:ascii="仿宋_GB2312" w:eastAsia="仿宋_GB2312" w:hAnsi="仿宋_GB2312" w:cs="仿宋_GB2312" w:hint="eastAsia"/>
          <w:sz w:val="32"/>
          <w:szCs w:val="32"/>
          <w:lang w:val="zh-CN"/>
        </w:rPr>
        <w:t>国有资本经营</w:t>
      </w:r>
      <w:bookmarkStart w:id="0" w:name="_GoBack"/>
      <w:r>
        <w:rPr>
          <w:rFonts w:ascii="仿宋_GB2312" w:eastAsia="仿宋_GB2312" w:hAnsi="仿宋_GB2312" w:cs="仿宋_GB2312" w:hint="eastAsia"/>
          <w:sz w:val="32"/>
          <w:szCs w:val="32"/>
          <w:lang w:val="zh-CN"/>
        </w:rPr>
        <w:t>预算财政拨款本年收入</w:t>
      </w:r>
      <w:r>
        <w:rPr>
          <w:rFonts w:ascii="仿宋_GB2312" w:eastAsia="仿宋_GB2312" w:hAnsi="仿宋_GB2312" w:cs="仿宋_GB2312" w:hint="eastAsia"/>
          <w:kern w:val="2"/>
          <w:sz w:val="32"/>
          <w:szCs w:val="32"/>
          <w:lang w:val="zh-CN"/>
        </w:rPr>
        <w:t>合</w:t>
      </w:r>
      <w:bookmarkEnd w:id="0"/>
      <w:r>
        <w:rPr>
          <w:rFonts w:ascii="仿宋_GB2312" w:eastAsia="仿宋_GB2312" w:hAnsi="仿宋_GB2312" w:cs="仿宋_GB2312" w:hint="eastAsia"/>
          <w:kern w:val="2"/>
          <w:sz w:val="32"/>
          <w:szCs w:val="32"/>
          <w:lang w:val="zh-CN"/>
        </w:rPr>
        <w:t>计</w:t>
      </w:r>
      <w:r>
        <w:rPr>
          <w:rFonts w:ascii="Times New Roman" w:eastAsia="仿宋" w:hAnsi="Times New Roman" w:cs="Times New Roman"/>
          <w:kern w:val="2"/>
          <w:sz w:val="32"/>
          <w:szCs w:val="32"/>
        </w:rPr>
        <w:t>0.00</w:t>
      </w:r>
      <w:r>
        <w:rPr>
          <w:rFonts w:ascii="仿宋_GB2312" w:eastAsia="仿宋_GB2312" w:hAnsi="仿宋_GB2312" w:cs="仿宋_GB2312" w:hint="eastAsia"/>
          <w:kern w:val="2"/>
          <w:sz w:val="32"/>
          <w:szCs w:val="32"/>
        </w:rPr>
        <w:t>万元</w:t>
      </w:r>
      <w:r>
        <w:rPr>
          <w:rFonts w:ascii="仿宋_GB2312" w:eastAsia="仿宋_GB2312" w:hAnsi="仿宋_GB2312" w:cs="仿宋_GB2312" w:hint="eastAsia"/>
          <w:kern w:val="2"/>
          <w:sz w:val="32"/>
          <w:szCs w:val="32"/>
          <w:lang w:val="zh-CN"/>
        </w:rPr>
        <w:t>，与预算持平；本年支出合计</w:t>
      </w:r>
      <w:r>
        <w:rPr>
          <w:rFonts w:ascii="Times New Roman" w:eastAsia="仿宋" w:hAnsi="Times New Roman" w:cs="Times New Roman"/>
          <w:kern w:val="2"/>
          <w:sz w:val="32"/>
          <w:szCs w:val="32"/>
        </w:rPr>
        <w:t>0.00</w:t>
      </w:r>
      <w:r>
        <w:rPr>
          <w:rFonts w:ascii="仿宋_GB2312" w:eastAsia="仿宋_GB2312" w:hAnsi="仿宋_GB2312" w:cs="仿宋_GB2312" w:hint="eastAsia"/>
          <w:kern w:val="2"/>
          <w:sz w:val="32"/>
          <w:szCs w:val="32"/>
        </w:rPr>
        <w:t>万元</w:t>
      </w:r>
      <w:r>
        <w:rPr>
          <w:rFonts w:ascii="仿宋" w:eastAsia="仿宋" w:hAnsi="仿宋" w:cs="仿宋_GB2312" w:hint="eastAsia"/>
          <w:kern w:val="2"/>
          <w:sz w:val="32"/>
          <w:szCs w:val="32"/>
          <w:lang w:val="zh-CN"/>
        </w:rPr>
        <w:t>，</w:t>
      </w:r>
      <w:r>
        <w:rPr>
          <w:rFonts w:ascii="仿宋_GB2312" w:eastAsia="仿宋_GB2312" w:hAnsi="仿宋_GB2312" w:cs="仿宋_GB2312" w:hint="eastAsia"/>
          <w:kern w:val="2"/>
          <w:sz w:val="32"/>
          <w:szCs w:val="32"/>
          <w:lang w:val="zh-CN"/>
        </w:rPr>
        <w:t>与</w:t>
      </w:r>
      <w:r w:rsidR="00762857">
        <w:rPr>
          <w:rFonts w:ascii="仿宋_GB2312" w:eastAsia="仿宋_GB2312" w:hAnsi="仿宋_GB2312" w:cs="仿宋_GB2312" w:hint="eastAsia"/>
          <w:kern w:val="2"/>
          <w:sz w:val="32"/>
          <w:szCs w:val="32"/>
          <w:lang w:val="zh-CN"/>
        </w:rPr>
        <w:t>上年</w:t>
      </w:r>
      <w:r>
        <w:rPr>
          <w:rFonts w:ascii="仿宋_GB2312" w:eastAsia="仿宋_GB2312" w:hAnsi="仿宋_GB2312" w:cs="仿宋_GB2312" w:hint="eastAsia"/>
          <w:kern w:val="2"/>
          <w:sz w:val="32"/>
          <w:szCs w:val="32"/>
          <w:lang w:val="zh-CN"/>
        </w:rPr>
        <w:t>持平</w:t>
      </w:r>
      <w:r>
        <w:rPr>
          <w:rFonts w:ascii="Times New Roman" w:eastAsia="仿宋_GB2312"/>
          <w:color w:val="000000" w:themeColor="text1"/>
          <w:sz w:val="32"/>
          <w:szCs w:val="32"/>
        </w:rPr>
        <w:t>。</w:t>
      </w:r>
    </w:p>
    <w:p w:rsidR="00281425" w:rsidRDefault="00281425">
      <w:pPr>
        <w:pStyle w:val="a7"/>
        <w:widowControl/>
        <w:spacing w:beforeAutospacing="0" w:afterAutospacing="0"/>
        <w:rPr>
          <w:rFonts w:ascii="Times New Roman" w:eastAsia="Arial" w:hAnsi="Times New Roman"/>
        </w:rPr>
      </w:pPr>
    </w:p>
    <w:p w:rsidR="00281425" w:rsidRDefault="008E4780">
      <w:pPr>
        <w:pStyle w:val="a7"/>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lastRenderedPageBreak/>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81425" w:rsidRDefault="008E4780" w:rsidP="00281425">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（三）财政拨款支出决算结构情况</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年度财政拨款支出</w:t>
      </w:r>
      <w:r>
        <w:rPr>
          <w:rFonts w:ascii="Times New Roman" w:eastAsia="仿宋_GB2312"/>
          <w:sz w:val="32"/>
          <w:szCs w:val="32"/>
        </w:rPr>
        <w:t>167.34</w:t>
      </w:r>
      <w:r>
        <w:rPr>
          <w:rFonts w:ascii="Times New Roman" w:eastAsia="仿宋_GB2312"/>
          <w:sz w:val="32"/>
          <w:szCs w:val="32"/>
        </w:rPr>
        <w:t>万元，主要用于以下方面：</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一般公共预算财政拨款支出：</w:t>
      </w:r>
    </w:p>
    <w:p w:rsidR="00281425" w:rsidRDefault="008E4780">
      <w:pPr>
        <w:widowControl/>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社会保障和就业 （类）支出</w:t>
      </w:r>
      <w:r>
        <w:rPr>
          <w:rFonts w:ascii="Times New Roman" w:eastAsia="仿宋_GB2312" w:hAnsi="Times New Roman" w:cs="Times New Roman"/>
          <w:sz w:val="32"/>
          <w:szCs w:val="32"/>
        </w:rPr>
        <w:t>27.88</w:t>
      </w:r>
      <w:r>
        <w:rPr>
          <w:rFonts w:ascii="仿宋_GB2312" w:eastAsia="仿宋_GB2312" w:hAnsi="仿宋_GB2312" w:cs="仿宋_GB2312" w:hint="eastAsia"/>
          <w:sz w:val="32"/>
          <w:szCs w:val="32"/>
        </w:rPr>
        <w:t>万元，占</w:t>
      </w:r>
      <w:r>
        <w:rPr>
          <w:rFonts w:ascii="Times New Roman" w:eastAsia="仿宋_GB2312" w:hAnsi="Times New Roman" w:cs="Times New Roman"/>
          <w:sz w:val="32"/>
          <w:szCs w:val="32"/>
        </w:rPr>
        <w:t>16.7%</w:t>
      </w:r>
      <w:r>
        <w:rPr>
          <w:rFonts w:ascii="仿宋_GB2312" w:eastAsia="仿宋_GB2312" w:hAnsi="仿宋_GB2312" w:cs="仿宋_GB2312" w:hint="eastAsia"/>
          <w:sz w:val="32"/>
          <w:szCs w:val="32"/>
        </w:rPr>
        <w:t>，主要用于机关事业单位基本养老保险缴费、职业年金缴费、退休费、抚恤金、其他对个人和家庭的补助支出等支出；卫生健康（类）支出</w:t>
      </w:r>
      <w:r>
        <w:rPr>
          <w:rFonts w:ascii="Times New Roman" w:eastAsia="仿宋_GB2312" w:hAnsi="Times New Roman" w:cs="Times New Roman"/>
          <w:sz w:val="32"/>
          <w:szCs w:val="32"/>
        </w:rPr>
        <w:t>8.06</w:t>
      </w:r>
      <w:r>
        <w:rPr>
          <w:rFonts w:ascii="仿宋_GB2312" w:eastAsia="仿宋_GB2312" w:hAnsi="仿宋_GB2312" w:cs="仿宋_GB2312" w:hint="eastAsia"/>
          <w:sz w:val="32"/>
          <w:szCs w:val="32"/>
        </w:rPr>
        <w:t>万元，占</w:t>
      </w:r>
      <w:r>
        <w:rPr>
          <w:rFonts w:ascii="Times New Roman" w:eastAsia="仿宋_GB2312" w:hAnsi="Times New Roman" w:cs="Times New Roman"/>
          <w:sz w:val="32"/>
          <w:szCs w:val="32"/>
        </w:rPr>
        <w:t>4.8%</w:t>
      </w:r>
      <w:r>
        <w:rPr>
          <w:rFonts w:ascii="仿宋_GB2312" w:eastAsia="仿宋_GB2312" w:hAnsi="仿宋_GB2312" w:cs="仿宋_GB2312" w:hint="eastAsia"/>
          <w:sz w:val="32"/>
          <w:szCs w:val="32"/>
        </w:rPr>
        <w:t>，主要用于职工基本医疗保险缴费、其他社会保障缴费支出等支出；自然资源海洋气象等（类）支出</w:t>
      </w:r>
      <w:r>
        <w:rPr>
          <w:rFonts w:ascii="Times New Roman" w:eastAsia="仿宋_GB2312" w:hAnsi="Times New Roman" w:cs="Times New Roman"/>
          <w:sz w:val="32"/>
          <w:szCs w:val="32"/>
        </w:rPr>
        <w:t>110.26</w:t>
      </w:r>
      <w:r>
        <w:rPr>
          <w:rFonts w:ascii="仿宋_GB2312" w:eastAsia="仿宋_GB2312" w:hAnsi="仿宋_GB2312" w:cs="仿宋_GB2312" w:hint="eastAsia"/>
          <w:sz w:val="32"/>
          <w:szCs w:val="32"/>
        </w:rPr>
        <w:t>万元，占</w:t>
      </w:r>
      <w:r>
        <w:rPr>
          <w:rFonts w:ascii="Times New Roman" w:eastAsia="仿宋_GB2312" w:hAnsi="Times New Roman" w:cs="Times New Roman"/>
          <w:sz w:val="32"/>
          <w:szCs w:val="32"/>
        </w:rPr>
        <w:t>65.9%</w:t>
      </w:r>
      <w:r>
        <w:rPr>
          <w:rFonts w:ascii="仿宋_GB2312" w:eastAsia="仿宋_GB2312" w:hAnsi="仿宋_GB2312" w:cs="仿宋_GB2312" w:hint="eastAsia"/>
          <w:sz w:val="32"/>
          <w:szCs w:val="32"/>
        </w:rPr>
        <w:t>，主要用于基本工资、津贴补贴、绩效工资、机关事业单位基本养老保险缴费、职业年金缴费、职工基本医疗保险缴费、其他社会保障缴费、住房公积金、办公费、印刷费、差旅费、退休费、生活补助、其他对个人和家庭的补助支出等支</w:t>
      </w:r>
      <w:r>
        <w:rPr>
          <w:rFonts w:ascii="仿宋_GB2312" w:eastAsia="仿宋_GB2312" w:hAnsi="仿宋_GB2312" w:cs="仿宋_GB2312" w:hint="eastAsia"/>
          <w:sz w:val="32"/>
          <w:szCs w:val="32"/>
        </w:rPr>
        <w:lastRenderedPageBreak/>
        <w:t>出；住房保障（类）支出</w:t>
      </w:r>
      <w:r>
        <w:rPr>
          <w:rFonts w:ascii="Times New Roman" w:eastAsia="仿宋_GB2312" w:hAnsi="Times New Roman" w:cs="Times New Roman"/>
          <w:sz w:val="32"/>
          <w:szCs w:val="32"/>
        </w:rPr>
        <w:t>6.13</w:t>
      </w:r>
      <w:r>
        <w:rPr>
          <w:rFonts w:ascii="仿宋_GB2312" w:eastAsia="仿宋_GB2312" w:hAnsi="仿宋_GB2312" w:cs="仿宋_GB2312" w:hint="eastAsia"/>
          <w:sz w:val="32"/>
          <w:szCs w:val="32"/>
        </w:rPr>
        <w:t>万元，占</w:t>
      </w:r>
      <w:r>
        <w:rPr>
          <w:rFonts w:ascii="Times New Roman" w:eastAsia="仿宋_GB2312" w:hAnsi="Times New Roman" w:cs="Times New Roman"/>
          <w:sz w:val="32"/>
          <w:szCs w:val="32"/>
        </w:rPr>
        <w:t>3.7%</w:t>
      </w:r>
      <w:r>
        <w:rPr>
          <w:rFonts w:ascii="仿宋_GB2312" w:eastAsia="仿宋_GB2312" w:hAnsi="仿宋_GB2312" w:cs="仿宋_GB2312" w:hint="eastAsia"/>
          <w:sz w:val="32"/>
          <w:szCs w:val="32"/>
        </w:rPr>
        <w:t>，主要用于住房公积金等支出。</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政府性基金预算财政拨款支出：</w:t>
      </w:r>
    </w:p>
    <w:p w:rsidR="00281425" w:rsidRDefault="008E4780">
      <w:pPr>
        <w:widowControl/>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城乡社区（类）支出</w:t>
      </w:r>
      <w:r>
        <w:rPr>
          <w:rFonts w:ascii="Times New Roman" w:eastAsia="仿宋_GB2312" w:hAnsi="Times New Roman" w:cs="Times New Roman"/>
          <w:sz w:val="32"/>
          <w:szCs w:val="32"/>
        </w:rPr>
        <w:t>15.00</w:t>
      </w:r>
      <w:r>
        <w:rPr>
          <w:rFonts w:ascii="仿宋_GB2312" w:eastAsia="仿宋_GB2312" w:hAnsi="仿宋_GB2312" w:cs="仿宋_GB2312" w:hint="eastAsia"/>
          <w:sz w:val="32"/>
          <w:szCs w:val="32"/>
        </w:rPr>
        <w:t>万元，占</w:t>
      </w:r>
      <w:r>
        <w:rPr>
          <w:rFonts w:ascii="Times New Roman" w:eastAsia="仿宋_GB2312" w:hAnsi="Times New Roman" w:cs="Times New Roman"/>
          <w:sz w:val="32"/>
          <w:szCs w:val="32"/>
        </w:rPr>
        <w:t>9.0%</w:t>
      </w:r>
      <w:r>
        <w:rPr>
          <w:rFonts w:ascii="仿宋_GB2312" w:eastAsia="仿宋_GB2312" w:hAnsi="仿宋_GB2312" w:cs="仿宋_GB2312" w:hint="eastAsia"/>
          <w:sz w:val="32"/>
          <w:szCs w:val="32"/>
        </w:rPr>
        <w:t>，主要用于</w:t>
      </w:r>
      <w:r>
        <w:rPr>
          <w:rFonts w:ascii="仿宋_GB2312" w:eastAsia="仿宋_GB2312" w:hAnsi="仿宋_GB2312" w:cs="仿宋_GB2312" w:hint="eastAsia"/>
          <w:kern w:val="2"/>
          <w:sz w:val="32"/>
          <w:szCs w:val="32"/>
          <w:lang w:val="zh-CN"/>
        </w:rPr>
        <w:t>政府性基金预算财政拨款项目</w:t>
      </w:r>
      <w:r>
        <w:rPr>
          <w:rFonts w:ascii="仿宋_GB2312" w:eastAsia="仿宋_GB2312" w:hAnsi="仿宋_GB2312" w:cs="仿宋_GB2312" w:hint="eastAsia"/>
          <w:sz w:val="32"/>
          <w:szCs w:val="32"/>
        </w:rPr>
        <w:t>等支出。</w:t>
      </w:r>
    </w:p>
    <w:p w:rsidR="00281425" w:rsidRPr="00057386" w:rsidRDefault="008E4780" w:rsidP="00281425">
      <w:pPr>
        <w:widowControl/>
        <w:spacing w:line="360" w:lineRule="auto"/>
        <w:ind w:firstLineChars="200" w:firstLine="641"/>
        <w:jc w:val="left"/>
        <w:rPr>
          <w:rFonts w:ascii="Times New Roman" w:eastAsia="仿宋_GB2312"/>
          <w:sz w:val="32"/>
          <w:szCs w:val="32"/>
        </w:rPr>
      </w:pPr>
      <w:r w:rsidRPr="00057386">
        <w:rPr>
          <w:rFonts w:ascii="Times New Roman" w:eastAsia="仿宋_GB2312"/>
          <w:b/>
          <w:sz w:val="32"/>
          <w:szCs w:val="32"/>
        </w:rPr>
        <w:t>国有资本经营预算财政拨款支出：</w:t>
      </w:r>
    </w:p>
    <w:p w:rsidR="00281425" w:rsidRPr="00057386" w:rsidRDefault="00057386">
      <w:pPr>
        <w:widowControl/>
        <w:spacing w:line="360" w:lineRule="auto"/>
        <w:ind w:firstLineChars="200" w:firstLine="640"/>
        <w:jc w:val="left"/>
        <w:rPr>
          <w:rFonts w:ascii="宋体" w:eastAsia="宋体" w:hAnsi="宋体"/>
          <w:sz w:val="32"/>
          <w:szCs w:val="32"/>
        </w:rPr>
      </w:pPr>
      <w:r w:rsidRPr="00057386">
        <w:rPr>
          <w:rFonts w:ascii="Times New Roman" w:eastAsia="仿宋_GB2312" w:hint="eastAsia"/>
          <w:sz w:val="32"/>
          <w:szCs w:val="32"/>
        </w:rPr>
        <w:t>国有资本经营支出</w:t>
      </w:r>
      <w:r w:rsidRPr="00057386">
        <w:rPr>
          <w:rFonts w:ascii="宋体" w:eastAsia="宋体" w:hAnsi="宋体" w:hint="eastAsia"/>
          <w:sz w:val="32"/>
          <w:szCs w:val="32"/>
        </w:rPr>
        <w:t>0.00万元，占0.0%，与上年持平。</w:t>
      </w:r>
    </w:p>
    <w:p w:rsidR="00281425" w:rsidRDefault="008E4780">
      <w:pPr>
        <w:pStyle w:val="a7"/>
        <w:widowControl/>
        <w:spacing w:beforeAutospacing="0" w:afterAutospacing="0"/>
        <w:rPr>
          <w:rFonts w:ascii="Times New Roman" w:eastAsia="仿宋_GB2312" w:hAnsi="Times New Roman"/>
          <w:kern w:val="2"/>
          <w:sz w:val="32"/>
          <w:szCs w:val="32"/>
          <w:lang w:val="zh-CN"/>
        </w:rPr>
      </w:pPr>
      <w:r>
        <w:rPr>
          <w:rFonts w:ascii="Times New Roman" w:eastAsia="仿宋_GB2312" w:hAnsi="Times New Roman"/>
          <w:noProof/>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81425" w:rsidRDefault="008E4780" w:rsidP="00281425">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（四）一般公共预算基本支出决算情况说明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年度财政拨款基本支出</w:t>
      </w:r>
      <w:r>
        <w:rPr>
          <w:rFonts w:ascii="Times New Roman" w:eastAsia="仿宋_GB2312"/>
          <w:sz w:val="32"/>
          <w:szCs w:val="32"/>
        </w:rPr>
        <w:t>152.34</w:t>
      </w:r>
      <w:r>
        <w:rPr>
          <w:rFonts w:ascii="Times New Roman" w:eastAsia="仿宋_GB2312"/>
          <w:sz w:val="32"/>
          <w:szCs w:val="32"/>
        </w:rPr>
        <w:t>万元，其中：</w:t>
      </w:r>
    </w:p>
    <w:p w:rsidR="00281425" w:rsidRDefault="008E4780">
      <w:pPr>
        <w:widowControl/>
        <w:spacing w:line="360" w:lineRule="auto"/>
        <w:ind w:firstLineChars="200" w:firstLine="640"/>
        <w:jc w:val="left"/>
        <w:rPr>
          <w:rFonts w:ascii="Times New Roman" w:eastAsia="仿宋_GB2312"/>
          <w:sz w:val="32"/>
          <w:szCs w:val="32"/>
        </w:rPr>
      </w:pPr>
      <w:r>
        <w:rPr>
          <w:rFonts w:ascii="仿宋_GB2312" w:eastAsia="仿宋_GB2312" w:hAnsi="仿宋_GB2312" w:cs="仿宋_GB2312" w:hint="eastAsia"/>
          <w:sz w:val="32"/>
          <w:szCs w:val="32"/>
        </w:rPr>
        <w:t>人员经费</w:t>
      </w:r>
      <w:r>
        <w:rPr>
          <w:rFonts w:ascii="Times New Roman" w:eastAsia="仿宋_GB2312" w:hAnsi="Times New Roman" w:cs="Times New Roman"/>
          <w:sz w:val="32"/>
          <w:szCs w:val="32"/>
        </w:rPr>
        <w:t>131.48</w:t>
      </w:r>
      <w:r>
        <w:rPr>
          <w:rFonts w:ascii="仿宋_GB2312" w:eastAsia="仿宋_GB2312" w:hAnsi="仿宋_GB2312" w:cs="仿宋_GB2312" w:hint="eastAsia"/>
          <w:sz w:val="32"/>
          <w:szCs w:val="32"/>
        </w:rPr>
        <w:t>万元</w:t>
      </w:r>
      <w:r>
        <w:rPr>
          <w:rFonts w:ascii="Times New Roman" w:eastAsia="仿宋_GB2312"/>
          <w:sz w:val="32"/>
          <w:szCs w:val="32"/>
        </w:rPr>
        <w:t>，主要包括基本工资、津贴补贴、奖金、绩效工资、机关事业单位基本养老保险缴费、职业年金缴</w:t>
      </w:r>
      <w:r>
        <w:rPr>
          <w:rFonts w:ascii="Times New Roman" w:eastAsia="仿宋_GB2312"/>
          <w:sz w:val="32"/>
          <w:szCs w:val="32"/>
        </w:rPr>
        <w:lastRenderedPageBreak/>
        <w:t>费、职工基本医疗保险缴费、其他社会保障缴费、住房公积金、退休费、生活补助</w:t>
      </w:r>
      <w:r w:rsidR="00A9668B">
        <w:rPr>
          <w:rFonts w:ascii="宋体" w:eastAsia="宋体" w:hAnsi="宋体" w:hint="eastAsia"/>
          <w:sz w:val="32"/>
          <w:szCs w:val="32"/>
        </w:rPr>
        <w:t>、</w:t>
      </w:r>
      <w:r w:rsidR="00A9668B" w:rsidRPr="00A9668B">
        <w:rPr>
          <w:rFonts w:ascii="Times New Roman" w:eastAsia="仿宋_GB2312" w:hint="eastAsia"/>
          <w:sz w:val="32"/>
          <w:szCs w:val="32"/>
        </w:rPr>
        <w:t>其他工资福利支出</w:t>
      </w:r>
      <w:r>
        <w:rPr>
          <w:rFonts w:ascii="Times New Roman" w:eastAsia="仿宋_GB2312"/>
          <w:sz w:val="32"/>
          <w:szCs w:val="32"/>
        </w:rPr>
        <w:t>。</w:t>
      </w:r>
    </w:p>
    <w:p w:rsidR="00281425" w:rsidRDefault="008E4780">
      <w:pPr>
        <w:widowControl/>
        <w:spacing w:line="360" w:lineRule="auto"/>
        <w:ind w:firstLineChars="200" w:firstLine="640"/>
        <w:jc w:val="left"/>
        <w:rPr>
          <w:rFonts w:ascii="Times New Roman" w:eastAsia="仿宋_GB2312"/>
          <w:sz w:val="32"/>
          <w:szCs w:val="32"/>
        </w:rPr>
      </w:pPr>
      <w:r>
        <w:rPr>
          <w:rFonts w:ascii="仿宋_GB2312" w:eastAsia="仿宋_GB2312" w:hAnsi="仿宋_GB2312" w:cs="仿宋_GB2312" w:hint="eastAsia"/>
          <w:sz w:val="32"/>
          <w:szCs w:val="32"/>
        </w:rPr>
        <w:t>公用经费</w:t>
      </w:r>
      <w:r>
        <w:rPr>
          <w:rFonts w:ascii="Times New Roman" w:eastAsia="仿宋_GB2312" w:hAnsi="Times New Roman" w:cs="Times New Roman"/>
          <w:sz w:val="32"/>
          <w:szCs w:val="32"/>
        </w:rPr>
        <w:t>20.86</w:t>
      </w:r>
      <w:r>
        <w:rPr>
          <w:rFonts w:ascii="仿宋_GB2312" w:eastAsia="仿宋_GB2312" w:hAnsi="仿宋_GB2312" w:cs="仿宋_GB2312" w:hint="eastAsia"/>
          <w:sz w:val="32"/>
          <w:szCs w:val="32"/>
        </w:rPr>
        <w:t>万元，主要包括办公费、印刷费、差旅费。</w:t>
      </w:r>
    </w:p>
    <w:p w:rsidR="00281425" w:rsidRDefault="008E4780">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五、财政拨款</w:t>
      </w:r>
      <w:r>
        <w:rPr>
          <w:rFonts w:ascii="Times New Roman" w:eastAsia="黑体"/>
          <w:sz w:val="32"/>
          <w:szCs w:val="32"/>
        </w:rPr>
        <w:t>“</w:t>
      </w:r>
      <w:r>
        <w:rPr>
          <w:rFonts w:ascii="Times New Roman" w:eastAsia="黑体"/>
          <w:sz w:val="32"/>
          <w:szCs w:val="32"/>
        </w:rPr>
        <w:t>三公</w:t>
      </w:r>
      <w:r>
        <w:rPr>
          <w:rFonts w:ascii="Times New Roman" w:eastAsia="黑体"/>
          <w:sz w:val="32"/>
          <w:szCs w:val="32"/>
        </w:rPr>
        <w:t>”</w:t>
      </w:r>
      <w:r>
        <w:rPr>
          <w:rFonts w:ascii="Times New Roman" w:eastAsia="黑体"/>
          <w:sz w:val="32"/>
          <w:szCs w:val="32"/>
        </w:rPr>
        <w:t xml:space="preserve"> </w:t>
      </w:r>
      <w:r>
        <w:rPr>
          <w:rFonts w:ascii="Times New Roman" w:eastAsia="黑体"/>
          <w:sz w:val="32"/>
          <w:szCs w:val="32"/>
        </w:rPr>
        <w:t>经费支出决算情况说明</w:t>
      </w:r>
    </w:p>
    <w:p w:rsidR="00281425" w:rsidRDefault="008E4780" w:rsidP="00281425">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经费财政拨款支出决算总体情况说明</w:t>
      </w:r>
    </w:p>
    <w:p w:rsidR="00281425" w:rsidRDefault="008E4780">
      <w:pPr>
        <w:widowControl/>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本单位</w:t>
      </w:r>
      <w:r>
        <w:rPr>
          <w:rFonts w:ascii="Times New Roman" w:eastAsia="仿宋_GB2312" w:hAnsi="Times New Roman" w:cs="Times New Roman"/>
          <w:sz w:val="32"/>
          <w:szCs w:val="32"/>
        </w:rPr>
        <w:t>2024</w:t>
      </w:r>
      <w:r>
        <w:rPr>
          <w:rFonts w:ascii="仿宋_GB2312" w:eastAsia="仿宋_GB2312" w:hAnsi="仿宋_GB2312" w:cs="仿宋_GB2312" w:hint="eastAsia"/>
          <w:sz w:val="32"/>
          <w:szCs w:val="32"/>
        </w:rPr>
        <w:t>年度“三公”经费财政拨款支出预算为</w:t>
      </w:r>
      <w:r>
        <w:rPr>
          <w:rFonts w:ascii="Times New Roman" w:eastAsia="仿宋_GB2312" w:hAnsi="Times New Roman" w:cs="Times New Roman"/>
          <w:sz w:val="32"/>
          <w:szCs w:val="32"/>
        </w:rPr>
        <w:t>0.00</w:t>
      </w:r>
      <w:r>
        <w:rPr>
          <w:rFonts w:ascii="仿宋_GB2312" w:eastAsia="仿宋_GB2312" w:hAnsi="仿宋_GB2312" w:cs="仿宋_GB2312" w:hint="eastAsia"/>
          <w:sz w:val="32"/>
          <w:szCs w:val="32"/>
        </w:rPr>
        <w:t>万元，支出决算为</w:t>
      </w:r>
      <w:r>
        <w:rPr>
          <w:rFonts w:ascii="Times New Roman" w:eastAsia="仿宋_GB2312" w:hAnsi="Times New Roman" w:cs="Times New Roman"/>
          <w:sz w:val="32"/>
          <w:szCs w:val="32"/>
        </w:rPr>
        <w:t>0.00</w:t>
      </w:r>
      <w:r>
        <w:rPr>
          <w:rFonts w:ascii="仿宋_GB2312" w:eastAsia="仿宋_GB2312" w:hAnsi="仿宋_GB2312" w:cs="仿宋_GB2312" w:hint="eastAsia"/>
          <w:sz w:val="32"/>
          <w:szCs w:val="32"/>
        </w:rPr>
        <w:t>万元，与预算持平；</w:t>
      </w:r>
      <w:r w:rsidR="00057386">
        <w:rPr>
          <w:rFonts w:ascii="宋体" w:eastAsia="宋体" w:hAnsi="宋体" w:hint="eastAsia"/>
          <w:sz w:val="32"/>
          <w:szCs w:val="32"/>
        </w:rPr>
        <w:t>较</w:t>
      </w:r>
      <w:r>
        <w:rPr>
          <w:rFonts w:ascii="Times New Roman" w:eastAsia="仿宋_GB2312" w:hAnsi="Times New Roman" w:cs="Times New Roman"/>
          <w:sz w:val="32"/>
          <w:szCs w:val="32"/>
        </w:rPr>
        <w:t>2023</w:t>
      </w:r>
      <w:r>
        <w:rPr>
          <w:rFonts w:ascii="仿宋_GB2312" w:eastAsia="仿宋_GB2312" w:hAnsi="仿宋_GB2312" w:cs="仿宋_GB2312" w:hint="eastAsia"/>
          <w:sz w:val="32"/>
          <w:szCs w:val="32"/>
        </w:rPr>
        <w:t>年度</w:t>
      </w:r>
      <w:r w:rsidR="00057386">
        <w:rPr>
          <w:rFonts w:ascii="仿宋_GB2312" w:eastAsia="仿宋_GB2312" w:hAnsi="仿宋_GB2312" w:cs="仿宋_GB2312" w:hint="eastAsia"/>
          <w:sz w:val="32"/>
          <w:szCs w:val="32"/>
        </w:rPr>
        <w:t>增加</w:t>
      </w:r>
      <w:r w:rsidR="00057386">
        <w:rPr>
          <w:rFonts w:ascii="宋体" w:eastAsia="宋体" w:hAnsi="宋体" w:hint="eastAsia"/>
          <w:sz w:val="32"/>
          <w:szCs w:val="32"/>
        </w:rPr>
        <w:t>0.00万元，与上年</w:t>
      </w:r>
      <w:r>
        <w:rPr>
          <w:rFonts w:ascii="仿宋_GB2312" w:eastAsia="仿宋_GB2312" w:hAnsi="仿宋_GB2312" w:cs="仿宋_GB2312" w:hint="eastAsia"/>
          <w:sz w:val="32"/>
          <w:szCs w:val="32"/>
        </w:rPr>
        <w:t>持平。</w:t>
      </w:r>
    </w:p>
    <w:p w:rsidR="00281425" w:rsidRDefault="008E4780" w:rsidP="00281425">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经费财政拨款支出决算具体情况说明</w:t>
      </w:r>
    </w:p>
    <w:p w:rsidR="00281425" w:rsidRDefault="008E4780" w:rsidP="00281425">
      <w:pPr>
        <w:widowControl/>
        <w:spacing w:line="360" w:lineRule="auto"/>
        <w:ind w:firstLineChars="200" w:firstLine="641"/>
        <w:jc w:val="left"/>
        <w:rPr>
          <w:rFonts w:ascii="仿宋_GB2312" w:eastAsia="仿宋_GB2312" w:hAnsi="仿宋_GB2312" w:cs="仿宋_GB2312"/>
          <w:sz w:val="32"/>
          <w:szCs w:val="32"/>
        </w:rPr>
      </w:pPr>
      <w:r>
        <w:rPr>
          <w:rFonts w:ascii="Times New Roman" w:eastAsia="楷体_GB2312"/>
          <w:b/>
          <w:sz w:val="32"/>
          <w:szCs w:val="32"/>
        </w:rPr>
        <w:t>1.</w:t>
      </w:r>
      <w:r>
        <w:rPr>
          <w:rFonts w:ascii="Times New Roman" w:eastAsia="楷体_GB2312"/>
          <w:b/>
          <w:sz w:val="32"/>
          <w:szCs w:val="32"/>
        </w:rPr>
        <w:t>因公出国（境）费支出情况。</w:t>
      </w:r>
      <w:r>
        <w:rPr>
          <w:rFonts w:ascii="仿宋_GB2312" w:eastAsia="仿宋_GB2312" w:hAnsi="仿宋_GB2312" w:cs="仿宋_GB2312" w:hint="eastAsia"/>
          <w:sz w:val="32"/>
          <w:szCs w:val="32"/>
        </w:rPr>
        <w:t>本单位</w:t>
      </w:r>
      <w:r>
        <w:rPr>
          <w:rFonts w:ascii="Times New Roman" w:eastAsia="仿宋_GB2312" w:hAnsi="Times New Roman" w:cs="Times New Roman"/>
          <w:sz w:val="32"/>
          <w:szCs w:val="32"/>
        </w:rPr>
        <w:t>2024</w:t>
      </w:r>
      <w:r>
        <w:rPr>
          <w:rFonts w:ascii="仿宋_GB2312" w:eastAsia="仿宋_GB2312" w:hAnsi="仿宋_GB2312" w:cs="仿宋_GB2312" w:hint="eastAsia"/>
          <w:sz w:val="32"/>
          <w:szCs w:val="32"/>
        </w:rPr>
        <w:t>年度因公出国（境）费支出预算为</w:t>
      </w:r>
      <w:r>
        <w:rPr>
          <w:rFonts w:ascii="Times New Roman" w:eastAsia="仿宋_GB2312" w:hAnsi="Times New Roman" w:cs="Times New Roman"/>
          <w:sz w:val="32"/>
          <w:szCs w:val="32"/>
        </w:rPr>
        <w:t>0.00</w:t>
      </w:r>
      <w:r>
        <w:rPr>
          <w:rFonts w:ascii="仿宋_GB2312" w:eastAsia="仿宋_GB2312" w:hAnsi="仿宋_GB2312" w:cs="仿宋_GB2312" w:hint="eastAsia"/>
          <w:sz w:val="32"/>
          <w:szCs w:val="32"/>
        </w:rPr>
        <w:t>万元,支出决算</w:t>
      </w:r>
      <w:r>
        <w:rPr>
          <w:rFonts w:ascii="Times New Roman" w:eastAsia="仿宋_GB2312" w:hAnsi="Times New Roman" w:cs="Times New Roman"/>
          <w:sz w:val="32"/>
          <w:szCs w:val="32"/>
        </w:rPr>
        <w:t>0.00</w:t>
      </w:r>
      <w:r>
        <w:rPr>
          <w:rFonts w:ascii="仿宋_GB2312" w:eastAsia="仿宋_GB2312" w:hAnsi="仿宋_GB2312" w:cs="仿宋_GB2312" w:hint="eastAsia"/>
          <w:sz w:val="32"/>
          <w:szCs w:val="32"/>
        </w:rPr>
        <w:t>万元。</w:t>
      </w:r>
      <w:r>
        <w:rPr>
          <w:rFonts w:ascii="仿宋_GB2312" w:eastAsia="仿宋_GB2312" w:hAnsi="仿宋_GB2312" w:cs="仿宋_GB2312" w:hint="eastAsia"/>
          <w:kern w:val="2"/>
          <w:sz w:val="32"/>
          <w:szCs w:val="32"/>
        </w:rPr>
        <w:t>因公出国（境）费支出与预算持平，与上年持平</w:t>
      </w:r>
      <w:r>
        <w:rPr>
          <w:rFonts w:ascii="仿宋_GB2312" w:eastAsia="仿宋_GB2312" w:hAnsi="仿宋_GB2312" w:cs="仿宋_GB2312" w:hint="eastAsia"/>
          <w:sz w:val="32"/>
          <w:szCs w:val="32"/>
        </w:rPr>
        <w:t>。因公出国（境）团组</w:t>
      </w:r>
      <w:r>
        <w:rPr>
          <w:rFonts w:ascii="Times New Roman" w:eastAsia="仿宋_GB2312" w:hAnsi="Times New Roman" w:cs="Times New Roman"/>
          <w:sz w:val="32"/>
          <w:szCs w:val="32"/>
        </w:rPr>
        <w:t>0</w:t>
      </w:r>
      <w:r>
        <w:rPr>
          <w:rFonts w:ascii="仿宋_GB2312" w:eastAsia="仿宋_GB2312" w:hAnsi="仿宋_GB2312" w:cs="仿宋_GB2312" w:hint="eastAsia"/>
          <w:sz w:val="32"/>
          <w:szCs w:val="32"/>
        </w:rPr>
        <w:t>个、共</w:t>
      </w:r>
      <w:r>
        <w:rPr>
          <w:rFonts w:ascii="Times New Roman" w:eastAsia="仿宋_GB2312" w:hAnsi="Times New Roman" w:cs="Times New Roman"/>
          <w:sz w:val="32"/>
          <w:szCs w:val="32"/>
        </w:rPr>
        <w:t>0</w:t>
      </w:r>
      <w:r>
        <w:rPr>
          <w:rFonts w:ascii="仿宋_GB2312" w:eastAsia="仿宋_GB2312" w:hAnsi="仿宋_GB2312" w:cs="仿宋_GB2312" w:hint="eastAsia"/>
          <w:sz w:val="32"/>
          <w:szCs w:val="32"/>
        </w:rPr>
        <w:t>人、参加其他单位组织的因公出国（境）团组</w:t>
      </w:r>
      <w:r>
        <w:rPr>
          <w:rFonts w:ascii="Times New Roman" w:eastAsia="仿宋_GB2312" w:hAnsi="Times New Roman" w:cs="Times New Roman"/>
          <w:sz w:val="32"/>
          <w:szCs w:val="32"/>
        </w:rPr>
        <w:t>0</w:t>
      </w:r>
      <w:r>
        <w:rPr>
          <w:rFonts w:ascii="仿宋_GB2312" w:eastAsia="仿宋_GB2312" w:hAnsi="仿宋_GB2312" w:cs="仿宋_GB2312" w:hint="eastAsia"/>
          <w:sz w:val="32"/>
          <w:szCs w:val="32"/>
        </w:rPr>
        <w:t>个、共</w:t>
      </w:r>
      <w:r>
        <w:rPr>
          <w:rFonts w:ascii="Times New Roman" w:eastAsia="仿宋_GB2312" w:hAnsi="Times New Roman" w:cs="Times New Roman"/>
          <w:sz w:val="32"/>
          <w:szCs w:val="32"/>
        </w:rPr>
        <w:t>0</w:t>
      </w:r>
      <w:r>
        <w:rPr>
          <w:rFonts w:ascii="仿宋_GB2312" w:eastAsia="仿宋_GB2312" w:hAnsi="仿宋_GB2312" w:cs="仿宋_GB2312" w:hint="eastAsia"/>
          <w:sz w:val="32"/>
          <w:szCs w:val="32"/>
        </w:rPr>
        <w:t>人/无本部门组织的出国（境）团组。</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2.</w:t>
      </w:r>
      <w:r>
        <w:rPr>
          <w:rFonts w:ascii="Times New Roman" w:eastAsia="楷体_GB2312"/>
          <w:b/>
          <w:sz w:val="32"/>
          <w:szCs w:val="32"/>
        </w:rPr>
        <w:t>公务用车购置及运行维护费支出情况。</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年度公务用车购置及运行维护费预算为</w:t>
      </w:r>
      <w:r>
        <w:rPr>
          <w:rFonts w:ascii="Times New Roman" w:eastAsia="仿宋_GB2312"/>
          <w:sz w:val="32"/>
          <w:szCs w:val="32"/>
        </w:rPr>
        <w:t>0.00</w:t>
      </w:r>
      <w:r>
        <w:rPr>
          <w:rFonts w:ascii="Times New Roman" w:eastAsia="仿宋_GB2312"/>
          <w:sz w:val="32"/>
          <w:szCs w:val="32"/>
        </w:rPr>
        <w:t>万元，支出决算</w:t>
      </w:r>
      <w:r>
        <w:rPr>
          <w:rFonts w:ascii="Times New Roman" w:eastAsia="仿宋_GB2312"/>
          <w:sz w:val="32"/>
          <w:szCs w:val="32"/>
        </w:rPr>
        <w:t>0.00</w:t>
      </w:r>
      <w:r>
        <w:rPr>
          <w:rFonts w:ascii="Times New Roman" w:eastAsia="仿宋_GB2312"/>
          <w:sz w:val="32"/>
          <w:szCs w:val="32"/>
        </w:rPr>
        <w:t>万元，</w:t>
      </w:r>
      <w:r>
        <w:rPr>
          <w:rFonts w:ascii="仿宋_GB2312" w:eastAsia="仿宋_GB2312" w:hAnsi="仿宋_GB2312" w:cs="仿宋_GB2312" w:hint="eastAsia"/>
          <w:kern w:val="2"/>
          <w:sz w:val="32"/>
          <w:szCs w:val="32"/>
          <w:lang w:val="zh-CN"/>
        </w:rPr>
        <w:t>公务用车购置及运行维护费支出与预算持平，与上年持</w:t>
      </w:r>
      <w:r>
        <w:rPr>
          <w:rFonts w:ascii="仿宋_GB2312" w:eastAsia="仿宋_GB2312" w:hAnsi="仿宋_GB2312" w:cs="仿宋_GB2312" w:hint="eastAsia"/>
          <w:kern w:val="2"/>
          <w:sz w:val="32"/>
          <w:szCs w:val="32"/>
        </w:rPr>
        <w:t>平</w:t>
      </w:r>
      <w:r>
        <w:rPr>
          <w:rFonts w:ascii="Times New Roman" w:eastAsia="仿宋_GB2312"/>
          <w:sz w:val="32"/>
          <w:szCs w:val="32"/>
        </w:rPr>
        <w:t>。其中：</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lastRenderedPageBreak/>
        <w:t>公务用车购置费支出</w:t>
      </w:r>
      <w:r>
        <w:rPr>
          <w:rFonts w:ascii="Times New Roman" w:eastAsia="仿宋_GB2312"/>
          <w:b/>
          <w:sz w:val="32"/>
          <w:szCs w:val="32"/>
        </w:rPr>
        <w:t>0.00</w:t>
      </w:r>
      <w:r>
        <w:rPr>
          <w:rFonts w:ascii="Times New Roman" w:eastAsia="仿宋_GB2312"/>
          <w:b/>
          <w:sz w:val="32"/>
          <w:szCs w:val="32"/>
        </w:rPr>
        <w:t>万元：</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年度公务用车购置量</w:t>
      </w:r>
      <w:r>
        <w:rPr>
          <w:rFonts w:ascii="Times New Roman" w:eastAsia="仿宋_GB2312"/>
          <w:sz w:val="32"/>
          <w:szCs w:val="32"/>
        </w:rPr>
        <w:t>0</w:t>
      </w:r>
      <w:r>
        <w:rPr>
          <w:rFonts w:ascii="Times New Roman" w:eastAsia="仿宋_GB2312"/>
          <w:sz w:val="32"/>
          <w:szCs w:val="32"/>
        </w:rPr>
        <w:t>辆，发生</w:t>
      </w:r>
      <w:r>
        <w:rPr>
          <w:rFonts w:ascii="Times New Roman" w:eastAsia="仿宋_GB2312"/>
          <w:sz w:val="32"/>
          <w:szCs w:val="32"/>
        </w:rPr>
        <w:t>“</w:t>
      </w:r>
      <w:r>
        <w:rPr>
          <w:rFonts w:ascii="Times New Roman" w:eastAsia="仿宋_GB2312"/>
          <w:sz w:val="32"/>
          <w:szCs w:val="32"/>
        </w:rPr>
        <w:t>公务用车购置</w:t>
      </w:r>
      <w:r>
        <w:rPr>
          <w:rFonts w:ascii="Times New Roman" w:eastAsia="仿宋_GB2312"/>
          <w:sz w:val="32"/>
          <w:szCs w:val="32"/>
        </w:rPr>
        <w:t>”</w:t>
      </w:r>
      <w:r>
        <w:rPr>
          <w:rFonts w:ascii="Times New Roman" w:eastAsia="仿宋_GB2312"/>
          <w:sz w:val="32"/>
          <w:szCs w:val="32"/>
        </w:rPr>
        <w:t>经费支出</w:t>
      </w:r>
      <w:r>
        <w:rPr>
          <w:rFonts w:ascii="Times New Roman" w:eastAsia="仿宋_GB2312"/>
          <w:sz w:val="32"/>
          <w:szCs w:val="32"/>
        </w:rPr>
        <w:t>0.00</w:t>
      </w:r>
      <w:r>
        <w:rPr>
          <w:rFonts w:ascii="Times New Roman" w:eastAsia="仿宋_GB2312"/>
          <w:sz w:val="32"/>
          <w:szCs w:val="32"/>
        </w:rPr>
        <w:t>万元。</w:t>
      </w:r>
      <w:r>
        <w:rPr>
          <w:rFonts w:ascii="仿宋_GB2312" w:eastAsia="仿宋_GB2312" w:hAnsi="仿宋_GB2312" w:cs="仿宋_GB2312" w:hint="eastAsia"/>
          <w:kern w:val="2"/>
          <w:sz w:val="32"/>
          <w:szCs w:val="32"/>
          <w:lang w:val="zh-CN"/>
        </w:rPr>
        <w:t>公务用车购置费支出与预算持平，与上年持平</w:t>
      </w:r>
      <w:r>
        <w:rPr>
          <w:rFonts w:ascii="Times New Roman" w:eastAsia="仿宋_GB2312"/>
          <w:sz w:val="32"/>
          <w:szCs w:val="32"/>
        </w:rPr>
        <w:t>。</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公务用车运行维护费支出</w:t>
      </w:r>
      <w:r>
        <w:rPr>
          <w:rFonts w:ascii="Times New Roman" w:eastAsia="仿宋_GB2312"/>
          <w:b/>
          <w:sz w:val="32"/>
          <w:szCs w:val="32"/>
        </w:rPr>
        <w:t>0.00</w:t>
      </w:r>
      <w:r>
        <w:rPr>
          <w:rFonts w:ascii="Times New Roman" w:eastAsia="仿宋_GB2312"/>
          <w:b/>
          <w:sz w:val="32"/>
          <w:szCs w:val="32"/>
        </w:rPr>
        <w:t>万元：</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年度单位公务用车保有量</w:t>
      </w:r>
      <w:r>
        <w:rPr>
          <w:rFonts w:ascii="Times New Roman" w:eastAsia="仿宋_GB2312"/>
          <w:sz w:val="32"/>
          <w:szCs w:val="32"/>
        </w:rPr>
        <w:t>0</w:t>
      </w:r>
      <w:r>
        <w:rPr>
          <w:rFonts w:ascii="Times New Roman" w:eastAsia="仿宋_GB2312"/>
          <w:sz w:val="32"/>
          <w:szCs w:val="32"/>
        </w:rPr>
        <w:t>辆，发生运行维护费支出</w:t>
      </w:r>
      <w:r>
        <w:rPr>
          <w:rFonts w:ascii="Times New Roman" w:eastAsia="仿宋_GB2312"/>
          <w:sz w:val="32"/>
          <w:szCs w:val="32"/>
        </w:rPr>
        <w:t>0.00</w:t>
      </w:r>
      <w:r>
        <w:rPr>
          <w:rFonts w:ascii="Times New Roman" w:eastAsia="仿宋_GB2312"/>
          <w:sz w:val="32"/>
          <w:szCs w:val="32"/>
        </w:rPr>
        <w:t>万元。</w:t>
      </w:r>
      <w:r>
        <w:rPr>
          <w:rFonts w:ascii="仿宋_GB2312" w:eastAsia="仿宋_GB2312" w:hAnsi="仿宋_GB2312" w:cs="仿宋_GB2312" w:hint="eastAsia"/>
          <w:kern w:val="2"/>
          <w:sz w:val="32"/>
          <w:szCs w:val="32"/>
          <w:lang w:val="zh-CN"/>
        </w:rPr>
        <w:t>公车运行维护费支出与预算持平，与上年持平</w:t>
      </w:r>
      <w:r>
        <w:rPr>
          <w:rFonts w:ascii="Times New Roman" w:eastAsia="仿宋_GB2312"/>
          <w:sz w:val="32"/>
          <w:szCs w:val="32"/>
        </w:rPr>
        <w:t>。</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3.</w:t>
      </w:r>
      <w:r>
        <w:rPr>
          <w:rFonts w:ascii="Times New Roman" w:eastAsia="楷体_GB2312"/>
          <w:b/>
          <w:sz w:val="32"/>
          <w:szCs w:val="32"/>
        </w:rPr>
        <w:t>公务接待费支出情况。</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年度公务接待费支出预算为</w:t>
      </w:r>
      <w:r>
        <w:rPr>
          <w:rFonts w:ascii="Times New Roman" w:eastAsia="仿宋_GB2312"/>
          <w:sz w:val="32"/>
          <w:szCs w:val="32"/>
        </w:rPr>
        <w:t>0.00</w:t>
      </w:r>
      <w:r>
        <w:rPr>
          <w:rFonts w:ascii="Times New Roman" w:eastAsia="仿宋_GB2312"/>
          <w:sz w:val="32"/>
          <w:szCs w:val="32"/>
        </w:rPr>
        <w:t>万元，支出决算</w:t>
      </w:r>
      <w:r>
        <w:rPr>
          <w:rFonts w:ascii="Times New Roman" w:eastAsia="仿宋_GB2312"/>
          <w:sz w:val="32"/>
          <w:szCs w:val="32"/>
        </w:rPr>
        <w:t>0.00</w:t>
      </w:r>
      <w:r>
        <w:rPr>
          <w:rFonts w:ascii="Times New Roman" w:eastAsia="仿宋_GB2312"/>
          <w:sz w:val="32"/>
          <w:szCs w:val="32"/>
        </w:rPr>
        <w:t>万元</w:t>
      </w:r>
      <w:r>
        <w:rPr>
          <w:rFonts w:ascii="Times New Roman" w:eastAsia="仿宋_GB2312" w:hint="eastAsia"/>
          <w:sz w:val="32"/>
          <w:szCs w:val="32"/>
        </w:rPr>
        <w:t>。</w:t>
      </w:r>
      <w:r>
        <w:rPr>
          <w:rFonts w:ascii="仿宋_GB2312" w:eastAsia="仿宋_GB2312" w:hAnsi="仿宋_GB2312" w:cs="仿宋_GB2312" w:hint="eastAsia"/>
          <w:kern w:val="2"/>
          <w:sz w:val="32"/>
          <w:szCs w:val="32"/>
          <w:lang w:val="zh-CN"/>
        </w:rPr>
        <w:t>公务接待费支出与预算持平</w:t>
      </w:r>
      <w:r>
        <w:rPr>
          <w:rFonts w:ascii="仿宋" w:eastAsia="仿宋" w:hAnsi="仿宋" w:cs="Times New Roman"/>
          <w:kern w:val="2"/>
          <w:sz w:val="32"/>
          <w:szCs w:val="32"/>
          <w:lang w:val="zh-CN"/>
        </w:rPr>
        <w:t>，与上年持平</w:t>
      </w:r>
      <w:r>
        <w:rPr>
          <w:rFonts w:ascii="Times New Roman" w:eastAsia="仿宋_GB2312"/>
          <w:sz w:val="32"/>
          <w:szCs w:val="32"/>
        </w:rPr>
        <w:t>。本年度共发生公务接待</w:t>
      </w:r>
      <w:r>
        <w:rPr>
          <w:rFonts w:ascii="Times New Roman" w:eastAsia="仿宋_GB2312"/>
          <w:sz w:val="32"/>
          <w:szCs w:val="32"/>
        </w:rPr>
        <w:t>0</w:t>
      </w:r>
      <w:r>
        <w:rPr>
          <w:rFonts w:ascii="Times New Roman" w:eastAsia="仿宋_GB2312"/>
          <w:sz w:val="32"/>
          <w:szCs w:val="32"/>
        </w:rPr>
        <w:t>批次、</w:t>
      </w:r>
      <w:r>
        <w:rPr>
          <w:rFonts w:ascii="Times New Roman" w:eastAsia="仿宋_GB2312"/>
          <w:sz w:val="32"/>
          <w:szCs w:val="32"/>
        </w:rPr>
        <w:t>0</w:t>
      </w:r>
      <w:r>
        <w:rPr>
          <w:rFonts w:ascii="Times New Roman" w:eastAsia="仿宋_GB2312"/>
          <w:sz w:val="32"/>
          <w:szCs w:val="32"/>
        </w:rPr>
        <w:t>人次。</w:t>
      </w:r>
    </w:p>
    <w:p w:rsidR="00281425" w:rsidRDefault="008E4780">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六、机关运行经费支出说明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年度机关运行经费支出</w:t>
      </w:r>
      <w:r>
        <w:rPr>
          <w:rFonts w:ascii="Times New Roman" w:eastAsia="仿宋_GB2312"/>
          <w:sz w:val="32"/>
          <w:szCs w:val="32"/>
        </w:rPr>
        <w:t>0.00</w:t>
      </w:r>
      <w:r>
        <w:rPr>
          <w:rFonts w:ascii="Times New Roman" w:eastAsia="仿宋_GB2312"/>
          <w:sz w:val="32"/>
          <w:szCs w:val="32"/>
        </w:rPr>
        <w:t>万元，</w:t>
      </w:r>
      <w:r>
        <w:rPr>
          <w:rFonts w:ascii="Times New Roman" w:eastAsia="仿宋_GB2312" w:hint="eastAsia"/>
          <w:sz w:val="32"/>
          <w:szCs w:val="32"/>
        </w:rPr>
        <w:t>与</w:t>
      </w:r>
      <w:r>
        <w:rPr>
          <w:rFonts w:ascii="Times New Roman" w:eastAsia="仿宋_GB2312"/>
          <w:sz w:val="32"/>
          <w:szCs w:val="32"/>
        </w:rPr>
        <w:t>2023</w:t>
      </w:r>
      <w:r>
        <w:rPr>
          <w:rFonts w:ascii="Times New Roman" w:eastAsia="仿宋_GB2312"/>
          <w:sz w:val="32"/>
          <w:szCs w:val="32"/>
        </w:rPr>
        <w:t>年度</w:t>
      </w:r>
      <w:r>
        <w:rPr>
          <w:rFonts w:ascii="Times New Roman" w:eastAsia="仿宋_GB2312" w:hint="eastAsia"/>
          <w:sz w:val="32"/>
          <w:szCs w:val="32"/>
        </w:rPr>
        <w:t>持平</w:t>
      </w:r>
      <w:r>
        <w:rPr>
          <w:rFonts w:ascii="Times New Roman" w:eastAsia="仿宋_GB2312"/>
          <w:sz w:val="32"/>
          <w:szCs w:val="32"/>
        </w:rPr>
        <w:t>。</w:t>
      </w:r>
    </w:p>
    <w:p w:rsidR="00281425" w:rsidRDefault="008E4780">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七、政府采购支出说明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年度政府采购支出总额</w:t>
      </w:r>
      <w:r>
        <w:rPr>
          <w:rFonts w:ascii="Times New Roman" w:eastAsia="仿宋_GB2312"/>
          <w:sz w:val="32"/>
          <w:szCs w:val="32"/>
        </w:rPr>
        <w:t>0.00</w:t>
      </w:r>
      <w:r>
        <w:rPr>
          <w:rFonts w:ascii="Times New Roman" w:eastAsia="仿宋_GB2312"/>
          <w:sz w:val="32"/>
          <w:szCs w:val="32"/>
        </w:rPr>
        <w:t>万元，从采购类型来看，政府采购货物支出</w:t>
      </w:r>
      <w:r>
        <w:rPr>
          <w:rFonts w:ascii="Times New Roman" w:eastAsia="仿宋_GB2312"/>
          <w:sz w:val="32"/>
          <w:szCs w:val="32"/>
        </w:rPr>
        <w:t>0.00</w:t>
      </w:r>
      <w:r>
        <w:rPr>
          <w:rFonts w:ascii="Times New Roman" w:eastAsia="仿宋_GB2312"/>
          <w:sz w:val="32"/>
          <w:szCs w:val="32"/>
        </w:rPr>
        <w:t>万元、政府采购工程支出</w:t>
      </w:r>
      <w:r>
        <w:rPr>
          <w:rFonts w:ascii="Times New Roman" w:eastAsia="仿宋_GB2312"/>
          <w:sz w:val="32"/>
          <w:szCs w:val="32"/>
        </w:rPr>
        <w:t>0.00</w:t>
      </w:r>
      <w:r>
        <w:rPr>
          <w:rFonts w:ascii="Times New Roman" w:eastAsia="仿宋_GB2312"/>
          <w:sz w:val="32"/>
          <w:szCs w:val="32"/>
        </w:rPr>
        <w:t>万元、政府采购服务支出</w:t>
      </w:r>
      <w:r>
        <w:rPr>
          <w:rFonts w:ascii="Times New Roman" w:eastAsia="仿宋_GB2312"/>
          <w:sz w:val="32"/>
          <w:szCs w:val="32"/>
        </w:rPr>
        <w:t>0.00</w:t>
      </w:r>
      <w:r>
        <w:rPr>
          <w:rFonts w:ascii="Times New Roman" w:eastAsia="仿宋_GB2312"/>
          <w:sz w:val="32"/>
          <w:szCs w:val="32"/>
        </w:rPr>
        <w:t>万元。授予中小企业合同金额</w:t>
      </w:r>
      <w:r>
        <w:rPr>
          <w:rFonts w:ascii="Times New Roman" w:eastAsia="仿宋_GB2312"/>
          <w:sz w:val="32"/>
          <w:szCs w:val="32"/>
        </w:rPr>
        <w:t>0.00</w:t>
      </w:r>
      <w:r>
        <w:rPr>
          <w:rFonts w:ascii="Times New Roman" w:eastAsia="仿宋_GB2312"/>
          <w:sz w:val="32"/>
          <w:szCs w:val="32"/>
        </w:rPr>
        <w:t>万元，占政府采购支出总额的</w:t>
      </w:r>
      <w:r>
        <w:rPr>
          <w:rFonts w:ascii="Times New Roman" w:eastAsia="仿宋_GB2312"/>
          <w:sz w:val="32"/>
          <w:szCs w:val="32"/>
        </w:rPr>
        <w:t>0.0%</w:t>
      </w:r>
      <w:r>
        <w:rPr>
          <w:rFonts w:ascii="Times New Roman" w:eastAsia="仿宋_GB2312"/>
          <w:sz w:val="32"/>
          <w:szCs w:val="32"/>
        </w:rPr>
        <w:t>，其中授予小微企业合同金额</w:t>
      </w:r>
      <w:r>
        <w:rPr>
          <w:rFonts w:ascii="Times New Roman" w:eastAsia="仿宋_GB2312"/>
          <w:sz w:val="32"/>
          <w:szCs w:val="32"/>
        </w:rPr>
        <w:t>0.00</w:t>
      </w:r>
      <w:r>
        <w:rPr>
          <w:rFonts w:ascii="Times New Roman" w:eastAsia="仿宋_GB2312"/>
          <w:sz w:val="32"/>
          <w:szCs w:val="32"/>
        </w:rPr>
        <w:t>万元，占政府采购支出总额的</w:t>
      </w:r>
      <w:r>
        <w:rPr>
          <w:rFonts w:ascii="Times New Roman" w:eastAsia="仿宋_GB2312"/>
          <w:sz w:val="32"/>
          <w:szCs w:val="32"/>
        </w:rPr>
        <w:t>0.0%</w:t>
      </w:r>
      <w:r>
        <w:rPr>
          <w:rFonts w:ascii="Times New Roman" w:eastAsia="仿宋_GB2312"/>
          <w:sz w:val="32"/>
          <w:szCs w:val="32"/>
        </w:rPr>
        <w:t>。</w:t>
      </w:r>
    </w:p>
    <w:p w:rsidR="00281425" w:rsidRDefault="008E4780">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八、国有资产占用情况说明</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截至</w:t>
      </w:r>
      <w:r>
        <w:rPr>
          <w:rFonts w:ascii="Times New Roman" w:eastAsia="仿宋_GB2312"/>
          <w:sz w:val="32"/>
          <w:szCs w:val="32"/>
        </w:rPr>
        <w:t>2024</w:t>
      </w:r>
      <w:r>
        <w:rPr>
          <w:rFonts w:ascii="Times New Roman" w:eastAsia="仿宋_GB2312"/>
          <w:sz w:val="32"/>
          <w:szCs w:val="32"/>
        </w:rPr>
        <w:t>年</w:t>
      </w:r>
      <w:r>
        <w:rPr>
          <w:rFonts w:ascii="Times New Roman" w:eastAsia="仿宋_GB2312"/>
          <w:sz w:val="32"/>
          <w:szCs w:val="32"/>
        </w:rPr>
        <w:t>12</w:t>
      </w:r>
      <w:r>
        <w:rPr>
          <w:rFonts w:ascii="Times New Roman" w:eastAsia="仿宋_GB2312"/>
          <w:sz w:val="32"/>
          <w:szCs w:val="32"/>
        </w:rPr>
        <w:t>月</w:t>
      </w:r>
      <w:r>
        <w:rPr>
          <w:rFonts w:ascii="Times New Roman" w:eastAsia="仿宋_GB2312"/>
          <w:sz w:val="32"/>
          <w:szCs w:val="32"/>
        </w:rPr>
        <w:t>31</w:t>
      </w:r>
      <w:r>
        <w:rPr>
          <w:rFonts w:ascii="Times New Roman" w:eastAsia="仿宋_GB2312"/>
          <w:sz w:val="32"/>
          <w:szCs w:val="32"/>
        </w:rPr>
        <w:t>日，本单位共有车辆</w:t>
      </w:r>
      <w:r>
        <w:rPr>
          <w:rFonts w:ascii="Times New Roman" w:eastAsia="仿宋_GB2312"/>
          <w:sz w:val="32"/>
          <w:szCs w:val="32"/>
        </w:rPr>
        <w:t>0</w:t>
      </w:r>
      <w:r>
        <w:rPr>
          <w:rFonts w:ascii="Times New Roman" w:eastAsia="仿宋_GB2312"/>
          <w:sz w:val="32"/>
          <w:szCs w:val="32"/>
        </w:rPr>
        <w:t>辆，</w:t>
      </w:r>
      <w:r>
        <w:rPr>
          <w:rFonts w:ascii="Times New Roman" w:eastAsia="仿宋_GB2312" w:hint="eastAsia"/>
          <w:sz w:val="32"/>
          <w:szCs w:val="32"/>
        </w:rPr>
        <w:t>与上年持平</w:t>
      </w:r>
      <w:r>
        <w:rPr>
          <w:rFonts w:ascii="Times New Roman" w:eastAsia="仿宋_GB2312"/>
          <w:sz w:val="32"/>
          <w:szCs w:val="32"/>
        </w:rPr>
        <w:t>，主要是。其中，副部（省）级及以上领导用车</w:t>
      </w:r>
      <w:r>
        <w:rPr>
          <w:rFonts w:ascii="Times New Roman" w:eastAsia="仿宋_GB2312"/>
          <w:sz w:val="32"/>
          <w:szCs w:val="32"/>
        </w:rPr>
        <w:t>0</w:t>
      </w:r>
      <w:r>
        <w:rPr>
          <w:rFonts w:ascii="Times New Roman" w:eastAsia="仿宋_GB2312"/>
          <w:sz w:val="32"/>
          <w:szCs w:val="32"/>
        </w:rPr>
        <w:t>辆，主要负责人用车</w:t>
      </w:r>
      <w:r>
        <w:rPr>
          <w:rFonts w:ascii="Times New Roman" w:eastAsia="仿宋_GB2312"/>
          <w:sz w:val="32"/>
          <w:szCs w:val="32"/>
        </w:rPr>
        <w:t>0</w:t>
      </w:r>
      <w:r>
        <w:rPr>
          <w:rFonts w:ascii="Times New Roman" w:eastAsia="仿宋_GB2312"/>
          <w:sz w:val="32"/>
          <w:szCs w:val="32"/>
        </w:rPr>
        <w:t>辆，机要通信用车</w:t>
      </w:r>
      <w:r>
        <w:rPr>
          <w:rFonts w:ascii="Times New Roman" w:eastAsia="仿宋_GB2312"/>
          <w:sz w:val="32"/>
          <w:szCs w:val="32"/>
        </w:rPr>
        <w:t>0</w:t>
      </w:r>
      <w:r>
        <w:rPr>
          <w:rFonts w:ascii="Times New Roman" w:eastAsia="仿宋_GB2312"/>
          <w:sz w:val="32"/>
          <w:szCs w:val="32"/>
        </w:rPr>
        <w:t>辆，应急保障用车</w:t>
      </w:r>
      <w:r>
        <w:rPr>
          <w:rFonts w:ascii="Times New Roman" w:eastAsia="仿宋_GB2312"/>
          <w:sz w:val="32"/>
          <w:szCs w:val="32"/>
        </w:rPr>
        <w:t>0</w:t>
      </w:r>
      <w:r>
        <w:rPr>
          <w:rFonts w:ascii="Times New Roman" w:eastAsia="仿宋_GB2312"/>
          <w:sz w:val="32"/>
          <w:szCs w:val="32"/>
        </w:rPr>
        <w:t>辆，执法执勤用车</w:t>
      </w:r>
      <w:r>
        <w:rPr>
          <w:rFonts w:ascii="Times New Roman" w:eastAsia="仿宋_GB2312"/>
          <w:sz w:val="32"/>
          <w:szCs w:val="32"/>
        </w:rPr>
        <w:t>0</w:t>
      </w:r>
      <w:r>
        <w:rPr>
          <w:rFonts w:ascii="Times New Roman" w:eastAsia="仿宋_GB2312"/>
          <w:sz w:val="32"/>
          <w:szCs w:val="32"/>
        </w:rPr>
        <w:t>辆，特种专业技术用车</w:t>
      </w:r>
      <w:r>
        <w:rPr>
          <w:rFonts w:ascii="Times New Roman" w:eastAsia="仿宋_GB2312"/>
          <w:sz w:val="32"/>
          <w:szCs w:val="32"/>
        </w:rPr>
        <w:t>0</w:t>
      </w:r>
      <w:r>
        <w:rPr>
          <w:rFonts w:ascii="Times New Roman" w:eastAsia="仿宋_GB2312"/>
          <w:sz w:val="32"/>
          <w:szCs w:val="32"/>
        </w:rPr>
        <w:t>辆，离退休干部用车</w:t>
      </w:r>
      <w:r>
        <w:rPr>
          <w:rFonts w:ascii="Times New Roman" w:eastAsia="仿宋_GB2312"/>
          <w:sz w:val="32"/>
          <w:szCs w:val="32"/>
        </w:rPr>
        <w:t>0</w:t>
      </w:r>
      <w:r>
        <w:rPr>
          <w:rFonts w:ascii="Times New Roman" w:eastAsia="仿宋_GB2312"/>
          <w:sz w:val="32"/>
          <w:szCs w:val="32"/>
        </w:rPr>
        <w:t>辆，其他用车</w:t>
      </w:r>
      <w:r>
        <w:rPr>
          <w:rFonts w:ascii="Times New Roman" w:eastAsia="仿宋_GB2312"/>
          <w:sz w:val="32"/>
          <w:szCs w:val="32"/>
        </w:rPr>
        <w:t>0</w:t>
      </w:r>
      <w:r>
        <w:rPr>
          <w:rFonts w:ascii="Times New Roman" w:eastAsia="仿宋_GB2312"/>
          <w:sz w:val="32"/>
          <w:szCs w:val="32"/>
        </w:rPr>
        <w:t>辆。单位价值</w:t>
      </w:r>
      <w:r>
        <w:rPr>
          <w:rFonts w:ascii="Times New Roman" w:eastAsia="仿宋_GB2312"/>
          <w:sz w:val="32"/>
          <w:szCs w:val="32"/>
        </w:rPr>
        <w:t>100</w:t>
      </w:r>
      <w:r>
        <w:rPr>
          <w:rFonts w:ascii="Times New Roman" w:eastAsia="仿宋_GB2312"/>
          <w:sz w:val="32"/>
          <w:szCs w:val="32"/>
        </w:rPr>
        <w:t>万元（含）以上设备（不含车辆）</w:t>
      </w:r>
      <w:r>
        <w:rPr>
          <w:rFonts w:ascii="Times New Roman" w:eastAsia="仿宋_GB2312"/>
          <w:sz w:val="32"/>
          <w:szCs w:val="32"/>
        </w:rPr>
        <w:t>0</w:t>
      </w:r>
      <w:r>
        <w:rPr>
          <w:rFonts w:ascii="Times New Roman" w:eastAsia="仿宋_GB2312"/>
          <w:sz w:val="32"/>
          <w:szCs w:val="32"/>
        </w:rPr>
        <w:t>台（套）。</w:t>
      </w:r>
    </w:p>
    <w:p w:rsidR="00281425" w:rsidRPr="00057386" w:rsidRDefault="008E4780">
      <w:pPr>
        <w:widowControl/>
        <w:spacing w:line="360" w:lineRule="auto"/>
        <w:ind w:firstLineChars="200" w:firstLine="640"/>
        <w:jc w:val="left"/>
        <w:outlineLvl w:val="1"/>
        <w:rPr>
          <w:rFonts w:ascii="Times New Roman" w:eastAsia="黑体"/>
          <w:sz w:val="32"/>
          <w:szCs w:val="32"/>
        </w:rPr>
      </w:pPr>
      <w:r w:rsidRPr="00057386">
        <w:rPr>
          <w:rFonts w:ascii="Times New Roman" w:eastAsia="黑体"/>
          <w:sz w:val="32"/>
          <w:szCs w:val="32"/>
        </w:rPr>
        <w:t>九、关于</w:t>
      </w:r>
      <w:r w:rsidRPr="00057386">
        <w:rPr>
          <w:rFonts w:ascii="Times New Roman" w:eastAsia="黑体"/>
          <w:sz w:val="32"/>
          <w:szCs w:val="32"/>
        </w:rPr>
        <w:t>2024</w:t>
      </w:r>
      <w:r w:rsidRPr="00057386">
        <w:rPr>
          <w:rFonts w:ascii="Times New Roman" w:eastAsia="黑体"/>
          <w:sz w:val="32"/>
          <w:szCs w:val="32"/>
        </w:rPr>
        <w:t>年度绩效评价情况的说明</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（一）绩效评价工作开展情况</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根据预算绩效管理要求，本单位组织对</w:t>
      </w:r>
      <w:r>
        <w:rPr>
          <w:rFonts w:ascii="Times New Roman" w:eastAsia="仿宋_GB2312"/>
          <w:sz w:val="32"/>
          <w:szCs w:val="32"/>
        </w:rPr>
        <w:t>2024</w:t>
      </w:r>
      <w:r>
        <w:rPr>
          <w:rFonts w:ascii="Times New Roman" w:eastAsia="仿宋_GB2312"/>
          <w:sz w:val="32"/>
          <w:szCs w:val="32"/>
        </w:rPr>
        <w:t>年度本级预算项目支出全面开展绩效自评，共涉及资金</w:t>
      </w:r>
      <w:r w:rsidR="00A80429">
        <w:rPr>
          <w:rFonts w:ascii="Times New Roman" w:eastAsia="仿宋_GB2312" w:hint="eastAsia"/>
          <w:sz w:val="32"/>
          <w:szCs w:val="32"/>
        </w:rPr>
        <w:t>15</w:t>
      </w:r>
      <w:r>
        <w:rPr>
          <w:rFonts w:ascii="Times New Roman" w:eastAsia="仿宋_GB2312"/>
          <w:sz w:val="32"/>
          <w:szCs w:val="32"/>
        </w:rPr>
        <w:t>万元（决算金额）。其中，一般公共预算项目</w:t>
      </w:r>
      <w:r w:rsidR="00A80429">
        <w:rPr>
          <w:rFonts w:ascii="宋体" w:eastAsia="宋体" w:hAnsi="宋体" w:hint="eastAsia"/>
          <w:sz w:val="32"/>
          <w:szCs w:val="32"/>
        </w:rPr>
        <w:t>0</w:t>
      </w:r>
      <w:r>
        <w:rPr>
          <w:rFonts w:ascii="Times New Roman" w:eastAsia="仿宋_GB2312"/>
          <w:sz w:val="32"/>
          <w:szCs w:val="32"/>
        </w:rPr>
        <w:t>个，涉及资金</w:t>
      </w:r>
      <w:r w:rsidR="00A80429">
        <w:rPr>
          <w:rFonts w:ascii="宋体" w:eastAsia="宋体" w:hAnsi="宋体" w:hint="eastAsia"/>
          <w:sz w:val="32"/>
          <w:szCs w:val="32"/>
        </w:rPr>
        <w:t>0</w:t>
      </w:r>
      <w:r>
        <w:rPr>
          <w:rFonts w:ascii="Times New Roman" w:eastAsia="仿宋_GB2312"/>
          <w:sz w:val="32"/>
          <w:szCs w:val="32"/>
        </w:rPr>
        <w:t>万元，占一般公共预算项目支出总额的</w:t>
      </w:r>
      <w:r w:rsidR="00A80429">
        <w:rPr>
          <w:rFonts w:ascii="宋体" w:eastAsia="宋体" w:hAnsi="宋体" w:hint="eastAsia"/>
          <w:sz w:val="32"/>
          <w:szCs w:val="32"/>
        </w:rPr>
        <w:t>0</w:t>
      </w:r>
      <w:r>
        <w:rPr>
          <w:rFonts w:ascii="Times New Roman" w:eastAsia="仿宋_GB2312"/>
          <w:sz w:val="32"/>
          <w:szCs w:val="32"/>
        </w:rPr>
        <w:t>%</w:t>
      </w:r>
      <w:r>
        <w:rPr>
          <w:rFonts w:ascii="Times New Roman" w:eastAsia="仿宋_GB2312"/>
          <w:sz w:val="32"/>
          <w:szCs w:val="32"/>
        </w:rPr>
        <w:t>；政府性基金预算项目</w:t>
      </w:r>
      <w:r w:rsidR="00A80429">
        <w:rPr>
          <w:rFonts w:ascii="Times New Roman" w:eastAsia="仿宋_GB2312" w:hint="eastAsia"/>
          <w:sz w:val="32"/>
          <w:szCs w:val="32"/>
        </w:rPr>
        <w:t>1</w:t>
      </w:r>
      <w:r>
        <w:rPr>
          <w:rFonts w:ascii="Times New Roman" w:eastAsia="仿宋_GB2312"/>
          <w:sz w:val="32"/>
          <w:szCs w:val="32"/>
        </w:rPr>
        <w:t>个，涉及资金</w:t>
      </w:r>
      <w:r w:rsidR="00A80429">
        <w:rPr>
          <w:rFonts w:ascii="Times New Roman" w:eastAsia="仿宋_GB2312" w:hint="eastAsia"/>
          <w:sz w:val="32"/>
          <w:szCs w:val="32"/>
        </w:rPr>
        <w:t>15</w:t>
      </w:r>
      <w:r>
        <w:rPr>
          <w:rFonts w:ascii="Times New Roman" w:eastAsia="仿宋_GB2312"/>
          <w:sz w:val="32"/>
          <w:szCs w:val="32"/>
        </w:rPr>
        <w:t>万元，占政府性基金预算项目支出总额的</w:t>
      </w:r>
      <w:r w:rsidR="00A80429">
        <w:rPr>
          <w:rFonts w:ascii="Times New Roman" w:eastAsia="仿宋_GB2312" w:hint="eastAsia"/>
          <w:sz w:val="32"/>
          <w:szCs w:val="32"/>
        </w:rPr>
        <w:t>100</w:t>
      </w:r>
      <w:r>
        <w:rPr>
          <w:rFonts w:ascii="Times New Roman" w:eastAsia="仿宋_GB2312"/>
          <w:sz w:val="32"/>
          <w:szCs w:val="32"/>
        </w:rPr>
        <w:t>%</w:t>
      </w:r>
      <w:r>
        <w:rPr>
          <w:rFonts w:ascii="Times New Roman" w:eastAsia="仿宋_GB2312"/>
          <w:sz w:val="32"/>
          <w:szCs w:val="32"/>
        </w:rPr>
        <w:t>；国有资本经营预算项目</w:t>
      </w:r>
      <w:r w:rsidR="00A80429">
        <w:rPr>
          <w:rFonts w:ascii="宋体" w:eastAsia="宋体" w:hAnsi="宋体" w:hint="eastAsia"/>
          <w:sz w:val="32"/>
          <w:szCs w:val="32"/>
        </w:rPr>
        <w:t>0</w:t>
      </w:r>
      <w:r>
        <w:rPr>
          <w:rFonts w:ascii="Times New Roman" w:eastAsia="仿宋_GB2312"/>
          <w:sz w:val="32"/>
          <w:szCs w:val="32"/>
        </w:rPr>
        <w:t>个，涉及资金</w:t>
      </w:r>
      <w:r w:rsidR="00A80429">
        <w:rPr>
          <w:rFonts w:ascii="宋体" w:eastAsia="宋体" w:hAnsi="宋体" w:hint="eastAsia"/>
          <w:sz w:val="32"/>
          <w:szCs w:val="32"/>
        </w:rPr>
        <w:t>0</w:t>
      </w:r>
      <w:r>
        <w:rPr>
          <w:rFonts w:ascii="Times New Roman" w:eastAsia="仿宋_GB2312"/>
          <w:sz w:val="32"/>
          <w:szCs w:val="32"/>
        </w:rPr>
        <w:t>万元，占国有资本经营预算项目支出总额的</w:t>
      </w:r>
      <w:r w:rsidR="00A80429">
        <w:rPr>
          <w:rFonts w:ascii="宋体" w:eastAsia="宋体" w:hAnsi="宋体" w:hint="eastAsia"/>
          <w:sz w:val="32"/>
          <w:szCs w:val="32"/>
        </w:rPr>
        <w:t>0</w:t>
      </w:r>
      <w:r>
        <w:rPr>
          <w:rFonts w:ascii="Times New Roman" w:eastAsia="仿宋_GB2312"/>
          <w:sz w:val="32"/>
          <w:szCs w:val="32"/>
        </w:rPr>
        <w:t>%</w:t>
      </w:r>
      <w:r>
        <w:rPr>
          <w:rFonts w:ascii="Times New Roman" w:eastAsia="仿宋_GB2312"/>
          <w:sz w:val="32"/>
          <w:szCs w:val="32"/>
        </w:rPr>
        <w:t>。</w:t>
      </w:r>
    </w:p>
    <w:p w:rsidR="00281425" w:rsidRDefault="008E4780" w:rsidP="00A80429">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组织对</w:t>
      </w:r>
      <w:r w:rsidR="00A80429">
        <w:rPr>
          <w:rFonts w:ascii="Times New Roman" w:eastAsia="仿宋_GB2312" w:hint="eastAsia"/>
          <w:sz w:val="32"/>
          <w:szCs w:val="32"/>
        </w:rPr>
        <w:t>不动产数据整合资金</w:t>
      </w:r>
      <w:r>
        <w:rPr>
          <w:rFonts w:ascii="Times New Roman" w:eastAsia="仿宋_GB2312"/>
          <w:sz w:val="32"/>
          <w:szCs w:val="32"/>
        </w:rPr>
        <w:t>等</w:t>
      </w:r>
      <w:r w:rsidR="00A80429">
        <w:rPr>
          <w:rFonts w:ascii="Times New Roman" w:eastAsia="仿宋_GB2312" w:hint="eastAsia"/>
          <w:sz w:val="32"/>
          <w:szCs w:val="32"/>
        </w:rPr>
        <w:t>1</w:t>
      </w:r>
      <w:r>
        <w:rPr>
          <w:rFonts w:ascii="Times New Roman" w:eastAsia="仿宋_GB2312"/>
          <w:sz w:val="32"/>
          <w:szCs w:val="32"/>
        </w:rPr>
        <w:t>个项目开展了部门重点评价，涉及一般公共预算支出</w:t>
      </w:r>
      <w:r w:rsidR="00A80429">
        <w:rPr>
          <w:rFonts w:ascii="宋体" w:eastAsia="宋体" w:hAnsi="宋体" w:hint="eastAsia"/>
          <w:sz w:val="32"/>
          <w:szCs w:val="32"/>
        </w:rPr>
        <w:t>0</w:t>
      </w:r>
      <w:r>
        <w:rPr>
          <w:rFonts w:ascii="Times New Roman" w:eastAsia="仿宋_GB2312"/>
          <w:sz w:val="32"/>
          <w:szCs w:val="32"/>
        </w:rPr>
        <w:t>万元，政府性基金预算支出</w:t>
      </w:r>
      <w:r w:rsidR="00A80429">
        <w:rPr>
          <w:rFonts w:ascii="Times New Roman" w:eastAsia="仿宋_GB2312" w:hint="eastAsia"/>
          <w:sz w:val="32"/>
          <w:szCs w:val="32"/>
        </w:rPr>
        <w:t>15</w:t>
      </w:r>
      <w:r>
        <w:rPr>
          <w:rFonts w:ascii="Times New Roman" w:eastAsia="仿宋_GB2312"/>
          <w:sz w:val="32"/>
          <w:szCs w:val="32"/>
        </w:rPr>
        <w:t>万元，国有资本经营预算支出</w:t>
      </w:r>
      <w:r w:rsidR="00A80429">
        <w:rPr>
          <w:rFonts w:ascii="宋体" w:eastAsia="宋体" w:hAnsi="宋体" w:hint="eastAsia"/>
          <w:sz w:val="32"/>
          <w:szCs w:val="32"/>
        </w:rPr>
        <w:t>0</w:t>
      </w:r>
      <w:r w:rsidR="00A80429">
        <w:rPr>
          <w:rFonts w:ascii="Times New Roman" w:eastAsia="仿宋_GB2312"/>
          <w:sz w:val="32"/>
          <w:szCs w:val="32"/>
        </w:rPr>
        <w:t>万元，从评价情况来看，</w:t>
      </w:r>
      <w:r w:rsidR="00A80429" w:rsidRPr="00E267F4">
        <w:rPr>
          <w:rFonts w:ascii="Times New Roman" w:eastAsia="仿宋_GB2312"/>
          <w:sz w:val="32"/>
          <w:szCs w:val="32"/>
        </w:rPr>
        <w:t>按照青龙满族自治县财政局关于开展</w:t>
      </w:r>
      <w:r w:rsidR="00A80429" w:rsidRPr="00E267F4">
        <w:rPr>
          <w:rFonts w:ascii="Times New Roman" w:eastAsia="仿宋_GB2312"/>
          <w:sz w:val="32"/>
          <w:szCs w:val="32"/>
        </w:rPr>
        <w:t xml:space="preserve"> 202</w:t>
      </w:r>
      <w:r w:rsidR="00A80429">
        <w:rPr>
          <w:rFonts w:ascii="Times New Roman" w:eastAsia="仿宋_GB2312" w:hint="eastAsia"/>
          <w:sz w:val="32"/>
          <w:szCs w:val="32"/>
        </w:rPr>
        <w:t>4</w:t>
      </w:r>
      <w:r w:rsidR="00A80429">
        <w:rPr>
          <w:rFonts w:ascii="Times New Roman" w:eastAsia="仿宋_GB2312"/>
          <w:sz w:val="32"/>
          <w:szCs w:val="32"/>
        </w:rPr>
        <w:t>年度预算绩效自评工作要求，</w:t>
      </w:r>
      <w:r w:rsidR="00A80429">
        <w:rPr>
          <w:rFonts w:ascii="Times New Roman" w:eastAsia="仿宋_GB2312"/>
          <w:sz w:val="32"/>
          <w:szCs w:val="32"/>
        </w:rPr>
        <w:lastRenderedPageBreak/>
        <w:t>我</w:t>
      </w:r>
      <w:r w:rsidR="00A80429">
        <w:rPr>
          <w:rFonts w:ascii="Times New Roman" w:eastAsia="仿宋_GB2312" w:hint="eastAsia"/>
          <w:sz w:val="32"/>
          <w:szCs w:val="32"/>
        </w:rPr>
        <w:t>单位</w:t>
      </w:r>
      <w:r w:rsidR="00A80429">
        <w:rPr>
          <w:rFonts w:ascii="Times New Roman" w:eastAsia="仿宋_GB2312"/>
          <w:sz w:val="32"/>
          <w:szCs w:val="32"/>
        </w:rPr>
        <w:t>认真组织</w:t>
      </w:r>
      <w:r w:rsidR="00A80429" w:rsidRPr="00E267F4">
        <w:rPr>
          <w:rFonts w:ascii="Times New Roman" w:eastAsia="仿宋_GB2312"/>
          <w:sz w:val="32"/>
          <w:szCs w:val="32"/>
        </w:rPr>
        <w:t>开展绩效自评工作。专门成立由办公室、财务审计股等科室人员组成的绩效自评工作组织机构，明确了绩效自评职责及人员分工，按照既定绩效目标、指标实施自我评价，圆满完成了</w:t>
      </w:r>
      <w:r w:rsidR="00A80429" w:rsidRPr="00E267F4">
        <w:rPr>
          <w:rFonts w:ascii="Times New Roman" w:eastAsia="仿宋_GB2312"/>
          <w:sz w:val="32"/>
          <w:szCs w:val="32"/>
        </w:rPr>
        <w:t xml:space="preserve"> 202</w:t>
      </w:r>
      <w:r w:rsidR="00A80429">
        <w:rPr>
          <w:rFonts w:ascii="Times New Roman" w:eastAsia="仿宋_GB2312" w:hint="eastAsia"/>
          <w:sz w:val="32"/>
          <w:szCs w:val="32"/>
        </w:rPr>
        <w:t>4</w:t>
      </w:r>
      <w:r w:rsidR="00A80429">
        <w:rPr>
          <w:rFonts w:ascii="Times New Roman" w:eastAsia="仿宋_GB2312"/>
          <w:sz w:val="32"/>
          <w:szCs w:val="32"/>
        </w:rPr>
        <w:t>年度预算绩效自评任务。</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（二）部门决算中项目绩效自评结果</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本单位在今年部门决算公开中反映</w:t>
      </w:r>
      <w:r>
        <w:rPr>
          <w:rFonts w:ascii="Times New Roman" w:eastAsia="仿宋_GB2312" w:hint="eastAsia"/>
          <w:sz w:val="32"/>
          <w:szCs w:val="32"/>
          <w:lang w:val="zh-CN"/>
        </w:rPr>
        <w:t>不动产数据整合资金</w:t>
      </w:r>
      <w:r w:rsidR="00A80429">
        <w:rPr>
          <w:rFonts w:ascii="Times New Roman" w:eastAsia="仿宋_GB2312" w:hint="eastAsia"/>
          <w:sz w:val="32"/>
          <w:szCs w:val="32"/>
          <w:lang w:val="zh-CN"/>
        </w:rPr>
        <w:t>1</w:t>
      </w:r>
      <w:r>
        <w:rPr>
          <w:rFonts w:ascii="Times New Roman" w:eastAsia="仿宋_GB2312"/>
          <w:sz w:val="32"/>
          <w:szCs w:val="32"/>
          <w:lang w:val="zh-CN"/>
        </w:rPr>
        <w:t>个</w:t>
      </w:r>
      <w:r>
        <w:rPr>
          <w:rFonts w:ascii="Times New Roman" w:eastAsia="仿宋_GB2312"/>
          <w:sz w:val="32"/>
          <w:szCs w:val="32"/>
        </w:rPr>
        <w:t>项目绩效自评结果。</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项目绩效自评情况：根据年初设定的绩效目标，项目绩效自评得分为</w:t>
      </w:r>
      <w:r w:rsidR="00A80429">
        <w:rPr>
          <w:rFonts w:ascii="Times New Roman" w:eastAsia="仿宋_GB2312" w:hint="eastAsia"/>
          <w:sz w:val="32"/>
          <w:szCs w:val="32"/>
        </w:rPr>
        <w:t>100</w:t>
      </w:r>
      <w:r>
        <w:rPr>
          <w:rFonts w:ascii="Times New Roman" w:eastAsia="仿宋_GB2312"/>
          <w:sz w:val="32"/>
          <w:szCs w:val="32"/>
        </w:rPr>
        <w:t>分（绩效自评表附后）。全年预算数为</w:t>
      </w:r>
      <w:r w:rsidR="00A80429">
        <w:rPr>
          <w:rFonts w:ascii="Times New Roman" w:eastAsia="仿宋_GB2312" w:hint="eastAsia"/>
          <w:sz w:val="32"/>
          <w:szCs w:val="32"/>
        </w:rPr>
        <w:t>15</w:t>
      </w:r>
      <w:r>
        <w:rPr>
          <w:rFonts w:ascii="Times New Roman" w:eastAsia="仿宋_GB2312"/>
          <w:sz w:val="32"/>
          <w:szCs w:val="32"/>
        </w:rPr>
        <w:t>万元，执行数为</w:t>
      </w:r>
      <w:r w:rsidR="00A80429">
        <w:rPr>
          <w:rFonts w:ascii="Times New Roman" w:eastAsia="仿宋_GB2312" w:hint="eastAsia"/>
          <w:sz w:val="32"/>
          <w:szCs w:val="32"/>
        </w:rPr>
        <w:t>15</w:t>
      </w:r>
      <w:r>
        <w:rPr>
          <w:rFonts w:ascii="Times New Roman" w:eastAsia="仿宋_GB2312"/>
          <w:sz w:val="32"/>
          <w:szCs w:val="32"/>
        </w:rPr>
        <w:t>万元，完成预算的</w:t>
      </w:r>
      <w:r w:rsidR="00A80429">
        <w:rPr>
          <w:rFonts w:ascii="Times New Roman" w:eastAsia="仿宋_GB2312" w:hint="eastAsia"/>
          <w:sz w:val="32"/>
          <w:szCs w:val="32"/>
        </w:rPr>
        <w:t>100</w:t>
      </w:r>
      <w:r>
        <w:rPr>
          <w:rFonts w:ascii="Times New Roman" w:eastAsia="仿宋_GB2312"/>
          <w:sz w:val="32"/>
          <w:szCs w:val="32"/>
        </w:rPr>
        <w:t>%</w:t>
      </w:r>
      <w:r>
        <w:rPr>
          <w:rFonts w:ascii="Times New Roman" w:eastAsia="仿宋_GB2312"/>
          <w:sz w:val="32"/>
          <w:szCs w:val="32"/>
        </w:rPr>
        <w:t>。项目绩效目标完成情况</w:t>
      </w:r>
      <w:r>
        <w:rPr>
          <w:rFonts w:ascii="Times New Roman" w:eastAsia="仿宋_GB2312" w:hint="eastAsia"/>
          <w:sz w:val="32"/>
          <w:szCs w:val="32"/>
        </w:rPr>
        <w:t>：</w:t>
      </w:r>
      <w:r>
        <w:rPr>
          <w:rFonts w:ascii="仿宋_GB2312" w:eastAsia="仿宋_GB2312" w:hAnsi="仿宋_GB2312" w:cs="仿宋_GB2312" w:hint="eastAsia"/>
          <w:sz w:val="32"/>
          <w:szCs w:val="32"/>
        </w:rPr>
        <w:t>实现不动产和各部门间的合作，数据便于管理，保证机房运作安全</w:t>
      </w:r>
      <w:r>
        <w:rPr>
          <w:rFonts w:ascii="Times New Roman" w:eastAsia="仿宋_GB2312"/>
          <w:sz w:val="32"/>
          <w:szCs w:val="32"/>
        </w:rPr>
        <w:t>。发现的主要问题及原因是：</w:t>
      </w:r>
      <w:r>
        <w:rPr>
          <w:rFonts w:ascii="仿宋_GB2312" w:eastAsia="仿宋_GB2312" w:hAnsi="仿宋_GB2312" w:cs="仿宋_GB2312" w:hint="eastAsia"/>
          <w:sz w:val="32"/>
          <w:szCs w:val="32"/>
        </w:rPr>
        <w:t>部分资金未拨付执行到位，未及时跟进财政资金拨款计划</w:t>
      </w:r>
      <w:r>
        <w:rPr>
          <w:rFonts w:ascii="Times New Roman" w:eastAsia="仿宋_GB2312"/>
          <w:sz w:val="32"/>
          <w:szCs w:val="32"/>
        </w:rPr>
        <w:t>。下一步改进措施：</w:t>
      </w:r>
      <w:r>
        <w:rPr>
          <w:rFonts w:ascii="仿宋_GB2312" w:eastAsia="仿宋_GB2312" w:hAnsi="仿宋_GB2312" w:cs="仿宋_GB2312" w:hint="eastAsia"/>
          <w:sz w:val="32"/>
          <w:szCs w:val="32"/>
        </w:rPr>
        <w:t>及时跟进财政资金拨款计划，待财政资金到位后，及时拨付到位</w:t>
      </w:r>
      <w:r>
        <w:rPr>
          <w:rFonts w:ascii="Times New Roman" w:eastAsia="仿宋_GB2312"/>
          <w:sz w:val="32"/>
          <w:szCs w:val="32"/>
        </w:rPr>
        <w:t>。</w:t>
      </w:r>
    </w:p>
    <w:p w:rsidR="00281425" w:rsidRPr="00A80429" w:rsidRDefault="008E4780" w:rsidP="00281425">
      <w:pPr>
        <w:widowControl/>
        <w:spacing w:line="360" w:lineRule="auto"/>
        <w:ind w:firstLineChars="200" w:firstLine="641"/>
        <w:jc w:val="left"/>
        <w:rPr>
          <w:rFonts w:ascii="Times New Roman" w:eastAsia="仿宋_GB2312"/>
          <w:sz w:val="32"/>
          <w:szCs w:val="32"/>
        </w:rPr>
      </w:pPr>
      <w:r w:rsidRPr="00A80429">
        <w:rPr>
          <w:rFonts w:ascii="Times New Roman" w:eastAsia="仿宋_GB2312"/>
          <w:b/>
          <w:sz w:val="32"/>
          <w:szCs w:val="32"/>
        </w:rPr>
        <w:t>（三）部门评价项目绩效评价结果（如有）</w:t>
      </w:r>
    </w:p>
    <w:p w:rsidR="006D5881" w:rsidRDefault="008E4780">
      <w:pPr>
        <w:snapToGrid w:val="0"/>
        <w:spacing w:line="360" w:lineRule="auto"/>
        <w:ind w:firstLineChars="200" w:firstLine="640"/>
        <w:rPr>
          <w:rFonts w:ascii="宋体" w:eastAsia="宋体" w:hAnsi="宋体"/>
          <w:sz w:val="32"/>
          <w:szCs w:val="32"/>
        </w:rPr>
      </w:pPr>
      <w:r w:rsidRPr="00A80429">
        <w:rPr>
          <w:rFonts w:ascii="仿宋_GB2312" w:eastAsia="仿宋" w:hAnsi="仿宋_GB2312" w:cs="仿宋_GB2312" w:hint="eastAsia"/>
          <w:sz w:val="32"/>
          <w:szCs w:val="32"/>
        </w:rPr>
        <w:t>本单位涉及</w:t>
      </w:r>
      <w:r w:rsidR="00A80429" w:rsidRPr="00A80429">
        <w:rPr>
          <w:rFonts w:ascii="Times New Roman" w:eastAsia="仿宋" w:hAnsi="Times New Roman" w:cs="Times New Roman" w:hint="eastAsia"/>
          <w:sz w:val="32"/>
          <w:szCs w:val="32"/>
        </w:rPr>
        <w:t>1</w:t>
      </w:r>
      <w:r w:rsidRPr="00A80429">
        <w:rPr>
          <w:rFonts w:ascii="仿宋_GB2312" w:eastAsia="仿宋" w:hAnsi="仿宋_GB2312" w:cs="仿宋_GB2312" w:hint="eastAsia"/>
          <w:sz w:val="32"/>
          <w:szCs w:val="32"/>
        </w:rPr>
        <w:t>个项目，共涉及资金</w:t>
      </w:r>
      <w:r w:rsidRPr="00A80429">
        <w:rPr>
          <w:rFonts w:ascii="仿宋_GB2312" w:eastAsia="仿宋" w:hAnsi="仿宋_GB2312" w:cs="仿宋_GB2312" w:hint="eastAsia"/>
          <w:sz w:val="32"/>
          <w:szCs w:val="32"/>
        </w:rPr>
        <w:t xml:space="preserve"> </w:t>
      </w:r>
      <w:r w:rsidR="00A80429" w:rsidRPr="00A80429">
        <w:rPr>
          <w:rFonts w:ascii="仿宋_GB2312" w:eastAsia="仿宋" w:hAnsi="仿宋_GB2312" w:cs="仿宋_GB2312" w:hint="eastAsia"/>
          <w:sz w:val="32"/>
          <w:szCs w:val="32"/>
        </w:rPr>
        <w:t>1</w:t>
      </w:r>
      <w:r w:rsidR="00A80429" w:rsidRPr="00A80429">
        <w:rPr>
          <w:rFonts w:ascii="宋体" w:eastAsia="宋体" w:hAnsi="宋体" w:hint="eastAsia"/>
          <w:sz w:val="32"/>
          <w:szCs w:val="32"/>
        </w:rPr>
        <w:t>5</w:t>
      </w:r>
      <w:r w:rsidRPr="00A80429">
        <w:rPr>
          <w:rFonts w:ascii="仿宋_GB2312" w:eastAsia="仿宋" w:hAnsi="仿宋_GB2312" w:cs="仿宋_GB2312" w:hint="eastAsia"/>
          <w:sz w:val="32"/>
          <w:szCs w:val="32"/>
        </w:rPr>
        <w:t>万元，在</w:t>
      </w:r>
      <w:r>
        <w:rPr>
          <w:rFonts w:ascii="仿宋_GB2312" w:eastAsia="仿宋" w:hAnsi="仿宋_GB2312" w:cs="仿宋_GB2312" w:hint="eastAsia"/>
          <w:sz w:val="32"/>
          <w:szCs w:val="32"/>
        </w:rPr>
        <w:t>今年部门评价项目绩效评价结果中反应科目：不动产数据整合资金</w:t>
      </w:r>
      <w:r w:rsidR="00A80429">
        <w:rPr>
          <w:rFonts w:ascii="Times New Roman" w:eastAsia="仿宋" w:hAnsi="Times New Roman" w:cs="Times New Roman" w:hint="eastAsia"/>
          <w:sz w:val="32"/>
          <w:szCs w:val="32"/>
        </w:rPr>
        <w:t>1</w:t>
      </w:r>
      <w:r>
        <w:rPr>
          <w:rFonts w:ascii="仿宋_GB2312" w:eastAsia="仿宋" w:hAnsi="仿宋_GB2312" w:cs="仿宋_GB2312" w:hint="eastAsia"/>
          <w:sz w:val="32"/>
          <w:szCs w:val="32"/>
        </w:rPr>
        <w:t>个项目绩效自评结果，与《</w:t>
      </w:r>
      <w:r>
        <w:rPr>
          <w:rFonts w:ascii="Times New Roman" w:eastAsia="仿宋" w:hAnsi="Times New Roman" w:cs="Times New Roman"/>
          <w:sz w:val="32"/>
          <w:szCs w:val="32"/>
        </w:rPr>
        <w:t>202</w:t>
      </w:r>
      <w:r>
        <w:rPr>
          <w:rFonts w:ascii="Times New Roman" w:eastAsia="仿宋" w:hAnsi="Times New Roman" w:cs="Times New Roman" w:hint="eastAsia"/>
          <w:sz w:val="32"/>
          <w:szCs w:val="32"/>
        </w:rPr>
        <w:t>4</w:t>
      </w:r>
      <w:r>
        <w:rPr>
          <w:rFonts w:ascii="仿宋_GB2312" w:eastAsia="仿宋" w:hAnsi="仿宋_GB2312" w:cs="仿宋_GB2312" w:hint="eastAsia"/>
          <w:sz w:val="32"/>
          <w:szCs w:val="32"/>
        </w:rPr>
        <w:t>年度县级项目</w:t>
      </w:r>
      <w:r w:rsidR="00A80429">
        <w:rPr>
          <w:rFonts w:ascii="仿宋_GB2312" w:eastAsia="仿宋" w:hAnsi="仿宋_GB2312" w:cs="仿宋_GB2312" w:hint="eastAsia"/>
          <w:sz w:val="32"/>
          <w:szCs w:val="32"/>
        </w:rPr>
        <w:t>支出绩效自评表》相符，核查结果由部门预算主管科室综合评定为：优，评优率为</w:t>
      </w:r>
      <w:r w:rsidR="00A80429">
        <w:rPr>
          <w:rFonts w:ascii="仿宋_GB2312" w:eastAsia="仿宋" w:hAnsi="仿宋_GB2312" w:cs="仿宋_GB2312" w:hint="eastAsia"/>
          <w:sz w:val="32"/>
          <w:szCs w:val="32"/>
        </w:rPr>
        <w:t>1</w:t>
      </w:r>
      <w:r w:rsidR="00A80429">
        <w:rPr>
          <w:rFonts w:ascii="宋体" w:eastAsia="宋体" w:hAnsi="宋体" w:hint="eastAsia"/>
          <w:sz w:val="32"/>
          <w:szCs w:val="32"/>
        </w:rPr>
        <w:t>00%。</w:t>
      </w:r>
    </w:p>
    <w:p w:rsidR="006D5881" w:rsidRDefault="006D5881">
      <w:pPr>
        <w:widowControl/>
        <w:jc w:val="left"/>
        <w:rPr>
          <w:rFonts w:ascii="宋体" w:eastAsia="宋体" w:hAnsi="宋体"/>
          <w:sz w:val="32"/>
          <w:szCs w:val="32"/>
        </w:rPr>
      </w:pPr>
      <w:r>
        <w:rPr>
          <w:rFonts w:ascii="宋体" w:eastAsia="宋体" w:hAnsi="宋体"/>
          <w:sz w:val="32"/>
          <w:szCs w:val="32"/>
        </w:rPr>
        <w:lastRenderedPageBreak/>
        <w:br w:type="page"/>
      </w:r>
    </w:p>
    <w:p w:rsidR="00281425" w:rsidRPr="006D5881" w:rsidRDefault="006D5881" w:rsidP="006D5881">
      <w:pPr>
        <w:snapToGrid w:val="0"/>
        <w:spacing w:line="360" w:lineRule="auto"/>
        <w:ind w:firstLineChars="200" w:firstLine="640"/>
        <w:rPr>
          <w:rFonts w:ascii="宋体" w:eastAsia="宋体" w:hAnsi="宋体"/>
          <w:sz w:val="32"/>
          <w:szCs w:val="32"/>
        </w:rPr>
      </w:pPr>
      <w:r w:rsidRPr="00673A25">
        <w:rPr>
          <w:rFonts w:ascii="宋体" w:eastAsia="宋体" w:hAnsi="宋体"/>
          <w:sz w:val="32"/>
          <w:szCs w:val="32"/>
        </w:rPr>
        <w:object w:dxaOrig="14738" w:dyaOrig="11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336pt" o:ole="">
            <v:imagedata r:id="rId23" o:title=""/>
          </v:shape>
          <o:OLEObject Type="Embed" ProgID="Excel.Sheet.12" ShapeID="_x0000_i1025" DrawAspect="Content" ObjectID="_1822477497" r:id="rId24"/>
        </w:object>
      </w:r>
    </w:p>
    <w:p w:rsidR="00281425" w:rsidRDefault="008E4780">
      <w:pPr>
        <w:widowControl/>
        <w:spacing w:line="360" w:lineRule="auto"/>
        <w:ind w:firstLineChars="200" w:firstLine="640"/>
        <w:jc w:val="left"/>
        <w:rPr>
          <w:rFonts w:ascii="Times New Roman" w:eastAsia="黑体"/>
          <w:sz w:val="32"/>
          <w:szCs w:val="32"/>
        </w:rPr>
      </w:pPr>
      <w:r>
        <w:rPr>
          <w:rFonts w:ascii="Times New Roman" w:eastAsia="黑体"/>
          <w:sz w:val="32"/>
          <w:szCs w:val="32"/>
        </w:rPr>
        <w:t>十、其他需要说明的情况</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本单位</w:t>
      </w:r>
      <w:r>
        <w:rPr>
          <w:rFonts w:ascii="Times New Roman" w:eastAsia="仿宋_GB2312"/>
          <w:sz w:val="32"/>
          <w:szCs w:val="32"/>
        </w:rPr>
        <w:t>2024</w:t>
      </w:r>
      <w:r>
        <w:rPr>
          <w:rFonts w:ascii="Times New Roman" w:eastAsia="仿宋_GB2312"/>
          <w:sz w:val="32"/>
          <w:szCs w:val="32"/>
        </w:rPr>
        <w:t>年度国有资本经营预算财政拨款无收支及结转结余情况</w:t>
      </w:r>
      <w:r>
        <w:rPr>
          <w:rFonts w:ascii="Times New Roman" w:eastAsia="仿宋_GB2312" w:hint="eastAsia"/>
          <w:sz w:val="32"/>
          <w:szCs w:val="32"/>
        </w:rPr>
        <w:t>，</w:t>
      </w:r>
      <w:r>
        <w:rPr>
          <w:rFonts w:ascii="Times New Roman" w:eastAsia="仿宋_GB2312"/>
          <w:sz w:val="32"/>
          <w:szCs w:val="32"/>
        </w:rPr>
        <w:t>故公开</w:t>
      </w:r>
      <w:r>
        <w:rPr>
          <w:rFonts w:ascii="Times New Roman" w:eastAsia="仿宋_GB2312"/>
          <w:sz w:val="32"/>
          <w:szCs w:val="32"/>
        </w:rPr>
        <w:t>08</w:t>
      </w:r>
      <w:r>
        <w:rPr>
          <w:rFonts w:ascii="Times New Roman" w:eastAsia="仿宋_GB2312"/>
          <w:sz w:val="32"/>
          <w:szCs w:val="32"/>
        </w:rPr>
        <w:t>表以空表列示、财政拨款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w:t>
      </w:r>
      <w:r>
        <w:rPr>
          <w:rFonts w:ascii="仿宋_GB2312" w:eastAsia="仿宋_GB2312" w:hAnsi="仿宋_GB2312" w:cs="仿宋_GB2312" w:hint="eastAsia"/>
          <w:sz w:val="32"/>
          <w:szCs w:val="32"/>
        </w:rPr>
        <w:t>无收支及结转结余情况，故公开</w:t>
      </w:r>
      <w:r>
        <w:rPr>
          <w:rFonts w:ascii="Times New Roman" w:eastAsia="仿宋_GB2312" w:hAnsi="Times New Roman" w:cs="Times New Roman"/>
          <w:sz w:val="32"/>
          <w:szCs w:val="32"/>
        </w:rPr>
        <w:t>09</w:t>
      </w:r>
      <w:r>
        <w:rPr>
          <w:rFonts w:ascii="仿宋_GB2312" w:eastAsia="仿宋_GB2312" w:hAnsi="仿宋_GB2312" w:cs="仿宋_GB2312" w:hint="eastAsia"/>
          <w:sz w:val="32"/>
          <w:szCs w:val="32"/>
        </w:rPr>
        <w:t>表以空表列示</w:t>
      </w:r>
      <w:r>
        <w:rPr>
          <w:rFonts w:ascii="Times New Roman" w:eastAsia="仿宋_GB2312"/>
          <w:sz w:val="32"/>
          <w:szCs w:val="32"/>
        </w:rPr>
        <w:t>。</w:t>
      </w:r>
    </w:p>
    <w:p w:rsidR="00281425" w:rsidRDefault="008E4780">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 xml:space="preserve">2. </w:t>
      </w:r>
      <w:r>
        <w:rPr>
          <w:rFonts w:ascii="Times New Roman" w:eastAsia="仿宋_GB2312"/>
          <w:sz w:val="32"/>
          <w:szCs w:val="32"/>
        </w:rPr>
        <w:t>由于决算公开表格中金额数值应当保留两位小数，公开数据为四舍五入计算结果，个别数据合计项与分项之和存在小数点后差额，特此说明。</w:t>
      </w:r>
    </w:p>
    <w:p w:rsidR="00281425" w:rsidRDefault="008E4780">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281425" w:rsidRDefault="008E4780">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第四部分</w:t>
      </w:r>
      <w:r>
        <w:rPr>
          <w:rFonts w:ascii="Times New Roman" w:eastAsia="黑体"/>
          <w:sz w:val="44"/>
          <w:szCs w:val="44"/>
        </w:rPr>
        <w:t xml:space="preserve"> </w:t>
      </w:r>
      <w:r>
        <w:rPr>
          <w:rFonts w:ascii="Times New Roman" w:eastAsia="黑体"/>
          <w:sz w:val="44"/>
          <w:szCs w:val="44"/>
        </w:rPr>
        <w:t>名词解释</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lastRenderedPageBreak/>
        <w:t>九、基本支出：</w:t>
      </w:r>
      <w:r>
        <w:rPr>
          <w:rFonts w:ascii="Times New Roman" w:eastAsia="仿宋_GB2312"/>
          <w:sz w:val="32"/>
          <w:szCs w:val="32"/>
        </w:rPr>
        <w:t>指为保障机构正常运转、完成日常工作任务而发生的人员支出和公用支出。</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sz w:val="32"/>
          <w:szCs w:val="32"/>
        </w:rPr>
        <w:t xml:space="preserve"> </w:t>
      </w:r>
      <w:r>
        <w:rPr>
          <w:rFonts w:ascii="Times New Roman" w:eastAsia="仿宋_GB2312"/>
          <w:b/>
          <w:sz w:val="32"/>
          <w:szCs w:val="32"/>
        </w:rPr>
        <w:t>：</w:t>
      </w:r>
      <w:r>
        <w:rPr>
          <w:rFonts w:ascii="Times New Roman" w:eastAsia="仿宋_GB2312"/>
          <w:sz w:val="32"/>
          <w:szCs w:val="32"/>
        </w:rPr>
        <w:t>指事业单位在专业业务活动及其辅助活动之外开展非独立核算经营活动发生的支出。</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十四、</w:t>
      </w:r>
      <w:r>
        <w:rPr>
          <w:rFonts w:ascii="Times New Roman" w:eastAsia="仿宋_GB2312"/>
          <w:b/>
          <w:sz w:val="32"/>
          <w:szCs w:val="32"/>
        </w:rPr>
        <w:t>“</w:t>
      </w:r>
      <w:r>
        <w:rPr>
          <w:rFonts w:ascii="Times New Roman" w:eastAsia="仿宋_GB2312"/>
          <w:b/>
          <w:sz w:val="32"/>
          <w:szCs w:val="32"/>
        </w:rPr>
        <w:t>三公</w:t>
      </w:r>
      <w:r>
        <w:rPr>
          <w:rFonts w:ascii="Times New Roman" w:eastAsia="仿宋_GB2312"/>
          <w:b/>
          <w:sz w:val="32"/>
          <w:szCs w:val="32"/>
        </w:rPr>
        <w:t>”</w:t>
      </w:r>
      <w:r>
        <w:rPr>
          <w:rFonts w:ascii="Times New Roman" w:eastAsia="仿宋_GB2312"/>
          <w:b/>
          <w:sz w:val="32"/>
          <w:szCs w:val="32"/>
        </w:rPr>
        <w:t>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w:t>
      </w:r>
      <w:r>
        <w:rPr>
          <w:rFonts w:ascii="Times New Roman" w:eastAsia="仿宋_GB2312"/>
          <w:sz w:val="32"/>
          <w:szCs w:val="32"/>
        </w:rPr>
        <w:lastRenderedPageBreak/>
        <w:t>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rsidR="00281425" w:rsidRDefault="008E4780" w:rsidP="00281425">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rsidR="00281425" w:rsidSect="00281425">
      <w:footerReference w:type="default" r:id="rId25"/>
      <w:pgSz w:w="11906" w:h="16838"/>
      <w:pgMar w:top="2098" w:right="1417" w:bottom="1871" w:left="1417" w:header="851" w:footer="992" w:gutter="0"/>
      <w:pgNumType w:start="1"/>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8E5" w:rsidRDefault="004858E5" w:rsidP="00281425">
      <w:r>
        <w:separator/>
      </w:r>
    </w:p>
  </w:endnote>
  <w:endnote w:type="continuationSeparator" w:id="0">
    <w:p w:rsidR="004858E5" w:rsidRDefault="004858E5" w:rsidP="00281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D6791BF4-D57D-406A-8998-261DDC5CDECD}"/>
    <w:embedBold r:id="rId2" w:subsetted="1" w:fontKey="{D5C52FD4-2E31-4C5C-8EB8-EE6BC324CAE0}"/>
  </w:font>
  <w:font w:name="仿宋">
    <w:panose1 w:val="02010609060101010101"/>
    <w:charset w:val="86"/>
    <w:family w:val="modern"/>
    <w:pitch w:val="fixed"/>
    <w:sig w:usb0="800002BF" w:usb1="38CF7CFA" w:usb2="00000016" w:usb3="00000000" w:csb0="00040001" w:csb1="00000000"/>
    <w:embedRegular r:id="rId3" w:subsetted="1" w:fontKey="{91E10D8C-0AC4-4F13-813E-A78C8FC460CC}"/>
  </w:font>
  <w:font w:name="Calibri Light">
    <w:panose1 w:val="020F0302020204030204"/>
    <w:charset w:val="00"/>
    <w:family w:val="swiss"/>
    <w:pitch w:val="variable"/>
    <w:sig w:usb0="A00002EF" w:usb1="4000207B" w:usb2="00000000" w:usb3="00000000" w:csb0="0000019F" w:csb1="00000000"/>
  </w:font>
  <w:font w:name="华文中宋">
    <w:altName w:val="宋体"/>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embedRegular r:id="rId4" w:subsetted="1" w:fontKey="{2F1C4525-9788-4E5F-B30F-9347E34CAF5E}"/>
    <w:embedBold r:id="rId5" w:subsetted="1" w:fontKey="{851097E3-D5A4-4035-9559-0E7144FFAE86}"/>
  </w:font>
  <w:font w:name="方正小标宋_GBK">
    <w:altName w:val="微软雅黑"/>
    <w:charset w:val="86"/>
    <w:family w:val="script"/>
    <w:pitch w:val="fixed"/>
    <w:sig w:usb0="00000000" w:usb1="080E0000" w:usb2="00000010" w:usb3="00000000" w:csb0="00040000" w:csb1="00000000"/>
    <w:embedRegular r:id="rId6" w:subsetted="1" w:fontKey="{CCCD1538-509F-47B4-8020-759C2744DB02}"/>
    <w:embedBold r:id="rId7" w:subsetted="1" w:fontKey="{972EED05-B33E-4393-AE3E-B8CB3DE0D276}"/>
  </w:font>
  <w:font w:name="黑体">
    <w:altName w:val="SimHei"/>
    <w:panose1 w:val="02010609060101010101"/>
    <w:charset w:val="86"/>
    <w:family w:val="modern"/>
    <w:pitch w:val="fixed"/>
    <w:sig w:usb0="800002BF" w:usb1="38CF7CFA" w:usb2="00000016" w:usb3="00000000" w:csb0="00040001" w:csb1="00000000"/>
    <w:embedRegular r:id="rId8" w:subsetted="1" w:fontKey="{3FEE0190-38F6-49C0-BE11-2AFF8DF16B99}"/>
  </w:font>
  <w:font w:name="仿宋_GB2312">
    <w:altName w:val="微软雅黑"/>
    <w:charset w:val="86"/>
    <w:family w:val="modern"/>
    <w:pitch w:val="fixed"/>
    <w:sig w:usb0="00000001" w:usb1="080E0000" w:usb2="00000010" w:usb3="00000000" w:csb0="00040000" w:csb1="00000000"/>
    <w:embedRegular r:id="rId9" w:subsetted="1" w:fontKey="{62A6EB2F-FBBE-400A-8CF8-669F45C3AF62}"/>
    <w:embedBold r:id="rId10" w:subsetted="1" w:fontKey="{80FA04BA-0F1B-43C9-B251-939635EF459B}"/>
  </w:font>
  <w:font w:name="ArialUnicodeMS">
    <w:altName w:val="Malgun Gothic"/>
    <w:charset w:val="81"/>
    <w:family w:val="auto"/>
    <w:pitch w:val="default"/>
    <w:sig w:usb0="00000000" w:usb1="00000000" w:usb2="00000010" w:usb3="00000000" w:csb0="00080001" w:csb1="00000000"/>
  </w:font>
  <w:font w:name="方正仿宋_GB2312">
    <w:altName w:val="仿宋"/>
    <w:charset w:val="86"/>
    <w:family w:val="auto"/>
    <w:pitch w:val="default"/>
    <w:sig w:usb0="00000000" w:usb1="00000000" w:usb2="00000012" w:usb3="00000000" w:csb0="00040001" w:csb1="00000000"/>
    <w:embedRegular r:id="rId11" w:subsetted="1" w:fontKey="{221EBC3E-7890-4154-8115-A9421AD3388F}"/>
    <w:embedBold r:id="rId12" w:subsetted="1" w:fontKey="{A8028E8B-1270-45FD-9DE2-D8E43E1DB079}"/>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42" w:rsidRDefault="0049756E">
    <w:pPr>
      <w:jc w:val="center"/>
    </w:pPr>
    <w:fldSimple w:instr="PAGE">
      <w:r w:rsidR="001B0134">
        <w:rPr>
          <w:noProof/>
        </w:rPr>
        <w:t>1</w:t>
      </w:r>
    </w:fldSimple>
  </w:p>
  <w:p w:rsidR="009E1F42" w:rsidRDefault="009E1F42"/>
  <w:p w:rsidR="009E1F42" w:rsidRDefault="009E1F42">
    <w:pPr>
      <w:pStyle w:val="a5"/>
      <w:jc w:val="center"/>
    </w:pPr>
  </w:p>
  <w:p w:rsidR="009E1F42" w:rsidRDefault="009E1F4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42" w:rsidRDefault="0049756E">
    <w:pPr>
      <w:jc w:val="center"/>
    </w:pPr>
    <w:fldSimple w:instr="PAGE">
      <w:r w:rsidR="001B0134">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42" w:rsidRDefault="0049756E">
    <w:pPr>
      <w:jc w:val="center"/>
    </w:pPr>
    <w:fldSimple w:instr="PAGE">
      <w:r w:rsidR="001B0134">
        <w:rPr>
          <w:noProof/>
        </w:rPr>
        <w:t>4</w:t>
      </w:r>
    </w:fldSimple>
  </w:p>
  <w:p w:rsidR="009E1F42" w:rsidRDefault="009E1F42"/>
  <w:p w:rsidR="009E1F42" w:rsidRDefault="009E1F4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42" w:rsidRDefault="009E1F42">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42" w:rsidRDefault="0049756E">
    <w:pPr>
      <w:jc w:val="center"/>
    </w:pPr>
    <w:fldSimple w:instr="PAGE">
      <w:r w:rsidR="001B0134">
        <w:rPr>
          <w:noProof/>
        </w:rPr>
        <w:t>20</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42" w:rsidRDefault="0049756E">
    <w:pPr>
      <w:jc w:val="center"/>
    </w:pPr>
    <w:fldSimple w:instr="PAGE">
      <w:r w:rsidR="001B0134">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8E5" w:rsidRDefault="004858E5" w:rsidP="00281425">
      <w:r>
        <w:separator/>
      </w:r>
    </w:p>
  </w:footnote>
  <w:footnote w:type="continuationSeparator" w:id="0">
    <w:p w:rsidR="004858E5" w:rsidRDefault="004858E5" w:rsidP="00281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42" w:rsidRDefault="009E1F4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42" w:rsidRDefault="009E1F4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42" w:rsidRDefault="009E1F4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TrueTypeFonts/>
  <w:saveSubsetFonts/>
  <w:bordersDoNotSurroundHeader/>
  <w:bordersDoNotSurroundFooter/>
  <w:defaultTabStop w:val="420"/>
  <w:drawingGridVerticalSpacing w:val="165"/>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BA30C7"/>
    <w:rsid w:val="00057386"/>
    <w:rsid w:val="00086151"/>
    <w:rsid w:val="0019410E"/>
    <w:rsid w:val="001B0134"/>
    <w:rsid w:val="00236F8C"/>
    <w:rsid w:val="00281425"/>
    <w:rsid w:val="00345F8C"/>
    <w:rsid w:val="00386302"/>
    <w:rsid w:val="00405402"/>
    <w:rsid w:val="004858E5"/>
    <w:rsid w:val="0049756E"/>
    <w:rsid w:val="00506D97"/>
    <w:rsid w:val="00673A25"/>
    <w:rsid w:val="006D5881"/>
    <w:rsid w:val="00762857"/>
    <w:rsid w:val="007703A5"/>
    <w:rsid w:val="007954E3"/>
    <w:rsid w:val="00822154"/>
    <w:rsid w:val="008D0074"/>
    <w:rsid w:val="008E4780"/>
    <w:rsid w:val="009E1F42"/>
    <w:rsid w:val="00A566D5"/>
    <w:rsid w:val="00A80429"/>
    <w:rsid w:val="00A9413E"/>
    <w:rsid w:val="00A9668B"/>
    <w:rsid w:val="00BA30C7"/>
    <w:rsid w:val="00C65689"/>
    <w:rsid w:val="00C85C0B"/>
    <w:rsid w:val="00CC2C8E"/>
    <w:rsid w:val="00CD6819"/>
    <w:rsid w:val="00D53856"/>
    <w:rsid w:val="00E46914"/>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1E6DB5"/>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22D8E"/>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D67C3"/>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AB2AAC"/>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86623D"/>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0E538E"/>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1D62BF"/>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631A86"/>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0A5C15"/>
    <w:rsid w:val="7F2914C3"/>
    <w:rsid w:val="7F5F2ED6"/>
    <w:rsid w:val="7FA837EF"/>
    <w:rsid w:val="7FC36955"/>
    <w:rsid w:val="7FE903A0"/>
    <w:rsid w:val="7FF07065"/>
    <w:rsid w:val="7FF97946"/>
    <w:rsid w:val="7FFE78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425"/>
    <w:pPr>
      <w:widowControl w:val="0"/>
      <w:jc w:val="both"/>
    </w:pPr>
    <w:rPr>
      <w:rFonts w:asciiTheme="minorHAnsi" w:eastAsiaTheme="minorEastAsia" w:hAnsiTheme="minorHAnsi" w:cs="宋体"/>
      <w:sz w:val="24"/>
      <w:szCs w:val="24"/>
    </w:rPr>
  </w:style>
  <w:style w:type="paragraph" w:styleId="1">
    <w:name w:val="heading 1"/>
    <w:basedOn w:val="a"/>
    <w:next w:val="a"/>
    <w:qFormat/>
    <w:rsid w:val="00281425"/>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281425"/>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281425"/>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281425"/>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281425"/>
    <w:pPr>
      <w:jc w:val="left"/>
    </w:pPr>
  </w:style>
  <w:style w:type="paragraph" w:styleId="a4">
    <w:name w:val="Balloon Text"/>
    <w:basedOn w:val="a"/>
    <w:link w:val="Char"/>
    <w:uiPriority w:val="99"/>
    <w:unhideWhenUsed/>
    <w:qFormat/>
    <w:rsid w:val="00281425"/>
    <w:rPr>
      <w:rFonts w:cstheme="minorBidi"/>
      <w:kern w:val="2"/>
      <w:sz w:val="18"/>
      <w:szCs w:val="18"/>
    </w:rPr>
  </w:style>
  <w:style w:type="paragraph" w:styleId="a5">
    <w:name w:val="footer"/>
    <w:basedOn w:val="a"/>
    <w:link w:val="Char0"/>
    <w:uiPriority w:val="99"/>
    <w:qFormat/>
    <w:rsid w:val="00281425"/>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281425"/>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281425"/>
    <w:pPr>
      <w:spacing w:beforeAutospacing="1" w:afterAutospacing="1"/>
      <w:jc w:val="left"/>
    </w:pPr>
    <w:rPr>
      <w:rFonts w:cs="Times New Roman"/>
    </w:rPr>
  </w:style>
  <w:style w:type="table" w:styleId="a8">
    <w:name w:val="Table Grid"/>
    <w:qFormat/>
    <w:rsid w:val="0028142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281425"/>
    <w:rPr>
      <w:b/>
    </w:rPr>
  </w:style>
  <w:style w:type="character" w:customStyle="1" w:styleId="2Char">
    <w:name w:val="标题 2 Char"/>
    <w:link w:val="2"/>
    <w:qFormat/>
    <w:rsid w:val="00281425"/>
    <w:rPr>
      <w:rFonts w:ascii="Calibri Light" w:eastAsia="宋体" w:hAnsi="Calibri Light" w:cs="Times New Roman"/>
      <w:b/>
      <w:bCs/>
      <w:sz w:val="28"/>
      <w:szCs w:val="32"/>
    </w:rPr>
  </w:style>
  <w:style w:type="character" w:customStyle="1" w:styleId="Char0">
    <w:name w:val="页脚 Char"/>
    <w:basedOn w:val="a0"/>
    <w:link w:val="a5"/>
    <w:uiPriority w:val="99"/>
    <w:qFormat/>
    <w:rsid w:val="00281425"/>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281425"/>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281425"/>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281425"/>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281425"/>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281425"/>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281425"/>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281425"/>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281425"/>
    <w:rPr>
      <w:rFonts w:asciiTheme="minorHAnsi" w:eastAsiaTheme="minorEastAsia" w:hAnsiTheme="minorHAnsi" w:cstheme="minorBidi"/>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785777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hart" Target="charts/chart6.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2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33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4414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5515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66161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p>
        </c:rich>
      </c:tx>
      <c:spPr>
        <a:noFill/>
        <a:ln>
          <a:noFill/>
        </a:ln>
        <a:effectLst/>
      </c:spPr>
    </c:title>
    <c:plotArea>
      <c:layout/>
      <c:barChart>
        <c:barDir val="col"/>
        <c:grouping val="clustered"/>
        <c:ser>
          <c:idx val="0"/>
          <c:order val="0"/>
          <c:tx>
            <c:strRef>
              <c:f>Sheet1!$B$1</c:f>
              <c:strCache>
                <c:ptCount val="1"/>
                <c:pt idx="0">
                  <c:v>收支总计</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204.01</c:v>
                </c:pt>
                <c:pt idx="1">
                  <c:v>179.9</c:v>
                </c:pt>
              </c:numCache>
            </c:numRef>
          </c:val>
        </c:ser>
        <c:dLbls>
          <c:showVal val="1"/>
        </c:dLbls>
        <c:gapWidth val="246"/>
        <c:overlap val="-28"/>
        <c:axId val="144999552"/>
        <c:axId val="145001088"/>
      </c:barChart>
      <c:catAx>
        <c:axId val="144999552"/>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5001088"/>
        <c:crosses val="autoZero"/>
        <c:auto val="1"/>
        <c:lblAlgn val="ctr"/>
        <c:lblOffset val="100"/>
      </c:catAx>
      <c:valAx>
        <c:axId val="145001088"/>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49995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p>
        </c:rich>
      </c:tx>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Pt>
            <c:idx val="5"/>
            <c:spPr>
              <a:solidFill>
                <a:schemeClr val="accent6"/>
              </a:solidFill>
              <a:ln>
                <a:solidFill>
                  <a:schemeClr val="bg1"/>
                </a:solidFill>
              </a:ln>
              <a:effectLst/>
            </c:spPr>
          </c:dPt>
          <c:dLbls>
            <c:dLbl>
              <c:idx val="0"/>
              <c:layout>
                <c:manualLayout>
                  <c:x val="0.32012553940302402"/>
                  <c:y val="0.72690713982147803"/>
                </c:manualLayout>
              </c:layout>
              <c:dLblPos val="bestFit"/>
              <c:showLegendKey val="1"/>
              <c:showCatName val="1"/>
              <c:showPercent val="1"/>
              <c:separator> </c:separator>
              <c:extLst>
                <c:ext xmlns:c15="http://schemas.microsoft.com/office/drawing/2012/chart" uri="{CE6537A1-D6FC-4f65-9D91-7224C49458BB}">
                  <c15:layout/>
                </c:ext>
              </c:extLst>
            </c:dLbl>
            <c:dLbl>
              <c:idx val="1"/>
              <c:layout>
                <c:manualLayout>
                  <c:x val="-0.30804551640755801"/>
                  <c:y val="0.63914683382912996"/>
                </c:manualLayout>
              </c:layout>
              <c:dLblPos val="bestFit"/>
              <c:showLegendKey val="1"/>
              <c:showCatName val="1"/>
              <c:showPercent val="1"/>
              <c:separator> </c:separator>
              <c:extLst>
                <c:ext xmlns:c15="http://schemas.microsoft.com/office/drawing/2012/chart" uri="{CE6537A1-D6FC-4f65-9D91-7224C49458BB}">
                  <c15:layout/>
                </c:ext>
              </c:extLst>
            </c:dLbl>
            <c:dLbl>
              <c:idx val="2"/>
              <c:layout>
                <c:manualLayout>
                  <c:x val="0.40541183654007401"/>
                  <c:y val="0.17185507862305377"/>
                </c:manualLayout>
              </c:layout>
              <c:dLblPos val="bestFit"/>
              <c:showLegendKey val="1"/>
              <c:showCatName val="1"/>
              <c:showPercent val="1"/>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32"/>
                  <c:y val="0.27025074373138075"/>
                </c:manualLayout>
              </c:layout>
              <c:dLblPos val="bestFit"/>
              <c:showLegendKey val="1"/>
              <c:showCatName val="1"/>
              <c:showPercent val="1"/>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73"/>
                  <c:y val="0.4491606459838694"/>
                </c:manualLayout>
              </c:layout>
              <c:dLblPos val="bestFit"/>
              <c:showLegendKey val="1"/>
              <c:showCatName val="1"/>
              <c:showPercent val="1"/>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46"/>
                  <c:y val="0.12416595835101517"/>
                </c:manualLayout>
              </c:layout>
              <c:dLblPos val="bestFit"/>
              <c:showLegendKey val="1"/>
              <c:showCatName val="1"/>
              <c:showPercent val="1"/>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ctr"/>
            <c:showLegendKey val="1"/>
            <c:showCatName val="1"/>
            <c:showPercent val="1"/>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1646794.6900000011</c:v>
                </c:pt>
                <c:pt idx="1">
                  <c:v>0</c:v>
                </c:pt>
                <c:pt idx="2">
                  <c:v>0</c:v>
                </c:pt>
                <c:pt idx="3">
                  <c:v>0</c:v>
                </c:pt>
                <c:pt idx="4">
                  <c:v>0</c:v>
                </c:pt>
                <c:pt idx="5">
                  <c:v>0</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p>
        </c:rich>
      </c:tx>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Lbls>
            <c:dLbl>
              <c:idx val="0"/>
              <c:layout>
                <c:manualLayout>
                  <c:x val="0.34621889345252532"/>
                  <c:y val="0.71546961325966962"/>
                </c:manualLayout>
              </c:layout>
              <c:dLblPos val="bestFit"/>
              <c:showLegendKey val="1"/>
              <c:showCatName val="1"/>
              <c:showPercent val="1"/>
              <c:separator>
</c:separator>
              <c:extLst>
                <c:ext xmlns:c15="http://schemas.microsoft.com/office/drawing/2012/chart" uri="{CE6537A1-D6FC-4f65-9D91-7224C49458BB}">
                  <c15:layout/>
                </c:ext>
              </c:extLst>
            </c:dLbl>
            <c:dLbl>
              <c:idx val="1"/>
              <c:layout>
                <c:manualLayout>
                  <c:x val="0.35709591688813674"/>
                  <c:y val="9.7938376540627203E-2"/>
                </c:manualLayout>
              </c:layout>
              <c:dLblPos val="bestFit"/>
              <c:showLegendKey val="1"/>
              <c:showCatName val="1"/>
              <c:showPercent val="1"/>
              <c:separator>
</c:separator>
              <c:extLst>
                <c:ext xmlns:c15="http://schemas.microsoft.com/office/drawing/2012/chart" uri="{CE6537A1-D6FC-4f65-9D91-7224C49458BB}">
                  <c15:layout/>
                </c:ext>
              </c:extLst>
            </c:dLbl>
            <c:dLbl>
              <c:idx val="2"/>
              <c:layout>
                <c:manualLayout>
                  <c:x val="-0.29270355158250799"/>
                  <c:y val="0.26689332766680801"/>
                </c:manualLayout>
              </c:layout>
              <c:dLblPos val="bestFit"/>
              <c:showLegendKey val="1"/>
              <c:showCatName val="1"/>
              <c:showPercent val="1"/>
              <c:separator>
</c:separator>
              <c:extLst>
                <c:ext xmlns:c15="http://schemas.microsoft.com/office/drawing/2012/chart" uri="{CE6537A1-D6FC-4f65-9D91-7224C49458BB}">
                  <c15:layout/>
                </c:ext>
              </c:extLst>
            </c:dLbl>
            <c:dLbl>
              <c:idx val="3"/>
              <c:layout>
                <c:manualLayout>
                  <c:x val="-0.31523568456194601"/>
                  <c:y val="0.46831661708461386"/>
                </c:manualLayout>
              </c:layout>
              <c:dLblPos val="bestFit"/>
              <c:showLegendKey val="1"/>
              <c:showCatName val="1"/>
              <c:showPercent val="1"/>
              <c:separator>
</c:separator>
              <c:extLst>
                <c:ext xmlns:c15="http://schemas.microsoft.com/office/drawing/2012/chart" uri="{CE6537A1-D6FC-4f65-9D91-7224C49458BB}">
                  <c15:layout/>
                </c:ext>
              </c:extLst>
            </c:dLbl>
            <c:dLbl>
              <c:idx val="4"/>
              <c:layout>
                <c:manualLayout>
                  <c:x val="-0.27355896765504573"/>
                  <c:y val="0.71821036974079833"/>
                </c:manualLayout>
              </c:layout>
              <c:dLblPos val="bestFit"/>
              <c:showLegendKey val="1"/>
              <c:showCatName val="1"/>
              <c:showPercent val="1"/>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1"/>
            <c:showCatName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1523377.1400000001</c:v>
                </c:pt>
                <c:pt idx="1">
                  <c:v>150000</c:v>
                </c:pt>
                <c:pt idx="2">
                  <c:v>0</c:v>
                </c:pt>
                <c:pt idx="3">
                  <c:v>0</c:v>
                </c:pt>
                <c:pt idx="4">
                  <c:v>0</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p>
        </c:rich>
      </c:tx>
      <c:spPr>
        <a:noFill/>
        <a:ln>
          <a:noFill/>
        </a:ln>
        <a:effectLst/>
      </c:spPr>
    </c:title>
    <c:plotArea>
      <c:layout/>
      <c:barChart>
        <c:barDir val="col"/>
        <c:grouping val="clustered"/>
        <c:ser>
          <c:idx val="0"/>
          <c:order val="0"/>
          <c:tx>
            <c:strRef>
              <c:f>Sheet1!$B$1</c:f>
              <c:strCache>
                <c:ptCount val="1"/>
                <c:pt idx="0">
                  <c:v>2023年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198.56</c:v>
                </c:pt>
                <c:pt idx="1">
                  <c:v>188.78</c:v>
                </c:pt>
                <c:pt idx="2">
                  <c:v>158.56</c:v>
                </c:pt>
                <c:pt idx="3">
                  <c:v>148.78</c:v>
                </c:pt>
                <c:pt idx="4">
                  <c:v>40</c:v>
                </c:pt>
                <c:pt idx="5">
                  <c:v>40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164.68</c:v>
                </c:pt>
                <c:pt idx="1">
                  <c:v>167.34</c:v>
                </c:pt>
                <c:pt idx="2">
                  <c:v>149.68</c:v>
                </c:pt>
                <c:pt idx="3">
                  <c:v>152.34</c:v>
                </c:pt>
                <c:pt idx="4">
                  <c:v>15</c:v>
                </c:pt>
                <c:pt idx="5">
                  <c:v>15</c:v>
                </c:pt>
                <c:pt idx="6">
                  <c:v>0</c:v>
                </c:pt>
                <c:pt idx="7">
                  <c:v>0</c:v>
                </c:pt>
              </c:numCache>
            </c:numRef>
          </c:val>
        </c:ser>
        <c:dLbls>
          <c:showVal val="1"/>
        </c:dLbls>
        <c:gapWidth val="246"/>
        <c:overlap val="-28"/>
        <c:axId val="191940096"/>
        <c:axId val="191941632"/>
      </c:barChart>
      <c:catAx>
        <c:axId val="191940096"/>
        <c:scaling>
          <c:orientation val="minMax"/>
        </c:scaling>
        <c:axPos val="b"/>
        <c:numFmt formatCode="General" sourceLinked="0"/>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1941632"/>
        <c:crosses val="autoZero"/>
        <c:auto val="1"/>
        <c:lblAlgn val="ctr"/>
        <c:lblOffset val="100"/>
      </c:catAx>
      <c:valAx>
        <c:axId val="191941632"/>
        <c:scaling>
          <c:orientation val="minMax"/>
        </c:scaling>
        <c:axPos val="l"/>
        <c:majorGridlines>
          <c:spPr>
            <a:ln w="9525" cap="flat" cmpd="sng" algn="ctr">
              <a:solidFill>
                <a:schemeClr val="lt1">
                  <a:lumMod val="90200"/>
                </a:schemeClr>
              </a:solidFill>
              <a:round/>
            </a:ln>
            <a:effectLst/>
          </c:spPr>
        </c:majorGridlines>
        <c:numFmt formatCode="General" sourceLinked="1"/>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1940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p>
        </c:rich>
      </c:tx>
      <c:spPr>
        <a:noFill/>
        <a:ln>
          <a:noFill/>
        </a:ln>
        <a:effectLst/>
      </c:spPr>
    </c:title>
    <c:plotArea>
      <c:layout>
        <c:manualLayout>
          <c:layoutTarget val="inner"/>
          <c:xMode val="edge"/>
          <c:yMode val="edge"/>
          <c:x val="0.17641942498188026"/>
          <c:y val="0.16043348916277136"/>
          <c:w val="0.79579608601111462"/>
          <c:h val="0.47433064173395739"/>
        </c:manualLayout>
      </c:layout>
      <c:barChart>
        <c:barDir val="col"/>
        <c:grouping val="clustered"/>
        <c:ser>
          <c:idx val="0"/>
          <c:order val="0"/>
          <c:tx>
            <c:strRef>
              <c:f>Sheet1!$B$1</c:f>
              <c:strCache>
                <c:ptCount val="1"/>
                <c:pt idx="0">
                  <c:v>年初预算数</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537.52</c:v>
                </c:pt>
                <c:pt idx="1">
                  <c:v>537.52</c:v>
                </c:pt>
                <c:pt idx="2">
                  <c:v>237.52</c:v>
                </c:pt>
                <c:pt idx="3">
                  <c:v>237.52</c:v>
                </c:pt>
                <c:pt idx="4">
                  <c:v>300</c:v>
                </c:pt>
                <c:pt idx="5">
                  <c:v>300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164.68</c:v>
                </c:pt>
                <c:pt idx="1">
                  <c:v>167.34</c:v>
                </c:pt>
                <c:pt idx="2">
                  <c:v>149.68</c:v>
                </c:pt>
                <c:pt idx="3">
                  <c:v>152.34</c:v>
                </c:pt>
                <c:pt idx="4">
                  <c:v>15</c:v>
                </c:pt>
                <c:pt idx="5">
                  <c:v>15</c:v>
                </c:pt>
                <c:pt idx="6">
                  <c:v>0</c:v>
                </c:pt>
                <c:pt idx="7">
                  <c:v>0</c:v>
                </c:pt>
              </c:numCache>
            </c:numRef>
          </c:val>
        </c:ser>
        <c:dLbls>
          <c:showVal val="1"/>
        </c:dLbls>
        <c:axId val="191989632"/>
        <c:axId val="191991168"/>
      </c:barChart>
      <c:catAx>
        <c:axId val="191989632"/>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1991168"/>
        <c:crosses val="autoZero"/>
        <c:auto val="1"/>
        <c:lblAlgn val="ctr"/>
        <c:lblOffset val="100"/>
      </c:catAx>
      <c:valAx>
        <c:axId val="191991168"/>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19896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p>
        </c:rich>
      </c:tx>
      <c:spPr>
        <a:noFill/>
        <a:ln>
          <a:noFill/>
        </a:ln>
        <a:effectLst/>
      </c:spPr>
    </c:title>
    <c:plotArea>
      <c:layout/>
      <c:pieChart>
        <c:varyColors val="1"/>
        <c:ser>
          <c:idx val="0"/>
          <c:order val="0"/>
          <c:tx>
            <c:strRef>
              <c:f>Sheet1!$B$1</c:f>
              <c:strCache>
                <c:ptCount val="1"/>
                <c:pt idx="0">
                  <c:v>金额</c:v>
                </c:pt>
              </c:strCache>
            </c:strRef>
          </c:tx>
          <c:dPt>
            <c:idx val="0"/>
            <c:spPr>
              <a:solidFill>
                <a:schemeClr val="accent1"/>
              </a:solidFill>
              <a:ln>
                <a:solidFill>
                  <a:schemeClr val="bg1"/>
                </a:solidFill>
              </a:ln>
              <a:effectLst/>
            </c:spPr>
          </c:dPt>
          <c:dPt>
            <c:idx val="1"/>
            <c:spPr>
              <a:solidFill>
                <a:schemeClr val="accent2"/>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Pt>
            <c:idx val="5"/>
            <c:spPr>
              <a:solidFill>
                <a:schemeClr val="accent6"/>
              </a:solidFill>
              <a:ln>
                <a:solidFill>
                  <a:schemeClr val="bg1"/>
                </a:solidFill>
              </a:ln>
              <a:effectLst/>
            </c:spPr>
          </c:dPt>
          <c:dPt>
            <c:idx val="6"/>
            <c:spPr>
              <a:solidFill>
                <a:schemeClr val="accent1">
                  <a:lumMod val="60000"/>
                </a:schemeClr>
              </a:solidFill>
              <a:ln>
                <a:solidFill>
                  <a:schemeClr val="bg1"/>
                </a:solidFill>
              </a:ln>
              <a:effectLst/>
            </c:spPr>
          </c:dPt>
          <c:dPt>
            <c:idx val="7"/>
            <c:spPr>
              <a:solidFill>
                <a:schemeClr val="accent2">
                  <a:lumMod val="60000"/>
                </a:schemeClr>
              </a:solidFill>
              <a:ln>
                <a:solidFill>
                  <a:schemeClr val="bg1"/>
                </a:solidFill>
              </a:ln>
              <a:effectLst/>
            </c:spPr>
          </c:dPt>
          <c:dPt>
            <c:idx val="8"/>
            <c:spPr>
              <a:solidFill>
                <a:schemeClr val="accent3">
                  <a:lumMod val="60000"/>
                </a:schemeClr>
              </a:solidFill>
              <a:ln>
                <a:solidFill>
                  <a:schemeClr val="bg1"/>
                </a:solidFill>
              </a:ln>
              <a:effectLst/>
            </c:spPr>
          </c:dPt>
          <c:dPt>
            <c:idx val="9"/>
            <c:spPr>
              <a:solidFill>
                <a:schemeClr val="accent4">
                  <a:lumMod val="60000"/>
                </a:schemeClr>
              </a:solidFill>
              <a:ln>
                <a:solidFill>
                  <a:schemeClr val="bg1"/>
                </a:solidFill>
              </a:ln>
              <a:effectLst/>
            </c:spPr>
          </c:dPt>
          <c:dPt>
            <c:idx val="10"/>
            <c:spPr>
              <a:solidFill>
                <a:schemeClr val="accent5">
                  <a:lumMod val="60000"/>
                </a:schemeClr>
              </a:solidFill>
              <a:ln>
                <a:solidFill>
                  <a:schemeClr val="bg1"/>
                </a:solidFill>
              </a:ln>
              <a:effectLst/>
            </c:spPr>
          </c:dPt>
          <c:dPt>
            <c:idx val="11"/>
            <c:spPr>
              <a:solidFill>
                <a:schemeClr val="accent6">
                  <a:lumMod val="60000"/>
                </a:schemeClr>
              </a:solidFill>
              <a:ln>
                <a:solidFill>
                  <a:schemeClr val="bg1"/>
                </a:solidFill>
              </a:ln>
              <a:effectLst/>
            </c:spPr>
          </c:dPt>
          <c:dPt>
            <c:idx val="12"/>
            <c:spPr>
              <a:solidFill>
                <a:schemeClr val="accent1">
                  <a:lumMod val="80000"/>
                  <a:lumOff val="20000"/>
                </a:schemeClr>
              </a:solidFill>
              <a:ln>
                <a:solidFill>
                  <a:schemeClr val="bg1"/>
                </a:solidFill>
              </a:ln>
              <a:effectLst/>
            </c:spPr>
          </c:dPt>
          <c:dPt>
            <c:idx val="13"/>
            <c:spPr>
              <a:solidFill>
                <a:schemeClr val="accent2">
                  <a:lumMod val="80000"/>
                  <a:lumOff val="20000"/>
                </a:schemeClr>
              </a:solidFill>
              <a:ln>
                <a:solidFill>
                  <a:schemeClr val="bg1"/>
                </a:solidFill>
              </a:ln>
              <a:effectLst/>
            </c:spPr>
          </c:dPt>
          <c:dPt>
            <c:idx val="14"/>
            <c:spPr>
              <a:solidFill>
                <a:schemeClr val="accent3">
                  <a:lumMod val="80000"/>
                  <a:lumOff val="20000"/>
                </a:schemeClr>
              </a:solidFill>
              <a:ln>
                <a:solidFill>
                  <a:schemeClr val="bg1"/>
                </a:solidFill>
              </a:ln>
              <a:effectLst/>
            </c:spPr>
          </c:dPt>
          <c:dPt>
            <c:idx val="15"/>
            <c:spPr>
              <a:solidFill>
                <a:schemeClr val="accent4">
                  <a:lumMod val="80000"/>
                  <a:lumOff val="20000"/>
                </a:schemeClr>
              </a:solidFill>
              <a:ln>
                <a:solidFill>
                  <a:schemeClr val="bg1"/>
                </a:solidFill>
              </a:ln>
              <a:effectLst/>
            </c:spPr>
          </c:dPt>
          <c:dPt>
            <c:idx val="16"/>
            <c:spPr>
              <a:solidFill>
                <a:schemeClr val="accent5">
                  <a:lumMod val="80000"/>
                  <a:lumOff val="20000"/>
                </a:schemeClr>
              </a:solidFill>
              <a:ln>
                <a:solidFill>
                  <a:schemeClr val="bg1"/>
                </a:solidFill>
              </a:ln>
              <a:effectLst/>
            </c:spPr>
          </c:dPt>
          <c:dPt>
            <c:idx val="17"/>
            <c:spPr>
              <a:solidFill>
                <a:schemeClr val="accent6">
                  <a:lumMod val="80000"/>
                  <a:lumOff val="20000"/>
                </a:schemeClr>
              </a:solidFill>
              <a:ln>
                <a:solidFill>
                  <a:schemeClr val="bg1"/>
                </a:solidFill>
              </a:ln>
              <a:effectLst/>
            </c:spPr>
          </c:dPt>
          <c:dPt>
            <c:idx val="18"/>
            <c:spPr>
              <a:solidFill>
                <a:schemeClr val="accent1">
                  <a:lumMod val="80000"/>
                </a:schemeClr>
              </a:solidFill>
              <a:ln>
                <a:solidFill>
                  <a:schemeClr val="bg1"/>
                </a:solidFill>
              </a:ln>
              <a:effectLst/>
            </c:spPr>
          </c:dPt>
          <c:dPt>
            <c:idx val="19"/>
            <c:spPr>
              <a:solidFill>
                <a:schemeClr val="accent2">
                  <a:lumMod val="80000"/>
                </a:schemeClr>
              </a:solidFill>
              <a:ln>
                <a:solidFill>
                  <a:schemeClr val="bg1"/>
                </a:solidFill>
              </a:ln>
              <a:effectLst/>
            </c:spPr>
          </c:dPt>
          <c:dPt>
            <c:idx val="20"/>
            <c:spPr>
              <a:solidFill>
                <a:schemeClr val="accent3">
                  <a:lumMod val="80000"/>
                </a:schemeClr>
              </a:solidFill>
              <a:ln>
                <a:solidFill>
                  <a:schemeClr val="bg1"/>
                </a:solidFill>
              </a:ln>
              <a:effectLst/>
            </c:spPr>
          </c:dPt>
          <c:dPt>
            <c:idx val="21"/>
            <c:spPr>
              <a:solidFill>
                <a:schemeClr val="accent4">
                  <a:lumMod val="80000"/>
                </a:schemeClr>
              </a:solidFill>
              <a:ln>
                <a:solidFill>
                  <a:schemeClr val="bg1"/>
                </a:solidFill>
              </a:ln>
              <a:effectLst/>
            </c:spPr>
          </c:dPt>
          <c:dPt>
            <c:idx val="22"/>
            <c:spPr>
              <a:solidFill>
                <a:schemeClr val="accent5">
                  <a:lumMod val="80000"/>
                </a:schemeClr>
              </a:solidFill>
              <a:ln>
                <a:solidFill>
                  <a:schemeClr val="bg1"/>
                </a:solidFill>
              </a:ln>
              <a:effectLst/>
            </c:spPr>
          </c:dPt>
          <c:dPt>
            <c:idx val="23"/>
            <c:spPr>
              <a:solidFill>
                <a:schemeClr val="accent6">
                  <a:lumMod val="80000"/>
                </a:schemeClr>
              </a:solidFill>
              <a:ln>
                <a:solidFill>
                  <a:schemeClr val="bg1"/>
                </a:solidFill>
              </a:ln>
              <a:effectLst/>
            </c:spPr>
          </c:dPt>
          <c:dPt>
            <c:idx val="24"/>
            <c:spPr>
              <a:solidFill>
                <a:schemeClr val="accent1">
                  <a:lumMod val="60000"/>
                  <a:lumOff val="40000"/>
                </a:schemeClr>
              </a:solidFill>
              <a:ln>
                <a:solidFill>
                  <a:schemeClr val="bg1"/>
                </a:solidFill>
              </a:ln>
              <a:effectLst/>
            </c:spPr>
          </c:dPt>
          <c:dPt>
            <c:idx val="25"/>
            <c:spPr>
              <a:solidFill>
                <a:schemeClr val="accent2">
                  <a:lumMod val="60000"/>
                  <a:lumOff val="40000"/>
                </a:schemeClr>
              </a:solidFill>
              <a:ln>
                <a:solidFill>
                  <a:schemeClr val="bg1"/>
                </a:solidFill>
              </a:ln>
              <a:effectLst/>
            </c:spPr>
          </c:dPt>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27.88</c:v>
                </c:pt>
                <c:pt idx="8">
                  <c:v>8.06</c:v>
                </c:pt>
                <c:pt idx="9">
                  <c:v>0</c:v>
                </c:pt>
                <c:pt idx="10">
                  <c:v>15</c:v>
                </c:pt>
                <c:pt idx="11">
                  <c:v>0</c:v>
                </c:pt>
                <c:pt idx="12">
                  <c:v>0</c:v>
                </c:pt>
                <c:pt idx="13">
                  <c:v>0</c:v>
                </c:pt>
                <c:pt idx="14">
                  <c:v>0</c:v>
                </c:pt>
                <c:pt idx="15">
                  <c:v>0</c:v>
                </c:pt>
                <c:pt idx="16">
                  <c:v>0</c:v>
                </c:pt>
                <c:pt idx="17">
                  <c:v>110.26</c:v>
                </c:pt>
                <c:pt idx="18">
                  <c:v>6.13</c:v>
                </c:pt>
                <c:pt idx="19">
                  <c:v>0</c:v>
                </c:pt>
                <c:pt idx="20">
                  <c:v>0</c:v>
                </c:pt>
                <c:pt idx="21">
                  <c:v>0</c:v>
                </c:pt>
                <c:pt idx="22">
                  <c:v>0</c:v>
                </c:pt>
                <c:pt idx="23">
                  <c:v>0</c:v>
                </c:pt>
                <c:pt idx="24">
                  <c:v>0</c:v>
                </c:pt>
                <c:pt idx="25">
                  <c:v>0</c:v>
                </c:pt>
              </c:numCache>
            </c:numRef>
          </c:val>
        </c:ser>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2003</Words>
  <Characters>11422</Characters>
  <Application>Microsoft Office Word</Application>
  <DocSecurity>0</DocSecurity>
  <Lines>95</Lines>
  <Paragraphs>26</Paragraphs>
  <ScaleCrop>false</ScaleCrop>
  <Company>神州网信技术有限公司</Company>
  <LinksUpToDate>false</LinksUpToDate>
  <CharactersWithSpaces>13399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xbany</cp:lastModifiedBy>
  <cp:revision>19</cp:revision>
  <cp:lastPrinted>2023-08-04T01:00:00Z</cp:lastPrinted>
  <dcterms:created xsi:type="dcterms:W3CDTF">2025-10-13T02:07:00Z</dcterms:created>
  <dcterms:modified xsi:type="dcterms:W3CDTF">2025-10-20T06:58:00Z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