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0" w:firstLineChars="200"/>
        <w:jc w:val="center"/>
        <w:rPr>
          <w:rFonts w:hint="eastAsia" w:ascii="华文中宋" w:hAnsi="华文中宋" w:eastAsia="华文中宋"/>
          <w:sz w:val="36"/>
          <w:szCs w:val="36"/>
          <w:highlight w:val="none"/>
        </w:rPr>
      </w:pPr>
      <w:bookmarkStart w:id="0" w:name="YS060100"/>
      <w:bookmarkStart w:id="1" w:name="第七部分部门决算分析报告撰写提纲"/>
    </w:p>
    <w:p>
      <w:pPr>
        <w:snapToGrid w:val="0"/>
        <w:jc w:val="center"/>
        <w:outlineLvl w:val="0"/>
        <w:rPr>
          <w:rFonts w:hint="eastAsia" w:ascii="华文中宋" w:hAnsi="华文中宋" w:eastAsia="华文中宋"/>
          <w:sz w:val="36"/>
          <w:szCs w:val="36"/>
          <w:highlight w:val="none"/>
        </w:rPr>
      </w:pPr>
      <w:r>
        <w:rPr>
          <w:rFonts w:hint="eastAsia" w:ascii="华文中宋" w:hAnsi="华文中宋" w:eastAsia="华文中宋"/>
          <w:sz w:val="36"/>
          <w:szCs w:val="36"/>
          <w:highlight w:val="none"/>
        </w:rPr>
        <w:t>202</w:t>
      </w:r>
      <w:r>
        <w:rPr>
          <w:rFonts w:hint="eastAsia" w:ascii="华文中宋" w:hAnsi="华文中宋" w:eastAsia="华文中宋" w:cs="Times New Roman"/>
          <w:sz w:val="36"/>
          <w:szCs w:val="36"/>
          <w:highlight w:val="none"/>
          <w:lang w:val="en-US" w:eastAsia="zh-CN"/>
        </w:rPr>
        <w:t>4</w:t>
      </w:r>
      <w:r>
        <w:rPr>
          <w:rFonts w:hint="eastAsia" w:ascii="华文中宋" w:hAnsi="华文中宋" w:eastAsia="华文中宋"/>
          <w:sz w:val="36"/>
          <w:szCs w:val="36"/>
          <w:highlight w:val="none"/>
        </w:rPr>
        <w:t>年度部门决算分析报告</w:t>
      </w:r>
      <w:bookmarkEnd w:id="0"/>
    </w:p>
    <w:p>
      <w:pPr>
        <w:pStyle w:val="2"/>
        <w:rPr>
          <w:rFonts w:hint="eastAsia"/>
        </w:rPr>
      </w:pPr>
      <w:bookmarkStart w:id="9" w:name="_GoBack"/>
      <w:bookmarkEnd w:id="9"/>
    </w:p>
    <w:p>
      <w:pPr>
        <w:snapToGrid w:val="0"/>
        <w:spacing w:line="520" w:lineRule="exact"/>
        <w:ind w:firstLine="640" w:firstLineChars="200"/>
        <w:rPr>
          <w:rFonts w:hint="eastAsia" w:ascii="黑体" w:hAnsi="黑体" w:eastAsia="黑体"/>
          <w:sz w:val="32"/>
          <w:szCs w:val="32"/>
          <w:highlight w:val="none"/>
        </w:rPr>
      </w:pPr>
      <w:bookmarkStart w:id="2" w:name="YS060101"/>
      <w:r>
        <w:rPr>
          <w:rFonts w:hint="eastAsia" w:ascii="黑体" w:hAnsi="黑体" w:eastAsia="黑体"/>
          <w:sz w:val="32"/>
          <w:szCs w:val="32"/>
          <w:highlight w:val="none"/>
        </w:rPr>
        <w:t>一、单位情况</w:t>
      </w:r>
    </w:p>
    <w:bookmarkEnd w:id="2"/>
    <w:p>
      <w:pPr>
        <w:snapToGrid w:val="0"/>
        <w:spacing w:line="520" w:lineRule="exact"/>
        <w:ind w:firstLine="643" w:firstLineChars="200"/>
        <w:rPr>
          <w:rFonts w:hint="eastAsia" w:ascii="楷体_GB2312" w:hAnsi="仿宋" w:eastAsia="楷体_GB2312"/>
          <w:b/>
          <w:sz w:val="32"/>
          <w:szCs w:val="32"/>
          <w:highlight w:val="none"/>
        </w:rPr>
      </w:pPr>
      <w:r>
        <w:rPr>
          <w:rFonts w:hint="eastAsia" w:ascii="楷体_GB2312" w:hAnsi="仿宋" w:eastAsia="楷体_GB2312"/>
          <w:b/>
          <w:sz w:val="32"/>
          <w:szCs w:val="32"/>
          <w:highlight w:val="none"/>
        </w:rPr>
        <w:t>（一）基本情况。</w:t>
      </w:r>
    </w:p>
    <w:p>
      <w:pPr>
        <w:numPr>
          <w:ilvl w:val="0"/>
          <w:numId w:val="0"/>
        </w:numPr>
        <w:spacing w:line="560" w:lineRule="exact"/>
        <w:ind w:firstLine="643" w:firstLineChars="200"/>
        <w:rPr>
          <w:rFonts w:hint="eastAsia" w:ascii="黑体" w:eastAsia="仿宋_GB2312" w:cs="黑体"/>
          <w:b/>
          <w:kern w:val="0"/>
          <w:sz w:val="32"/>
          <w:szCs w:val="32"/>
          <w:lang w:val="en-US" w:eastAsia="zh-CN"/>
        </w:rPr>
      </w:pPr>
      <w:r>
        <w:rPr>
          <w:rFonts w:hint="eastAsia" w:ascii="黑体" w:eastAsia="仿宋_GB2312" w:cs="黑体"/>
          <w:b/>
          <w:kern w:val="0"/>
          <w:sz w:val="32"/>
          <w:szCs w:val="32"/>
          <w:lang w:val="en-US" w:eastAsia="zh-CN"/>
        </w:rPr>
        <w:t>1.主要职能。</w:t>
      </w:r>
    </w:p>
    <w:p>
      <w:pPr>
        <w:pStyle w:val="4"/>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一）河北青龙物流产业聚集区党工委主要职责：贯彻落实党的路线、方针、政策和上级党委的决议、指示；研究聚集区重大经济社会发展问题；按照授权和干部管理权限负责聚集区干部管理；负责聚集区党的建设和其他党务工作；负责聚集区宣传和精神文明建设工作；负责聚集区营商环境建设；负责聚集区党的纪律检查工作；负责聚集区工会、共青团、妇联等群团工作；完成县委交办的其他工作任务。</w:t>
      </w:r>
    </w:p>
    <w:p>
      <w:pPr>
        <w:pStyle w:val="4"/>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二）河北青龙物流产业聚集区管委主要职责：编制辖区的总体经济规划和经济、社会发展规划，经批准后组织实施；编制辖区区域性城市发展规划、国土利用规划，经批准后组织实施；审核或审批辖区固定资产投资项目，负责辖区基础设施、公用设施的建设与管理；负责辖区财政管理，实施辖区内财政预算、决算、国有资产管理和财政监督工作；负责辖区招商引资、进出口贸易和国内外经济技术合作工作；负责辖区项目建设、企业发展服务、物流网络布局和物流信息平台建设工作；负责规划辖区内环境保护和安全生产监督管理工作；负责协调辖区内上级有关部门派驻机构的工作；负责青龙满族自治县人民政府交办的其他事项。</w:t>
      </w:r>
    </w:p>
    <w:p>
      <w:pPr>
        <w:pStyle w:val="4"/>
        <w:rPr>
          <w:rFonts w:hint="eastAsia" w:ascii="黑体" w:eastAsia="仿宋_GB2312" w:cs="黑体"/>
          <w:b/>
          <w:kern w:val="0"/>
          <w:sz w:val="32"/>
          <w:szCs w:val="32"/>
          <w:lang w:val="en-US" w:eastAsia="zh-CN"/>
        </w:rPr>
      </w:pPr>
      <w:r>
        <w:rPr>
          <w:rFonts w:hint="eastAsia" w:ascii="黑体" w:eastAsia="仿宋_GB2312" w:cs="黑体"/>
          <w:b/>
          <w:kern w:val="0"/>
          <w:sz w:val="32"/>
          <w:szCs w:val="32"/>
          <w:lang w:val="en-US" w:eastAsia="zh-CN"/>
        </w:rPr>
        <w:t>2.机构情况，包括当年变动及原因。</w:t>
      </w:r>
    </w:p>
    <w:p>
      <w:pPr>
        <w:numPr>
          <w:ilvl w:val="0"/>
          <w:numId w:val="0"/>
        </w:numPr>
        <w:spacing w:line="560" w:lineRule="exact"/>
        <w:ind w:firstLine="640" w:firstLineChars="200"/>
        <w:rPr>
          <w:rFonts w:hint="default" w:ascii="黑体" w:eastAsia="仿宋_GB2312" w:cs="黑体"/>
          <w:b w:val="0"/>
          <w:kern w:val="0"/>
          <w:sz w:val="32"/>
          <w:szCs w:val="32"/>
          <w:lang w:val="en-US" w:eastAsia="zh-CN"/>
        </w:rPr>
      </w:pPr>
      <w:r>
        <w:rPr>
          <w:rFonts w:hint="eastAsia" w:ascii="黑体" w:eastAsia="仿宋_GB2312" w:cs="黑体"/>
          <w:b w:val="0"/>
          <w:kern w:val="0"/>
          <w:sz w:val="32"/>
          <w:szCs w:val="32"/>
          <w:lang w:val="en-US" w:eastAsia="zh-CN"/>
        </w:rPr>
        <w:t>因机构改革，根据《中共青龙满族自治县委机构编制委员会关于印发&lt;中共河北青龙物流产业聚集区工作委员会河北青龙物流产业聚集区管理委员会职能配置、内设机构和人员编制规定&gt;的通知》（青编[2022]35号），机构人员核定事业编制40人。</w:t>
      </w:r>
    </w:p>
    <w:p>
      <w:pPr>
        <w:snapToGrid w:val="0"/>
        <w:spacing w:line="520" w:lineRule="exact"/>
        <w:ind w:firstLine="643" w:firstLineChars="200"/>
        <w:rPr>
          <w:rFonts w:hint="eastAsia" w:ascii="楷体_GB2312" w:hAnsi="仿宋" w:eastAsia="楷体_GB2312"/>
          <w:b/>
          <w:sz w:val="32"/>
          <w:szCs w:val="32"/>
          <w:highlight w:val="none"/>
        </w:rPr>
      </w:pPr>
      <w:r>
        <w:rPr>
          <w:rFonts w:hint="eastAsia" w:ascii="楷体_GB2312" w:hAnsi="仿宋" w:eastAsia="楷体_GB2312"/>
          <w:b/>
          <w:sz w:val="32"/>
          <w:szCs w:val="32"/>
          <w:highlight w:val="none"/>
        </w:rPr>
        <w:t>（二）当年取得的主要事业成效。</w:t>
      </w:r>
    </w:p>
    <w:p>
      <w:pPr>
        <w:spacing w:line="579" w:lineRule="exact"/>
        <w:ind w:firstLine="643" w:firstLineChars="200"/>
        <w:rPr>
          <w:rFonts w:ascii="仿宋_GB2312" w:hAnsi="黑体" w:eastAsia="仿宋_GB2312"/>
          <w:sz w:val="32"/>
          <w:szCs w:val="32"/>
        </w:rPr>
      </w:pP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sz w:val="32"/>
          <w:szCs w:val="32"/>
        </w:rPr>
        <w:t>着力强化党建引领，干事创业合力倍增。</w:t>
      </w:r>
      <w:r>
        <w:rPr>
          <w:rFonts w:hint="eastAsia" w:ascii="仿宋_GB2312" w:eastAsia="仿宋_GB2312"/>
          <w:sz w:val="32"/>
          <w:szCs w:val="32"/>
        </w:rPr>
        <w:t>坚持以党的建设为引领，着力提振干部精气神、提升队伍管理服务能力。在加强党建硬件设施建设、扎实组织开展好党建活动的基础上，着力强化高位推动，坚持每月召开一次党工委（扩大）会议，加强党的政治理论和国家、省市县重要会议文件精神的传达学习，加强聚集区发展建设相关政策、业务知识学习研讨，加强重点工作推进集体会商，干部队伍政治素养和业务水平得到显著提升。同时，坚持强化集中学习研读、在深学细悟上用真功，强化目标问题结果导向、在检视整改上叫真章，强化解难题促发展、在推动发展上使真劲，着力推动主题教育走深走实、见行见效，干部队伍精神风貌、综合素养、工作激情全面提升，团队整体凝聚力、向心力、执行力显著增强。</w:t>
      </w:r>
    </w:p>
    <w:p>
      <w:pPr>
        <w:spacing w:line="579" w:lineRule="exact"/>
        <w:ind w:firstLine="643" w:firstLineChars="200"/>
        <w:rPr>
          <w:rFonts w:ascii="仿宋_GB2312" w:hAnsi="黑体" w:eastAsia="仿宋_GB2312"/>
          <w:sz w:val="32"/>
          <w:szCs w:val="32"/>
        </w:rPr>
      </w:pPr>
      <w:r>
        <w:rPr>
          <w:rFonts w:hint="eastAsia" w:ascii="楷体_GB2312" w:eastAsia="楷体_GB2312"/>
          <w:b/>
          <w:sz w:val="32"/>
          <w:szCs w:val="32"/>
          <w:lang w:val="en-US" w:eastAsia="zh-CN"/>
        </w:rPr>
        <w:t>2.</w:t>
      </w:r>
      <w:r>
        <w:rPr>
          <w:rFonts w:hint="eastAsia" w:ascii="楷体_GB2312" w:eastAsia="楷体_GB2312"/>
          <w:b/>
          <w:sz w:val="32"/>
          <w:szCs w:val="32"/>
        </w:rPr>
        <w:t>着力提升招商质效，招引能力逐步增强。</w:t>
      </w:r>
      <w:r>
        <w:rPr>
          <w:rFonts w:hint="eastAsia" w:ascii="仿宋_GB2312" w:hAnsi="黑体" w:eastAsia="仿宋_GB2312"/>
          <w:sz w:val="32"/>
          <w:szCs w:val="32"/>
        </w:rPr>
        <w:t>紧紧围绕全县重点产业发展，积极争取中国投资协会及省、市有关部门支持指导，科学确定招商引资重点方向和目标企业。坚持通过多方咨询、实地考察等方式，全面了解意向投资项目的投资强度、产业带动力、税收贡献度、环境影响等情况，审慎确定重点招引项目。坚持密切对接重点招引项目投资企业，及时沟通协调有关问题，力促尽快签约落地。目前，已签约旺达智能农业农产品仓储冷链物流项目1个，计划总投资0.7亿元。拟于近期签约项目2个，分别为投资0.7亿元的秦皇岛铖阳实业有限公司报废机动车回收拆解项目、投资2亿元的秦皇岛朝尊农副食品加工有限公司30万头生猪屠宰及肉类食品深加工项目。</w:t>
      </w:r>
    </w:p>
    <w:p>
      <w:pPr>
        <w:spacing w:line="579" w:lineRule="exact"/>
        <w:ind w:firstLine="635"/>
        <w:rPr>
          <w:rFonts w:hint="eastAsia"/>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着力破解制约难题，营商环境持续优化。</w:t>
      </w:r>
      <w:r>
        <w:rPr>
          <w:rFonts w:hint="eastAsia" w:ascii="仿宋_GB2312" w:hAnsi="黑体" w:eastAsia="仿宋_GB2312"/>
          <w:sz w:val="32"/>
          <w:szCs w:val="32"/>
        </w:rPr>
        <w:t>牢固树立主动服务意识，努力做优软环境，坚持领导带着遍访，包企责任人员专访，多层次、多角度了解重点企业、项目生产经营、建设过程中存在问题，逐问题明确化解思路举措和解决时限、逐项跟踪督办，尽已所能协调解决污水处理、电力保障和原料供应、产品销售等制约难题30多项，促进中红三融、河北嘉荣等重点企业保持正常生产，六青菌业香菇产业园、桃花泉商贸有限公司安梨加工、百峰贸易板栗冷储加工、生物质颗粒等4个产业项目建成投产，以优质高效服务赢得企业认可，进一步坚定了企业发展壮大的信心和决心。积极拓展思路举措，努力改善基础配套，第二片区通达道路投入使用，完成水土保持区域评估方案编制。同时，对接省发改委，以百峰贸易、旺达智能农业项目为依托，申报国家级物流基础设施项目支持资金5280万元；对接县发改、财政部门，谋划包装申请国家债券资金项目2个，其中香菇产业园配套道路项目拟申请一般债券资金700万元，污水处理厂二期及提升项目</w:t>
      </w:r>
      <w:r>
        <w:rPr>
          <w:rFonts w:hint="eastAsia" w:ascii="仿宋_GB2312" w:eastAsia="仿宋_GB2312"/>
          <w:sz w:val="32"/>
          <w:szCs w:val="32"/>
        </w:rPr>
        <w:t>拟</w:t>
      </w:r>
      <w:r>
        <w:rPr>
          <w:rFonts w:hint="eastAsia" w:ascii="仿宋_GB2312" w:hAnsi="黑体" w:eastAsia="仿宋_GB2312"/>
          <w:sz w:val="32"/>
          <w:szCs w:val="32"/>
        </w:rPr>
        <w:t>申请专项债券资金</w:t>
      </w:r>
      <w:r>
        <w:rPr>
          <w:rFonts w:hint="eastAsia" w:ascii="仿宋_GB2312" w:eastAsia="仿宋_GB2312"/>
          <w:sz w:val="32"/>
          <w:szCs w:val="32"/>
        </w:rPr>
        <w:t>10000万元。可进一步完善园区基础设施配套，提升项目承载能力。同时，主动对接常委机关和职能部门，积极争取业务支持指导，有力增强了对县委、县政府决策部署的领悟力、执行力，有效提升了聚集区协调能力、办事效能。</w:t>
      </w:r>
    </w:p>
    <w:p>
      <w:pPr>
        <w:snapToGrid w:val="0"/>
        <w:spacing w:line="520" w:lineRule="exact"/>
        <w:ind w:firstLine="640" w:firstLineChars="200"/>
        <w:rPr>
          <w:rFonts w:hint="eastAsia" w:ascii="黑体" w:hAnsi="黑体" w:eastAsia="黑体"/>
          <w:sz w:val="32"/>
          <w:szCs w:val="32"/>
          <w:highlight w:val="none"/>
        </w:rPr>
      </w:pPr>
      <w:bookmarkStart w:id="3" w:name="YS060102"/>
      <w:r>
        <w:rPr>
          <w:rFonts w:hint="eastAsia" w:ascii="黑体" w:hAnsi="黑体" w:eastAsia="黑体"/>
          <w:sz w:val="32"/>
          <w:szCs w:val="32"/>
          <w:highlight w:val="none"/>
        </w:rPr>
        <w:t>二、收入支出预算执行情况分析</w:t>
      </w:r>
    </w:p>
    <w:bookmarkEnd w:id="3"/>
    <w:p>
      <w:pPr>
        <w:snapToGrid w:val="0"/>
        <w:spacing w:line="520" w:lineRule="exact"/>
        <w:ind w:firstLine="643" w:firstLineChars="200"/>
        <w:rPr>
          <w:rFonts w:hint="eastAsia" w:ascii="楷体_GB2312" w:hAnsi="仿宋" w:eastAsia="楷体_GB2312"/>
          <w:b/>
          <w:sz w:val="32"/>
          <w:szCs w:val="32"/>
          <w:highlight w:val="none"/>
        </w:rPr>
      </w:pPr>
      <w:r>
        <w:rPr>
          <w:rFonts w:hint="eastAsia" w:ascii="楷体_GB2312" w:hAnsi="仿宋" w:eastAsia="楷体_GB2312"/>
          <w:b/>
          <w:sz w:val="32"/>
          <w:szCs w:val="32"/>
          <w:highlight w:val="none"/>
        </w:rPr>
        <w:t>（一）收入支出预算安排情况。</w:t>
      </w:r>
    </w:p>
    <w:p>
      <w:pPr>
        <w:snapToGrid w:val="0"/>
        <w:spacing w:line="520" w:lineRule="exact"/>
        <w:ind w:firstLine="640" w:firstLineChars="200"/>
        <w:outlineLvl w:val="0"/>
        <w:rPr>
          <w:rFonts w:hint="eastAsia" w:ascii="仿宋_GB2312" w:hAnsi="仿宋" w:eastAsia="仿宋_GB2312"/>
          <w:sz w:val="32"/>
          <w:szCs w:val="32"/>
          <w:highlight w:val="none"/>
        </w:rPr>
      </w:pPr>
      <w:r>
        <w:rPr>
          <w:rFonts w:hint="eastAsia" w:ascii="仿宋_GB2312" w:hAnsi="仿宋" w:eastAsia="仿宋_GB2312"/>
          <w:sz w:val="32"/>
          <w:szCs w:val="32"/>
          <w:highlight w:val="none"/>
        </w:rPr>
        <w:t>2024年预算收入385.39万元，其中：一般公共预算收入166.24万元，基金预算收入199.00万元，国有资本经营预算收入0.00万元，财政专户核拨收入0.00万元，单位资金收入0.00万元，上年结转结余20.15万元。2024年支出预算385.39万元，其中基本支出153.74万元，包括人员经费117.72万元和日常公用经费36.02万元；项目支出231.65万元，主要为主要基础设施建设项目资金、控制性详细规划款、水土评估费和招商引资工作经费。</w:t>
      </w:r>
    </w:p>
    <w:p>
      <w:pPr>
        <w:snapToGrid w:val="0"/>
        <w:spacing w:line="520" w:lineRule="exact"/>
        <w:ind w:firstLine="643" w:firstLineChars="200"/>
        <w:outlineLvl w:val="0"/>
        <w:rPr>
          <w:rFonts w:hint="eastAsia" w:ascii="楷体_GB2312" w:hAnsi="仿宋" w:eastAsia="楷体_GB2312"/>
          <w:b/>
          <w:sz w:val="32"/>
          <w:szCs w:val="32"/>
          <w:highlight w:val="none"/>
        </w:rPr>
      </w:pPr>
      <w:r>
        <w:rPr>
          <w:rFonts w:hint="eastAsia" w:ascii="楷体_GB2312" w:hAnsi="仿宋" w:eastAsia="楷体_GB2312"/>
          <w:b/>
          <w:sz w:val="32"/>
          <w:szCs w:val="32"/>
          <w:highlight w:val="none"/>
        </w:rPr>
        <w:t>（二）收入支出预算执行情况。</w:t>
      </w:r>
    </w:p>
    <w:p>
      <w:pPr>
        <w:snapToGrid w:val="0"/>
        <w:spacing w:line="520" w:lineRule="exact"/>
        <w:ind w:firstLine="643" w:firstLineChars="200"/>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1．收入支出与预算对比分析。</w:t>
      </w:r>
    </w:p>
    <w:p>
      <w:pPr>
        <w:snapToGrid w:val="0"/>
        <w:spacing w:line="52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（1）2024年预算收支安排385.39万元，较2023年预算增加229.22万元，其中：基本支出增加22.57万元，主要为人员调入增加了工资福利支出。项目支出增加206.65万元</w:t>
      </w:r>
      <w:r>
        <w:rPr>
          <w:rFonts w:hint="eastAsia" w:ascii="仿宋_GB2312" w:hAnsi="仿宋" w:eastAsia="仿宋_GB2312"/>
          <w:sz w:val="32"/>
          <w:szCs w:val="32"/>
          <w:highlight w:val="none"/>
          <w:lang w:eastAsia="zh-CN"/>
        </w:rPr>
        <w:t>。</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（2）项目支出增加206.65万元，主要为基础设施建设项目资金、控制性详细规划款、水土评估费和招商引资工作经费。</w:t>
      </w:r>
    </w:p>
    <w:p>
      <w:pPr>
        <w:snapToGrid w:val="0"/>
        <w:spacing w:line="520" w:lineRule="exact"/>
        <w:ind w:firstLine="643" w:firstLineChars="200"/>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2．收入支出结构分析。</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2024年预算收入385.39万元，其中：一般公共预算收入166.24万元，基金预算收入199.00万元，国有资本经营预算收入0.00万元，财政专户核拨收入0.00万元，单位资金收入0.00万元，上年结转结余20.15万元。2024年支出预算385.39万元，其中基本支出153.74万元，包括人员经费117.72万元和日常公用经费36.02万元；项目支出231.65万元</w:t>
      </w:r>
      <w:r>
        <w:rPr>
          <w:rFonts w:hint="eastAsia" w:ascii="仿宋_GB2312" w:hAnsi="仿宋" w:eastAsia="仿宋_GB2312"/>
          <w:sz w:val="32"/>
          <w:szCs w:val="32"/>
          <w:highlight w:val="none"/>
          <w:lang w:eastAsia="zh-CN"/>
        </w:rPr>
        <w:t>。</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（2）主要为主要基础设施建设项目资金、控制性详细规划款、水土评估费和招商引资工作经费。</w:t>
      </w:r>
    </w:p>
    <w:p>
      <w:pPr>
        <w:snapToGrid w:val="0"/>
        <w:spacing w:line="520" w:lineRule="exact"/>
        <w:ind w:firstLine="643" w:firstLineChars="200"/>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3．支出按经济分类科目分析。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highlight w:val="none"/>
        </w:rPr>
        <w:t>（1）</w:t>
      </w:r>
      <w:r>
        <w:rPr>
          <w:rFonts w:hint="eastAsia" w:ascii="仿宋_GB2312" w:hAnsi="仿宋" w:eastAsia="仿宋_GB2312"/>
          <w:sz w:val="32"/>
          <w:szCs w:val="32"/>
        </w:rPr>
        <w:t>“三公”经费支出情况：</w:t>
      </w:r>
      <w:r>
        <w:rPr>
          <w:rFonts w:hint="eastAsia" w:ascii="仿宋_GB2312" w:hAnsi="仿宋" w:eastAsia="仿宋_GB2312" w:cs="仿宋"/>
          <w:color w:val="000000"/>
          <w:sz w:val="32"/>
          <w:szCs w:val="32"/>
        </w:rPr>
        <w:t>本年度三公经费年初预算数</w:t>
      </w:r>
      <w:r>
        <w:rPr>
          <w:rFonts w:hint="eastAsia" w:ascii="仿宋_GB2312" w:hAnsi="仿宋" w:eastAsia="仿宋_GB2312" w:cs="仿宋"/>
          <w:color w:val="000000"/>
          <w:sz w:val="32"/>
          <w:szCs w:val="32"/>
          <w:lang w:val="en-US" w:eastAsia="zh-CN"/>
        </w:rPr>
        <w:t>3.5</w:t>
      </w:r>
      <w:r>
        <w:rPr>
          <w:rFonts w:hint="eastAsia" w:ascii="仿宋_GB2312" w:hAnsi="仿宋" w:eastAsia="仿宋_GB2312" w:cs="仿宋"/>
          <w:color w:val="000000"/>
          <w:sz w:val="32"/>
          <w:szCs w:val="32"/>
        </w:rPr>
        <w:t>万元，实际支出数</w:t>
      </w:r>
      <w:r>
        <w:rPr>
          <w:rFonts w:hint="eastAsia" w:ascii="仿宋_GB2312" w:hAnsi="仿宋" w:eastAsia="仿宋_GB2312" w:cs="仿宋"/>
          <w:color w:val="000000"/>
          <w:sz w:val="32"/>
          <w:szCs w:val="32"/>
          <w:lang w:val="en-US" w:eastAsia="zh-CN"/>
        </w:rPr>
        <w:t>3.5</w:t>
      </w:r>
      <w:r>
        <w:rPr>
          <w:rFonts w:hint="eastAsia" w:ascii="仿宋_GB2312" w:hAnsi="仿宋" w:eastAsia="仿宋_GB2312" w:cs="仿宋"/>
          <w:color w:val="000000"/>
          <w:sz w:val="32"/>
          <w:szCs w:val="32"/>
        </w:rPr>
        <w:t>万元，上年度三公经费年初预算数</w:t>
      </w:r>
      <w:r>
        <w:rPr>
          <w:rFonts w:hint="eastAsia" w:ascii="仿宋_GB2312" w:hAnsi="仿宋" w:eastAsia="仿宋_GB2312" w:cs="仿宋"/>
          <w:color w:val="000000"/>
          <w:sz w:val="32"/>
          <w:szCs w:val="32"/>
          <w:lang w:val="en-US" w:eastAsia="zh-CN"/>
        </w:rPr>
        <w:t>3.5</w:t>
      </w:r>
      <w:r>
        <w:rPr>
          <w:rFonts w:hint="eastAsia" w:ascii="仿宋_GB2312" w:hAnsi="仿宋" w:eastAsia="仿宋_GB2312" w:cs="仿宋"/>
          <w:color w:val="000000"/>
          <w:sz w:val="32"/>
          <w:szCs w:val="32"/>
        </w:rPr>
        <w:t>万元，实际支出数</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万元。</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（2）会议费支出情况：</w:t>
      </w:r>
      <w:r>
        <w:rPr>
          <w:rFonts w:hint="eastAsia" w:ascii="仿宋_GB2312" w:hAnsi="仿宋" w:eastAsia="仿宋_GB2312"/>
          <w:sz w:val="32"/>
          <w:szCs w:val="32"/>
        </w:rPr>
        <w:t>本年度无会议费支出。</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（3）培训费支出情况：</w:t>
      </w:r>
      <w:r>
        <w:rPr>
          <w:rFonts w:hint="eastAsia" w:ascii="仿宋_GB2312" w:hAnsi="仿宋" w:eastAsia="仿宋_GB2312"/>
          <w:sz w:val="32"/>
          <w:szCs w:val="32"/>
        </w:rPr>
        <w:t>本年度无培训费支出。</w:t>
      </w:r>
    </w:p>
    <w:p>
      <w:pPr>
        <w:numPr>
          <w:ilvl w:val="0"/>
          <w:numId w:val="0"/>
        </w:numPr>
        <w:snapToGrid w:val="0"/>
        <w:spacing w:line="520" w:lineRule="exact"/>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 xml:space="preserve">    </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）差旅</w:t>
      </w:r>
      <w:r>
        <w:rPr>
          <w:rFonts w:hint="eastAsia" w:ascii="仿宋_GB2312" w:hAnsi="仿宋" w:eastAsia="仿宋_GB2312" w:cs="Times New Roman"/>
          <w:sz w:val="32"/>
          <w:szCs w:val="32"/>
          <w:highlight w:val="none"/>
        </w:rPr>
        <w:t>费支</w:t>
      </w:r>
      <w:r>
        <w:rPr>
          <w:rFonts w:hint="eastAsia" w:ascii="仿宋_GB2312" w:hAnsi="仿宋" w:eastAsia="仿宋_GB2312"/>
          <w:sz w:val="32"/>
          <w:szCs w:val="32"/>
          <w:highlight w:val="none"/>
        </w:rPr>
        <w:t>出情况：</w:t>
      </w:r>
      <w:r>
        <w:rPr>
          <w:rFonts w:hint="eastAsia" w:ascii="仿宋_GB2312" w:hAnsi="仿宋" w:eastAsia="仿宋_GB2312"/>
          <w:sz w:val="32"/>
          <w:szCs w:val="32"/>
          <w:highlight w:val="none"/>
          <w:lang w:val="en-US" w:eastAsia="zh-CN"/>
        </w:rPr>
        <w:t>无变化。</w:t>
      </w:r>
    </w:p>
    <w:p>
      <w:pPr>
        <w:numPr>
          <w:ilvl w:val="0"/>
          <w:numId w:val="0"/>
        </w:numPr>
        <w:snapToGrid w:val="0"/>
        <w:spacing w:line="520" w:lineRule="exact"/>
        <w:ind w:firstLine="64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其他对单位影响较大的支出情况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 xml:space="preserve">无    </w:t>
      </w:r>
    </w:p>
    <w:p>
      <w:pPr>
        <w:numPr>
          <w:ilvl w:val="0"/>
          <w:numId w:val="0"/>
        </w:numPr>
        <w:snapToGrid w:val="0"/>
        <w:spacing w:line="520" w:lineRule="exact"/>
        <w:ind w:firstLine="64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重点经济分类支出中存在的问题及改进措施</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无</w:t>
      </w:r>
    </w:p>
    <w:p>
      <w:pPr>
        <w:keepNext w:val="0"/>
        <w:keepLines w:val="0"/>
        <w:pageBreakBefore w:val="0"/>
        <w:widowControl w:val="0"/>
        <w:numPr>
          <w:ilvl w:val="0"/>
          <w:numId w:val="1"/>
        </w:numPr>
        <w:tabs>
          <w:tab w:val="left" w:pos="312"/>
          <w:tab w:val="clear" w:pos="0"/>
        </w:tabs>
        <w:kinsoku/>
        <w:wordWrap/>
        <w:overflowPunct/>
        <w:topLinePunct w:val="0"/>
        <w:autoSpaceDE/>
        <w:autoSpaceDN/>
        <w:bidi w:val="0"/>
        <w:adjustRightInd/>
        <w:snapToGrid w:val="0"/>
        <w:spacing w:line="520" w:lineRule="exact"/>
        <w:ind w:left="0" w:leftChars="0" w:firstLine="643" w:firstLineChars="200"/>
        <w:textAlignment w:val="auto"/>
        <w:rPr>
          <w:rFonts w:hint="default"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支出按功能分类科目分析。</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本年度财政拨款收入1620.63万元，其中一般公共预算财政拨款收入589.45万元，政府性基金预算财政拨款收入1031.18万元；本年度财政拨款支出1620.63万元，其中基本支出181.81万元，项目支出1438.82万元。</w:t>
      </w:r>
    </w:p>
    <w:p>
      <w:pPr>
        <w:snapToGrid w:val="0"/>
        <w:spacing w:line="520" w:lineRule="exact"/>
        <w:ind w:firstLine="643" w:firstLineChars="200"/>
        <w:rPr>
          <w:rFonts w:hint="eastAsia" w:ascii="仿宋_GB2312" w:hAnsi="仿宋" w:eastAsia="仿宋_GB2312"/>
          <w:b/>
          <w:sz w:val="32"/>
          <w:szCs w:val="32"/>
          <w:highlight w:val="none"/>
        </w:rPr>
      </w:pPr>
      <w:r>
        <w:rPr>
          <w:rFonts w:hint="eastAsia" w:ascii="仿宋_GB2312" w:hAnsi="仿宋" w:eastAsia="仿宋_GB2312"/>
          <w:b/>
          <w:sz w:val="32"/>
          <w:szCs w:val="32"/>
          <w:highlight w:val="none"/>
          <w:lang w:val="en-US" w:eastAsia="zh-CN"/>
        </w:rPr>
        <w:t>5</w:t>
      </w:r>
      <w:r>
        <w:rPr>
          <w:rFonts w:hint="eastAsia" w:ascii="仿宋_GB2312" w:hAnsi="仿宋" w:eastAsia="仿宋_GB2312"/>
          <w:b/>
          <w:sz w:val="32"/>
          <w:szCs w:val="32"/>
          <w:highlight w:val="none"/>
        </w:rPr>
        <w:t>.财政拨款收入、支出分析。</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本年度财政拨款收入1620.63万元，其中一般公共预算财政拨款收入589.45万元，政府性基金预算财政拨款收入1031.18万元；本年度财政拨款支出1620.63万元，其中基本支出181.81万元，项目支出1438.82万元。</w:t>
      </w:r>
    </w:p>
    <w:p>
      <w:pPr>
        <w:snapToGrid w:val="0"/>
        <w:spacing w:line="520" w:lineRule="exact"/>
        <w:ind w:firstLine="643" w:firstLineChars="200"/>
        <w:rPr>
          <w:rFonts w:hint="eastAsia" w:ascii="仿宋_GB2312" w:hAnsi="仿宋" w:eastAsia="仿宋_GB2312"/>
          <w:b/>
          <w:sz w:val="32"/>
          <w:szCs w:val="32"/>
          <w:highlight w:val="none"/>
          <w:lang w:eastAsia="zh-CN"/>
        </w:rPr>
      </w:pPr>
      <w:r>
        <w:rPr>
          <w:rFonts w:hint="eastAsia" w:ascii="仿宋_GB2312" w:hAnsi="仿宋" w:eastAsia="仿宋_GB2312"/>
          <w:b/>
          <w:sz w:val="32"/>
          <w:szCs w:val="32"/>
          <w:highlight w:val="none"/>
          <w:lang w:val="en-US" w:eastAsia="zh-CN"/>
        </w:rPr>
        <w:t>6</w:t>
      </w:r>
      <w:r>
        <w:rPr>
          <w:rFonts w:hint="eastAsia" w:ascii="仿宋_GB2312" w:hAnsi="仿宋" w:eastAsia="仿宋_GB2312"/>
          <w:b/>
          <w:sz w:val="32"/>
          <w:szCs w:val="32"/>
          <w:highlight w:val="none"/>
        </w:rPr>
        <w:t>.非财政拨款收入、支出分析。</w:t>
      </w:r>
      <w:r>
        <w:rPr>
          <w:rFonts w:hint="eastAsia" w:ascii="仿宋_GB2312" w:hAnsi="仿宋" w:eastAsia="仿宋_GB2312"/>
          <w:b/>
          <w:sz w:val="32"/>
          <w:szCs w:val="32"/>
          <w:highlight w:val="none"/>
          <w:lang w:eastAsia="zh-CN"/>
        </w:rPr>
        <w:t>（此处根据提纲完善）</w:t>
      </w:r>
    </w:p>
    <w:p>
      <w:pPr>
        <w:snapToGrid w:val="0"/>
        <w:spacing w:line="520" w:lineRule="exact"/>
        <w:ind w:firstLine="640" w:firstLineChars="200"/>
        <w:outlineLvl w:val="0"/>
        <w:rPr>
          <w:rFonts w:hint="eastAsia" w:ascii="仿宋_GB2312" w:hAnsi="仿宋" w:eastAsia="仿宋_GB2312"/>
          <w:sz w:val="32"/>
          <w:szCs w:val="32"/>
          <w:highlight w:val="none"/>
        </w:rPr>
      </w:pPr>
      <w:r>
        <w:rPr>
          <w:rFonts w:hint="eastAsia" w:ascii="仿宋_GB2312" w:hAnsi="仿宋" w:eastAsia="仿宋_GB2312"/>
          <w:sz w:val="32"/>
          <w:szCs w:val="32"/>
          <w:highlight w:val="none"/>
        </w:rPr>
        <w:t>本单位本年无非财政拨款收入。</w:t>
      </w:r>
    </w:p>
    <w:p>
      <w:pPr>
        <w:snapToGrid w:val="0"/>
        <w:spacing w:line="520" w:lineRule="exact"/>
        <w:ind w:firstLine="643" w:firstLineChars="200"/>
        <w:outlineLvl w:val="0"/>
        <w:rPr>
          <w:rFonts w:hint="eastAsia" w:ascii="楷体_GB2312" w:hAnsi="仿宋" w:eastAsia="楷体_GB2312"/>
          <w:b/>
          <w:sz w:val="32"/>
          <w:szCs w:val="32"/>
          <w:highlight w:val="none"/>
        </w:rPr>
      </w:pPr>
      <w:r>
        <w:rPr>
          <w:rFonts w:hint="eastAsia" w:ascii="楷体_GB2312" w:hAnsi="仿宋" w:eastAsia="楷体_GB2312"/>
          <w:b/>
          <w:sz w:val="32"/>
          <w:szCs w:val="32"/>
          <w:highlight w:val="none"/>
        </w:rPr>
        <w:t>（三）年末结转和结余情况。</w:t>
      </w:r>
    </w:p>
    <w:p>
      <w:pPr>
        <w:numPr>
          <w:ilvl w:val="0"/>
          <w:numId w:val="2"/>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本年度本单位无年末结转和结余。</w:t>
      </w:r>
    </w:p>
    <w:bookmarkEnd w:id="1"/>
    <w:p>
      <w:pPr>
        <w:snapToGrid w:val="0"/>
        <w:spacing w:line="520" w:lineRule="exact"/>
        <w:ind w:firstLine="643" w:firstLineChars="200"/>
        <w:outlineLvl w:val="0"/>
        <w:rPr>
          <w:rFonts w:hint="eastAsia" w:ascii="楷体_GB2312" w:hAnsi="仿宋" w:eastAsia="楷体_GB2312"/>
          <w:b/>
          <w:dstrike w:val="0"/>
          <w:sz w:val="32"/>
          <w:szCs w:val="32"/>
          <w:highlight w:val="none"/>
        </w:rPr>
      </w:pPr>
      <w:bookmarkStart w:id="4" w:name="YS060103"/>
      <w:r>
        <w:rPr>
          <w:rFonts w:hint="eastAsia" w:ascii="楷体_GB2312" w:hAnsi="仿宋" w:eastAsia="楷体_GB2312"/>
          <w:b/>
          <w:dstrike w:val="0"/>
          <w:sz w:val="32"/>
          <w:szCs w:val="32"/>
          <w:highlight w:val="none"/>
        </w:rPr>
        <w:t>（四）与预算支出相关的其他指标分析。</w:t>
      </w:r>
    </w:p>
    <w:p>
      <w:pPr>
        <w:snapToGrid w:val="0"/>
        <w:spacing w:line="520" w:lineRule="exact"/>
        <w:ind w:firstLine="640" w:firstLineChars="200"/>
        <w:outlineLvl w:val="0"/>
        <w:rPr>
          <w:rFonts w:hint="eastAsia" w:ascii="仿宋_GB2312" w:hAnsi="仿宋" w:eastAsia="仿宋_GB2312"/>
          <w:dstrike w:val="0"/>
          <w:sz w:val="32"/>
          <w:szCs w:val="32"/>
          <w:highlight w:val="none"/>
          <w:lang w:val="en-US" w:eastAsia="zh-CN"/>
        </w:rPr>
      </w:pPr>
      <w:r>
        <w:rPr>
          <w:rFonts w:hint="eastAsia" w:ascii="仿宋_GB2312" w:hAnsi="仿宋" w:eastAsia="仿宋_GB2312"/>
          <w:dstrike w:val="0"/>
          <w:sz w:val="32"/>
          <w:szCs w:val="32"/>
          <w:highlight w:val="none"/>
          <w:lang w:val="en-US" w:eastAsia="zh-CN"/>
        </w:rPr>
        <w:t>新招录7人，人员经费增加。</w:t>
      </w:r>
    </w:p>
    <w:p>
      <w:pPr>
        <w:snapToGrid w:val="0"/>
        <w:spacing w:line="520" w:lineRule="exact"/>
        <w:ind w:firstLine="643" w:firstLineChars="200"/>
        <w:outlineLvl w:val="0"/>
        <w:rPr>
          <w:rFonts w:ascii="楷体_GB2312" w:hAnsi="仿宋" w:eastAsia="楷体_GB2312"/>
          <w:b/>
          <w:sz w:val="32"/>
          <w:szCs w:val="32"/>
          <w:highlight w:val="none"/>
        </w:rPr>
      </w:pPr>
      <w:r>
        <w:rPr>
          <w:rFonts w:hint="eastAsia" w:ascii="楷体_GB2312" w:hAnsi="仿宋" w:eastAsia="楷体_GB2312"/>
          <w:b/>
          <w:dstrike w:val="0"/>
          <w:sz w:val="32"/>
          <w:szCs w:val="32"/>
          <w:highlight w:val="none"/>
        </w:rPr>
        <w:t>（五）</w:t>
      </w:r>
      <w:r>
        <w:rPr>
          <w:rFonts w:hint="eastAsia" w:ascii="楷体_GB2312" w:hAnsi="仿宋" w:eastAsia="楷体_GB2312"/>
          <w:b/>
          <w:sz w:val="32"/>
          <w:szCs w:val="32"/>
          <w:highlight w:val="none"/>
        </w:rPr>
        <w:t>绩效目标完成情况。</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 xml:space="preserve">年,将认真贯彻落实党的二十大精神及国家、省市县各项部署。重点打造农牧产品深加工和仓储物流产业聚集示范区,加快推进肖营子食品加工园区建设，践行新发展理念，把握高质量发展要求，大力开展招商引资和项目建设，到2030年，建成区面积达到9.48平方公里，将聚集区打造成农副食品产业高质量发展示范区。 </w:t>
      </w:r>
    </w:p>
    <w:p>
      <w:pPr>
        <w:numPr>
          <w:ilvl w:val="0"/>
          <w:numId w:val="3"/>
        </w:numPr>
        <w:snapToGrid w:val="0"/>
        <w:spacing w:line="520" w:lineRule="exact"/>
        <w:ind w:firstLine="643" w:firstLineChars="200"/>
        <w:rPr>
          <w:rFonts w:hint="eastAsia" w:ascii="楷体_GB2312" w:hAnsi="仿宋" w:eastAsia="楷体_GB2312"/>
          <w:b/>
          <w:sz w:val="32"/>
          <w:szCs w:val="32"/>
          <w:highlight w:val="none"/>
          <w:lang w:val="en-US" w:eastAsia="zh-CN"/>
        </w:rPr>
      </w:pPr>
      <w:r>
        <w:rPr>
          <w:rFonts w:hint="eastAsia" w:ascii="楷体_GB2312" w:hAnsi="仿宋" w:eastAsia="楷体_GB2312"/>
          <w:b/>
          <w:sz w:val="32"/>
          <w:szCs w:val="32"/>
          <w:highlight w:val="none"/>
        </w:rPr>
        <w:t>当年预算执行及绩效管理中存在问题、原因及改进措施。</w:t>
      </w:r>
      <w:r>
        <w:rPr>
          <w:rFonts w:hint="eastAsia" w:ascii="楷体_GB2312" w:hAnsi="仿宋" w:eastAsia="楷体_GB2312"/>
          <w:b/>
          <w:sz w:val="32"/>
          <w:szCs w:val="32"/>
          <w:highlight w:val="none"/>
          <w:lang w:val="en-US" w:eastAsia="zh-CN"/>
        </w:rPr>
        <w:t xml:space="preserve"> </w:t>
      </w:r>
    </w:p>
    <w:bookmarkEnd w:id="4"/>
    <w:p>
      <w:pPr>
        <w:snapToGrid w:val="0"/>
        <w:spacing w:line="520" w:lineRule="exact"/>
        <w:ind w:firstLine="640" w:firstLineChars="200"/>
        <w:rPr>
          <w:rFonts w:hint="eastAsia" w:ascii="仿宋_GB2312" w:hAnsi="仿宋" w:eastAsia="仿宋_GB2312"/>
          <w:sz w:val="32"/>
          <w:szCs w:val="32"/>
          <w:highlight w:val="none"/>
          <w:lang w:val="en-US" w:eastAsia="zh-CN"/>
        </w:rPr>
      </w:pPr>
      <w:bookmarkStart w:id="5" w:name="YS060104"/>
      <w:r>
        <w:rPr>
          <w:rFonts w:hint="eastAsia" w:ascii="仿宋_GB2312" w:hAnsi="仿宋" w:eastAsia="仿宋_GB2312"/>
          <w:sz w:val="32"/>
          <w:szCs w:val="32"/>
          <w:highlight w:val="none"/>
          <w:lang w:val="en-US" w:eastAsia="zh-CN"/>
        </w:rPr>
        <w:t>无</w:t>
      </w:r>
    </w:p>
    <w:p>
      <w:pPr>
        <w:snapToGrid w:val="0"/>
        <w:spacing w:line="52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三、本年度部门决算等财务工作开展情况</w:t>
      </w:r>
    </w:p>
    <w:bookmarkEnd w:id="5"/>
    <w:p>
      <w:p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（一）本单位财务管理、绩效管理、决算组织、编报、审核情况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完成。</w:t>
      </w:r>
    </w:p>
    <w:p>
      <w:p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（二）本单位决算及绩效信息公开工作开展情况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完成。</w:t>
      </w:r>
    </w:p>
    <w:p>
      <w:pPr>
        <w:snapToGrid w:val="0"/>
        <w:spacing w:line="58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（三）</w:t>
      </w:r>
      <w:r>
        <w:rPr>
          <w:rFonts w:hint="eastAsia" w:ascii="楷体_GB2312" w:hAnsi="仿宋" w:eastAsia="楷体_GB2312"/>
          <w:sz w:val="32"/>
          <w:szCs w:val="32"/>
          <w:highlight w:val="none"/>
        </w:rPr>
        <w:t>对部门决算管理工作的意见和建议</w:t>
      </w:r>
      <w:r>
        <w:rPr>
          <w:rFonts w:hint="eastAsia" w:ascii="楷体_GB2312" w:hAnsi="仿宋" w:eastAsia="楷体_GB2312"/>
          <w:sz w:val="32"/>
          <w:szCs w:val="32"/>
          <w:highlight w:val="none"/>
          <w:lang w:eastAsia="zh-CN"/>
        </w:rPr>
        <w:t>：</w:t>
      </w:r>
      <w:r>
        <w:rPr>
          <w:rFonts w:hint="eastAsia" w:ascii="仿宋_GB2312" w:hAnsi="仿宋" w:eastAsia="仿宋_GB2312" w:cs="仿宋"/>
          <w:color w:val="000000"/>
          <w:sz w:val="32"/>
          <w:szCs w:val="32"/>
          <w:highlight w:val="none"/>
          <w:lang w:val="en-US" w:eastAsia="zh-CN"/>
        </w:rPr>
        <w:t>无。</w:t>
      </w:r>
      <w:r>
        <w:rPr>
          <w:rFonts w:ascii="仿宋_GB2312" w:hAnsi="仿宋" w:eastAsia="仿宋_GB2312"/>
          <w:sz w:val="32"/>
          <w:szCs w:val="32"/>
          <w:highlight w:val="none"/>
        </w:rPr>
        <w:br w:type="page"/>
      </w:r>
      <w:r>
        <w:rPr>
          <w:rFonts w:hint="eastAsia" w:ascii="仿宋_GB2312" w:hAnsi="仿宋" w:eastAsia="仿宋_GB2312"/>
          <w:sz w:val="32"/>
          <w:szCs w:val="32"/>
          <w:highlight w:val="none"/>
        </w:rPr>
        <w:t>附：</w:t>
      </w:r>
    </w:p>
    <w:p>
      <w:pPr>
        <w:snapToGrid w:val="0"/>
        <w:ind w:firstLine="640" w:firstLineChars="200"/>
        <w:jc w:val="center"/>
        <w:rPr>
          <w:rFonts w:hint="eastAsia" w:ascii="华文中宋" w:hAnsi="华文中宋" w:eastAsia="华文中宋"/>
          <w:sz w:val="32"/>
          <w:szCs w:val="32"/>
          <w:highlight w:val="none"/>
        </w:rPr>
      </w:pPr>
      <w:bookmarkStart w:id="6" w:name="YS060200"/>
    </w:p>
    <w:p>
      <w:pPr>
        <w:snapToGrid w:val="0"/>
        <w:ind w:firstLine="640" w:firstLineChars="200"/>
        <w:jc w:val="center"/>
        <w:rPr>
          <w:rFonts w:hint="eastAsia" w:ascii="华文中宋" w:hAnsi="华文中宋" w:eastAsia="华文中宋"/>
          <w:sz w:val="32"/>
          <w:szCs w:val="32"/>
          <w:highlight w:val="none"/>
        </w:rPr>
      </w:pPr>
      <w:r>
        <w:rPr>
          <w:rFonts w:hint="eastAsia" w:ascii="华文中宋" w:hAnsi="华文中宋" w:eastAsia="华文中宋"/>
          <w:sz w:val="32"/>
          <w:szCs w:val="32"/>
          <w:highlight w:val="none"/>
        </w:rPr>
        <w:t>行政事业单位财务分析指标</w:t>
      </w:r>
    </w:p>
    <w:bookmarkEnd w:id="6"/>
    <w:p>
      <w:pPr>
        <w:snapToGrid w:val="0"/>
        <w:ind w:firstLine="640" w:firstLineChars="200"/>
        <w:rPr>
          <w:rFonts w:hint="eastAsia" w:ascii="仿宋_GB2312" w:hAnsi="仿宋" w:eastAsia="仿宋_GB2312"/>
          <w:sz w:val="32"/>
          <w:szCs w:val="32"/>
          <w:highlight w:val="none"/>
        </w:rPr>
      </w:pPr>
    </w:p>
    <w:p>
      <w:pPr>
        <w:snapToGrid w:val="0"/>
        <w:ind w:firstLine="640" w:firstLineChars="200"/>
        <w:rPr>
          <w:rFonts w:hint="eastAsia" w:ascii="黑体" w:hAnsi="黑体" w:eastAsia="黑体"/>
          <w:sz w:val="32"/>
          <w:szCs w:val="32"/>
          <w:highlight w:val="none"/>
        </w:rPr>
      </w:pPr>
      <w:bookmarkStart w:id="7" w:name="YS060201"/>
      <w:r>
        <w:rPr>
          <w:rFonts w:hint="eastAsia" w:ascii="黑体" w:hAnsi="黑体" w:eastAsia="黑体"/>
          <w:sz w:val="32"/>
          <w:szCs w:val="32"/>
          <w:highlight w:val="none"/>
        </w:rPr>
        <w:t>一、行政单位财务分析指标</w:t>
      </w:r>
    </w:p>
    <w:bookmarkEnd w:id="7"/>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1.支出增长率，衡量行政单位支出的增长水平。计算公式为：</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支出增长率＝(本期支出总额÷上期支出总额-1)×100%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2.当年预算支出完成率，衡量行政单位当年支出总预算及分项预算完成的程度。计算公式为：</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当年预算支出完成率＝年终执行数÷全年预算数×100%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年终执行数不含上年结转和结余支出数。</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3.人均开支，衡量行政单位人均年消耗经费水平。计算公式为：</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人均开支＝本期支出数÷本期平均在职人员数×100%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4.项目支出占总支出的比率，衡量行政单位的支出结构。计算公式为：</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项目支出比率=本期项目支出数÷本期支出总数×100%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5.人员支出、公用支出占总支出的比率，衡量行政单位的支出结构。计算公式为：</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人员支出比率=本期人员支出数÷本期支出总数×100%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公用支出比率=本期公用支出数÷本期支出总数×100%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6.人均办公使用面积，衡量行政单位办公用房配备情况。计算公式为：</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人均办公使用面积=本期末单位办公用房使用面积÷本期末在职人员数</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7.人车比例，衡量行政单位公务用车配备情况。计算公式为：</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人车比例=本期末在职人员数÷本期末公务用车实有数</w:t>
      </w:r>
    </w:p>
    <w:p>
      <w:pPr>
        <w:snapToGrid w:val="0"/>
        <w:ind w:firstLine="640" w:firstLineChars="200"/>
        <w:rPr>
          <w:rFonts w:hint="eastAsia" w:ascii="仿宋_GB2312" w:hAnsi="仿宋" w:eastAsia="仿宋_GB2312"/>
          <w:sz w:val="32"/>
          <w:szCs w:val="32"/>
          <w:highlight w:val="none"/>
        </w:rPr>
      </w:pPr>
    </w:p>
    <w:p>
      <w:pPr>
        <w:snapToGrid w:val="0"/>
        <w:ind w:firstLine="640" w:firstLineChars="200"/>
        <w:rPr>
          <w:rFonts w:hint="eastAsia" w:ascii="黑体" w:hAnsi="黑体" w:eastAsia="黑体"/>
          <w:sz w:val="32"/>
          <w:szCs w:val="32"/>
          <w:highlight w:val="none"/>
        </w:rPr>
      </w:pPr>
      <w:bookmarkStart w:id="8" w:name="YS060202"/>
      <w:r>
        <w:rPr>
          <w:rFonts w:hint="eastAsia" w:ascii="黑体" w:hAnsi="黑体" w:eastAsia="黑体"/>
          <w:sz w:val="32"/>
          <w:szCs w:val="32"/>
          <w:highlight w:val="none"/>
        </w:rPr>
        <w:t>二、事业单位财务分析指标</w:t>
      </w:r>
    </w:p>
    <w:bookmarkEnd w:id="8"/>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1.预算收入和支出完成率，衡量事业单位收入和支出总预算及分项预算完成的程度。计算公式为：</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预算收入完成率＝年终执行数÷全年预算数×100%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年终执行数不含上年结转和结余收入数</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预算支出完成率＝年终执行数÷全年预算数×100%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年终执行数不含上年结转和结余支出数</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2.人员支出、公用支出占事业支出的比率，衡量事业单位事业支出结构。计算公式为：</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人员支出比率＝人员支出÷事业支出×100%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公用支出比率＝公用支出÷事业支出×100%</w:t>
      </w: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3.人均基本支出，衡量事业单位按照实际在编人数平均的基本支出水平。计算公式为：</w:t>
      </w:r>
    </w:p>
    <w:p>
      <w:pPr>
        <w:snapToGrid w:val="0"/>
        <w:ind w:firstLine="640" w:firstLineChars="200"/>
        <w:rPr>
          <w:rFonts w:hint="eastAsia" w:ascii="仿宋_GB2312" w:hAnsi="仿宋" w:eastAsia="仿宋_GB2312"/>
          <w:b/>
          <w:sz w:val="32"/>
          <w:szCs w:val="32"/>
          <w:highlight w:val="none"/>
        </w:rPr>
      </w:pPr>
      <w:r>
        <w:rPr>
          <w:rFonts w:hint="eastAsia" w:ascii="仿宋_GB2312" w:hAnsi="仿宋" w:eastAsia="仿宋_GB2312"/>
          <w:sz w:val="32"/>
          <w:szCs w:val="32"/>
          <w:highlight w:val="none"/>
        </w:rPr>
        <w:t>人均基本支出＝（基本支出-离退休人员支出）÷实际在编人数</w:t>
      </w:r>
    </w:p>
    <w:p>
      <w:pPr>
        <w:snapToGrid w:val="0"/>
        <w:ind w:firstLine="640" w:firstLineChars="200"/>
        <w:rPr>
          <w:rFonts w:hint="eastAsia" w:ascii="仿宋_GB2312" w:hAnsi="仿宋" w:eastAsia="仿宋_GB2312"/>
          <w:sz w:val="32"/>
          <w:szCs w:val="32"/>
          <w:highlight w:val="none"/>
        </w:rPr>
      </w:pPr>
    </w:p>
    <w:p>
      <w:pPr>
        <w:snapToGrid w:val="0"/>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此外，行业事业单位还可根据相关财务制度规定和分析需要增加相关分析指标，如：</w:t>
      </w:r>
    </w:p>
    <w:p>
      <w:pPr>
        <w:ind w:firstLine="707" w:firstLineChars="221"/>
        <w:rPr>
          <w:rFonts w:hint="eastAsia" w:ascii="仿宋_GB2312" w:hAnsi="仿宋" w:eastAsia="仿宋_GB2312"/>
          <w:sz w:val="32"/>
          <w:szCs w:val="32"/>
          <w:highlight w:val="none"/>
        </w:rPr>
      </w:pPr>
      <w:r>
        <w:rPr>
          <w:rFonts w:hint="eastAsia" w:ascii="仿宋_GB2312" w:hAnsi="仿宋" w:eastAsia="仿宋_GB2312"/>
          <w:sz w:val="32"/>
          <w:szCs w:val="32"/>
          <w:highlight w:val="none"/>
        </w:rPr>
        <w:t>1.财政拨款依存度, 衡量部门（单位）对财政拨款的依赖程度。</w:t>
      </w:r>
    </w:p>
    <w:p>
      <w:pPr>
        <w:widowControl/>
        <w:ind w:firstLine="640" w:firstLineChars="200"/>
        <w:textAlignment w:val="center"/>
        <w:rPr>
          <w:rFonts w:hint="eastAsia" w:ascii="仿宋_GB2312" w:hAnsi="仿宋" w:eastAsia="仿宋_GB2312"/>
          <w:sz w:val="32"/>
          <w:szCs w:val="32"/>
          <w:highlight w:val="none"/>
        </w:rPr>
      </w:pPr>
      <w:r>
        <w:rPr>
          <w:rFonts w:hint="eastAsia" w:ascii="仿宋_GB2312" w:hAnsi="仿宋" w:eastAsia="仿宋_GB2312"/>
          <w:sz w:val="32"/>
          <w:szCs w:val="32"/>
          <w:highlight w:val="none"/>
        </w:rPr>
        <w:t>财政拨款依存度＝财政拨款收入÷收入总额×100%</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3</w:t>
    </w:r>
    <w:r>
      <w:rPr>
        <w:rFonts w:ascii="Arial" w:hAnsi="Arial" w:cs="Arial"/>
        <w:sz w:val="24"/>
        <w:szCs w:val="24"/>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11897"/>
    <w:multiLevelType w:val="singleLevel"/>
    <w:tmpl w:val="D8511897"/>
    <w:lvl w:ilvl="0" w:tentative="0">
      <w:start w:val="1"/>
      <w:numFmt w:val="decimal"/>
      <w:suff w:val="nothing"/>
      <w:lvlText w:val="（%1）"/>
      <w:lvlJc w:val="left"/>
    </w:lvl>
  </w:abstractNum>
  <w:abstractNum w:abstractNumId="1">
    <w:nsid w:val="EFFC8AAD"/>
    <w:multiLevelType w:val="singleLevel"/>
    <w:tmpl w:val="EFFC8AAD"/>
    <w:lvl w:ilvl="0" w:tentative="0">
      <w:start w:val="4"/>
      <w:numFmt w:val="decimal"/>
      <w:suff w:val="nothing"/>
      <w:lvlText w:val="%1."/>
      <w:lvlJc w:val="left"/>
      <w:pPr>
        <w:tabs>
          <w:tab w:val="left" w:pos="0"/>
        </w:tabs>
      </w:pPr>
    </w:lvl>
  </w:abstractNum>
  <w:abstractNum w:abstractNumId="2">
    <w:nsid w:val="3ED3637F"/>
    <w:multiLevelType w:val="singleLevel"/>
    <w:tmpl w:val="3ED3637F"/>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YTU4NzgwNTU3OWE3Y2MwMjQxNGNlMzM1ZDJjNTEifQ=="/>
    <w:docVar w:name="KSO_WPS_MARK_KEY" w:val="9083eec4-877d-4891-9898-ed740e4ce6fe"/>
  </w:docVars>
  <w:rsids>
    <w:rsidRoot w:val="00172A27"/>
    <w:rsid w:val="0000286B"/>
    <w:rsid w:val="00002EA9"/>
    <w:rsid w:val="00034F1F"/>
    <w:rsid w:val="00060783"/>
    <w:rsid w:val="00061F81"/>
    <w:rsid w:val="00062490"/>
    <w:rsid w:val="00075EF6"/>
    <w:rsid w:val="000858E2"/>
    <w:rsid w:val="000C5EB4"/>
    <w:rsid w:val="000D2068"/>
    <w:rsid w:val="00101419"/>
    <w:rsid w:val="0012590A"/>
    <w:rsid w:val="001923BE"/>
    <w:rsid w:val="00195093"/>
    <w:rsid w:val="001A1581"/>
    <w:rsid w:val="001B227F"/>
    <w:rsid w:val="0020035B"/>
    <w:rsid w:val="0021589F"/>
    <w:rsid w:val="002303E5"/>
    <w:rsid w:val="00235A94"/>
    <w:rsid w:val="0024226F"/>
    <w:rsid w:val="002640A8"/>
    <w:rsid w:val="00267D86"/>
    <w:rsid w:val="00271903"/>
    <w:rsid w:val="00277A3A"/>
    <w:rsid w:val="00281E96"/>
    <w:rsid w:val="002854AE"/>
    <w:rsid w:val="002916EC"/>
    <w:rsid w:val="00293C33"/>
    <w:rsid w:val="002B0409"/>
    <w:rsid w:val="002B5E76"/>
    <w:rsid w:val="002C4D4C"/>
    <w:rsid w:val="002D6392"/>
    <w:rsid w:val="002E4FB7"/>
    <w:rsid w:val="00310AAB"/>
    <w:rsid w:val="00317C02"/>
    <w:rsid w:val="00337BB1"/>
    <w:rsid w:val="003C429A"/>
    <w:rsid w:val="003D2019"/>
    <w:rsid w:val="003E1AAC"/>
    <w:rsid w:val="003F2441"/>
    <w:rsid w:val="004135C7"/>
    <w:rsid w:val="00417985"/>
    <w:rsid w:val="00422C08"/>
    <w:rsid w:val="00425516"/>
    <w:rsid w:val="00445EFD"/>
    <w:rsid w:val="00450F65"/>
    <w:rsid w:val="00473DC3"/>
    <w:rsid w:val="0048423D"/>
    <w:rsid w:val="004D3022"/>
    <w:rsid w:val="004D73C5"/>
    <w:rsid w:val="0050254C"/>
    <w:rsid w:val="00526C45"/>
    <w:rsid w:val="00532B71"/>
    <w:rsid w:val="005433E6"/>
    <w:rsid w:val="00554195"/>
    <w:rsid w:val="00556182"/>
    <w:rsid w:val="005579AB"/>
    <w:rsid w:val="00567A72"/>
    <w:rsid w:val="0058144D"/>
    <w:rsid w:val="005905E3"/>
    <w:rsid w:val="005A1C67"/>
    <w:rsid w:val="005A3D5E"/>
    <w:rsid w:val="005E3F33"/>
    <w:rsid w:val="005E4E4D"/>
    <w:rsid w:val="005F0EE9"/>
    <w:rsid w:val="006001D6"/>
    <w:rsid w:val="0064232D"/>
    <w:rsid w:val="006C5540"/>
    <w:rsid w:val="006E07A4"/>
    <w:rsid w:val="006E60B3"/>
    <w:rsid w:val="00702A60"/>
    <w:rsid w:val="00706984"/>
    <w:rsid w:val="007170E3"/>
    <w:rsid w:val="007205E7"/>
    <w:rsid w:val="00722D25"/>
    <w:rsid w:val="0073534B"/>
    <w:rsid w:val="00740B92"/>
    <w:rsid w:val="00753608"/>
    <w:rsid w:val="00755FBC"/>
    <w:rsid w:val="007A3A5D"/>
    <w:rsid w:val="007B56C0"/>
    <w:rsid w:val="007E190A"/>
    <w:rsid w:val="00827359"/>
    <w:rsid w:val="00873070"/>
    <w:rsid w:val="009020C2"/>
    <w:rsid w:val="0091134E"/>
    <w:rsid w:val="00936CDD"/>
    <w:rsid w:val="009375CC"/>
    <w:rsid w:val="009677F8"/>
    <w:rsid w:val="009906CE"/>
    <w:rsid w:val="0099463A"/>
    <w:rsid w:val="009946F2"/>
    <w:rsid w:val="009B0E44"/>
    <w:rsid w:val="00A40A62"/>
    <w:rsid w:val="00A72869"/>
    <w:rsid w:val="00AA4E58"/>
    <w:rsid w:val="00B15E47"/>
    <w:rsid w:val="00B25D13"/>
    <w:rsid w:val="00B27A04"/>
    <w:rsid w:val="00B37CE8"/>
    <w:rsid w:val="00BC2CAE"/>
    <w:rsid w:val="00C0006E"/>
    <w:rsid w:val="00C00DD7"/>
    <w:rsid w:val="00C019E2"/>
    <w:rsid w:val="00C12E4C"/>
    <w:rsid w:val="00C33B94"/>
    <w:rsid w:val="00C40858"/>
    <w:rsid w:val="00C4437E"/>
    <w:rsid w:val="00C6456D"/>
    <w:rsid w:val="00C86F58"/>
    <w:rsid w:val="00C922FC"/>
    <w:rsid w:val="00CB64BD"/>
    <w:rsid w:val="00CD1B8C"/>
    <w:rsid w:val="00D21FBC"/>
    <w:rsid w:val="00D22B6A"/>
    <w:rsid w:val="00D36C1E"/>
    <w:rsid w:val="00D5398F"/>
    <w:rsid w:val="00D8075D"/>
    <w:rsid w:val="00D8690C"/>
    <w:rsid w:val="00DE6147"/>
    <w:rsid w:val="00E247A4"/>
    <w:rsid w:val="00E5453B"/>
    <w:rsid w:val="00E65DA3"/>
    <w:rsid w:val="00E94608"/>
    <w:rsid w:val="00EB5A04"/>
    <w:rsid w:val="00EC4F2A"/>
    <w:rsid w:val="00ED69D3"/>
    <w:rsid w:val="00F9579B"/>
    <w:rsid w:val="00F961CE"/>
    <w:rsid w:val="00FE560C"/>
    <w:rsid w:val="00FF7E02"/>
    <w:rsid w:val="02680801"/>
    <w:rsid w:val="0A920AA8"/>
    <w:rsid w:val="0E2E53D2"/>
    <w:rsid w:val="0FDD776B"/>
    <w:rsid w:val="15EC6C6C"/>
    <w:rsid w:val="1A23154F"/>
    <w:rsid w:val="1E143F09"/>
    <w:rsid w:val="1E5F7104"/>
    <w:rsid w:val="22B0777E"/>
    <w:rsid w:val="24C55171"/>
    <w:rsid w:val="282956CA"/>
    <w:rsid w:val="2ADA3585"/>
    <w:rsid w:val="2C872B7A"/>
    <w:rsid w:val="2DF4A957"/>
    <w:rsid w:val="3003488D"/>
    <w:rsid w:val="33CE3E7B"/>
    <w:rsid w:val="38A65953"/>
    <w:rsid w:val="3C016B94"/>
    <w:rsid w:val="44686424"/>
    <w:rsid w:val="454A5F9C"/>
    <w:rsid w:val="45D901D5"/>
    <w:rsid w:val="49FB7EBE"/>
    <w:rsid w:val="4C7701CD"/>
    <w:rsid w:val="4F314FBE"/>
    <w:rsid w:val="50EE3E7E"/>
    <w:rsid w:val="53EB406E"/>
    <w:rsid w:val="54233E4E"/>
    <w:rsid w:val="5B9F77DD"/>
    <w:rsid w:val="5C0929D2"/>
    <w:rsid w:val="6669720C"/>
    <w:rsid w:val="6C7D608C"/>
    <w:rsid w:val="6DA501BA"/>
    <w:rsid w:val="755D0BBE"/>
    <w:rsid w:val="7717C855"/>
    <w:rsid w:val="773A11E7"/>
    <w:rsid w:val="7BF70619"/>
    <w:rsid w:val="7DF3EC3C"/>
    <w:rsid w:val="7FDF5995"/>
    <w:rsid w:val="7FDFE098"/>
    <w:rsid w:val="BF5F704B"/>
    <w:rsid w:val="BFFF9E49"/>
    <w:rsid w:val="DB7F5C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Indent"/>
    <w:basedOn w:val="1"/>
    <w:next w:val="1"/>
    <w:qFormat/>
    <w:uiPriority w:val="0"/>
    <w:pPr>
      <w:spacing w:before="0" w:after="0"/>
      <w:ind w:firstLine="200" w:firstLineChars="200"/>
      <w:jc w:val="both"/>
    </w:pPr>
    <w:rPr>
      <w:rFonts w:ascii="Calibri" w:hAnsi="Calibri" w:eastAsia="宋体"/>
      <w:kern w:val="2"/>
      <w:sz w:val="21"/>
      <w:lang w:val="en-US" w:eastAsia="zh-CN"/>
    </w:rPr>
  </w:style>
  <w:style w:type="paragraph" w:styleId="5">
    <w:name w:val="Document Map"/>
    <w:basedOn w:val="1"/>
    <w:link w:val="13"/>
    <w:uiPriority w:val="0"/>
    <w:rPr>
      <w:rFonts w:ascii="宋体"/>
      <w:sz w:val="18"/>
      <w:szCs w:val="18"/>
    </w:rPr>
  </w:style>
  <w:style w:type="paragraph" w:styleId="6">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uiPriority w:val="0"/>
    <w:rPr>
      <w:color w:val="0000FF"/>
      <w:u w:val="single"/>
    </w:rPr>
  </w:style>
  <w:style w:type="character" w:customStyle="1" w:styleId="13">
    <w:name w:val="文档结构图 Char"/>
    <w:link w:val="5"/>
    <w:qFormat/>
    <w:uiPriority w:val="0"/>
    <w:rPr>
      <w:rFonts w:ascii="宋体"/>
      <w:kern w:val="2"/>
      <w:sz w:val="18"/>
      <w:szCs w:val="18"/>
    </w:rPr>
  </w:style>
  <w:style w:type="character" w:customStyle="1" w:styleId="14">
    <w:name w:val="页脚 字符"/>
    <w:link w:val="8"/>
    <w:qFormat/>
    <w:uiPriority w:val="99"/>
    <w:rPr>
      <w:kern w:val="2"/>
      <w:sz w:val="18"/>
      <w:szCs w:val="18"/>
    </w:rPr>
  </w:style>
  <w:style w:type="character" w:customStyle="1" w:styleId="15">
    <w:name w:val="页眉 字符"/>
    <w:link w:val="9"/>
    <w:qFormat/>
    <w:uiPriority w:val="0"/>
    <w:rPr>
      <w:kern w:val="2"/>
      <w:sz w:val="18"/>
      <w:szCs w:val="18"/>
    </w:rPr>
  </w:style>
  <w:style w:type="paragraph" w:customStyle="1" w:styleId="16">
    <w:name w:val="_Style 14"/>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Freesoho</Company>
  <Pages>6</Pages>
  <Words>2676</Words>
  <Characters>2736</Characters>
  <Lines>16</Lines>
  <Paragraphs>4</Paragraphs>
  <TotalTime>2</TotalTime>
  <ScaleCrop>false</ScaleCrop>
  <LinksUpToDate>false</LinksUpToDate>
  <CharactersWithSpaces>2749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2023-09-16T02:48:00Z</dcterms:created>
  <dc:creator>lfq</dc:creator>
  <cp:lastModifiedBy>自在独行</cp:lastModifiedBy>
  <dcterms:modified xsi:type="dcterms:W3CDTF">2025-01-22T07:27:46Z</dcterms:modified>
  <dc:title>部门决算分析报告撰写提纲（部门用）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495F598B4A7B46A084DE430ECC172BC8</vt:lpwstr>
  </property>
</Properties>
</file>