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303005</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：青龙满族自治县招商和投资促进中心</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青龙满族自治县招商和投资促进中心</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青龙满族自治县招商和投资促进中心</w:t>
      </w:r>
    </w:p>
    <w:p>
      <w:pPr>
        <w:widowControl/>
        <w:spacing w:before="0" w:beforeLines="0" w:beforeAutospacing="0" w:after="0" w:afterLines="0" w:afterAutospacing="0" w:line="360" w:lineRule="auto"/>
        <w:jc w:val="center"/>
        <w:rPr>
          <w:rFonts w:ascii="Times New Roman" w:eastAsia="楷体_GB2312"/>
          <w:b w:val="0"/>
          <w:sz w:val="44"/>
          <w:szCs w:val="44"/>
        </w:rPr>
      </w:pPr>
    </w:p>
    <w:p>
      <w:pPr>
        <w:widowControl/>
        <w:spacing w:before="0" w:beforeLines="0" w:beforeAutospacing="0" w:after="0" w:afterLines="0" w:afterAutospacing="0" w:line="360" w:lineRule="auto"/>
        <w:jc w:val="center"/>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eastAsia="楷体_GB2312"/>
          <w:b w:val="0"/>
          <w:sz w:val="44"/>
          <w:szCs w:val="44"/>
        </w:rPr>
        <w:t>二〇二五年八月</w:t>
      </w:r>
    </w:p>
    <w:p>
      <w:pPr>
        <w:tabs>
          <w:tab w:val="left" w:pos="2728"/>
        </w:tabs>
        <w:jc w:val="both"/>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根据《青龙满族自治县招商和投资促进中心职能配置、内设机构和人员编制规定》，青龙满族自治县招商和投资促进中心(县重点项目服务中心)的主要职责是：</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(1)负责上级以及县委、县政府招商引资、投资促进政策落实的协调服务工作；参与制定全县招商引资政策，做好招商引资活动的组织协调、宣传推介和驻外招商人员的指导管理工作。</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(2)负责组织县内外重大招商活动，参与重点招商引资项目洽谈、协议起草、合同签约。</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(3)负责落实全县招商引资信息化平台的建设管理、运行维护、信息发布工作。</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(4)参与制定全县项目建设年度计划；参与重点项目的前期谋划、筛选储备、督导考核工作。</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(5)参与充实完善项目库，以及全县重点项目协调调度、综合分析和省市重点项目申报工作。</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(6)做好重点项目建设全程系列服务，围绕开工、建设、竣工、投产等关键环节全力做好帮办和服务。</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(7)协助做好全县电商物流产业的发展规划、顶层设计和项目建设；积极对接各电子商务公共服务平台，帮助县内示范企业与产品原产地和各大电商平台的有效对接。</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(8)协助建设农产品研发体验中心，搞好县域特色产品品牌研发与培育，建立特色农产品营销机制，开展全县农村电子商务孵化业务。</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(9)负责组织电子商务培训，为全县乡村电商服务站建设提供指导服务。</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sz w:val="32"/>
          <w:szCs w:val="32"/>
        </w:rPr>
        <w:t>(10)完成县委、县政府及县发展和改革局交办的其他任务。</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青龙满族自治县招商和投资促进中心</w:t>
            </w:r>
          </w:p>
        </w:tc>
        <w:tc>
          <w:tcPr>
            <w:tcW w:w="244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p>
    <w:p>
      <w:pPr>
        <w:ind w:firstLine="640" w:firstLineChars="200"/>
        <w:rPr>
          <w:rFonts w:hint="eastAsia" w:ascii="Times New Roman" w:hAnsi="Times New Roman" w:eastAsia="黑体" w:cs="Times New Roman"/>
          <w:sz w:val="32"/>
          <w:szCs w:val="32"/>
          <w:highlight w:val="yellow"/>
        </w:rPr>
      </w:pPr>
      <w:r>
        <w:rPr>
          <w:rFonts w:hint="eastAsia" w:ascii="Times New Roman" w:eastAsia="仿宋_GB2312"/>
          <w:b w:val="0"/>
          <w:sz w:val="32"/>
          <w:szCs w:val="32"/>
        </w:rPr>
        <w:t>我部门无二级预算单位，因此，青龙满族自治县招商和投资促进中心202</w:t>
      </w:r>
      <w:r>
        <w:rPr>
          <w:rFonts w:hint="eastAsia" w:ascii="Times New Roman" w:eastAsia="仿宋_GB2312"/>
          <w:b w:val="0"/>
          <w:sz w:val="32"/>
          <w:szCs w:val="32"/>
          <w:lang w:val="en-US" w:eastAsia="zh-CN"/>
        </w:rPr>
        <w:t>4</w:t>
      </w:r>
      <w:r>
        <w:rPr>
          <w:rFonts w:hint="eastAsia" w:ascii="Times New Roman" w:eastAsia="仿宋_GB2312"/>
          <w:b w:val="0"/>
          <w:sz w:val="32"/>
          <w:szCs w:val="32"/>
        </w:rPr>
        <w:t>年度部门决算即青龙满族自治县招商和投资促进中心本级202</w:t>
      </w:r>
      <w:r>
        <w:rPr>
          <w:rFonts w:hint="eastAsia" w:ascii="Times New Roman" w:eastAsia="仿宋_GB2312"/>
          <w:b w:val="0"/>
          <w:sz w:val="32"/>
          <w:szCs w:val="32"/>
          <w:lang w:val="en-US" w:eastAsia="zh-CN"/>
        </w:rPr>
        <w:t>4</w:t>
      </w:r>
      <w:r>
        <w:rPr>
          <w:rFonts w:hint="eastAsia" w:ascii="Times New Roman" w:eastAsia="仿宋_GB2312"/>
          <w:b w:val="0"/>
          <w:sz w:val="32"/>
          <w:szCs w:val="32"/>
        </w:rPr>
        <w:t>年度决算。</w:t>
      </w: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部门（单位）：青龙满族自治县招商和投资促进中心</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部门（单位）：青龙满族自治县招商和投资促进中心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235.28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235.28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208.63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208.63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商贸事务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208.63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208.63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招商引资</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117.82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117.82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2011350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部门（单位）：青龙满族自治县招商和投资促进中心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116.21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商贸事务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招商引资</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2011350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部门（单位）：青龙满族自治县招商和投资促进中心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206.58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206.58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233.23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233.23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w:t>
            </w: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235.28</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8"/>
        <w:gridCol w:w="3218"/>
        <w:gridCol w:w="1070"/>
        <w:gridCol w:w="497"/>
        <w:gridCol w:w="520"/>
        <w:gridCol w:w="359"/>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编制部门（单位）：青龙满族自治县招商和投资促进中心</w:t>
            </w:r>
          </w:p>
        </w:tc>
        <w:tc>
          <w:tcPr>
            <w:tcW w:w="154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116.21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商贸事务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招商引资</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2011350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部门（单位）：青龙满族自治县招商和投资促进中心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110.32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12.94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6.37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110.32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部门（单位）：青龙满族自治县招商和投资促进中心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部门（单位）：青龙满族自治县招商和投资促进中心</w:t>
            </w:r>
          </w:p>
        </w:tc>
        <w:tc>
          <w:tcPr>
            <w:tcW w:w="1421"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部门（单位）：青龙满族自治县招商和投资促进中心</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本单位2024年度收、支总计（含结转和结余）均为235.28万元。与2023年度决算相比，收支各增加9.34万元，增长4.1%，主要原因是</w:t>
      </w:r>
      <w:r>
        <w:rPr>
          <w:rFonts w:hint="eastAsia" w:ascii="Times New Roman" w:eastAsia="仿宋_GB2312"/>
          <w:b w:val="0"/>
          <w:sz w:val="32"/>
          <w:szCs w:val="32"/>
        </w:rPr>
        <w:t>2024年度新调入工作人员5名，增加的人员经费支出和日常公用经费支出</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235.28万元，其中：财政拨款收入235.28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本单位2024年度本年支出合计233.23万元，其中：基本支出116.21万元，占49.8%；项目支出117.03万元，占50.2%；上缴上级支出0.00万元，占0.0%；经营支出0.00万元，占0.0%；对附属单位补助支出0.00万元，占0.0%。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本单位2024年度财政拨款收、支总计（含结转和结余）均为235.28万元。与2023年度相比，财政拨款收支各增加9.34万元，增长4.1%，主要原因是</w:t>
      </w:r>
      <w:r>
        <w:rPr>
          <w:rFonts w:hint="eastAsia" w:ascii="Times New Roman" w:eastAsia="仿宋_GB2312"/>
          <w:b w:val="0"/>
          <w:sz w:val="32"/>
          <w:szCs w:val="32"/>
        </w:rPr>
        <w:t>2024年度新调入工作人员5名，增加的人员经费支出和日常公用经费支出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本单位2024年度财政拨款本年收入235.28万元,比上年增加9.34万元，增长4.1%，主要原因是</w:t>
      </w:r>
      <w:r>
        <w:rPr>
          <w:rFonts w:hint="eastAsia" w:ascii="Times New Roman" w:eastAsia="仿宋_GB2312"/>
          <w:b w:val="0"/>
          <w:sz w:val="32"/>
          <w:szCs w:val="32"/>
        </w:rPr>
        <w:t>2024年度新调入工作人员5名，增加的人员经费支出和日常公用经费支出</w:t>
      </w:r>
      <w:r>
        <w:rPr>
          <w:rFonts w:ascii="Times New Roman" w:eastAsia="仿宋_GB2312"/>
          <w:b w:val="0"/>
          <w:sz w:val="32"/>
          <w:szCs w:val="32"/>
        </w:rPr>
        <w:t>；本年支出233.23万元，比上年增加7.30万元，增长3.2%，主要原因是</w:t>
      </w:r>
      <w:r>
        <w:rPr>
          <w:rFonts w:hint="eastAsia" w:ascii="Times New Roman" w:eastAsia="仿宋_GB2312"/>
          <w:b w:val="0"/>
          <w:sz w:val="32"/>
          <w:szCs w:val="32"/>
        </w:rPr>
        <w:t>2024年度新调入工作人员5名，增加的人员经费支出和日常公用经费支出</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一般公共预算财政拨款本年收入235.28万元,比上年增加69.10万元，增长41.6%，主要原因是</w:t>
      </w:r>
      <w:r>
        <w:rPr>
          <w:rFonts w:hint="eastAsia" w:ascii="Times New Roman" w:eastAsia="仿宋_GB2312"/>
          <w:b w:val="0"/>
          <w:sz w:val="32"/>
          <w:szCs w:val="32"/>
        </w:rPr>
        <w:t>2024年度新</w:t>
      </w:r>
      <w:r>
        <w:rPr>
          <w:rFonts w:hint="eastAsia" w:ascii="Times New Roman" w:eastAsia="仿宋_GB2312"/>
          <w:b w:val="0"/>
          <w:sz w:val="32"/>
          <w:szCs w:val="32"/>
          <w:lang w:val="en-US" w:eastAsia="zh-CN"/>
        </w:rPr>
        <w:t>增</w:t>
      </w:r>
      <w:r>
        <w:rPr>
          <w:rFonts w:hint="eastAsia" w:ascii="Times New Roman" w:eastAsia="仿宋_GB2312"/>
          <w:b w:val="0"/>
          <w:sz w:val="32"/>
          <w:szCs w:val="32"/>
        </w:rPr>
        <w:t>工作人员5名</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对应基本支出财政拨款</w:t>
      </w:r>
      <w:r>
        <w:rPr>
          <w:rFonts w:hint="eastAsia" w:ascii="Times New Roman" w:eastAsia="仿宋_GB2312"/>
          <w:b w:val="0"/>
          <w:sz w:val="32"/>
          <w:szCs w:val="32"/>
        </w:rPr>
        <w:t>增加</w:t>
      </w:r>
      <w:r>
        <w:rPr>
          <w:rFonts w:hint="eastAsia" w:ascii="Times New Roman" w:eastAsia="仿宋_GB2312"/>
          <w:b w:val="0"/>
          <w:sz w:val="32"/>
          <w:szCs w:val="32"/>
          <w:lang w:val="en-US" w:eastAsia="zh-CN"/>
        </w:rPr>
        <w:t>16.6万元</w:t>
      </w:r>
      <w:r>
        <w:rPr>
          <w:rFonts w:ascii="Times New Roman" w:eastAsia="仿宋_GB2312"/>
          <w:b w:val="0"/>
          <w:sz w:val="32"/>
          <w:szCs w:val="32"/>
        </w:rPr>
        <w:t>；</w:t>
      </w:r>
      <w:r>
        <w:rPr>
          <w:rFonts w:hint="eastAsia" w:ascii="Times New Roman" w:eastAsia="仿宋_GB2312"/>
          <w:b w:val="0"/>
          <w:sz w:val="32"/>
          <w:szCs w:val="32"/>
        </w:rPr>
        <w:t>项目支出</w:t>
      </w:r>
      <w:r>
        <w:rPr>
          <w:rFonts w:hint="eastAsia" w:ascii="Times New Roman" w:eastAsia="仿宋_GB2312"/>
          <w:b w:val="0"/>
          <w:sz w:val="32"/>
          <w:szCs w:val="32"/>
          <w:lang w:val="en-US" w:eastAsia="zh-CN"/>
        </w:rPr>
        <w:t>财政拨款</w:t>
      </w:r>
      <w:r>
        <w:rPr>
          <w:rFonts w:hint="eastAsia" w:ascii="Times New Roman" w:eastAsia="仿宋_GB2312"/>
          <w:b w:val="0"/>
          <w:sz w:val="32"/>
          <w:szCs w:val="32"/>
        </w:rPr>
        <w:t>增加</w:t>
      </w:r>
      <w:r>
        <w:rPr>
          <w:rFonts w:hint="eastAsia" w:ascii="Times New Roman" w:eastAsia="仿宋_GB2312"/>
          <w:b w:val="0"/>
          <w:sz w:val="32"/>
          <w:szCs w:val="32"/>
          <w:lang w:val="en-US" w:eastAsia="zh-CN"/>
        </w:rPr>
        <w:t>52.5</w:t>
      </w:r>
      <w:r>
        <w:rPr>
          <w:rFonts w:hint="eastAsia" w:ascii="Times New Roman" w:eastAsia="仿宋_GB2312"/>
          <w:b w:val="0"/>
          <w:sz w:val="32"/>
          <w:szCs w:val="32"/>
        </w:rPr>
        <w:t>万元</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该部分增长资金全部通过一般公共预算安排，未涉及政府性基金预算资金</w:t>
      </w:r>
      <w:r>
        <w:rPr>
          <w:rFonts w:hint="eastAsia" w:ascii="Times New Roman" w:eastAsia="仿宋_GB2312"/>
          <w:b w:val="0"/>
          <w:sz w:val="32"/>
          <w:szCs w:val="32"/>
          <w:lang w:eastAsia="zh-CN"/>
        </w:rPr>
        <w:t>；</w:t>
      </w:r>
      <w:r>
        <w:rPr>
          <w:rFonts w:ascii="Times New Roman" w:eastAsia="仿宋_GB2312"/>
          <w:b w:val="0"/>
          <w:sz w:val="32"/>
          <w:szCs w:val="32"/>
        </w:rPr>
        <w:t>本年支出233.23万元，比上年增加67.06万元，增长40.3%，主要原因是</w:t>
      </w:r>
      <w:r>
        <w:rPr>
          <w:rFonts w:hint="eastAsia" w:ascii="Times New Roman" w:eastAsia="仿宋_GB2312"/>
          <w:b w:val="0"/>
          <w:sz w:val="32"/>
          <w:szCs w:val="32"/>
        </w:rPr>
        <w:t>2024年度新</w:t>
      </w:r>
      <w:r>
        <w:rPr>
          <w:rFonts w:hint="eastAsia" w:ascii="Times New Roman" w:eastAsia="仿宋_GB2312"/>
          <w:b w:val="0"/>
          <w:sz w:val="32"/>
          <w:szCs w:val="32"/>
          <w:lang w:val="en-US" w:eastAsia="zh-CN"/>
        </w:rPr>
        <w:t>增</w:t>
      </w:r>
      <w:r>
        <w:rPr>
          <w:rFonts w:hint="eastAsia" w:ascii="Times New Roman" w:eastAsia="仿宋_GB2312"/>
          <w:b w:val="0"/>
          <w:sz w:val="32"/>
          <w:szCs w:val="32"/>
        </w:rPr>
        <w:t>工作人员5名</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相应带动基本支出</w:t>
      </w:r>
      <w:r>
        <w:rPr>
          <w:rFonts w:hint="eastAsia" w:ascii="Times New Roman" w:eastAsia="仿宋_GB2312"/>
          <w:b w:val="0"/>
          <w:sz w:val="32"/>
          <w:szCs w:val="32"/>
        </w:rPr>
        <w:t>增加</w:t>
      </w:r>
      <w:r>
        <w:rPr>
          <w:rFonts w:hint="eastAsia" w:ascii="Times New Roman" w:eastAsia="仿宋_GB2312"/>
          <w:b w:val="0"/>
          <w:sz w:val="32"/>
          <w:szCs w:val="32"/>
          <w:lang w:val="en-US" w:eastAsia="zh-CN"/>
        </w:rPr>
        <w:t>15.35万元</w:t>
      </w:r>
      <w:r>
        <w:rPr>
          <w:rFonts w:ascii="Times New Roman" w:eastAsia="仿宋_GB2312"/>
          <w:b w:val="0"/>
          <w:sz w:val="32"/>
          <w:szCs w:val="32"/>
        </w:rPr>
        <w:t>；</w:t>
      </w:r>
      <w:r>
        <w:rPr>
          <w:rFonts w:hint="eastAsia" w:ascii="Times New Roman" w:eastAsia="仿宋_GB2312"/>
          <w:b w:val="0"/>
          <w:sz w:val="32"/>
          <w:szCs w:val="32"/>
        </w:rPr>
        <w:t>项目支出增加</w:t>
      </w:r>
      <w:r>
        <w:rPr>
          <w:rFonts w:hint="eastAsia" w:ascii="Times New Roman" w:eastAsia="仿宋_GB2312"/>
          <w:b w:val="0"/>
          <w:sz w:val="32"/>
          <w:szCs w:val="32"/>
          <w:lang w:val="en-US" w:eastAsia="zh-CN"/>
        </w:rPr>
        <w:t>51.71</w:t>
      </w:r>
      <w:r>
        <w:rPr>
          <w:rFonts w:hint="eastAsia" w:ascii="Times New Roman" w:eastAsia="仿宋_GB2312"/>
          <w:b w:val="0"/>
          <w:sz w:val="32"/>
          <w:szCs w:val="32"/>
        </w:rPr>
        <w:t>万元</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该部分增长资金均通过一般公共预算统筹安排，未涉及政府性基金预算资金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2. </w:t>
      </w:r>
      <w:bookmarkStart w:id="0" w:name="OLE_LINK1"/>
      <w:r>
        <w:rPr>
          <w:rFonts w:ascii="Times New Roman" w:eastAsia="仿宋_GB2312"/>
          <w:b w:val="0"/>
          <w:sz w:val="32"/>
          <w:szCs w:val="32"/>
        </w:rPr>
        <w:t>政府性基金预算财政拨款本年收入0.00万元，比上年减少59.76万元，降低100.0%，主要原因是</w:t>
      </w:r>
      <w:bookmarkEnd w:id="0"/>
      <w:r>
        <w:rPr>
          <w:rFonts w:hint="eastAsia" w:ascii="Times New Roman" w:eastAsia="仿宋_GB2312"/>
          <w:b w:val="0"/>
          <w:sz w:val="32"/>
          <w:szCs w:val="32"/>
          <w:lang w:val="en-US" w:eastAsia="zh-CN"/>
        </w:rPr>
        <w:t>受财政资金统筹调控影响，预算单位开支压缩、收入指标削减</w:t>
      </w:r>
      <w:r>
        <w:rPr>
          <w:rFonts w:hint="eastAsia" w:ascii="Times New Roman" w:eastAsia="仿宋_GB2312"/>
          <w:b w:val="0"/>
          <w:sz w:val="32"/>
          <w:szCs w:val="32"/>
          <w:lang w:eastAsia="zh-CN"/>
        </w:rPr>
        <w:t>，项目</w:t>
      </w:r>
      <w:r>
        <w:rPr>
          <w:rFonts w:hint="eastAsia" w:ascii="Times New Roman" w:eastAsia="仿宋_GB2312"/>
          <w:b w:val="0"/>
          <w:sz w:val="32"/>
          <w:szCs w:val="32"/>
          <w:lang w:val="en-US" w:eastAsia="zh-CN"/>
        </w:rPr>
        <w:t>支出</w:t>
      </w:r>
      <w:r>
        <w:rPr>
          <w:rFonts w:hint="eastAsia" w:ascii="Times New Roman" w:eastAsia="仿宋_GB2312"/>
          <w:b w:val="0"/>
          <w:sz w:val="32"/>
          <w:szCs w:val="32"/>
          <w:lang w:eastAsia="zh-CN"/>
        </w:rPr>
        <w:t>资金不再</w:t>
      </w:r>
      <w:r>
        <w:rPr>
          <w:rFonts w:hint="eastAsia" w:ascii="Times New Roman" w:eastAsia="仿宋_GB2312"/>
          <w:b w:val="0"/>
          <w:sz w:val="32"/>
          <w:szCs w:val="32"/>
          <w:lang w:val="en-US" w:eastAsia="zh-CN"/>
        </w:rPr>
        <w:t>纳入</w:t>
      </w:r>
      <w:r>
        <w:rPr>
          <w:rFonts w:hint="eastAsia" w:ascii="Times New Roman" w:eastAsia="仿宋_GB2312"/>
          <w:b w:val="0"/>
          <w:sz w:val="32"/>
          <w:szCs w:val="32"/>
          <w:lang w:eastAsia="zh-CN"/>
        </w:rPr>
        <w:t>政府性基金预算财政拨款</w:t>
      </w:r>
      <w:r>
        <w:rPr>
          <w:rFonts w:hint="eastAsia" w:ascii="Times New Roman" w:eastAsia="仿宋_GB2312"/>
          <w:b w:val="0"/>
          <w:sz w:val="32"/>
          <w:szCs w:val="32"/>
          <w:lang w:val="en-US" w:eastAsia="zh-CN"/>
        </w:rPr>
        <w:t>范围</w:t>
      </w:r>
      <w:r>
        <w:rPr>
          <w:rFonts w:ascii="Times New Roman" w:eastAsia="仿宋_GB2312"/>
          <w:b w:val="0"/>
          <w:sz w:val="32"/>
          <w:szCs w:val="32"/>
        </w:rPr>
        <w:t>；本年支出0.00万元，比上年减少59.76万元，降低100.0%，主要原因是</w:t>
      </w:r>
      <w:r>
        <w:rPr>
          <w:rFonts w:hint="eastAsia" w:ascii="Times New Roman" w:eastAsia="仿宋_GB2312"/>
          <w:b w:val="0"/>
          <w:sz w:val="32"/>
          <w:szCs w:val="32"/>
        </w:rPr>
        <w:t>2024年度项目支出资金不再通过政府性基金预算财政拨款列支，全部调整至一般公共预算财政拨款支出核算。</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w:t>
      </w:r>
      <w:r>
        <w:rPr>
          <w:rFonts w:hint="eastAsia" w:ascii="Times New Roman" w:eastAsia="仿宋_GB2312"/>
          <w:b w:val="0"/>
          <w:sz w:val="32"/>
          <w:szCs w:val="32"/>
        </w:rPr>
        <w:t>单位</w:t>
      </w:r>
      <w:r>
        <w:rPr>
          <w:rFonts w:hint="eastAsia" w:ascii="Times New Roman" w:eastAsia="仿宋_GB2312"/>
          <w:b w:val="0"/>
          <w:sz w:val="32"/>
          <w:szCs w:val="32"/>
          <w:lang w:val="en-US" w:eastAsia="zh-CN"/>
        </w:rPr>
        <w:t>2024年度</w:t>
      </w:r>
      <w:r>
        <w:rPr>
          <w:rFonts w:hint="eastAsia" w:ascii="Times New Roman" w:eastAsia="仿宋_GB2312"/>
          <w:b w:val="0"/>
          <w:sz w:val="32"/>
          <w:szCs w:val="32"/>
        </w:rPr>
        <w:t>无符合国有资本经营预算财政拨款范围的收支事项，收入规模与上年保持一致</w:t>
      </w:r>
      <w:r>
        <w:rPr>
          <w:rFonts w:ascii="Times New Roman" w:eastAsia="仿宋_GB2312"/>
          <w:b w:val="0"/>
          <w:sz w:val="32"/>
          <w:szCs w:val="32"/>
        </w:rPr>
        <w:t>；本年支出0.00万元，比上年增加0.00万元，增长0.00%，主要原因是</w:t>
      </w:r>
      <w:r>
        <w:rPr>
          <w:rFonts w:hint="eastAsia" w:ascii="Times New Roman" w:eastAsia="仿宋_GB2312"/>
          <w:b w:val="0"/>
          <w:sz w:val="32"/>
          <w:szCs w:val="32"/>
          <w:lang w:val="en-US" w:eastAsia="zh-CN"/>
        </w:rPr>
        <w:t>2024年度</w:t>
      </w:r>
      <w:r>
        <w:rPr>
          <w:rFonts w:hint="eastAsia" w:ascii="Times New Roman" w:eastAsia="仿宋_GB2312"/>
          <w:b w:val="0"/>
          <w:sz w:val="32"/>
          <w:szCs w:val="32"/>
        </w:rPr>
        <w:t>无国有资本经营预算财政拨款收入，无对应支出发生，支出规模与上年持平</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本单位2024年度财政拨款本年收入235.28万元，完成年初预算的105.0%，比年初预算增加11.21万元，决算数大于预算数主要原因是</w:t>
      </w:r>
      <w:r>
        <w:rPr>
          <w:rFonts w:hint="eastAsia" w:ascii="Times New Roman" w:eastAsia="仿宋_GB2312"/>
          <w:b w:val="0"/>
          <w:sz w:val="32"/>
          <w:szCs w:val="32"/>
        </w:rPr>
        <w:t>2024年度新增工作人员5名</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追加的人员经费拨款</w:t>
      </w:r>
      <w:r>
        <w:rPr>
          <w:rFonts w:ascii="Times New Roman" w:eastAsia="仿宋_GB2312"/>
          <w:b w:val="0"/>
          <w:sz w:val="32"/>
          <w:szCs w:val="32"/>
        </w:rPr>
        <w:t>；本年支出233.23万元，完成年初预算的103.4%，比年初预算增加7.60万元，决算数大于预算数主要原因是</w:t>
      </w:r>
      <w:r>
        <w:rPr>
          <w:rFonts w:hint="eastAsia" w:ascii="Times New Roman" w:eastAsia="仿宋_GB2312"/>
          <w:b w:val="0"/>
          <w:sz w:val="32"/>
          <w:szCs w:val="32"/>
        </w:rPr>
        <w:t>2024年度新增工作人员5名</w:t>
      </w:r>
      <w:r>
        <w:rPr>
          <w:rFonts w:hint="eastAsia" w:ascii="Times New Roman" w:eastAsia="仿宋_GB2312"/>
          <w:b w:val="0"/>
          <w:sz w:val="32"/>
          <w:szCs w:val="32"/>
          <w:lang w:val="en-US" w:eastAsia="zh-CN"/>
        </w:rPr>
        <w:t>,相应</w:t>
      </w:r>
      <w:r>
        <w:rPr>
          <w:rFonts w:hint="eastAsia" w:ascii="Times New Roman" w:eastAsia="仿宋_GB2312"/>
          <w:b w:val="0"/>
          <w:sz w:val="32"/>
          <w:szCs w:val="32"/>
        </w:rPr>
        <w:t>增加人员经费支出</w:t>
      </w:r>
      <w:r>
        <w:rPr>
          <w:rFonts w:hint="eastAsia" w:ascii="Times New Roman" w:eastAsia="仿宋_GB2312"/>
          <w:b w:val="0"/>
          <w:sz w:val="32"/>
          <w:szCs w:val="32"/>
          <w:lang w:val="en-US" w:eastAsia="zh-CN"/>
        </w:rPr>
        <w:t>及</w:t>
      </w:r>
      <w:r>
        <w:rPr>
          <w:rFonts w:hint="eastAsia" w:ascii="Times New Roman" w:eastAsia="仿宋_GB2312"/>
          <w:b w:val="0"/>
          <w:sz w:val="32"/>
          <w:szCs w:val="32"/>
        </w:rPr>
        <w:t>日常公用经费支出</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一般公共预算财政拨款本年收入完成年初预算的105.0%，比年初预算增加11.21万元，主要原因是</w:t>
      </w:r>
      <w:r>
        <w:rPr>
          <w:rFonts w:hint="eastAsia" w:ascii="Times New Roman" w:eastAsia="仿宋_GB2312"/>
          <w:b w:val="0"/>
          <w:sz w:val="32"/>
          <w:szCs w:val="32"/>
        </w:rPr>
        <w:t>2024年度新增工作人员5名</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追加人员经费预算拨款</w:t>
      </w:r>
      <w:r>
        <w:rPr>
          <w:rFonts w:ascii="Times New Roman" w:eastAsia="仿宋_GB2312"/>
          <w:b w:val="0"/>
          <w:sz w:val="32"/>
          <w:szCs w:val="32"/>
        </w:rPr>
        <w:t>；支出完成年初预算的103.4%，比年初预算增加7.60万元，主要原因是</w:t>
      </w:r>
      <w:r>
        <w:rPr>
          <w:rFonts w:hint="eastAsia" w:ascii="Times New Roman" w:eastAsia="仿宋_GB2312"/>
          <w:b w:val="0"/>
          <w:sz w:val="32"/>
          <w:szCs w:val="32"/>
        </w:rPr>
        <w:t>2024年度新增工作人员5名</w:t>
      </w:r>
      <w:r>
        <w:rPr>
          <w:rFonts w:hint="eastAsia" w:ascii="Times New Roman" w:eastAsia="仿宋_GB2312"/>
          <w:b w:val="0"/>
          <w:sz w:val="32"/>
          <w:szCs w:val="32"/>
          <w:lang w:val="en-US" w:eastAsia="zh-CN"/>
        </w:rPr>
        <w:t>,相应</w:t>
      </w:r>
      <w:r>
        <w:rPr>
          <w:rFonts w:hint="eastAsia" w:ascii="Times New Roman" w:eastAsia="仿宋_GB2312"/>
          <w:b w:val="0"/>
          <w:sz w:val="32"/>
          <w:szCs w:val="32"/>
        </w:rPr>
        <w:t>增加人员经费支出</w:t>
      </w:r>
      <w:r>
        <w:rPr>
          <w:rFonts w:hint="eastAsia" w:ascii="Times New Roman" w:eastAsia="仿宋_GB2312"/>
          <w:b w:val="0"/>
          <w:sz w:val="32"/>
          <w:szCs w:val="32"/>
          <w:lang w:val="en-US" w:eastAsia="zh-CN"/>
        </w:rPr>
        <w:t>和</w:t>
      </w:r>
      <w:r>
        <w:rPr>
          <w:rFonts w:hint="eastAsia" w:ascii="Times New Roman" w:eastAsia="仿宋_GB2312"/>
          <w:b w:val="0"/>
          <w:sz w:val="32"/>
          <w:szCs w:val="32"/>
        </w:rPr>
        <w:t>日常公用经费支出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w:t>
      </w:r>
      <w:r>
        <w:rPr>
          <w:rFonts w:hint="eastAsia" w:ascii="Times New Roman" w:eastAsia="仿宋_GB2312"/>
          <w:b w:val="0"/>
          <w:sz w:val="32"/>
          <w:szCs w:val="32"/>
        </w:rPr>
        <w:t>单位</w:t>
      </w:r>
      <w:r>
        <w:rPr>
          <w:rFonts w:hint="eastAsia" w:ascii="Times New Roman" w:eastAsia="仿宋_GB2312"/>
          <w:b w:val="0"/>
          <w:sz w:val="32"/>
          <w:szCs w:val="32"/>
          <w:lang w:val="en-US" w:eastAsia="zh-CN"/>
        </w:rPr>
        <w:t>2024年度未安排</w:t>
      </w:r>
      <w:r>
        <w:rPr>
          <w:rFonts w:ascii="Times New Roman" w:eastAsia="仿宋_GB2312"/>
          <w:b w:val="0"/>
          <w:sz w:val="32"/>
          <w:szCs w:val="32"/>
        </w:rPr>
        <w:t>政府性基金预算财政拨款；支出完成年初预算的0.0%，比年初预算增加0.00万元，主要原因是</w:t>
      </w:r>
      <w:r>
        <w:rPr>
          <w:rFonts w:hint="eastAsia" w:ascii="Times New Roman" w:eastAsia="仿宋_GB2312"/>
          <w:b w:val="0"/>
          <w:sz w:val="32"/>
          <w:szCs w:val="32"/>
          <w:lang w:val="en-US" w:eastAsia="zh-CN"/>
        </w:rPr>
        <w:t>2024年度</w:t>
      </w:r>
      <w:r>
        <w:rPr>
          <w:rFonts w:hint="eastAsia" w:ascii="Times New Roman" w:eastAsia="仿宋_GB2312"/>
          <w:b w:val="0"/>
          <w:sz w:val="32"/>
          <w:szCs w:val="32"/>
        </w:rPr>
        <w:t>无</w:t>
      </w:r>
      <w:r>
        <w:rPr>
          <w:rFonts w:ascii="Times New Roman" w:eastAsia="仿宋_GB2312"/>
          <w:b w:val="0"/>
          <w:sz w:val="32"/>
          <w:szCs w:val="32"/>
        </w:rPr>
        <w:t>政府性基金预算财政拨款</w:t>
      </w:r>
      <w:r>
        <w:rPr>
          <w:rFonts w:hint="eastAsia" w:ascii="Times New Roman" w:eastAsia="仿宋_GB2312"/>
          <w:b w:val="0"/>
          <w:sz w:val="32"/>
          <w:szCs w:val="32"/>
        </w:rPr>
        <w:t>收入，</w:t>
      </w:r>
      <w:r>
        <w:rPr>
          <w:rFonts w:hint="eastAsia" w:ascii="Times New Roman" w:eastAsia="仿宋_GB2312"/>
          <w:b w:val="0"/>
          <w:sz w:val="32"/>
          <w:szCs w:val="32"/>
          <w:lang w:val="en-US" w:eastAsia="zh-CN"/>
        </w:rPr>
        <w:t>故</w:t>
      </w:r>
      <w:r>
        <w:rPr>
          <w:rFonts w:hint="eastAsia" w:ascii="Times New Roman" w:eastAsia="仿宋_GB2312"/>
          <w:b w:val="0"/>
          <w:sz w:val="32"/>
          <w:szCs w:val="32"/>
        </w:rPr>
        <w:t>无对应支出发生</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 国有资本经营预算财政拨款本年收入完成年初预算</w:t>
      </w:r>
      <w:r>
        <w:rPr>
          <w:rFonts w:hint="eastAsia" w:ascii="Times New Roman" w:eastAsia="仿宋_GB2312"/>
          <w:b w:val="0"/>
          <w:sz w:val="32"/>
          <w:szCs w:val="32"/>
          <w:lang w:val="en-US" w:eastAsia="zh-CN"/>
        </w:rPr>
        <w:t>的</w:t>
      </w:r>
      <w:r>
        <w:rPr>
          <w:rFonts w:ascii="Times New Roman" w:eastAsia="仿宋_GB2312"/>
          <w:b w:val="0"/>
          <w:sz w:val="32"/>
          <w:szCs w:val="32"/>
        </w:rPr>
        <w:t>0.0%，比年初预算增加0.00万元，主要原因是</w:t>
      </w:r>
      <w:r>
        <w:rPr>
          <w:rFonts w:hint="eastAsia" w:ascii="Times New Roman" w:eastAsia="仿宋_GB2312"/>
          <w:b w:val="0"/>
          <w:sz w:val="32"/>
          <w:szCs w:val="32"/>
        </w:rPr>
        <w:t>单位</w:t>
      </w:r>
      <w:r>
        <w:rPr>
          <w:rFonts w:hint="eastAsia" w:ascii="Times New Roman" w:eastAsia="仿宋_GB2312"/>
          <w:b w:val="0"/>
          <w:sz w:val="32"/>
          <w:szCs w:val="32"/>
          <w:lang w:val="en-US" w:eastAsia="zh-CN"/>
        </w:rPr>
        <w:t>2024年度无符合国有资本经营预算财政拨款范围的事项，未形成收入</w:t>
      </w:r>
      <w:r>
        <w:rPr>
          <w:rFonts w:ascii="Times New Roman" w:eastAsia="仿宋_GB2312"/>
          <w:b w:val="0"/>
          <w:sz w:val="32"/>
          <w:szCs w:val="32"/>
        </w:rPr>
        <w:t>；支出完成年初预算的0.0%，比年初预算增加0.00万元，主要原因是</w:t>
      </w:r>
      <w:r>
        <w:rPr>
          <w:rFonts w:hint="eastAsia" w:ascii="Times New Roman" w:eastAsia="仿宋_GB2312"/>
          <w:b w:val="0"/>
          <w:sz w:val="32"/>
          <w:szCs w:val="32"/>
          <w:lang w:val="en-US" w:eastAsia="zh-CN"/>
        </w:rPr>
        <w:t>2024年度</w:t>
      </w:r>
      <w:r>
        <w:rPr>
          <w:rFonts w:hint="eastAsia" w:ascii="Times New Roman" w:eastAsia="仿宋_GB2312"/>
          <w:b w:val="0"/>
          <w:sz w:val="32"/>
          <w:szCs w:val="32"/>
        </w:rPr>
        <w:t>无国有资本经营预算财政拨款收入，无对应支出发生</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hAnsi="Times New Roman" w:eastAsia="仿宋_GB2312"/>
          <w:sz w:val="32"/>
          <w:szCs w:val="32"/>
          <w:highlight w:val="none"/>
        </w:rPr>
        <w:drawing>
          <wp:anchor distT="0" distB="0" distL="114300" distR="114300" simplePos="0" relativeHeight="251662336" behindDoc="0" locked="0" layoutInCell="1" allowOverlap="1">
            <wp:simplePos x="0" y="0"/>
            <wp:positionH relativeFrom="column">
              <wp:posOffset>210185</wp:posOffset>
            </wp:positionH>
            <wp:positionV relativeFrom="paragraph">
              <wp:posOffset>62230</wp:posOffset>
            </wp:positionV>
            <wp:extent cx="5256530" cy="2988310"/>
            <wp:effectExtent l="5080" t="4445" r="8890" b="1714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2024年度财政拨款支出233.23万元，主要用于以下方面：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一般公共服务（类）支出206.58万元，占88.6%，主要用于</w:t>
      </w:r>
      <w:r>
        <w:rPr>
          <w:rFonts w:hint="eastAsia" w:ascii="Times New Roman" w:eastAsia="仿宋_GB2312"/>
          <w:b w:val="0"/>
          <w:sz w:val="32"/>
          <w:szCs w:val="32"/>
        </w:rPr>
        <w:t>人员经费和项目经费</w:t>
      </w:r>
      <w:r>
        <w:rPr>
          <w:rFonts w:ascii="Times New Roman" w:eastAsia="仿宋_GB2312"/>
          <w:b w:val="0"/>
          <w:sz w:val="32"/>
          <w:szCs w:val="32"/>
        </w:rPr>
        <w:t>等支出；社会保障和就业（类）支出12.94万元，占5.5%，主要用于</w:t>
      </w:r>
      <w:r>
        <w:rPr>
          <w:rFonts w:hint="eastAsia" w:ascii="Times New Roman" w:eastAsia="仿宋_GB2312"/>
          <w:b w:val="0"/>
          <w:sz w:val="32"/>
          <w:szCs w:val="32"/>
          <w:lang w:val="en-US" w:eastAsia="zh-CN"/>
        </w:rPr>
        <w:t>在职</w:t>
      </w:r>
      <w:r>
        <w:rPr>
          <w:rFonts w:hint="eastAsia" w:ascii="Times New Roman" w:eastAsia="仿宋_GB2312"/>
          <w:b w:val="0"/>
          <w:sz w:val="32"/>
          <w:szCs w:val="32"/>
        </w:rPr>
        <w:t>人员的基本养老保险</w:t>
      </w:r>
      <w:r>
        <w:rPr>
          <w:rFonts w:ascii="Times New Roman" w:eastAsia="仿宋_GB2312"/>
          <w:b w:val="0"/>
          <w:sz w:val="32"/>
          <w:szCs w:val="32"/>
        </w:rPr>
        <w:t>等支出；卫生健康（类）支出6.55万元，占2.8%，主要用于</w:t>
      </w:r>
      <w:r>
        <w:rPr>
          <w:rFonts w:hint="eastAsia" w:ascii="Times New Roman" w:eastAsia="仿宋_GB2312"/>
          <w:b w:val="0"/>
          <w:sz w:val="32"/>
          <w:szCs w:val="32"/>
          <w:lang w:val="en-US" w:eastAsia="zh-CN"/>
        </w:rPr>
        <w:t>在职</w:t>
      </w:r>
      <w:r>
        <w:rPr>
          <w:rFonts w:hint="eastAsia" w:ascii="Times New Roman" w:eastAsia="仿宋_GB2312"/>
          <w:b w:val="0"/>
          <w:sz w:val="32"/>
          <w:szCs w:val="32"/>
        </w:rPr>
        <w:t>人员的医疗保险</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生育保险</w:t>
      </w:r>
      <w:r>
        <w:rPr>
          <w:rFonts w:ascii="Times New Roman" w:eastAsia="仿宋_GB2312"/>
          <w:b w:val="0"/>
          <w:sz w:val="32"/>
          <w:szCs w:val="32"/>
        </w:rPr>
        <w:t>等支出；住房保障（类）支出7.16万元，占3.1%，主要用于</w:t>
      </w:r>
      <w:r>
        <w:rPr>
          <w:rFonts w:hint="eastAsia" w:ascii="Times New Roman" w:eastAsia="仿宋_GB2312"/>
          <w:b w:val="0"/>
          <w:sz w:val="32"/>
          <w:szCs w:val="32"/>
        </w:rPr>
        <w:t>在职人员的住房公积金</w:t>
      </w:r>
      <w:r>
        <w:rPr>
          <w:rFonts w:ascii="Times New Roman" w:eastAsia="仿宋_GB2312"/>
          <w:b w:val="0"/>
          <w:sz w:val="32"/>
          <w:szCs w:val="32"/>
        </w:rPr>
        <w:t>等支出。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2024年度财政拨款基本支出116.21万元，其中：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人员经费110.32万元，主要包括基本工资、津贴补贴、绩效工资、机关事业部门基本养老保险缴费、职工基本医疗保险缴费、住房公积金、其他社会保障缴费。</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公用经费5.89万元，主要包括办公费、维修（护）费、其他交通费用。</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本单位2024年度“三公”经费财政拨款支出预算为3.00万元，支出决算为3.00万元，完成预算的100.0%，较预算增加0.00万元，增长0.0%，主要原因是</w:t>
      </w:r>
      <w:r>
        <w:rPr>
          <w:rFonts w:hint="eastAsia" w:ascii="Times New Roman" w:eastAsia="仿宋_GB2312"/>
          <w:b w:val="0"/>
          <w:sz w:val="32"/>
          <w:szCs w:val="32"/>
          <w:lang w:val="en-US" w:eastAsia="zh-CN"/>
        </w:rPr>
        <w:t>严格按预算执行，支出与预算一致</w:t>
      </w:r>
      <w:r>
        <w:rPr>
          <w:rFonts w:ascii="Times New Roman" w:eastAsia="仿宋_GB2312"/>
          <w:b w:val="0"/>
          <w:sz w:val="32"/>
          <w:szCs w:val="32"/>
        </w:rPr>
        <w:t>；较2023年度决算增加3.00万元，增长100.00%，主要原因是</w:t>
      </w:r>
      <w:r>
        <w:rPr>
          <w:rFonts w:hint="eastAsia" w:ascii="Times New Roman" w:eastAsia="仿宋_GB2312"/>
          <w:b w:val="0"/>
          <w:sz w:val="32"/>
          <w:szCs w:val="32"/>
          <w:lang w:val="en-US" w:eastAsia="zh-CN"/>
        </w:rPr>
        <w:t>单位</w:t>
      </w:r>
      <w:r>
        <w:rPr>
          <w:rFonts w:ascii="Times New Roman" w:eastAsia="仿宋_GB2312"/>
          <w:b w:val="0"/>
          <w:sz w:val="32"/>
          <w:szCs w:val="32"/>
        </w:rPr>
        <w:t>2024年度</w:t>
      </w:r>
      <w:r>
        <w:rPr>
          <w:rFonts w:hint="eastAsia" w:ascii="Times New Roman" w:eastAsia="仿宋_GB2312"/>
          <w:b w:val="0"/>
          <w:sz w:val="32"/>
          <w:szCs w:val="32"/>
          <w:lang w:val="en-US" w:eastAsia="zh-CN"/>
        </w:rPr>
        <w:t>开展招商活动，发生公务接待费</w:t>
      </w:r>
      <w:r>
        <w:rPr>
          <w:rFonts w:hint="eastAsia" w:ascii="Times New Roman" w:eastAsia="仿宋_GB2312"/>
          <w:b w:val="0"/>
          <w:sz w:val="32"/>
          <w:szCs w:val="32"/>
        </w:rPr>
        <w:t>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2024年度未发生</w:t>
      </w:r>
      <w:r>
        <w:rPr>
          <w:rFonts w:hint="eastAsia" w:ascii="Times New Roman" w:eastAsia="仿宋_GB2312"/>
          <w:b w:val="0"/>
          <w:sz w:val="32"/>
          <w:szCs w:val="32"/>
        </w:rPr>
        <w:t>因公出国（境）</w:t>
      </w:r>
      <w:r>
        <w:rPr>
          <w:rFonts w:hint="eastAsia" w:ascii="Times New Roman" w:eastAsia="仿宋_GB2312"/>
          <w:b w:val="0"/>
          <w:sz w:val="32"/>
          <w:szCs w:val="32"/>
          <w:lang w:val="en-US" w:eastAsia="zh-CN"/>
        </w:rPr>
        <w:t>事项，无相应支出</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本年与上年均未发生因公出国（境）事项，无相应支出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本单位2024年度公务用车购置及运行维护费预算为0.00万元，支出决算0.00万元，完成预算的0.0%,较预算增加0.00万元，增长0.0%,主要原因是2024年度</w:t>
      </w:r>
      <w:r>
        <w:rPr>
          <w:rFonts w:hint="eastAsia" w:ascii="Times New Roman" w:eastAsia="仿宋_GB2312"/>
          <w:b w:val="0"/>
          <w:sz w:val="32"/>
          <w:szCs w:val="32"/>
          <w:lang w:val="en-US" w:eastAsia="zh-CN"/>
        </w:rPr>
        <w:t>未发生</w:t>
      </w:r>
      <w:r>
        <w:rPr>
          <w:rFonts w:hint="eastAsia" w:ascii="Times New Roman" w:eastAsia="仿宋_GB2312"/>
          <w:b w:val="0"/>
          <w:sz w:val="32"/>
          <w:szCs w:val="32"/>
        </w:rPr>
        <w:t>公务用车购置及运行维护事项，无对应支出</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本年与上年均未发生</w:t>
      </w:r>
      <w:r>
        <w:rPr>
          <w:rFonts w:hint="eastAsia" w:ascii="Times New Roman" w:eastAsia="仿宋_GB2312"/>
          <w:b w:val="0"/>
          <w:sz w:val="32"/>
          <w:szCs w:val="32"/>
        </w:rPr>
        <w:t>公务用车购置及运行维护事项，无对应支出</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本单位2024年度公务用车购置量0辆，发生“公务用车购置”经费支出0.00万元。公务用车购置费支出较预算增加0.00万元，增长0.0%,主要原因是2024年度</w:t>
      </w:r>
      <w:r>
        <w:rPr>
          <w:rFonts w:hint="eastAsia" w:ascii="Times New Roman" w:eastAsia="仿宋_GB2312"/>
          <w:b w:val="0"/>
          <w:sz w:val="32"/>
          <w:szCs w:val="32"/>
          <w:lang w:val="en-US" w:eastAsia="zh-CN"/>
        </w:rPr>
        <w:t>未发生</w:t>
      </w:r>
      <w:r>
        <w:rPr>
          <w:rFonts w:hint="eastAsia" w:ascii="Times New Roman" w:eastAsia="仿宋_GB2312"/>
          <w:b w:val="0"/>
          <w:sz w:val="32"/>
          <w:szCs w:val="32"/>
        </w:rPr>
        <w:t>公务用车购置事项，无对应支出</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本年与上年均未发生</w:t>
      </w:r>
      <w:r>
        <w:rPr>
          <w:rFonts w:hint="eastAsia" w:ascii="Times New Roman" w:eastAsia="仿宋_GB2312"/>
          <w:b w:val="0"/>
          <w:sz w:val="32"/>
          <w:szCs w:val="32"/>
        </w:rPr>
        <w:t>公务用车购置事项，无对应支出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本单位2024年度单位公务用车保有量0辆，发生运行维护费支出0.00万元。公车运行维护费支出较预算增加0.00万元，增长0.0%,主要原因是2024年度</w:t>
      </w:r>
      <w:r>
        <w:rPr>
          <w:rFonts w:hint="eastAsia" w:ascii="Times New Roman" w:eastAsia="仿宋_GB2312"/>
          <w:b w:val="0"/>
          <w:sz w:val="32"/>
          <w:szCs w:val="32"/>
          <w:lang w:val="en-US" w:eastAsia="zh-CN"/>
        </w:rPr>
        <w:t>未发生</w:t>
      </w:r>
      <w:r>
        <w:rPr>
          <w:rFonts w:hint="eastAsia" w:ascii="Times New Roman" w:eastAsia="仿宋_GB2312"/>
          <w:b w:val="0"/>
          <w:sz w:val="32"/>
          <w:szCs w:val="32"/>
        </w:rPr>
        <w:t>公务用车运行维护事项，无对应支出</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本年与上年均未发生</w:t>
      </w:r>
      <w:r>
        <w:rPr>
          <w:rFonts w:hint="eastAsia" w:ascii="Times New Roman" w:eastAsia="仿宋_GB2312"/>
          <w:b w:val="0"/>
          <w:sz w:val="32"/>
          <w:szCs w:val="32"/>
        </w:rPr>
        <w:t>公务用车运行维护事项，无对应支出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本单位2024年度公务接待费支出预算为3.00万元，支出决算3.00万元，完成预算的100.0%。公务接待费支出较预算增加0.00万元，增长0.0%,主要原因是</w:t>
      </w:r>
      <w:r>
        <w:rPr>
          <w:rFonts w:hint="eastAsia" w:ascii="Times New Roman" w:eastAsia="仿宋_GB2312"/>
          <w:b w:val="0"/>
          <w:sz w:val="32"/>
          <w:szCs w:val="32"/>
          <w:lang w:val="en-US" w:eastAsia="zh-CN"/>
        </w:rPr>
        <w:t>严格按预算执行，支出与预算一致</w:t>
      </w:r>
      <w:r>
        <w:rPr>
          <w:rFonts w:ascii="Times New Roman" w:eastAsia="仿宋_GB2312"/>
          <w:b w:val="0"/>
          <w:sz w:val="32"/>
          <w:szCs w:val="32"/>
        </w:rPr>
        <w:t>；较上年度增加3.00万元，增长100.00%,主要原因是</w:t>
      </w:r>
      <w:r>
        <w:rPr>
          <w:rFonts w:hint="eastAsia" w:ascii="Times New Roman" w:eastAsia="仿宋_GB2312"/>
          <w:b w:val="0"/>
          <w:sz w:val="32"/>
          <w:szCs w:val="32"/>
          <w:lang w:val="en-US" w:eastAsia="zh-CN"/>
        </w:rPr>
        <w:t>单位</w:t>
      </w:r>
      <w:r>
        <w:rPr>
          <w:rFonts w:ascii="Times New Roman" w:eastAsia="仿宋_GB2312"/>
          <w:b w:val="0"/>
          <w:sz w:val="32"/>
          <w:szCs w:val="32"/>
        </w:rPr>
        <w:t>2024年度</w:t>
      </w:r>
      <w:r>
        <w:rPr>
          <w:rFonts w:hint="eastAsia" w:ascii="Times New Roman" w:eastAsia="仿宋_GB2312"/>
          <w:b w:val="0"/>
          <w:sz w:val="32"/>
          <w:szCs w:val="32"/>
          <w:lang w:val="en-US" w:eastAsia="zh-CN"/>
        </w:rPr>
        <w:t>开展招商活动，发生公务接待费</w:t>
      </w:r>
      <w:r>
        <w:rPr>
          <w:rFonts w:hint="eastAsia" w:ascii="Times New Roman" w:eastAsia="仿宋_GB2312"/>
          <w:b w:val="0"/>
          <w:sz w:val="32"/>
          <w:szCs w:val="32"/>
        </w:rPr>
        <w:t>支出</w:t>
      </w:r>
      <w:r>
        <w:rPr>
          <w:rFonts w:ascii="Times New Roman" w:eastAsia="仿宋_GB2312"/>
          <w:b w:val="0"/>
          <w:sz w:val="32"/>
          <w:szCs w:val="32"/>
        </w:rPr>
        <w:t>。本年度共发生公务接待43批次、338人次。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本单位2024年度机关运行经费支出0.00万元，较2023年度增加0.00万元，增长0.00%。主要原因是</w:t>
      </w:r>
      <w:r>
        <w:rPr>
          <w:rFonts w:hint="eastAsia" w:ascii="Times New Roman" w:eastAsia="仿宋_GB2312"/>
          <w:b w:val="0"/>
          <w:sz w:val="32"/>
          <w:szCs w:val="32"/>
        </w:rPr>
        <w:t>本单位性质非行政单位和参照公务员管理事业单位，故无机关运行经费</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w:t>
      </w:r>
      <w:r>
        <w:rPr>
          <w:rFonts w:ascii="Times New Roman" w:eastAsia="仿宋_GB2312"/>
          <w:b w:val="0"/>
          <w:sz w:val="32"/>
          <w:szCs w:val="32"/>
          <w:highlight w:val="none"/>
        </w:rPr>
        <w:t>主要是</w:t>
      </w:r>
      <w:r>
        <w:rPr>
          <w:rFonts w:hint="eastAsia" w:ascii="Times New Roman" w:eastAsia="仿宋_GB2312"/>
          <w:b w:val="0"/>
          <w:sz w:val="32"/>
          <w:szCs w:val="32"/>
          <w:highlight w:val="none"/>
          <w:lang w:val="en-US" w:eastAsia="zh-CN"/>
        </w:rPr>
        <w:t>本单位未配置车辆</w:t>
      </w:r>
      <w:r>
        <w:rPr>
          <w:rFonts w:ascii="Times New Roman" w:eastAsia="仿宋_GB2312"/>
          <w:b w:val="0"/>
          <w:sz w:val="32"/>
          <w:szCs w:val="32"/>
          <w:highlight w:val="none"/>
        </w:rPr>
        <w:t>。</w:t>
      </w:r>
      <w:r>
        <w:rPr>
          <w:rFonts w:ascii="Times New Roman" w:eastAsia="仿宋_GB2312"/>
          <w:b w:val="0"/>
          <w:sz w:val="32"/>
          <w:szCs w:val="32"/>
        </w:rPr>
        <w:t>其中，副部（省）级及以上领导用车0辆，主要负责人用车0辆，机要通信用车0辆，应急保障用车0辆，执法执勤用车0辆，特种专业技术用车0辆，离退休干部用车0辆，其他用车0辆。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117.03</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lang w:val="en-US" w:eastAsia="zh-CN"/>
        </w:rPr>
        <w:t>117.03</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rPr>
        <w:t>招商引资项目工作经费、重点项目工作经费</w:t>
      </w:r>
      <w:r>
        <w:rPr>
          <w:rFonts w:hint="eastAsia" w:ascii="Times New Roman" w:eastAsia="仿宋_GB2312"/>
          <w:b w:val="0"/>
          <w:sz w:val="32"/>
          <w:szCs w:val="32"/>
          <w:lang w:eastAsia="zh-CN"/>
        </w:rPr>
        <w:t>、驻外招商工作经费、央企入秦工作经费</w:t>
      </w:r>
      <w:r>
        <w:rPr>
          <w:rFonts w:ascii="Times New Roman" w:eastAsia="仿宋_GB2312"/>
          <w:b w:val="0"/>
          <w:sz w:val="32"/>
          <w:szCs w:val="32"/>
        </w:rPr>
        <w:t>等</w:t>
      </w:r>
      <w:r>
        <w:rPr>
          <w:rFonts w:hint="eastAsia" w:ascii="Times New Roman" w:eastAsia="仿宋_GB2312"/>
          <w:b w:val="0"/>
          <w:sz w:val="32"/>
          <w:szCs w:val="32"/>
          <w:lang w:val="en-US" w:eastAsia="zh-CN"/>
        </w:rPr>
        <w:t>4</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117.03</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ascii="Times New Roman" w:eastAsia="仿宋_GB2312"/>
          <w:b w:val="0"/>
          <w:sz w:val="32"/>
          <w:szCs w:val="32"/>
          <w:highlight w:val="none"/>
        </w:rPr>
        <w:t>从评价情况来看，</w:t>
      </w:r>
      <w:r>
        <w:rPr>
          <w:rFonts w:hint="eastAsia" w:ascii="Times New Roman" w:eastAsia="仿宋_GB2312"/>
          <w:b w:val="0"/>
          <w:sz w:val="32"/>
          <w:szCs w:val="32"/>
        </w:rPr>
        <w:t>预算安排的项目支出</w:t>
      </w:r>
      <w:r>
        <w:rPr>
          <w:rFonts w:hint="eastAsia" w:ascii="Times New Roman" w:eastAsia="仿宋_GB2312"/>
          <w:b w:val="0"/>
          <w:sz w:val="32"/>
          <w:szCs w:val="32"/>
          <w:lang w:val="en-US" w:eastAsia="zh-CN"/>
        </w:rPr>
        <w:t>有效</w:t>
      </w:r>
      <w:r>
        <w:rPr>
          <w:rFonts w:hint="eastAsia" w:ascii="Times New Roman" w:eastAsia="仿宋_GB2312"/>
          <w:b w:val="0"/>
          <w:sz w:val="32"/>
          <w:szCs w:val="32"/>
        </w:rPr>
        <w:t>保障招商工作有序推进，项目资金使用严格</w:t>
      </w:r>
      <w:r>
        <w:rPr>
          <w:rFonts w:hint="eastAsia" w:ascii="Times New Roman" w:eastAsia="仿宋_GB2312"/>
          <w:b w:val="0"/>
          <w:sz w:val="32"/>
          <w:szCs w:val="32"/>
          <w:lang w:val="en-US" w:eastAsia="zh-CN"/>
        </w:rPr>
        <w:t>执行</w:t>
      </w:r>
      <w:r>
        <w:rPr>
          <w:rFonts w:hint="eastAsia" w:ascii="Times New Roman" w:eastAsia="仿宋_GB2312"/>
          <w:b w:val="0"/>
          <w:sz w:val="32"/>
          <w:szCs w:val="32"/>
        </w:rPr>
        <w:t>各项财经纪律</w:t>
      </w:r>
      <w:r>
        <w:rPr>
          <w:rFonts w:hint="eastAsia" w:ascii="Times New Roman" w:eastAsia="仿宋_GB2312"/>
          <w:b w:val="0"/>
          <w:sz w:val="32"/>
          <w:szCs w:val="32"/>
          <w:lang w:eastAsia="zh-CN"/>
        </w:rPr>
        <w:t>；</w:t>
      </w:r>
      <w:r>
        <w:rPr>
          <w:rFonts w:hint="eastAsia" w:ascii="Times New Roman" w:eastAsia="仿宋_GB2312"/>
          <w:b w:val="0"/>
          <w:sz w:val="32"/>
          <w:szCs w:val="32"/>
        </w:rPr>
        <w:t>通过开展招商强基、多元化招商、精准招商及高质量招商行动，实现招商能力、方式、实效与质量新突破。在经济效益、社会效益等方面都有很好的表现，项目投资增加就业岗位</w:t>
      </w:r>
      <w:r>
        <w:rPr>
          <w:rFonts w:hint="eastAsia" w:ascii="Times New Roman" w:eastAsia="仿宋_GB2312"/>
          <w:b w:val="0"/>
          <w:sz w:val="32"/>
          <w:szCs w:val="32"/>
          <w:lang w:eastAsia="zh-CN"/>
        </w:rPr>
        <w:t>、</w:t>
      </w:r>
      <w:r>
        <w:rPr>
          <w:rFonts w:hint="eastAsia" w:ascii="Times New Roman" w:eastAsia="仿宋_GB2312"/>
          <w:b w:val="0"/>
          <w:sz w:val="32"/>
          <w:szCs w:val="32"/>
        </w:rPr>
        <w:t>提</w:t>
      </w:r>
      <w:r>
        <w:rPr>
          <w:rFonts w:hint="eastAsia" w:ascii="Times New Roman" w:eastAsia="仿宋_GB2312"/>
          <w:b w:val="0"/>
          <w:sz w:val="32"/>
          <w:szCs w:val="32"/>
          <w:lang w:val="en-US" w:eastAsia="zh-CN"/>
        </w:rPr>
        <w:t>升居</w:t>
      </w:r>
      <w:r>
        <w:rPr>
          <w:rFonts w:hint="eastAsia" w:ascii="Times New Roman" w:eastAsia="仿宋_GB2312"/>
          <w:b w:val="0"/>
          <w:sz w:val="32"/>
          <w:szCs w:val="32"/>
        </w:rPr>
        <w:t>民生活水平</w:t>
      </w:r>
      <w:r>
        <w:rPr>
          <w:rFonts w:hint="eastAsia" w:ascii="Times New Roman" w:eastAsia="仿宋_GB2312"/>
          <w:b w:val="0"/>
          <w:sz w:val="32"/>
          <w:szCs w:val="32"/>
          <w:lang w:eastAsia="zh-CN"/>
        </w:rPr>
        <w:t>，</w:t>
      </w:r>
      <w:r>
        <w:rPr>
          <w:rFonts w:hint="eastAsia" w:ascii="Times New Roman" w:eastAsia="仿宋_GB2312"/>
          <w:b w:val="0"/>
          <w:sz w:val="32"/>
          <w:szCs w:val="32"/>
        </w:rPr>
        <w:t>项目引进带动本地经济发展，提</w:t>
      </w:r>
      <w:r>
        <w:rPr>
          <w:rFonts w:hint="eastAsia" w:ascii="Times New Roman" w:eastAsia="仿宋_GB2312"/>
          <w:b w:val="0"/>
          <w:sz w:val="32"/>
          <w:szCs w:val="32"/>
          <w:lang w:val="en-US" w:eastAsia="zh-CN"/>
        </w:rPr>
        <w:t>升</w:t>
      </w:r>
      <w:r>
        <w:rPr>
          <w:rFonts w:hint="eastAsia" w:ascii="Times New Roman" w:eastAsia="仿宋_GB2312"/>
          <w:b w:val="0"/>
          <w:sz w:val="32"/>
          <w:szCs w:val="32"/>
        </w:rPr>
        <w:t>经济效益</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rPr>
        <w:t>招商引资项目工作经费、重点项目工作经费、驻外招商工作经费、央企入秦工作经费</w:t>
      </w:r>
      <w:r>
        <w:rPr>
          <w:rFonts w:ascii="Times New Roman" w:eastAsia="仿宋_GB2312"/>
          <w:b w:val="0"/>
          <w:sz w:val="32"/>
          <w:szCs w:val="32"/>
        </w:rPr>
        <w:t>等</w:t>
      </w:r>
      <w:r>
        <w:rPr>
          <w:rFonts w:hint="eastAsia" w:ascii="Times New Roman" w:eastAsia="仿宋_GB2312"/>
          <w:b w:val="0"/>
          <w:sz w:val="32"/>
          <w:szCs w:val="32"/>
          <w:lang w:val="en-US" w:eastAsia="zh-CN"/>
        </w:rPr>
        <w:t>4</w:t>
      </w:r>
      <w:r>
        <w:rPr>
          <w:rFonts w:ascii="Times New Roman" w:eastAsia="仿宋_GB2312"/>
          <w:b w:val="0"/>
          <w:sz w:val="32"/>
          <w:szCs w:val="32"/>
        </w:rPr>
        <w:t>个项目绩效自评结果。</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1.</w:t>
      </w:r>
      <w:bookmarkStart w:id="1" w:name="OLE_LINK2"/>
      <w:r>
        <w:rPr>
          <w:rFonts w:hint="eastAsia" w:ascii="Times New Roman" w:eastAsia="仿宋_GB2312"/>
          <w:b w:val="0"/>
          <w:sz w:val="32"/>
          <w:szCs w:val="32"/>
        </w:rPr>
        <w:t>招商引资</w:t>
      </w:r>
      <w:bookmarkEnd w:id="1"/>
      <w:r>
        <w:rPr>
          <w:rFonts w:hint="eastAsia" w:ascii="Times New Roman" w:eastAsia="仿宋_GB2312"/>
          <w:b w:val="0"/>
          <w:sz w:val="32"/>
          <w:szCs w:val="32"/>
        </w:rPr>
        <w:t>项目工作经费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招商引资</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94</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49.9987</w:t>
      </w:r>
      <w:r>
        <w:rPr>
          <w:rFonts w:ascii="Times New Roman" w:eastAsia="仿宋_GB2312"/>
          <w:b w:val="0"/>
          <w:sz w:val="32"/>
          <w:szCs w:val="32"/>
        </w:rPr>
        <w:t>万元，执行数为</w:t>
      </w:r>
      <w:r>
        <w:rPr>
          <w:rFonts w:hint="eastAsia" w:ascii="Times New Roman" w:eastAsia="仿宋_GB2312"/>
          <w:b w:val="0"/>
          <w:sz w:val="32"/>
          <w:szCs w:val="32"/>
          <w:lang w:val="en-US" w:eastAsia="zh-CN"/>
        </w:rPr>
        <w:t>49.9987</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rPr>
        <w:t>辅助完成</w:t>
      </w:r>
      <w:r>
        <w:rPr>
          <w:rFonts w:hint="eastAsia" w:ascii="Times New Roman" w:eastAsia="仿宋_GB2312"/>
          <w:b w:val="0"/>
          <w:sz w:val="32"/>
          <w:szCs w:val="32"/>
          <w:lang w:val="en-US" w:eastAsia="zh-CN"/>
        </w:rPr>
        <w:t>青龙</w:t>
      </w:r>
      <w:r>
        <w:rPr>
          <w:rFonts w:hint="eastAsia" w:ascii="Times New Roman" w:eastAsia="仿宋_GB2312"/>
          <w:b w:val="0"/>
          <w:sz w:val="32"/>
          <w:szCs w:val="32"/>
        </w:rPr>
        <w:t>县招商引资任务；二是促进招商质量的提高</w:t>
      </w:r>
      <w:r>
        <w:rPr>
          <w:rFonts w:ascii="Times New Roman" w:eastAsia="仿宋_GB2312"/>
          <w:b w:val="0"/>
          <w:sz w:val="32"/>
          <w:szCs w:val="32"/>
        </w:rPr>
        <w:t>。</w:t>
      </w:r>
      <w:r>
        <w:rPr>
          <w:rFonts w:hint="eastAsia" w:ascii="Times New Roman" w:eastAsia="仿宋_GB2312"/>
          <w:b w:val="0"/>
          <w:sz w:val="32"/>
          <w:szCs w:val="32"/>
        </w:rPr>
        <w:t>通过项目实施，完成了年初设定的各项绩效目标，完成产出指标</w:t>
      </w:r>
      <w:r>
        <w:rPr>
          <w:rFonts w:hint="eastAsia" w:ascii="Times New Roman" w:eastAsia="仿宋_GB2312"/>
          <w:b w:val="0"/>
          <w:sz w:val="32"/>
          <w:szCs w:val="32"/>
          <w:lang w:eastAsia="zh-CN"/>
        </w:rPr>
        <w:t>、</w:t>
      </w:r>
      <w:r>
        <w:rPr>
          <w:rFonts w:hint="eastAsia" w:ascii="Times New Roman" w:eastAsia="仿宋_GB2312"/>
          <w:b w:val="0"/>
          <w:sz w:val="32"/>
          <w:szCs w:val="32"/>
        </w:rPr>
        <w:t>效益指标</w:t>
      </w:r>
      <w:r>
        <w:rPr>
          <w:rFonts w:hint="eastAsia" w:ascii="Times New Roman" w:eastAsia="仿宋_GB2312"/>
          <w:b w:val="0"/>
          <w:sz w:val="32"/>
          <w:szCs w:val="32"/>
          <w:lang w:eastAsia="zh-CN"/>
        </w:rPr>
        <w:t>、</w:t>
      </w:r>
      <w:r>
        <w:rPr>
          <w:rFonts w:hint="eastAsia" w:ascii="Times New Roman" w:eastAsia="仿宋_GB2312"/>
          <w:b w:val="0"/>
          <w:sz w:val="32"/>
          <w:szCs w:val="32"/>
        </w:rPr>
        <w:t>满意度指标等。未发现问题。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2.</w:t>
      </w:r>
      <w:r>
        <w:rPr>
          <w:rFonts w:hint="eastAsia" w:ascii="Times New Roman" w:eastAsia="仿宋_GB2312"/>
          <w:b w:val="0"/>
          <w:sz w:val="32"/>
          <w:szCs w:val="32"/>
        </w:rPr>
        <w:t>重点项目工作经费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重点项目</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92</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40</w:t>
      </w:r>
      <w:r>
        <w:rPr>
          <w:rFonts w:ascii="Times New Roman" w:eastAsia="仿宋_GB2312"/>
          <w:b w:val="0"/>
          <w:sz w:val="32"/>
          <w:szCs w:val="32"/>
        </w:rPr>
        <w:t>万元，执行数为</w:t>
      </w:r>
      <w:r>
        <w:rPr>
          <w:rFonts w:hint="eastAsia" w:ascii="Times New Roman" w:eastAsia="仿宋_GB2312"/>
          <w:b w:val="0"/>
          <w:sz w:val="32"/>
          <w:szCs w:val="32"/>
          <w:lang w:val="en-US" w:eastAsia="zh-CN"/>
        </w:rPr>
        <w:t>37.818438</w:t>
      </w:r>
      <w:r>
        <w:rPr>
          <w:rFonts w:ascii="Times New Roman" w:eastAsia="仿宋_GB2312"/>
          <w:b w:val="0"/>
          <w:sz w:val="32"/>
          <w:szCs w:val="32"/>
        </w:rPr>
        <w:t>万元，完成预算的</w:t>
      </w:r>
      <w:r>
        <w:rPr>
          <w:rFonts w:hint="eastAsia" w:ascii="Times New Roman" w:eastAsia="仿宋_GB2312"/>
          <w:b w:val="0"/>
          <w:sz w:val="32"/>
          <w:szCs w:val="32"/>
          <w:lang w:val="en-US" w:eastAsia="zh-CN"/>
        </w:rPr>
        <w:t>94.55</w:t>
      </w:r>
      <w:r>
        <w:rPr>
          <w:rFonts w:ascii="Times New Roman" w:eastAsia="仿宋_GB2312"/>
          <w:b w:val="0"/>
          <w:sz w:val="32"/>
          <w:szCs w:val="32"/>
        </w:rPr>
        <w:t>%。项目绩效目标完成情况：一是</w:t>
      </w:r>
      <w:r>
        <w:rPr>
          <w:rFonts w:hint="eastAsia" w:ascii="Times New Roman" w:eastAsia="仿宋_GB2312"/>
          <w:b w:val="0"/>
          <w:sz w:val="32"/>
          <w:szCs w:val="32"/>
          <w:lang w:val="en-US" w:eastAsia="zh-CN"/>
        </w:rPr>
        <w:t>通过</w:t>
      </w:r>
      <w:r>
        <w:rPr>
          <w:rFonts w:hint="eastAsia" w:ascii="Times New Roman" w:eastAsia="仿宋_GB2312"/>
          <w:b w:val="0"/>
          <w:sz w:val="32"/>
          <w:szCs w:val="32"/>
        </w:rPr>
        <w:t>开展小团组招商活动，促进招商引资工作目标完成；二是通过</w:t>
      </w:r>
      <w:r>
        <w:rPr>
          <w:rFonts w:hint="eastAsia" w:ascii="Times New Roman" w:eastAsia="仿宋_GB2312"/>
          <w:b w:val="0"/>
          <w:sz w:val="32"/>
          <w:szCs w:val="32"/>
          <w:lang w:val="en-US" w:eastAsia="zh-CN"/>
        </w:rPr>
        <w:t>多次</w:t>
      </w:r>
      <w:r>
        <w:rPr>
          <w:rFonts w:hint="eastAsia" w:ascii="Times New Roman" w:eastAsia="仿宋_GB2312"/>
          <w:b w:val="0"/>
          <w:sz w:val="32"/>
          <w:szCs w:val="32"/>
        </w:rPr>
        <w:t>举行洽谈会，促进招商工作效果提升</w:t>
      </w:r>
      <w:r>
        <w:rPr>
          <w:rFonts w:ascii="Times New Roman" w:eastAsia="仿宋_GB2312"/>
          <w:b w:val="0"/>
          <w:sz w:val="32"/>
          <w:szCs w:val="32"/>
        </w:rPr>
        <w:t>。</w:t>
      </w:r>
      <w:r>
        <w:rPr>
          <w:rFonts w:hint="eastAsia" w:ascii="Times New Roman" w:eastAsia="仿宋_GB2312"/>
          <w:b w:val="0"/>
          <w:sz w:val="32"/>
          <w:szCs w:val="32"/>
        </w:rPr>
        <w:t>通过项目实施，完成了年初设定的各项绩效目标，</w:t>
      </w:r>
      <w:r>
        <w:rPr>
          <w:rFonts w:hint="eastAsia" w:ascii="Times New Roman" w:eastAsia="仿宋_GB2312"/>
          <w:b w:val="0"/>
          <w:sz w:val="32"/>
          <w:szCs w:val="32"/>
          <w:lang w:val="en-US" w:eastAsia="zh-CN"/>
        </w:rPr>
        <w:t>仅因预算执行期间</w:t>
      </w:r>
      <w:r>
        <w:rPr>
          <w:rFonts w:hint="eastAsia" w:ascii="Times New Roman" w:eastAsia="仿宋_GB2312"/>
          <w:b w:val="0"/>
          <w:sz w:val="32"/>
          <w:szCs w:val="32"/>
        </w:rPr>
        <w:t>财政资金统筹压力，</w:t>
      </w:r>
      <w:r>
        <w:rPr>
          <w:rFonts w:hint="eastAsia" w:ascii="Times New Roman" w:eastAsia="仿宋_GB2312"/>
          <w:b w:val="0"/>
          <w:sz w:val="32"/>
          <w:szCs w:val="32"/>
          <w:lang w:val="en-US" w:eastAsia="zh-CN"/>
        </w:rPr>
        <w:t>产出</w:t>
      </w:r>
      <w:r>
        <w:rPr>
          <w:rFonts w:hint="eastAsia" w:ascii="Times New Roman" w:eastAsia="仿宋_GB2312"/>
          <w:b w:val="0"/>
          <w:sz w:val="32"/>
          <w:szCs w:val="32"/>
        </w:rPr>
        <w:t>指标</w:t>
      </w:r>
      <w:r>
        <w:rPr>
          <w:rFonts w:hint="eastAsia" w:ascii="Times New Roman" w:eastAsia="仿宋_GB2312"/>
          <w:b w:val="0"/>
          <w:sz w:val="32"/>
          <w:szCs w:val="32"/>
          <w:lang w:val="en-US" w:eastAsia="zh-CN"/>
        </w:rPr>
        <w:t>中成本指标</w:t>
      </w:r>
      <w:r>
        <w:rPr>
          <w:rFonts w:hint="eastAsia" w:ascii="Times New Roman" w:eastAsia="仿宋_GB2312"/>
          <w:b w:val="0"/>
          <w:sz w:val="32"/>
          <w:szCs w:val="32"/>
        </w:rPr>
        <w:t>完成</w:t>
      </w:r>
      <w:r>
        <w:rPr>
          <w:rFonts w:hint="eastAsia" w:ascii="Times New Roman" w:eastAsia="仿宋_GB2312"/>
          <w:b w:val="0"/>
          <w:sz w:val="32"/>
          <w:szCs w:val="32"/>
          <w:lang w:val="en-US" w:eastAsia="zh-CN"/>
        </w:rPr>
        <w:t>度欠佳</w:t>
      </w:r>
      <w:r>
        <w:rPr>
          <w:rFonts w:hint="eastAsia" w:ascii="Times New Roman" w:eastAsia="仿宋_GB2312"/>
          <w:b w:val="0"/>
          <w:sz w:val="32"/>
          <w:szCs w:val="32"/>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3.</w:t>
      </w:r>
      <w:r>
        <w:rPr>
          <w:rFonts w:hint="eastAsia" w:ascii="Times New Roman" w:eastAsia="仿宋_GB2312"/>
          <w:b w:val="0"/>
          <w:sz w:val="32"/>
          <w:szCs w:val="32"/>
        </w:rPr>
        <w:t>驻外招商工作经费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驻外招商</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93</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w:t>
      </w:r>
      <w:r>
        <w:rPr>
          <w:rFonts w:ascii="Times New Roman" w:eastAsia="仿宋_GB2312"/>
          <w:b w:val="0"/>
          <w:sz w:val="32"/>
          <w:szCs w:val="32"/>
        </w:rPr>
        <w:t>万元，执行数为</w:t>
      </w:r>
      <w:r>
        <w:rPr>
          <w:rFonts w:hint="eastAsia" w:ascii="Times New Roman" w:eastAsia="仿宋_GB2312"/>
          <w:b w:val="0"/>
          <w:sz w:val="32"/>
          <w:szCs w:val="32"/>
          <w:lang w:val="en-US" w:eastAsia="zh-CN"/>
        </w:rPr>
        <w:t>10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rPr>
        <w:t>通过举行各类驻外招商工作，促进招商工作效果提升；二是通过邀请知名企业来青考察，开展小团组招商活动，促进招商引资工作目标完成</w:t>
      </w:r>
      <w:r>
        <w:rPr>
          <w:rFonts w:ascii="Times New Roman" w:eastAsia="仿宋_GB2312"/>
          <w:b w:val="0"/>
          <w:sz w:val="32"/>
          <w:szCs w:val="32"/>
        </w:rPr>
        <w:t>。</w:t>
      </w:r>
      <w:r>
        <w:rPr>
          <w:rFonts w:hint="eastAsia" w:ascii="Times New Roman" w:eastAsia="仿宋_GB2312"/>
          <w:b w:val="0"/>
          <w:sz w:val="32"/>
          <w:szCs w:val="32"/>
        </w:rPr>
        <w:t>通过项目实施，完成了年初设定的各项绩效目标，产出指标</w:t>
      </w:r>
      <w:r>
        <w:rPr>
          <w:rFonts w:hint="eastAsia" w:ascii="Times New Roman" w:eastAsia="仿宋_GB2312"/>
          <w:b w:val="0"/>
          <w:sz w:val="32"/>
          <w:szCs w:val="32"/>
          <w:lang w:eastAsia="zh-CN"/>
        </w:rPr>
        <w:t>、</w:t>
      </w:r>
      <w:r>
        <w:rPr>
          <w:rFonts w:hint="eastAsia" w:ascii="Times New Roman" w:eastAsia="仿宋_GB2312"/>
          <w:b w:val="0"/>
          <w:sz w:val="32"/>
          <w:szCs w:val="32"/>
        </w:rPr>
        <w:t>效益指标</w:t>
      </w:r>
      <w:r>
        <w:rPr>
          <w:rFonts w:hint="eastAsia" w:ascii="Times New Roman" w:eastAsia="仿宋_GB2312"/>
          <w:b w:val="0"/>
          <w:sz w:val="32"/>
          <w:szCs w:val="32"/>
          <w:lang w:val="en-US" w:eastAsia="zh-CN"/>
        </w:rPr>
        <w:t>及</w:t>
      </w:r>
      <w:r>
        <w:rPr>
          <w:rFonts w:hint="eastAsia" w:ascii="Times New Roman" w:eastAsia="仿宋_GB2312"/>
          <w:b w:val="0"/>
          <w:sz w:val="32"/>
          <w:szCs w:val="32"/>
        </w:rPr>
        <w:t>满意度指标均达标</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仅数量指标完成度欠佳。</w:t>
      </w:r>
      <w:r>
        <w:rPr>
          <w:rFonts w:hint="eastAsia" w:ascii="Times New Roman" w:eastAsia="仿宋_GB2312"/>
          <w:b w:val="0"/>
          <w:sz w:val="32"/>
          <w:szCs w:val="32"/>
        </w:rPr>
        <w:t>未发现问题。</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eastAsia="仿宋_GB2312"/>
          <w:b w:val="0"/>
          <w:sz w:val="32"/>
          <w:szCs w:val="32"/>
          <w:lang w:val="en-US" w:eastAsia="zh-CN"/>
        </w:rPr>
        <w:t>4.</w:t>
      </w:r>
      <w:r>
        <w:rPr>
          <w:rFonts w:hint="eastAsia" w:ascii="Times New Roman" w:eastAsia="仿宋_GB2312"/>
          <w:b w:val="0"/>
          <w:sz w:val="32"/>
          <w:szCs w:val="32"/>
        </w:rPr>
        <w:t>央企入秦工作经费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央企入秦</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20</w:t>
      </w:r>
      <w:r>
        <w:rPr>
          <w:rFonts w:ascii="Times New Roman" w:eastAsia="仿宋_GB2312"/>
          <w:b w:val="0"/>
          <w:sz w:val="32"/>
          <w:szCs w:val="32"/>
        </w:rPr>
        <w:t>万元，执行数为</w:t>
      </w:r>
      <w:r>
        <w:rPr>
          <w:rFonts w:hint="eastAsia" w:ascii="Times New Roman" w:eastAsia="仿宋_GB2312"/>
          <w:b w:val="0"/>
          <w:sz w:val="32"/>
          <w:szCs w:val="32"/>
          <w:lang w:val="en-US" w:eastAsia="zh-CN"/>
        </w:rPr>
        <w:t>20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rPr>
        <w:t>通过引进央企三级子公司，促进招商工作效果提升；二是通过开展小团组招商活动，促进招商引资工作目标完成</w:t>
      </w:r>
      <w:r>
        <w:rPr>
          <w:rFonts w:ascii="Times New Roman" w:eastAsia="仿宋_GB2312"/>
          <w:b w:val="0"/>
          <w:sz w:val="32"/>
          <w:szCs w:val="32"/>
        </w:rPr>
        <w:t>。</w:t>
      </w:r>
      <w:r>
        <w:rPr>
          <w:rFonts w:hint="eastAsia" w:ascii="Times New Roman" w:eastAsia="仿宋_GB2312"/>
          <w:b w:val="0"/>
          <w:sz w:val="32"/>
          <w:szCs w:val="32"/>
        </w:rPr>
        <w:t>通过项目实施，完成了年初设定的各项绩效目标，产出指标</w:t>
      </w:r>
      <w:r>
        <w:rPr>
          <w:rFonts w:hint="eastAsia" w:ascii="Times New Roman" w:eastAsia="仿宋_GB2312"/>
          <w:b w:val="0"/>
          <w:sz w:val="32"/>
          <w:szCs w:val="32"/>
          <w:lang w:eastAsia="zh-CN"/>
        </w:rPr>
        <w:t>、</w:t>
      </w:r>
      <w:r>
        <w:rPr>
          <w:rFonts w:hint="eastAsia" w:ascii="Times New Roman" w:eastAsia="仿宋_GB2312"/>
          <w:b w:val="0"/>
          <w:sz w:val="32"/>
          <w:szCs w:val="32"/>
        </w:rPr>
        <w:t>效益指标</w:t>
      </w:r>
      <w:r>
        <w:rPr>
          <w:rFonts w:hint="eastAsia" w:ascii="Times New Roman" w:eastAsia="仿宋_GB2312"/>
          <w:b w:val="0"/>
          <w:sz w:val="32"/>
          <w:szCs w:val="32"/>
          <w:lang w:val="en-US" w:eastAsia="zh-CN"/>
        </w:rPr>
        <w:t>及</w:t>
      </w:r>
      <w:r>
        <w:rPr>
          <w:rFonts w:hint="eastAsia" w:ascii="Times New Roman" w:eastAsia="仿宋_GB2312"/>
          <w:b w:val="0"/>
          <w:sz w:val="32"/>
          <w:szCs w:val="32"/>
        </w:rPr>
        <w:t>满意度指标</w:t>
      </w:r>
      <w:r>
        <w:rPr>
          <w:rFonts w:hint="eastAsia" w:ascii="Times New Roman" w:eastAsia="仿宋_GB2312"/>
          <w:b w:val="0"/>
          <w:sz w:val="32"/>
          <w:szCs w:val="32"/>
          <w:lang w:val="en-US" w:eastAsia="zh-CN"/>
        </w:rPr>
        <w:t>执行情况良好</w:t>
      </w:r>
      <w:r>
        <w:rPr>
          <w:rFonts w:hint="eastAsia" w:ascii="Times New Roman" w:eastAsia="仿宋_GB2312"/>
          <w:b w:val="0"/>
          <w:sz w:val="32"/>
          <w:szCs w:val="32"/>
        </w:rPr>
        <w:t>。未发现问题</w:t>
      </w:r>
      <w:r>
        <w:rPr>
          <w:rFonts w:hint="eastAsia" w:ascii="Times New Roman" w:eastAsia="仿宋_GB2312"/>
          <w:b w:val="0"/>
          <w:sz w:val="32"/>
          <w:szCs w:val="32"/>
          <w:lang w:eastAsia="zh-CN"/>
        </w:rPr>
        <w:t>。</w:t>
      </w:r>
    </w:p>
    <w:p>
      <w:pPr>
        <w:snapToGrid w:val="0"/>
        <w:spacing w:after="0" w:line="360" w:lineRule="auto"/>
        <w:ind w:firstLine="676" w:firstLineChars="282"/>
        <w:rPr>
          <w:rFonts w:ascii="仿宋" w:hAnsi="仿宋" w:eastAsia="仿宋" w:cs="Times New Roman"/>
          <w:sz w:val="32"/>
          <w:szCs w:val="32"/>
          <w:highlight w:val="none"/>
        </w:rPr>
      </w:pPr>
      <w:r>
        <w:drawing>
          <wp:anchor distT="0" distB="0" distL="114300" distR="114300" simplePos="0" relativeHeight="251663360" behindDoc="0" locked="0" layoutInCell="1" allowOverlap="1">
            <wp:simplePos x="0" y="0"/>
            <wp:positionH relativeFrom="column">
              <wp:posOffset>1270</wp:posOffset>
            </wp:positionH>
            <wp:positionV relativeFrom="paragraph">
              <wp:posOffset>323215</wp:posOffset>
            </wp:positionV>
            <wp:extent cx="5755005" cy="3248660"/>
            <wp:effectExtent l="0" t="0" r="17145" b="889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clrChange>
                        <a:clrFrom>
                          <a:srgbClr val="CCE8CF">
                            <a:alpha val="100000"/>
                          </a:srgbClr>
                        </a:clrFrom>
                        <a:clrTo>
                          <a:srgbClr val="CCE8CF">
                            <a:alpha val="100000"/>
                            <a:alpha val="0"/>
                          </a:srgbClr>
                        </a:clrTo>
                      </a:clrChange>
                    </a:blip>
                    <a:srcRect b="2848"/>
                    <a:stretch>
                      <a:fillRect/>
                    </a:stretch>
                  </pic:blipFill>
                  <pic:spPr>
                    <a:xfrm>
                      <a:off x="0" y="0"/>
                      <a:ext cx="5755005" cy="3248660"/>
                    </a:xfrm>
                    <a:prstGeom prst="rect">
                      <a:avLst/>
                    </a:prstGeom>
                    <a:noFill/>
                    <a:ln>
                      <a:noFill/>
                    </a:ln>
                  </pic:spPr>
                </pic:pic>
              </a:graphicData>
            </a:graphic>
          </wp:anchor>
        </w:drawing>
      </w:r>
      <w:r>
        <w:rPr>
          <w:rFonts w:ascii="仿宋" w:hAnsi="仿宋" w:eastAsia="仿宋" w:cs="Times New Roman"/>
          <w:sz w:val="32"/>
          <w:szCs w:val="32"/>
          <w:highlight w:val="none"/>
        </w:rPr>
        <w:t>附项目支出绩效自评表</w:t>
      </w:r>
    </w:p>
    <w:p>
      <w:pPr>
        <w:snapToGrid w:val="0"/>
        <w:spacing w:after="0" w:line="360" w:lineRule="auto"/>
        <w:ind w:firstLine="902" w:firstLineChars="282"/>
        <w:rPr>
          <w:rFonts w:ascii="仿宋" w:hAnsi="仿宋" w:eastAsia="仿宋" w:cs="Times New Roman"/>
          <w:sz w:val="32"/>
          <w:szCs w:val="32"/>
          <w:highlight w:val="none"/>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480" w:firstLineChars="200"/>
        <w:jc w:val="left"/>
        <w:rPr>
          <w:rFonts w:hint="eastAsia" w:ascii="Times New Roman" w:eastAsia="仿宋_GB2312"/>
          <w:b w:val="0"/>
          <w:sz w:val="32"/>
          <w:szCs w:val="32"/>
          <w:lang w:eastAsia="zh-CN"/>
        </w:rPr>
      </w:pPr>
      <w:r>
        <w:drawing>
          <wp:anchor distT="0" distB="0" distL="114300" distR="114300" simplePos="0" relativeHeight="251664384" behindDoc="0" locked="0" layoutInCell="1" allowOverlap="1">
            <wp:simplePos x="0" y="0"/>
            <wp:positionH relativeFrom="column">
              <wp:posOffset>8255</wp:posOffset>
            </wp:positionH>
            <wp:positionV relativeFrom="paragraph">
              <wp:posOffset>403225</wp:posOffset>
            </wp:positionV>
            <wp:extent cx="5756910" cy="1699260"/>
            <wp:effectExtent l="0" t="0" r="15240" b="1524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clrChange>
                        <a:clrFrom>
                          <a:srgbClr val="CCE8CF">
                            <a:alpha val="100000"/>
                          </a:srgbClr>
                        </a:clrFrom>
                        <a:clrTo>
                          <a:srgbClr val="CCE8CF">
                            <a:alpha val="100000"/>
                            <a:alpha val="0"/>
                          </a:srgbClr>
                        </a:clrTo>
                      </a:clrChange>
                    </a:blip>
                    <a:srcRect b="6564"/>
                    <a:stretch>
                      <a:fillRect/>
                    </a:stretch>
                  </pic:blipFill>
                  <pic:spPr>
                    <a:xfrm>
                      <a:off x="0" y="0"/>
                      <a:ext cx="5756910" cy="1699260"/>
                    </a:xfrm>
                    <a:prstGeom prst="rect">
                      <a:avLst/>
                    </a:prstGeom>
                    <a:noFill/>
                    <a:ln>
                      <a:noFill/>
                    </a:ln>
                  </pic:spPr>
                </pic:pic>
              </a:graphicData>
            </a:graphic>
          </wp:anchor>
        </w:drawing>
      </w: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r>
        <w:drawing>
          <wp:anchor distT="0" distB="0" distL="114300" distR="114300" simplePos="0" relativeHeight="251665408" behindDoc="0" locked="0" layoutInCell="1" allowOverlap="1">
            <wp:simplePos x="0" y="0"/>
            <wp:positionH relativeFrom="column">
              <wp:posOffset>7620</wp:posOffset>
            </wp:positionH>
            <wp:positionV relativeFrom="paragraph">
              <wp:posOffset>69850</wp:posOffset>
            </wp:positionV>
            <wp:extent cx="5755005" cy="2830195"/>
            <wp:effectExtent l="0" t="0" r="17145" b="825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clrChange>
                        <a:clrFrom>
                          <a:srgbClr val="CCE8CF">
                            <a:alpha val="100000"/>
                          </a:srgbClr>
                        </a:clrFrom>
                        <a:clrTo>
                          <a:srgbClr val="CCE8CF">
                            <a:alpha val="100000"/>
                            <a:alpha val="0"/>
                          </a:srgbClr>
                        </a:clrTo>
                      </a:clrChange>
                    </a:blip>
                    <a:stretch>
                      <a:fillRect/>
                    </a:stretch>
                  </pic:blipFill>
                  <pic:spPr>
                    <a:xfrm>
                      <a:off x="0" y="0"/>
                      <a:ext cx="5755005" cy="2830195"/>
                    </a:xfrm>
                    <a:prstGeom prst="rect">
                      <a:avLst/>
                    </a:prstGeom>
                    <a:noFill/>
                    <a:ln>
                      <a:noFill/>
                    </a:ln>
                  </pic:spPr>
                </pic:pic>
              </a:graphicData>
            </a:graphic>
          </wp:anchor>
        </w:drawing>
      </w: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480" w:firstLineChars="200"/>
        <w:jc w:val="left"/>
        <w:rPr>
          <w:rFonts w:hint="eastAsia" w:ascii="Times New Roman" w:eastAsia="仿宋_GB2312"/>
          <w:b w:val="0"/>
          <w:sz w:val="32"/>
          <w:szCs w:val="32"/>
          <w:lang w:eastAsia="zh-CN"/>
        </w:rPr>
      </w:pPr>
      <w:bookmarkStart w:id="2" w:name="_GoBack"/>
      <w:r>
        <w:drawing>
          <wp:anchor distT="0" distB="0" distL="114300" distR="114300" simplePos="0" relativeHeight="251666432" behindDoc="0" locked="0" layoutInCell="1" allowOverlap="1">
            <wp:simplePos x="0" y="0"/>
            <wp:positionH relativeFrom="column">
              <wp:posOffset>-5080</wp:posOffset>
            </wp:positionH>
            <wp:positionV relativeFrom="paragraph">
              <wp:posOffset>148590</wp:posOffset>
            </wp:positionV>
            <wp:extent cx="5760720" cy="2585085"/>
            <wp:effectExtent l="0" t="0" r="11430" b="571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clrChange>
                        <a:clrFrom>
                          <a:srgbClr val="CCE8CF">
                            <a:alpha val="100000"/>
                          </a:srgbClr>
                        </a:clrFrom>
                        <a:clrTo>
                          <a:srgbClr val="CCE8CF">
                            <a:alpha val="100000"/>
                            <a:alpha val="0"/>
                          </a:srgbClr>
                        </a:clrTo>
                      </a:clrChange>
                    </a:blip>
                    <a:stretch>
                      <a:fillRect/>
                    </a:stretch>
                  </pic:blipFill>
                  <pic:spPr>
                    <a:xfrm>
                      <a:off x="0" y="0"/>
                      <a:ext cx="5760720" cy="2585085"/>
                    </a:xfrm>
                    <a:prstGeom prst="rect">
                      <a:avLst/>
                    </a:prstGeom>
                    <a:noFill/>
                    <a:ln>
                      <a:noFill/>
                    </a:ln>
                  </pic:spPr>
                </pic:pic>
              </a:graphicData>
            </a:graphic>
          </wp:anchor>
        </w:drawing>
      </w:r>
      <w:bookmarkEnd w:id="2"/>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jc w:val="left"/>
        <w:rPr>
          <w:rFonts w:hint="eastAsia" w:ascii="Times New Roman" w:eastAsia="仿宋_GB2312"/>
          <w:b w:val="0"/>
          <w:sz w:val="32"/>
          <w:szCs w:val="32"/>
          <w:lang w:eastAsia="zh-CN"/>
        </w:rPr>
      </w:pP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sz w:val="32"/>
          <w:szCs w:val="32"/>
        </w:rPr>
        <w:t>无部门评价项目绩效评价结果。</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AC024C1-F67A-4912-8DEE-3E53FFCB2BD3}"/>
  </w:font>
  <w:font w:name="黑体">
    <w:panose1 w:val="02010609060101010101"/>
    <w:charset w:val="86"/>
    <w:family w:val="auto"/>
    <w:pitch w:val="default"/>
    <w:sig w:usb0="800002BF" w:usb1="38CF7CFA" w:usb2="00000016" w:usb3="00000000" w:csb0="00040001" w:csb1="00000000"/>
    <w:embedRegular r:id="rId2" w:fontKey="{1E495A45-4791-40CA-A64C-38C5D4D124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D2FA1AF-AFD3-4788-A1E8-6A4F6A760976}"/>
  </w:font>
  <w:font w:name="仿宋">
    <w:panose1 w:val="02010609060101010101"/>
    <w:charset w:val="86"/>
    <w:family w:val="modern"/>
    <w:pitch w:val="default"/>
    <w:sig w:usb0="800002BF" w:usb1="38CF7CFA" w:usb2="00000016" w:usb3="00000000" w:csb0="00040001" w:csb1="00000000"/>
    <w:embedRegular r:id="rId4" w:fontKey="{62FD3FF2-1DF2-44FA-B732-8917572C3B1B}"/>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B91FDC6D-9D74-4B63-AA4F-6CB26C9FAC99}"/>
  </w:font>
  <w:font w:name="方正小标宋_GBK">
    <w:panose1 w:val="02000000000000000000"/>
    <w:charset w:val="86"/>
    <w:family w:val="script"/>
    <w:pitch w:val="default"/>
    <w:sig w:usb0="A00002BF" w:usb1="38CF7CFA" w:usb2="00082016" w:usb3="00000000" w:csb0="00040001" w:csb1="00000000"/>
    <w:embedRegular r:id="rId6" w:fontKey="{7F81393F-443F-446A-9526-222C5790729D}"/>
  </w:font>
  <w:font w:name="仿宋_GB2312">
    <w:panose1 w:val="02010609030101010101"/>
    <w:charset w:val="86"/>
    <w:family w:val="auto"/>
    <w:pitch w:val="default"/>
    <w:sig w:usb0="00000001" w:usb1="080E0000" w:usb2="00000000" w:usb3="00000000" w:csb0="00040000" w:csb1="00000000"/>
    <w:embedRegular r:id="rId7" w:fontKey="{C73565A4-5F56-482E-B8C1-11619BC43F16}"/>
  </w:font>
  <w:font w:name="ArialUnicodeMS">
    <w:altName w:val="Malgun Gothic"/>
    <w:panose1 w:val="00000000000000000000"/>
    <w:charset w:val="81"/>
    <w:family w:val="auto"/>
    <w:pitch w:val="default"/>
    <w:sig w:usb0="00000000" w:usb1="00000000" w:usb2="00000010" w:usb3="00000000" w:csb0="00080001" w:csb1="00000000"/>
    <w:embedRegular r:id="rId8" w:fontKey="{4E059664-A673-4A48-97C9-985B6EECF09B}"/>
  </w:font>
  <w:font w:name="方正仿宋_GB2312">
    <w:altName w:val="仿宋"/>
    <w:panose1 w:val="02000000000000000000"/>
    <w:charset w:val="86"/>
    <w:family w:val="auto"/>
    <w:pitch w:val="default"/>
    <w:sig w:usb0="00000000" w:usb1="00000000" w:usb2="00000012" w:usb3="00000000" w:csb0="00040001" w:csb1="00000000"/>
    <w:embedRegular r:id="rId9" w:fontKey="{EE17AA13-C974-4F1C-B3FA-4565AE3A376E}"/>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74C78"/>
    <w:rsid w:val="00086151"/>
    <w:rsid w:val="001F1BC1"/>
    <w:rsid w:val="00236F8C"/>
    <w:rsid w:val="00822154"/>
    <w:rsid w:val="00C65689"/>
    <w:rsid w:val="00CC2C8E"/>
    <w:rsid w:val="00F431B9"/>
    <w:rsid w:val="010121B4"/>
    <w:rsid w:val="01A03C5A"/>
    <w:rsid w:val="01A5267D"/>
    <w:rsid w:val="01AF6A8D"/>
    <w:rsid w:val="021C1A07"/>
    <w:rsid w:val="024808A2"/>
    <w:rsid w:val="025103CB"/>
    <w:rsid w:val="025C3821"/>
    <w:rsid w:val="02CB3070"/>
    <w:rsid w:val="02DA3B1B"/>
    <w:rsid w:val="02E57B4D"/>
    <w:rsid w:val="02FD0CF5"/>
    <w:rsid w:val="03450B90"/>
    <w:rsid w:val="037B12D4"/>
    <w:rsid w:val="03804D63"/>
    <w:rsid w:val="03B35EB3"/>
    <w:rsid w:val="03FB73B0"/>
    <w:rsid w:val="040D4E97"/>
    <w:rsid w:val="04293CFB"/>
    <w:rsid w:val="047C5A70"/>
    <w:rsid w:val="04806B11"/>
    <w:rsid w:val="049752DD"/>
    <w:rsid w:val="049C1B9D"/>
    <w:rsid w:val="04BD008C"/>
    <w:rsid w:val="04C55939"/>
    <w:rsid w:val="04CD56ED"/>
    <w:rsid w:val="04DA28BB"/>
    <w:rsid w:val="04F528BE"/>
    <w:rsid w:val="050A4EA5"/>
    <w:rsid w:val="050E10CE"/>
    <w:rsid w:val="054F2DFB"/>
    <w:rsid w:val="05991C82"/>
    <w:rsid w:val="05CD1EC8"/>
    <w:rsid w:val="05ED2D9C"/>
    <w:rsid w:val="061416A9"/>
    <w:rsid w:val="061D60A6"/>
    <w:rsid w:val="06236884"/>
    <w:rsid w:val="06572FF5"/>
    <w:rsid w:val="06664477"/>
    <w:rsid w:val="069408DC"/>
    <w:rsid w:val="06B07006"/>
    <w:rsid w:val="06BF3F2A"/>
    <w:rsid w:val="06FC7C2A"/>
    <w:rsid w:val="07224A69"/>
    <w:rsid w:val="074573FA"/>
    <w:rsid w:val="07533AFE"/>
    <w:rsid w:val="07972AF0"/>
    <w:rsid w:val="07AC18F2"/>
    <w:rsid w:val="07B3657A"/>
    <w:rsid w:val="07C857D0"/>
    <w:rsid w:val="08133295"/>
    <w:rsid w:val="083A564B"/>
    <w:rsid w:val="083F3A0A"/>
    <w:rsid w:val="088A3B86"/>
    <w:rsid w:val="08AB5AAF"/>
    <w:rsid w:val="08DC4C5E"/>
    <w:rsid w:val="08EC64B1"/>
    <w:rsid w:val="08F23C3E"/>
    <w:rsid w:val="09012C64"/>
    <w:rsid w:val="09172B79"/>
    <w:rsid w:val="091A5CFC"/>
    <w:rsid w:val="093B2E99"/>
    <w:rsid w:val="095D7943"/>
    <w:rsid w:val="099B5350"/>
    <w:rsid w:val="09C006C6"/>
    <w:rsid w:val="0A10621F"/>
    <w:rsid w:val="0A464C4F"/>
    <w:rsid w:val="0A6729A3"/>
    <w:rsid w:val="0A694877"/>
    <w:rsid w:val="0AA954BE"/>
    <w:rsid w:val="0AAA550E"/>
    <w:rsid w:val="0AE70639"/>
    <w:rsid w:val="0B0E7716"/>
    <w:rsid w:val="0B166075"/>
    <w:rsid w:val="0B4F5E6D"/>
    <w:rsid w:val="0B753AE2"/>
    <w:rsid w:val="0BB67D0A"/>
    <w:rsid w:val="0BC56230"/>
    <w:rsid w:val="0BC7144F"/>
    <w:rsid w:val="0BCF21BD"/>
    <w:rsid w:val="0C1B35FF"/>
    <w:rsid w:val="0C26247C"/>
    <w:rsid w:val="0C4E53E8"/>
    <w:rsid w:val="0C6712D6"/>
    <w:rsid w:val="0C9F7900"/>
    <w:rsid w:val="0CB23317"/>
    <w:rsid w:val="0CE83016"/>
    <w:rsid w:val="0D101068"/>
    <w:rsid w:val="0D2408DB"/>
    <w:rsid w:val="0D4C225E"/>
    <w:rsid w:val="0D4E13BE"/>
    <w:rsid w:val="0D635706"/>
    <w:rsid w:val="0D7557DF"/>
    <w:rsid w:val="0D853E34"/>
    <w:rsid w:val="0D8558BB"/>
    <w:rsid w:val="0D8D29CB"/>
    <w:rsid w:val="0D9C2A57"/>
    <w:rsid w:val="0DC3019B"/>
    <w:rsid w:val="0DCB1DDC"/>
    <w:rsid w:val="0DFA5D82"/>
    <w:rsid w:val="0E1E52CE"/>
    <w:rsid w:val="0E1F0038"/>
    <w:rsid w:val="0E407821"/>
    <w:rsid w:val="0E866524"/>
    <w:rsid w:val="0E9268D3"/>
    <w:rsid w:val="0E957F1F"/>
    <w:rsid w:val="0ED542E3"/>
    <w:rsid w:val="0F0E7284"/>
    <w:rsid w:val="0F28110F"/>
    <w:rsid w:val="0F37083F"/>
    <w:rsid w:val="0F714162"/>
    <w:rsid w:val="0F7470AF"/>
    <w:rsid w:val="0F891808"/>
    <w:rsid w:val="0F891DB8"/>
    <w:rsid w:val="0F8D3287"/>
    <w:rsid w:val="0FA52DB5"/>
    <w:rsid w:val="0FAA3B86"/>
    <w:rsid w:val="0FF02D9D"/>
    <w:rsid w:val="10027A63"/>
    <w:rsid w:val="10191346"/>
    <w:rsid w:val="102A01A6"/>
    <w:rsid w:val="105A290D"/>
    <w:rsid w:val="10754A6C"/>
    <w:rsid w:val="108B537D"/>
    <w:rsid w:val="109F4349"/>
    <w:rsid w:val="10B11DB1"/>
    <w:rsid w:val="10E7084B"/>
    <w:rsid w:val="10EA3B75"/>
    <w:rsid w:val="11162294"/>
    <w:rsid w:val="11177F57"/>
    <w:rsid w:val="11217C97"/>
    <w:rsid w:val="113F0EDA"/>
    <w:rsid w:val="11464C20"/>
    <w:rsid w:val="11576580"/>
    <w:rsid w:val="115C628C"/>
    <w:rsid w:val="115E4926"/>
    <w:rsid w:val="118A1FFA"/>
    <w:rsid w:val="11BC3D26"/>
    <w:rsid w:val="11D1624A"/>
    <w:rsid w:val="11E35B5A"/>
    <w:rsid w:val="11E42DD6"/>
    <w:rsid w:val="125F5A1B"/>
    <w:rsid w:val="126979D6"/>
    <w:rsid w:val="129E45A7"/>
    <w:rsid w:val="12EF1A32"/>
    <w:rsid w:val="13074404"/>
    <w:rsid w:val="135F0ED4"/>
    <w:rsid w:val="136A5C00"/>
    <w:rsid w:val="13B97B08"/>
    <w:rsid w:val="13C527AC"/>
    <w:rsid w:val="13D80B9E"/>
    <w:rsid w:val="13DF74E6"/>
    <w:rsid w:val="14711797"/>
    <w:rsid w:val="147B6F17"/>
    <w:rsid w:val="14930823"/>
    <w:rsid w:val="14AB30F5"/>
    <w:rsid w:val="14D41D3A"/>
    <w:rsid w:val="14D42061"/>
    <w:rsid w:val="15081C8B"/>
    <w:rsid w:val="15090D5C"/>
    <w:rsid w:val="15B900BC"/>
    <w:rsid w:val="15CF053D"/>
    <w:rsid w:val="15E0131A"/>
    <w:rsid w:val="15E11DC0"/>
    <w:rsid w:val="15FC7BB6"/>
    <w:rsid w:val="16457D9F"/>
    <w:rsid w:val="17223EFF"/>
    <w:rsid w:val="177B2F13"/>
    <w:rsid w:val="17A86360"/>
    <w:rsid w:val="17AA5F28"/>
    <w:rsid w:val="17B713F6"/>
    <w:rsid w:val="17EA0FC8"/>
    <w:rsid w:val="1815568F"/>
    <w:rsid w:val="182014A2"/>
    <w:rsid w:val="184350A0"/>
    <w:rsid w:val="187D4F7F"/>
    <w:rsid w:val="18935485"/>
    <w:rsid w:val="18A34206"/>
    <w:rsid w:val="18DB5458"/>
    <w:rsid w:val="18DE3B2C"/>
    <w:rsid w:val="1905081B"/>
    <w:rsid w:val="1906685D"/>
    <w:rsid w:val="19111683"/>
    <w:rsid w:val="191D00C0"/>
    <w:rsid w:val="19353916"/>
    <w:rsid w:val="193E101D"/>
    <w:rsid w:val="19883E16"/>
    <w:rsid w:val="19C10AF1"/>
    <w:rsid w:val="19D630F2"/>
    <w:rsid w:val="1A017CDA"/>
    <w:rsid w:val="1A2672DE"/>
    <w:rsid w:val="1AA81D42"/>
    <w:rsid w:val="1AB433D9"/>
    <w:rsid w:val="1AE35E18"/>
    <w:rsid w:val="1AFB6D70"/>
    <w:rsid w:val="1B0F0870"/>
    <w:rsid w:val="1B184A03"/>
    <w:rsid w:val="1B1B11EE"/>
    <w:rsid w:val="1B1F438E"/>
    <w:rsid w:val="1B3719E0"/>
    <w:rsid w:val="1B6261C3"/>
    <w:rsid w:val="1B731730"/>
    <w:rsid w:val="1B882BB5"/>
    <w:rsid w:val="1B8F7EC5"/>
    <w:rsid w:val="1B9B33C7"/>
    <w:rsid w:val="1B9D7FEC"/>
    <w:rsid w:val="1BA55461"/>
    <w:rsid w:val="1BAB3F72"/>
    <w:rsid w:val="1BE74496"/>
    <w:rsid w:val="1BF765EF"/>
    <w:rsid w:val="1C083428"/>
    <w:rsid w:val="1C0F49C9"/>
    <w:rsid w:val="1C3D67D1"/>
    <w:rsid w:val="1C40731A"/>
    <w:rsid w:val="1C506572"/>
    <w:rsid w:val="1C560392"/>
    <w:rsid w:val="1C581532"/>
    <w:rsid w:val="1C9F2E05"/>
    <w:rsid w:val="1CA15E03"/>
    <w:rsid w:val="1CA24F0C"/>
    <w:rsid w:val="1CF8716C"/>
    <w:rsid w:val="1CFF6E22"/>
    <w:rsid w:val="1D1638FE"/>
    <w:rsid w:val="1D1E545A"/>
    <w:rsid w:val="1D3F1E0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913D35"/>
    <w:rsid w:val="1EA27958"/>
    <w:rsid w:val="1EA85B59"/>
    <w:rsid w:val="1EBF357F"/>
    <w:rsid w:val="1EDF707D"/>
    <w:rsid w:val="1EE14DB9"/>
    <w:rsid w:val="1F390CCB"/>
    <w:rsid w:val="1F394761"/>
    <w:rsid w:val="1F65664C"/>
    <w:rsid w:val="1F7C149A"/>
    <w:rsid w:val="1F7D1081"/>
    <w:rsid w:val="1F84140D"/>
    <w:rsid w:val="1F9B7FFD"/>
    <w:rsid w:val="1F9C7614"/>
    <w:rsid w:val="1FBE1971"/>
    <w:rsid w:val="1FFA7A84"/>
    <w:rsid w:val="2008768D"/>
    <w:rsid w:val="204B327F"/>
    <w:rsid w:val="204C2B10"/>
    <w:rsid w:val="207D30AD"/>
    <w:rsid w:val="208E24F6"/>
    <w:rsid w:val="209064B9"/>
    <w:rsid w:val="20970D81"/>
    <w:rsid w:val="20C757F3"/>
    <w:rsid w:val="20D165D5"/>
    <w:rsid w:val="20E84F3C"/>
    <w:rsid w:val="210878E6"/>
    <w:rsid w:val="210E1408"/>
    <w:rsid w:val="211069AD"/>
    <w:rsid w:val="21573FAB"/>
    <w:rsid w:val="2172069C"/>
    <w:rsid w:val="21812D83"/>
    <w:rsid w:val="21987BC4"/>
    <w:rsid w:val="21A223BE"/>
    <w:rsid w:val="21BE314A"/>
    <w:rsid w:val="21E1597F"/>
    <w:rsid w:val="220451AB"/>
    <w:rsid w:val="2237486E"/>
    <w:rsid w:val="223D1378"/>
    <w:rsid w:val="22423D52"/>
    <w:rsid w:val="22451BC7"/>
    <w:rsid w:val="228F0D42"/>
    <w:rsid w:val="22940650"/>
    <w:rsid w:val="22AD4B1E"/>
    <w:rsid w:val="22C43743"/>
    <w:rsid w:val="22D31DF3"/>
    <w:rsid w:val="22EF47A0"/>
    <w:rsid w:val="22FD3CF7"/>
    <w:rsid w:val="23106D12"/>
    <w:rsid w:val="232C221B"/>
    <w:rsid w:val="23462A6F"/>
    <w:rsid w:val="2356249E"/>
    <w:rsid w:val="236E713A"/>
    <w:rsid w:val="23700968"/>
    <w:rsid w:val="23814F05"/>
    <w:rsid w:val="238761A6"/>
    <w:rsid w:val="23920578"/>
    <w:rsid w:val="23BB6F9A"/>
    <w:rsid w:val="23DD2BE2"/>
    <w:rsid w:val="23FC3864"/>
    <w:rsid w:val="245E4571"/>
    <w:rsid w:val="24703456"/>
    <w:rsid w:val="24857B00"/>
    <w:rsid w:val="24EC6623"/>
    <w:rsid w:val="24ED38F7"/>
    <w:rsid w:val="24F25212"/>
    <w:rsid w:val="251B0465"/>
    <w:rsid w:val="253930E2"/>
    <w:rsid w:val="254B0AC6"/>
    <w:rsid w:val="25571AB6"/>
    <w:rsid w:val="256554E6"/>
    <w:rsid w:val="25847A9B"/>
    <w:rsid w:val="25A53C1B"/>
    <w:rsid w:val="25B271E9"/>
    <w:rsid w:val="25B40AD6"/>
    <w:rsid w:val="25BE7872"/>
    <w:rsid w:val="25BF702A"/>
    <w:rsid w:val="25E71D3E"/>
    <w:rsid w:val="25F954DB"/>
    <w:rsid w:val="25FE1963"/>
    <w:rsid w:val="26390459"/>
    <w:rsid w:val="2648525A"/>
    <w:rsid w:val="264D2D17"/>
    <w:rsid w:val="26675B0F"/>
    <w:rsid w:val="26D50E55"/>
    <w:rsid w:val="271A539C"/>
    <w:rsid w:val="273823FA"/>
    <w:rsid w:val="274972D4"/>
    <w:rsid w:val="27AA3D97"/>
    <w:rsid w:val="27BA76BA"/>
    <w:rsid w:val="27CD08D9"/>
    <w:rsid w:val="27CD66DB"/>
    <w:rsid w:val="27CF1BDE"/>
    <w:rsid w:val="280A3758"/>
    <w:rsid w:val="28292E99"/>
    <w:rsid w:val="28792077"/>
    <w:rsid w:val="289057C5"/>
    <w:rsid w:val="28A67C7A"/>
    <w:rsid w:val="28EA3248"/>
    <w:rsid w:val="28F879DA"/>
    <w:rsid w:val="294B7731"/>
    <w:rsid w:val="29514455"/>
    <w:rsid w:val="29D21FF2"/>
    <w:rsid w:val="29F162D1"/>
    <w:rsid w:val="2A611B0F"/>
    <w:rsid w:val="2A8530FF"/>
    <w:rsid w:val="2A9547AF"/>
    <w:rsid w:val="2AAB580F"/>
    <w:rsid w:val="2AC1762B"/>
    <w:rsid w:val="2AE845D0"/>
    <w:rsid w:val="2B4975FB"/>
    <w:rsid w:val="2B695031"/>
    <w:rsid w:val="2B735A8F"/>
    <w:rsid w:val="2B9A2F19"/>
    <w:rsid w:val="2BA7478D"/>
    <w:rsid w:val="2BB038DB"/>
    <w:rsid w:val="2BB761E0"/>
    <w:rsid w:val="2BB812F9"/>
    <w:rsid w:val="2BC82763"/>
    <w:rsid w:val="2BE35C27"/>
    <w:rsid w:val="2BFA504B"/>
    <w:rsid w:val="2C463031"/>
    <w:rsid w:val="2C681F1F"/>
    <w:rsid w:val="2C8241CD"/>
    <w:rsid w:val="2C8608DC"/>
    <w:rsid w:val="2C8D63D5"/>
    <w:rsid w:val="2C9D01BD"/>
    <w:rsid w:val="2CA4764A"/>
    <w:rsid w:val="2CC42ECA"/>
    <w:rsid w:val="2CDA4349"/>
    <w:rsid w:val="2CE43E46"/>
    <w:rsid w:val="2CE72BBB"/>
    <w:rsid w:val="2D225539"/>
    <w:rsid w:val="2D3B5BE3"/>
    <w:rsid w:val="2D4618D2"/>
    <w:rsid w:val="2D5F021B"/>
    <w:rsid w:val="2D6E1286"/>
    <w:rsid w:val="2D70583E"/>
    <w:rsid w:val="2DE33D57"/>
    <w:rsid w:val="2E0725DC"/>
    <w:rsid w:val="2E1B4BB8"/>
    <w:rsid w:val="2E256CB6"/>
    <w:rsid w:val="2E265A3E"/>
    <w:rsid w:val="2E5F27E4"/>
    <w:rsid w:val="2EBD223E"/>
    <w:rsid w:val="2EC10AD1"/>
    <w:rsid w:val="2ECB6A5A"/>
    <w:rsid w:val="2ED56A01"/>
    <w:rsid w:val="2EE65418"/>
    <w:rsid w:val="2EFC0112"/>
    <w:rsid w:val="2F0F6197"/>
    <w:rsid w:val="2F2B730D"/>
    <w:rsid w:val="2F406212"/>
    <w:rsid w:val="2F4F7899"/>
    <w:rsid w:val="2F662050"/>
    <w:rsid w:val="2F9F3DC1"/>
    <w:rsid w:val="2FB252BA"/>
    <w:rsid w:val="2FFC7AC2"/>
    <w:rsid w:val="30033D52"/>
    <w:rsid w:val="301430AF"/>
    <w:rsid w:val="30630612"/>
    <w:rsid w:val="308E59B0"/>
    <w:rsid w:val="30AD41EB"/>
    <w:rsid w:val="30B10568"/>
    <w:rsid w:val="30B92B69"/>
    <w:rsid w:val="30D832B1"/>
    <w:rsid w:val="30E55DD3"/>
    <w:rsid w:val="30E60399"/>
    <w:rsid w:val="31091081"/>
    <w:rsid w:val="31356AA5"/>
    <w:rsid w:val="313E22F0"/>
    <w:rsid w:val="31B0194C"/>
    <w:rsid w:val="31B8236B"/>
    <w:rsid w:val="31CE17D1"/>
    <w:rsid w:val="31D077C5"/>
    <w:rsid w:val="31E22281"/>
    <w:rsid w:val="31FE2893"/>
    <w:rsid w:val="321E0D93"/>
    <w:rsid w:val="32270449"/>
    <w:rsid w:val="323E4515"/>
    <w:rsid w:val="32797FDE"/>
    <w:rsid w:val="3286389B"/>
    <w:rsid w:val="3295408B"/>
    <w:rsid w:val="32994FDB"/>
    <w:rsid w:val="32CF5C94"/>
    <w:rsid w:val="32D337C7"/>
    <w:rsid w:val="32E200EC"/>
    <w:rsid w:val="32E5408B"/>
    <w:rsid w:val="32EB0D70"/>
    <w:rsid w:val="32F26EB7"/>
    <w:rsid w:val="33020E3C"/>
    <w:rsid w:val="332824BC"/>
    <w:rsid w:val="332868BB"/>
    <w:rsid w:val="333211F3"/>
    <w:rsid w:val="33504B41"/>
    <w:rsid w:val="338B4A07"/>
    <w:rsid w:val="33944811"/>
    <w:rsid w:val="33972FFE"/>
    <w:rsid w:val="33CE0488"/>
    <w:rsid w:val="33D52499"/>
    <w:rsid w:val="34012BCE"/>
    <w:rsid w:val="341D31EE"/>
    <w:rsid w:val="34262463"/>
    <w:rsid w:val="34296F31"/>
    <w:rsid w:val="34340A27"/>
    <w:rsid w:val="345033AD"/>
    <w:rsid w:val="346A2989"/>
    <w:rsid w:val="34727D99"/>
    <w:rsid w:val="348865E9"/>
    <w:rsid w:val="348F70D5"/>
    <w:rsid w:val="349D2BAD"/>
    <w:rsid w:val="34A614EC"/>
    <w:rsid w:val="34B25886"/>
    <w:rsid w:val="350C4714"/>
    <w:rsid w:val="35277FF8"/>
    <w:rsid w:val="35597348"/>
    <w:rsid w:val="35763460"/>
    <w:rsid w:val="35776F72"/>
    <w:rsid w:val="35812566"/>
    <w:rsid w:val="35997371"/>
    <w:rsid w:val="35DD4D47"/>
    <w:rsid w:val="360134DF"/>
    <w:rsid w:val="36032AAE"/>
    <w:rsid w:val="360B1E2F"/>
    <w:rsid w:val="360D500F"/>
    <w:rsid w:val="36330424"/>
    <w:rsid w:val="36C37669"/>
    <w:rsid w:val="36FE3ABA"/>
    <w:rsid w:val="37072BDE"/>
    <w:rsid w:val="37455334"/>
    <w:rsid w:val="37527C32"/>
    <w:rsid w:val="3763266A"/>
    <w:rsid w:val="37731921"/>
    <w:rsid w:val="378C12B0"/>
    <w:rsid w:val="37C44C8D"/>
    <w:rsid w:val="37E509C0"/>
    <w:rsid w:val="37E96FB8"/>
    <w:rsid w:val="38157F0F"/>
    <w:rsid w:val="38222D85"/>
    <w:rsid w:val="385E740A"/>
    <w:rsid w:val="38803721"/>
    <w:rsid w:val="388D68D4"/>
    <w:rsid w:val="38925A62"/>
    <w:rsid w:val="389F5F4F"/>
    <w:rsid w:val="38A80783"/>
    <w:rsid w:val="38C36BA2"/>
    <w:rsid w:val="38E11CEF"/>
    <w:rsid w:val="38F6595C"/>
    <w:rsid w:val="38FC4989"/>
    <w:rsid w:val="391702A7"/>
    <w:rsid w:val="391B15A6"/>
    <w:rsid w:val="39286EB6"/>
    <w:rsid w:val="393E0C76"/>
    <w:rsid w:val="3948288A"/>
    <w:rsid w:val="39601DF4"/>
    <w:rsid w:val="396960F3"/>
    <w:rsid w:val="39840D35"/>
    <w:rsid w:val="39A97DAF"/>
    <w:rsid w:val="39C159CC"/>
    <w:rsid w:val="39CD1330"/>
    <w:rsid w:val="39DD1AFF"/>
    <w:rsid w:val="3A127D55"/>
    <w:rsid w:val="3A2257D5"/>
    <w:rsid w:val="3A2510B9"/>
    <w:rsid w:val="3A2B1DFC"/>
    <w:rsid w:val="3AA6422C"/>
    <w:rsid w:val="3AAF46D5"/>
    <w:rsid w:val="3AC775D9"/>
    <w:rsid w:val="3AEB55F2"/>
    <w:rsid w:val="3AF562AE"/>
    <w:rsid w:val="3B135A0E"/>
    <w:rsid w:val="3B272BBC"/>
    <w:rsid w:val="3B374FEE"/>
    <w:rsid w:val="3B4410EE"/>
    <w:rsid w:val="3B4535CA"/>
    <w:rsid w:val="3B56159C"/>
    <w:rsid w:val="3B596DF7"/>
    <w:rsid w:val="3B7D732B"/>
    <w:rsid w:val="3BD30423"/>
    <w:rsid w:val="3BD75940"/>
    <w:rsid w:val="3BEB75DB"/>
    <w:rsid w:val="3C39515C"/>
    <w:rsid w:val="3C57218D"/>
    <w:rsid w:val="3C6C0B58"/>
    <w:rsid w:val="3CBE41D5"/>
    <w:rsid w:val="3D1B32A0"/>
    <w:rsid w:val="3D446B0E"/>
    <w:rsid w:val="3D745844"/>
    <w:rsid w:val="3D8626D0"/>
    <w:rsid w:val="3D953A6B"/>
    <w:rsid w:val="3DA16CAC"/>
    <w:rsid w:val="3DA556B2"/>
    <w:rsid w:val="3DBB5979"/>
    <w:rsid w:val="3DC36E61"/>
    <w:rsid w:val="3DD56F21"/>
    <w:rsid w:val="3DEF6699"/>
    <w:rsid w:val="3E1057AF"/>
    <w:rsid w:val="3E263682"/>
    <w:rsid w:val="3E530CCE"/>
    <w:rsid w:val="3E6C0DFA"/>
    <w:rsid w:val="3E740322"/>
    <w:rsid w:val="3E7F4380"/>
    <w:rsid w:val="3E8D171B"/>
    <w:rsid w:val="3EA5630D"/>
    <w:rsid w:val="3EBA731B"/>
    <w:rsid w:val="3ECA7B77"/>
    <w:rsid w:val="3ED612A7"/>
    <w:rsid w:val="3EE33949"/>
    <w:rsid w:val="3EEB2146"/>
    <w:rsid w:val="3EF37553"/>
    <w:rsid w:val="3EFB5800"/>
    <w:rsid w:val="3F0355EF"/>
    <w:rsid w:val="3F3B4E59"/>
    <w:rsid w:val="3F6A694D"/>
    <w:rsid w:val="3F6E677C"/>
    <w:rsid w:val="3F712F46"/>
    <w:rsid w:val="3FBC0EF7"/>
    <w:rsid w:val="3FCD2AB9"/>
    <w:rsid w:val="3FD17600"/>
    <w:rsid w:val="402E7C36"/>
    <w:rsid w:val="404339FD"/>
    <w:rsid w:val="4050218A"/>
    <w:rsid w:val="405C7868"/>
    <w:rsid w:val="408B24EB"/>
    <w:rsid w:val="408D1DBF"/>
    <w:rsid w:val="40C652D1"/>
    <w:rsid w:val="40D135F0"/>
    <w:rsid w:val="41032081"/>
    <w:rsid w:val="417044B8"/>
    <w:rsid w:val="41A203A0"/>
    <w:rsid w:val="41A25D3E"/>
    <w:rsid w:val="41C77987"/>
    <w:rsid w:val="41E83F8C"/>
    <w:rsid w:val="422903DA"/>
    <w:rsid w:val="422D1842"/>
    <w:rsid w:val="42325426"/>
    <w:rsid w:val="425B7C31"/>
    <w:rsid w:val="427D66D0"/>
    <w:rsid w:val="429C7054"/>
    <w:rsid w:val="42BC7E02"/>
    <w:rsid w:val="42C82575"/>
    <w:rsid w:val="42DF0DC2"/>
    <w:rsid w:val="42E00517"/>
    <w:rsid w:val="43022EE1"/>
    <w:rsid w:val="431A5F8F"/>
    <w:rsid w:val="431F247A"/>
    <w:rsid w:val="43335E8F"/>
    <w:rsid w:val="43395FD9"/>
    <w:rsid w:val="433F2968"/>
    <w:rsid w:val="43655F7F"/>
    <w:rsid w:val="43676E20"/>
    <w:rsid w:val="43A31040"/>
    <w:rsid w:val="43BF774E"/>
    <w:rsid w:val="43CD062F"/>
    <w:rsid w:val="43E214F9"/>
    <w:rsid w:val="43F06264"/>
    <w:rsid w:val="44404C8E"/>
    <w:rsid w:val="445C7035"/>
    <w:rsid w:val="447537F1"/>
    <w:rsid w:val="44870D07"/>
    <w:rsid w:val="44B8774F"/>
    <w:rsid w:val="44C81F67"/>
    <w:rsid w:val="44D33826"/>
    <w:rsid w:val="45344EFF"/>
    <w:rsid w:val="454E56C4"/>
    <w:rsid w:val="45513D03"/>
    <w:rsid w:val="45541E1C"/>
    <w:rsid w:val="45917432"/>
    <w:rsid w:val="45EC5024"/>
    <w:rsid w:val="45F26471"/>
    <w:rsid w:val="45FE7734"/>
    <w:rsid w:val="461F0A8B"/>
    <w:rsid w:val="4648721E"/>
    <w:rsid w:val="46663E71"/>
    <w:rsid w:val="466A37AC"/>
    <w:rsid w:val="4679772F"/>
    <w:rsid w:val="468A1A00"/>
    <w:rsid w:val="469C5366"/>
    <w:rsid w:val="46CB071B"/>
    <w:rsid w:val="46DE140B"/>
    <w:rsid w:val="46DF6973"/>
    <w:rsid w:val="46E77334"/>
    <w:rsid w:val="46EE736E"/>
    <w:rsid w:val="46F22E29"/>
    <w:rsid w:val="46F7142F"/>
    <w:rsid w:val="47107AE3"/>
    <w:rsid w:val="473C62ED"/>
    <w:rsid w:val="47617242"/>
    <w:rsid w:val="476966EB"/>
    <w:rsid w:val="47865312"/>
    <w:rsid w:val="478C16C9"/>
    <w:rsid w:val="47BD246B"/>
    <w:rsid w:val="47CB2B0C"/>
    <w:rsid w:val="47E773CE"/>
    <w:rsid w:val="47EB74F1"/>
    <w:rsid w:val="47EE2C9A"/>
    <w:rsid w:val="47F00499"/>
    <w:rsid w:val="48015FF5"/>
    <w:rsid w:val="483820D2"/>
    <w:rsid w:val="48692CD0"/>
    <w:rsid w:val="48AE3D01"/>
    <w:rsid w:val="48B96318"/>
    <w:rsid w:val="49067B2F"/>
    <w:rsid w:val="493140A5"/>
    <w:rsid w:val="49677E31"/>
    <w:rsid w:val="496C2225"/>
    <w:rsid w:val="49A35E02"/>
    <w:rsid w:val="49AE2880"/>
    <w:rsid w:val="49F42EAF"/>
    <w:rsid w:val="4A337323"/>
    <w:rsid w:val="4A5B28DC"/>
    <w:rsid w:val="4A6134E7"/>
    <w:rsid w:val="4A8F075E"/>
    <w:rsid w:val="4AA06B93"/>
    <w:rsid w:val="4ADB18EB"/>
    <w:rsid w:val="4B3A6FE7"/>
    <w:rsid w:val="4B676243"/>
    <w:rsid w:val="4B96118E"/>
    <w:rsid w:val="4BAB5A0D"/>
    <w:rsid w:val="4BAE1B66"/>
    <w:rsid w:val="4BC806E6"/>
    <w:rsid w:val="4BED4708"/>
    <w:rsid w:val="4BF133DC"/>
    <w:rsid w:val="4C1B3768"/>
    <w:rsid w:val="4C2E4987"/>
    <w:rsid w:val="4C4117A4"/>
    <w:rsid w:val="4C507D4A"/>
    <w:rsid w:val="4CBC6B75"/>
    <w:rsid w:val="4CC354CD"/>
    <w:rsid w:val="4CDF5563"/>
    <w:rsid w:val="4CE90B26"/>
    <w:rsid w:val="4CFB2214"/>
    <w:rsid w:val="4D2C4D26"/>
    <w:rsid w:val="4D335E0E"/>
    <w:rsid w:val="4D4E4EA3"/>
    <w:rsid w:val="4D9A5B1B"/>
    <w:rsid w:val="4D9E5C73"/>
    <w:rsid w:val="4DA55D85"/>
    <w:rsid w:val="4DBB20DB"/>
    <w:rsid w:val="4DDC3F22"/>
    <w:rsid w:val="4DE66FB2"/>
    <w:rsid w:val="4DEC6CB8"/>
    <w:rsid w:val="4E1040C7"/>
    <w:rsid w:val="4E1760BF"/>
    <w:rsid w:val="4E1C41B2"/>
    <w:rsid w:val="4E30647F"/>
    <w:rsid w:val="4E893A54"/>
    <w:rsid w:val="4EBA03C3"/>
    <w:rsid w:val="4EBC5459"/>
    <w:rsid w:val="4ED94CB0"/>
    <w:rsid w:val="4EEC2ED3"/>
    <w:rsid w:val="4F0C3FC5"/>
    <w:rsid w:val="4F0E56EA"/>
    <w:rsid w:val="4F250268"/>
    <w:rsid w:val="4F2E11BC"/>
    <w:rsid w:val="4F3C4343"/>
    <w:rsid w:val="4F416688"/>
    <w:rsid w:val="4F431A16"/>
    <w:rsid w:val="4F47041D"/>
    <w:rsid w:val="4F5620B0"/>
    <w:rsid w:val="4F616EB4"/>
    <w:rsid w:val="4F6654EE"/>
    <w:rsid w:val="4F7379C6"/>
    <w:rsid w:val="4F787CF2"/>
    <w:rsid w:val="4F872BDB"/>
    <w:rsid w:val="4FA033E9"/>
    <w:rsid w:val="4FA743DA"/>
    <w:rsid w:val="4FB3565A"/>
    <w:rsid w:val="4FC3096A"/>
    <w:rsid w:val="4FC4714D"/>
    <w:rsid w:val="503D1C79"/>
    <w:rsid w:val="507A6406"/>
    <w:rsid w:val="50853863"/>
    <w:rsid w:val="5088682A"/>
    <w:rsid w:val="508A4590"/>
    <w:rsid w:val="50A53BDC"/>
    <w:rsid w:val="50F1461D"/>
    <w:rsid w:val="50FE5411"/>
    <w:rsid w:val="510B072E"/>
    <w:rsid w:val="511B0BF4"/>
    <w:rsid w:val="51264306"/>
    <w:rsid w:val="514E62C9"/>
    <w:rsid w:val="516123CE"/>
    <w:rsid w:val="517C441D"/>
    <w:rsid w:val="51932FAD"/>
    <w:rsid w:val="51B177A9"/>
    <w:rsid w:val="51E066EB"/>
    <w:rsid w:val="51E44568"/>
    <w:rsid w:val="522A26AA"/>
    <w:rsid w:val="52640E8B"/>
    <w:rsid w:val="5265143E"/>
    <w:rsid w:val="5267570A"/>
    <w:rsid w:val="52707792"/>
    <w:rsid w:val="52A12CDC"/>
    <w:rsid w:val="52CB3561"/>
    <w:rsid w:val="52DF0C92"/>
    <w:rsid w:val="52E1159C"/>
    <w:rsid w:val="52E34D6A"/>
    <w:rsid w:val="531E524E"/>
    <w:rsid w:val="534072EB"/>
    <w:rsid w:val="537648BE"/>
    <w:rsid w:val="538E2D0B"/>
    <w:rsid w:val="53922782"/>
    <w:rsid w:val="539C1424"/>
    <w:rsid w:val="539E133B"/>
    <w:rsid w:val="53A639C0"/>
    <w:rsid w:val="53F00A24"/>
    <w:rsid w:val="53F63DBA"/>
    <w:rsid w:val="5448624E"/>
    <w:rsid w:val="546D070F"/>
    <w:rsid w:val="546E2B1A"/>
    <w:rsid w:val="5482555F"/>
    <w:rsid w:val="54A31DD8"/>
    <w:rsid w:val="54AA6F8B"/>
    <w:rsid w:val="54D26583"/>
    <w:rsid w:val="5535662B"/>
    <w:rsid w:val="55363E67"/>
    <w:rsid w:val="55683C90"/>
    <w:rsid w:val="556E6DF7"/>
    <w:rsid w:val="55955E1E"/>
    <w:rsid w:val="55965CE3"/>
    <w:rsid w:val="55985036"/>
    <w:rsid w:val="559D47CE"/>
    <w:rsid w:val="55BE1959"/>
    <w:rsid w:val="55FF3307"/>
    <w:rsid w:val="56232437"/>
    <w:rsid w:val="56535E6C"/>
    <w:rsid w:val="56541A75"/>
    <w:rsid w:val="567E3972"/>
    <w:rsid w:val="56827DFA"/>
    <w:rsid w:val="568832FC"/>
    <w:rsid w:val="568C4181"/>
    <w:rsid w:val="56A725B8"/>
    <w:rsid w:val="56D67884"/>
    <w:rsid w:val="570725A9"/>
    <w:rsid w:val="5714693E"/>
    <w:rsid w:val="571D0C9C"/>
    <w:rsid w:val="57245405"/>
    <w:rsid w:val="573A16CE"/>
    <w:rsid w:val="579C7F80"/>
    <w:rsid w:val="57AF2DEA"/>
    <w:rsid w:val="57B30D7C"/>
    <w:rsid w:val="57D212CD"/>
    <w:rsid w:val="58166B03"/>
    <w:rsid w:val="58321A9A"/>
    <w:rsid w:val="583E3C94"/>
    <w:rsid w:val="58721734"/>
    <w:rsid w:val="58753AAD"/>
    <w:rsid w:val="588C2D0D"/>
    <w:rsid w:val="58900246"/>
    <w:rsid w:val="58977358"/>
    <w:rsid w:val="58B63119"/>
    <w:rsid w:val="58D53944"/>
    <w:rsid w:val="58D65478"/>
    <w:rsid w:val="58F52487"/>
    <w:rsid w:val="590422E6"/>
    <w:rsid w:val="592257E5"/>
    <w:rsid w:val="59442A7C"/>
    <w:rsid w:val="59514715"/>
    <w:rsid w:val="59597197"/>
    <w:rsid w:val="59655E33"/>
    <w:rsid w:val="59CF5BD9"/>
    <w:rsid w:val="59E20C3C"/>
    <w:rsid w:val="59EF3319"/>
    <w:rsid w:val="5A0B2C4A"/>
    <w:rsid w:val="5A1D5B0A"/>
    <w:rsid w:val="5A261275"/>
    <w:rsid w:val="5A3B4B4E"/>
    <w:rsid w:val="5A4804CA"/>
    <w:rsid w:val="5A594C85"/>
    <w:rsid w:val="5A6E3886"/>
    <w:rsid w:val="5A8842AA"/>
    <w:rsid w:val="5A9D7108"/>
    <w:rsid w:val="5AEB1E3C"/>
    <w:rsid w:val="5B2507CA"/>
    <w:rsid w:val="5B2A474A"/>
    <w:rsid w:val="5B2D237E"/>
    <w:rsid w:val="5B3221AA"/>
    <w:rsid w:val="5B830730"/>
    <w:rsid w:val="5BB43EFF"/>
    <w:rsid w:val="5BBB2DD6"/>
    <w:rsid w:val="5BBB710D"/>
    <w:rsid w:val="5BC24519"/>
    <w:rsid w:val="5BE263B6"/>
    <w:rsid w:val="5C8E5C5A"/>
    <w:rsid w:val="5C965E61"/>
    <w:rsid w:val="5CD25ACC"/>
    <w:rsid w:val="5CF0089C"/>
    <w:rsid w:val="5CF5796F"/>
    <w:rsid w:val="5D242A11"/>
    <w:rsid w:val="5D2A4D65"/>
    <w:rsid w:val="5D344780"/>
    <w:rsid w:val="5D465E58"/>
    <w:rsid w:val="5D9217C2"/>
    <w:rsid w:val="5DAD06BF"/>
    <w:rsid w:val="5DC92CE9"/>
    <w:rsid w:val="5DE23CB3"/>
    <w:rsid w:val="5DE97EEC"/>
    <w:rsid w:val="5DFA5EB0"/>
    <w:rsid w:val="5E000E4D"/>
    <w:rsid w:val="5E0B583E"/>
    <w:rsid w:val="5E201A7B"/>
    <w:rsid w:val="5E7845ED"/>
    <w:rsid w:val="5EA45884"/>
    <w:rsid w:val="5EAB5506"/>
    <w:rsid w:val="5EBD0484"/>
    <w:rsid w:val="5F2C5C7C"/>
    <w:rsid w:val="5F36141C"/>
    <w:rsid w:val="5F631986"/>
    <w:rsid w:val="5FC5273F"/>
    <w:rsid w:val="5FDB7FB7"/>
    <w:rsid w:val="60441A3C"/>
    <w:rsid w:val="604F6C39"/>
    <w:rsid w:val="60806DF2"/>
    <w:rsid w:val="60844AE7"/>
    <w:rsid w:val="609F3AD2"/>
    <w:rsid w:val="61072DA5"/>
    <w:rsid w:val="61137C66"/>
    <w:rsid w:val="6114389E"/>
    <w:rsid w:val="611C0817"/>
    <w:rsid w:val="61224A52"/>
    <w:rsid w:val="61281293"/>
    <w:rsid w:val="61520CCB"/>
    <w:rsid w:val="61644155"/>
    <w:rsid w:val="61813705"/>
    <w:rsid w:val="61851A29"/>
    <w:rsid w:val="61934CA4"/>
    <w:rsid w:val="6198332B"/>
    <w:rsid w:val="619C7B32"/>
    <w:rsid w:val="62285D56"/>
    <w:rsid w:val="622D1522"/>
    <w:rsid w:val="622E0574"/>
    <w:rsid w:val="62403327"/>
    <w:rsid w:val="624B1D15"/>
    <w:rsid w:val="62683B6B"/>
    <w:rsid w:val="626E1C84"/>
    <w:rsid w:val="6275761C"/>
    <w:rsid w:val="6279041A"/>
    <w:rsid w:val="62816E52"/>
    <w:rsid w:val="628978E8"/>
    <w:rsid w:val="628C4EBC"/>
    <w:rsid w:val="62AA2165"/>
    <w:rsid w:val="62AB7BE6"/>
    <w:rsid w:val="62AC5944"/>
    <w:rsid w:val="62D60F54"/>
    <w:rsid w:val="62D74037"/>
    <w:rsid w:val="632F3F8A"/>
    <w:rsid w:val="634E1EB1"/>
    <w:rsid w:val="636C7871"/>
    <w:rsid w:val="63716241"/>
    <w:rsid w:val="637279B4"/>
    <w:rsid w:val="63817D2B"/>
    <w:rsid w:val="63BD1FA9"/>
    <w:rsid w:val="63D175D1"/>
    <w:rsid w:val="63D27965"/>
    <w:rsid w:val="63F4667E"/>
    <w:rsid w:val="64063AB3"/>
    <w:rsid w:val="64076927"/>
    <w:rsid w:val="64095516"/>
    <w:rsid w:val="641A2468"/>
    <w:rsid w:val="641E1DD0"/>
    <w:rsid w:val="64372F20"/>
    <w:rsid w:val="648944D0"/>
    <w:rsid w:val="64DC72D7"/>
    <w:rsid w:val="64FA42B4"/>
    <w:rsid w:val="650877CF"/>
    <w:rsid w:val="650F715A"/>
    <w:rsid w:val="653619A6"/>
    <w:rsid w:val="65434131"/>
    <w:rsid w:val="65555C8F"/>
    <w:rsid w:val="65610A02"/>
    <w:rsid w:val="658A78A8"/>
    <w:rsid w:val="65A11EA3"/>
    <w:rsid w:val="65AC3D66"/>
    <w:rsid w:val="65BB5334"/>
    <w:rsid w:val="65E71D98"/>
    <w:rsid w:val="663E1DBA"/>
    <w:rsid w:val="665D0213"/>
    <w:rsid w:val="66845B8B"/>
    <w:rsid w:val="668506C7"/>
    <w:rsid w:val="669E59F1"/>
    <w:rsid w:val="66A2024B"/>
    <w:rsid w:val="66C864B5"/>
    <w:rsid w:val="66CB5E2D"/>
    <w:rsid w:val="66CF12F2"/>
    <w:rsid w:val="66DA76CA"/>
    <w:rsid w:val="6704732B"/>
    <w:rsid w:val="670F6731"/>
    <w:rsid w:val="671F493B"/>
    <w:rsid w:val="67585CB0"/>
    <w:rsid w:val="67770F0C"/>
    <w:rsid w:val="678C2D71"/>
    <w:rsid w:val="67B03535"/>
    <w:rsid w:val="67B33F51"/>
    <w:rsid w:val="67E3597E"/>
    <w:rsid w:val="68174F69"/>
    <w:rsid w:val="682C436A"/>
    <w:rsid w:val="68382778"/>
    <w:rsid w:val="68391F41"/>
    <w:rsid w:val="68436B8C"/>
    <w:rsid w:val="68797358"/>
    <w:rsid w:val="687C00FB"/>
    <w:rsid w:val="6884624F"/>
    <w:rsid w:val="68A519DF"/>
    <w:rsid w:val="68C4160B"/>
    <w:rsid w:val="68C41C30"/>
    <w:rsid w:val="68CF3BA4"/>
    <w:rsid w:val="69257FA7"/>
    <w:rsid w:val="693F26C7"/>
    <w:rsid w:val="697E12B2"/>
    <w:rsid w:val="69C05DE6"/>
    <w:rsid w:val="69C45E93"/>
    <w:rsid w:val="69C8706D"/>
    <w:rsid w:val="69E84DCE"/>
    <w:rsid w:val="6A025978"/>
    <w:rsid w:val="6A0E3FB4"/>
    <w:rsid w:val="6A285BB8"/>
    <w:rsid w:val="6A292754"/>
    <w:rsid w:val="6A5E3B28"/>
    <w:rsid w:val="6A6B1EBE"/>
    <w:rsid w:val="6A6C53A8"/>
    <w:rsid w:val="6A8F43F7"/>
    <w:rsid w:val="6AC37FB5"/>
    <w:rsid w:val="6AD625F3"/>
    <w:rsid w:val="6B1C3EC6"/>
    <w:rsid w:val="6B302B67"/>
    <w:rsid w:val="6B3C43FB"/>
    <w:rsid w:val="6B7218BE"/>
    <w:rsid w:val="6B750BA9"/>
    <w:rsid w:val="6B8270EE"/>
    <w:rsid w:val="6BB93285"/>
    <w:rsid w:val="6C0C698C"/>
    <w:rsid w:val="6C0E4753"/>
    <w:rsid w:val="6C1808E6"/>
    <w:rsid w:val="6C222401"/>
    <w:rsid w:val="6C56267F"/>
    <w:rsid w:val="6C826EF9"/>
    <w:rsid w:val="6CAE4C93"/>
    <w:rsid w:val="6CB14F16"/>
    <w:rsid w:val="6CDC1854"/>
    <w:rsid w:val="6CEC2069"/>
    <w:rsid w:val="6D0B1869"/>
    <w:rsid w:val="6D65402D"/>
    <w:rsid w:val="6D683822"/>
    <w:rsid w:val="6D737FCC"/>
    <w:rsid w:val="6D8D136C"/>
    <w:rsid w:val="6DBD6A19"/>
    <w:rsid w:val="6DBF2759"/>
    <w:rsid w:val="6DC269C0"/>
    <w:rsid w:val="6DC96F36"/>
    <w:rsid w:val="6DFA3EBF"/>
    <w:rsid w:val="6E374EF7"/>
    <w:rsid w:val="6E3A7667"/>
    <w:rsid w:val="6E3E63D2"/>
    <w:rsid w:val="6E4F3D89"/>
    <w:rsid w:val="6E5F7BE6"/>
    <w:rsid w:val="6E6918C6"/>
    <w:rsid w:val="6E6E0DBB"/>
    <w:rsid w:val="6EB33AAD"/>
    <w:rsid w:val="6EEB4AC4"/>
    <w:rsid w:val="6EF67A1A"/>
    <w:rsid w:val="6F212DD6"/>
    <w:rsid w:val="6F39716C"/>
    <w:rsid w:val="6F3B5912"/>
    <w:rsid w:val="6FA14A81"/>
    <w:rsid w:val="6FA3261F"/>
    <w:rsid w:val="6FB44BAA"/>
    <w:rsid w:val="6FD6290B"/>
    <w:rsid w:val="700D6539"/>
    <w:rsid w:val="7026010C"/>
    <w:rsid w:val="704203E3"/>
    <w:rsid w:val="7058046B"/>
    <w:rsid w:val="707F2079"/>
    <w:rsid w:val="70922734"/>
    <w:rsid w:val="70974F48"/>
    <w:rsid w:val="709D104F"/>
    <w:rsid w:val="70CD16CB"/>
    <w:rsid w:val="70CE6DC7"/>
    <w:rsid w:val="710B3646"/>
    <w:rsid w:val="711759F2"/>
    <w:rsid w:val="713C4ED8"/>
    <w:rsid w:val="71407642"/>
    <w:rsid w:val="71641210"/>
    <w:rsid w:val="71A94A05"/>
    <w:rsid w:val="71B92164"/>
    <w:rsid w:val="71D95B7C"/>
    <w:rsid w:val="71EA6A50"/>
    <w:rsid w:val="71FA350A"/>
    <w:rsid w:val="71FE31A8"/>
    <w:rsid w:val="720C30AE"/>
    <w:rsid w:val="721A7983"/>
    <w:rsid w:val="721F6113"/>
    <w:rsid w:val="7233782C"/>
    <w:rsid w:val="724D5513"/>
    <w:rsid w:val="726A729D"/>
    <w:rsid w:val="72F86BC7"/>
    <w:rsid w:val="73002FCB"/>
    <w:rsid w:val="73177841"/>
    <w:rsid w:val="733774FE"/>
    <w:rsid w:val="73617E1B"/>
    <w:rsid w:val="736D7653"/>
    <w:rsid w:val="736E46F1"/>
    <w:rsid w:val="738035CB"/>
    <w:rsid w:val="73852C46"/>
    <w:rsid w:val="73927CFE"/>
    <w:rsid w:val="7396335C"/>
    <w:rsid w:val="739667AE"/>
    <w:rsid w:val="73F26EC8"/>
    <w:rsid w:val="73F46595"/>
    <w:rsid w:val="73F47FAE"/>
    <w:rsid w:val="73F5341C"/>
    <w:rsid w:val="740E5173"/>
    <w:rsid w:val="74283FA2"/>
    <w:rsid w:val="742C135B"/>
    <w:rsid w:val="74463733"/>
    <w:rsid w:val="748A2F40"/>
    <w:rsid w:val="74C4399D"/>
    <w:rsid w:val="74D84FF7"/>
    <w:rsid w:val="74F85778"/>
    <w:rsid w:val="75272439"/>
    <w:rsid w:val="75381FEC"/>
    <w:rsid w:val="754C6F0D"/>
    <w:rsid w:val="758F1E9B"/>
    <w:rsid w:val="759D1102"/>
    <w:rsid w:val="75CE266B"/>
    <w:rsid w:val="7603212B"/>
    <w:rsid w:val="76120141"/>
    <w:rsid w:val="761F284D"/>
    <w:rsid w:val="763E6A8D"/>
    <w:rsid w:val="764F0F26"/>
    <w:rsid w:val="768216BE"/>
    <w:rsid w:val="76C23B43"/>
    <w:rsid w:val="76FD6F97"/>
    <w:rsid w:val="770218E8"/>
    <w:rsid w:val="770E38E2"/>
    <w:rsid w:val="778A76A0"/>
    <w:rsid w:val="779469CE"/>
    <w:rsid w:val="77BA39FB"/>
    <w:rsid w:val="77C875A5"/>
    <w:rsid w:val="78A27DF6"/>
    <w:rsid w:val="79285B3A"/>
    <w:rsid w:val="79490B03"/>
    <w:rsid w:val="794B3D2C"/>
    <w:rsid w:val="79625CA9"/>
    <w:rsid w:val="79A91196"/>
    <w:rsid w:val="79F842AA"/>
    <w:rsid w:val="7A080CC1"/>
    <w:rsid w:val="7A0B32D3"/>
    <w:rsid w:val="7A0E644E"/>
    <w:rsid w:val="7A7430CC"/>
    <w:rsid w:val="7AC13CD3"/>
    <w:rsid w:val="7ADE32A3"/>
    <w:rsid w:val="7AE10264"/>
    <w:rsid w:val="7AE4248E"/>
    <w:rsid w:val="7B2E6095"/>
    <w:rsid w:val="7B496F40"/>
    <w:rsid w:val="7B4A207F"/>
    <w:rsid w:val="7B936F45"/>
    <w:rsid w:val="7BA47419"/>
    <w:rsid w:val="7BB10D45"/>
    <w:rsid w:val="7BB44151"/>
    <w:rsid w:val="7BBD234A"/>
    <w:rsid w:val="7C3073CD"/>
    <w:rsid w:val="7C656A39"/>
    <w:rsid w:val="7CA10985"/>
    <w:rsid w:val="7CB93996"/>
    <w:rsid w:val="7CBE0F99"/>
    <w:rsid w:val="7D4E45F1"/>
    <w:rsid w:val="7D8E0CD4"/>
    <w:rsid w:val="7DE50961"/>
    <w:rsid w:val="7DFB6D82"/>
    <w:rsid w:val="7E1D71D1"/>
    <w:rsid w:val="7E246254"/>
    <w:rsid w:val="7E48583E"/>
    <w:rsid w:val="7E553215"/>
    <w:rsid w:val="7E6D090F"/>
    <w:rsid w:val="7ECC66B2"/>
    <w:rsid w:val="7EE5313E"/>
    <w:rsid w:val="7EF618DD"/>
    <w:rsid w:val="7F2914C3"/>
    <w:rsid w:val="7F2E795C"/>
    <w:rsid w:val="7F2F6A35"/>
    <w:rsid w:val="7F3B60CB"/>
    <w:rsid w:val="7F3E7050"/>
    <w:rsid w:val="7F5F2ED6"/>
    <w:rsid w:val="7FA837EF"/>
    <w:rsid w:val="7FB81232"/>
    <w:rsid w:val="7FC36955"/>
    <w:rsid w:val="7FE903A0"/>
    <w:rsid w:val="7FF048F5"/>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225.93</c:v>
                </c:pt>
                <c:pt idx="1">
                  <c:v>235.28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2352789.5</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1162082.12</c:v>
                </c:pt>
                <c:pt idx="1">
                  <c:v>1170251.38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225.93</c:v>
                </c:pt>
                <c:pt idx="1">
                  <c:v>225.93</c:v>
                </c:pt>
                <c:pt idx="2">
                  <c:v>166.18</c:v>
                </c:pt>
                <c:pt idx="3">
                  <c:v>166.18</c:v>
                </c:pt>
                <c:pt idx="4">
                  <c:v>59.76</c:v>
                </c:pt>
                <c:pt idx="5">
                  <c:v>59.76</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235.28</c:v>
                </c:pt>
                <c:pt idx="1">
                  <c:v>233.23</c:v>
                </c:pt>
                <c:pt idx="2">
                  <c:v>235.28</c:v>
                </c:pt>
                <c:pt idx="3">
                  <c:v>233.23</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224.07</c:v>
                </c:pt>
                <c:pt idx="1">
                  <c:v>225.63</c:v>
                </c:pt>
                <c:pt idx="2">
                  <c:v>224.07</c:v>
                </c:pt>
                <c:pt idx="3">
                  <c:v>225.63</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235.28</c:v>
                </c:pt>
                <c:pt idx="1">
                  <c:v>233.23</c:v>
                </c:pt>
                <c:pt idx="2">
                  <c:v>235.28</c:v>
                </c:pt>
                <c:pt idx="3">
                  <c:v>233.23</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206.58</c:v>
                </c:pt>
                <c:pt idx="1">
                  <c:v>0</c:v>
                </c:pt>
                <c:pt idx="2">
                  <c:v>0</c:v>
                </c:pt>
                <c:pt idx="3">
                  <c:v>0</c:v>
                </c:pt>
                <c:pt idx="4">
                  <c:v>0</c:v>
                </c:pt>
                <c:pt idx="5">
                  <c:v>0</c:v>
                </c:pt>
                <c:pt idx="6">
                  <c:v>0</c:v>
                </c:pt>
                <c:pt idx="7">
                  <c:v>12.94</c:v>
                </c:pt>
                <c:pt idx="8">
                  <c:v>6.55</c:v>
                </c:pt>
                <c:pt idx="9">
                  <c:v>0</c:v>
                </c:pt>
                <c:pt idx="10">
                  <c:v>0</c:v>
                </c:pt>
                <c:pt idx="11">
                  <c:v>0</c:v>
                </c:pt>
                <c:pt idx="12">
                  <c:v>0</c:v>
                </c:pt>
                <c:pt idx="13">
                  <c:v>0</c:v>
                </c:pt>
                <c:pt idx="14">
                  <c:v>0</c:v>
                </c:pt>
                <c:pt idx="15">
                  <c:v>0</c:v>
                </c:pt>
                <c:pt idx="16">
                  <c:v>0</c:v>
                </c:pt>
                <c:pt idx="17">
                  <c:v>0</c:v>
                </c:pt>
                <c:pt idx="18">
                  <c:v>7.16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3</TotalTime>
  <ScaleCrop>false</ScaleCrop>
  <LinksUpToDate>false</LinksUpToDate>
  <CharactersWithSpaces>2170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        ♚        </cp:lastModifiedBy>
  <cp:lastPrinted>2023-08-04T01:00:00Z</cp:lastPrinted>
  <dcterms:modified xsi:type="dcterms:W3CDTF">2025-10-14T01:06:26Z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