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部门决算公开文本</w:t>
                  </w:r>
                </w:p>
              </w:txbxContent>
            </v:textbox>
          </v:shape>
        </w:pict>
      </w: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：202001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：青龙满族自治县信访局(本级)</w:t>
      </w:r>
    </w:p>
    <w:p>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pgNumType w:start="1"/>
          <w:cols w:space="720" w:num="1"/>
          <w:docGrid w:type="lines" w:linePitch="312" w:charSpace="0"/>
        </w:sectPr>
      </w:pPr>
    </w:p>
    <w:p>
      <w:pPr>
        <w:spacing w:line="600" w:lineRule="auto"/>
        <w:jc w:val="center"/>
        <w:rPr>
          <w:rFonts w:ascii="楷体_GB2312" w:hAnsi="楷体_GB2312" w:eastAsia="楷体_GB2312" w:cs="楷体_GB2312"/>
          <w:color w:val="000000"/>
          <w:sz w:val="40"/>
          <w:szCs w:val="40"/>
        </w:rPr>
      </w:pPr>
    </w:p>
    <w:p>
      <w:pPr>
        <w:rPr>
          <w:rFonts w:ascii="黑体" w:hAnsi="黑体" w:eastAsia="黑体" w:cs="黑体"/>
          <w:b/>
          <w:bCs/>
          <w:sz w:val="32"/>
          <w:szCs w:val="36"/>
          <w:highlight w:val="yellow"/>
        </w:rPr>
      </w:pPr>
    </w:p>
    <w:p>
      <w:pPr>
        <w:widowControl/>
        <w:spacing w:line="360" w:lineRule="auto"/>
        <w:jc w:val="center"/>
        <w:rPr>
          <w:rFonts w:ascii="Times New Roman" w:eastAsia="方正小标宋_GBK"/>
          <w:sz w:val="72"/>
          <w:szCs w:val="72"/>
        </w:rPr>
      </w:pPr>
      <w:r>
        <w:rPr>
          <w:rFonts w:ascii="Times New Roman" w:eastAsia="方正小标宋_GBK"/>
          <w:sz w:val="72"/>
          <w:szCs w:val="72"/>
        </w:rPr>
        <w:t>青龙满族自治县信访局(本级)</w:t>
      </w:r>
    </w:p>
    <w:p>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rPr>
          <w:rFonts w:ascii="黑体" w:hAnsi="黑体" w:eastAsia="黑体" w:cs="黑体"/>
          <w:sz w:val="56"/>
          <w:szCs w:val="72"/>
        </w:rPr>
      </w:pPr>
    </w:p>
    <w:p>
      <w:pPr>
        <w:widowControl/>
        <w:spacing w:line="360" w:lineRule="auto"/>
        <w:jc w:val="center"/>
        <w:rPr>
          <w:rFonts w:ascii="Times New Roman" w:eastAsia="楷体_GB2312"/>
          <w:sz w:val="44"/>
          <w:szCs w:val="44"/>
        </w:rPr>
      </w:pPr>
      <w:r>
        <w:rPr>
          <w:rFonts w:ascii="Times New Roman" w:eastAsia="楷体_GB2312"/>
          <w:sz w:val="44"/>
          <w:szCs w:val="44"/>
        </w:rPr>
        <w:t>青龙满族自治县信访局(本级)</w:t>
      </w:r>
    </w:p>
    <w:p>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pPr>
        <w:snapToGrid w:val="0"/>
        <w:jc w:val="left"/>
        <w:rPr>
          <w:rFonts w:ascii="楷体_GB2312" w:hAnsi="楷体_GB2312" w:eastAsia="楷体_GB2312" w:cs="楷体_GB2312"/>
          <w:color w:val="000000" w:themeColor="text1"/>
          <w:sz w:val="44"/>
          <w:szCs w:val="44"/>
        </w:rPr>
      </w:pPr>
    </w:p>
    <w:p>
      <w:pPr>
        <w:snapToGrid w:val="0"/>
        <w:jc w:val="left"/>
        <w:rPr>
          <w:rFonts w:ascii="楷体_GB2312" w:hAnsi="楷体_GB2312" w:eastAsia="楷体_GB2312" w:cs="楷体_GB2312"/>
          <w:color w:val="000000" w:themeColor="text1"/>
          <w:sz w:val="44"/>
          <w:szCs w:val="44"/>
        </w:rPr>
        <w:sectPr>
          <w:footerReference r:id="rId4" w:type="default"/>
          <w:pgSz w:w="11906" w:h="16838"/>
          <w:pgMar w:top="1531" w:right="1984" w:bottom="1531" w:left="2098" w:header="851" w:footer="992" w:gutter="0"/>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line="360" w:lineRule="auto"/>
        <w:jc w:val="center"/>
        <w:outlineLvl w:val="0"/>
        <w:rPr>
          <w:rFonts w:ascii="Times New Roman" w:eastAsia="黑体"/>
          <w:sz w:val="44"/>
          <w:szCs w:val="44"/>
        </w:rPr>
      </w:pPr>
      <w:r>
        <w:rPr>
          <w:rFonts w:ascii="Times New Roman" w:eastAsia="黑体"/>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360" w:lineRule="auto"/>
        <w:jc w:val="left"/>
        <w:rPr>
          <w:rFonts w:ascii="Times New Roman" w:eastAsia="黑体"/>
          <w:sz w:val="32"/>
          <w:szCs w:val="32"/>
        </w:rPr>
      </w:pPr>
      <w:r>
        <w:rPr>
          <w:rFonts w:ascii="Times New Roman" w:eastAsia="黑体"/>
          <w:sz w:val="32"/>
          <w:szCs w:val="32"/>
        </w:rPr>
        <w:t>第一部分单位概况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pPr>
        <w:widowControl/>
        <w:spacing w:line="360" w:lineRule="auto"/>
        <w:jc w:val="left"/>
        <w:rPr>
          <w:rFonts w:ascii="Times New Roman" w:eastAsia="黑体"/>
          <w:sz w:val="32"/>
          <w:szCs w:val="32"/>
        </w:rPr>
      </w:pPr>
      <w:r>
        <w:rPr>
          <w:rFonts w:ascii="Times New Roman" w:eastAsia="黑体"/>
          <w:sz w:val="32"/>
          <w:szCs w:val="32"/>
        </w:rPr>
        <w:t>第四部分 名词解释</w:t>
      </w:r>
    </w:p>
    <w:p>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pPr>
        <w:widowControl/>
        <w:spacing w:line="360" w:lineRule="auto"/>
        <w:jc w:val="center"/>
        <w:outlineLvl w:val="0"/>
        <w:rPr>
          <w:rFonts w:ascii="Times New Roman" w:eastAsia="黑体"/>
          <w:sz w:val="44"/>
          <w:szCs w:val="44"/>
        </w:rPr>
      </w:pPr>
      <w:r>
        <w:rPr>
          <w:rFonts w:ascii="Times New Roman" w:eastAsia="黑体"/>
          <w:sz w:val="44"/>
          <w:szCs w:val="44"/>
        </w:rPr>
        <w:t>第一部分单位概况</w:t>
      </w:r>
    </w:p>
    <w:p>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根据《青龙满族自治县信访局职能配置、内设机构和人员编制规定》，青龙满族自治县信访局的主要职责是： 1.组织协调机关日常政务工作； 负责会议组织、文秘事务、信访信息、对外宣传、机要通信、信件管理、档案管理、保守秘密、安全保卫、计划生育等行政事务；负责群众工作中心的日常管理工作。 2.接待日常群众来访，处理群众来信，做上访群众的疏导工作； (1)接待日常群众来信来访； (2）联系、预约县级领导接待来访； (3）组织、协调各单位集中接访，联系相关单位日常到信访局接访； (4）协助县级领导接访，维持接访秩序； (5)负责来信来访登记、各项信访统计报表上报工作; (6)负责人民群众建议征集和整理工作。 3.承办中央、省、市、县四级交办及领导转办交办的各类信访案件及信访矛盾纠纷和隐患排查工作</w:t>
      </w:r>
      <w:r>
        <w:rPr>
          <w:rFonts w:hint="eastAsia" w:ascii="Times New Roman" w:eastAsia="仿宋_GB2312"/>
          <w:sz w:val="32"/>
          <w:szCs w:val="32"/>
          <w:lang w:eastAsia="zh-CN"/>
        </w:rPr>
        <w:t>；</w:t>
      </w:r>
      <w:r>
        <w:rPr>
          <w:rFonts w:ascii="Times New Roman" w:eastAsia="仿宋_GB2312"/>
          <w:sz w:val="32"/>
          <w:szCs w:val="32"/>
        </w:rPr>
        <w:t>（1）承办中央、省、市、县四级交办及领导转办交办的各类信访案件； (2）负责各类矛盾纠纷和信访隐患、信访信息排查工作； (3）负责中央、省、市三级交办案件结案材料的起草、上报等各项工作。 4.督导、检查领导批办及上级信访单位交办的各类信访案件； （1）督导、检查领导批办及上级信访单位交办的各类信访案件，协调、帮助、指导各乡镇各单位办理信访案件； （2）对乡镇及县直单位信访工作进行年度考核； （3）通过河北省信访信息系统，及时检查有关乡镇和单位案件办理情况。 5.受理信访人对各工作单位及乡镇党委、政府就信访事项所做处理意见不服而提出的复查请求。 畅通信访渠道、完善信访复查程序，有效化解信访矛盾，降低越级访和重复访率。受理信访人对县委、县政府各工作单位及乡镇党委、政府就信访事项所做处理意见不服而向县委、县政府提出复查请求，依法依规按规定期限向信访人出具信访答复。 6.做好信访维稳值班工作 根据省、市信访工作联席会议办公室的有关通知要求，各级“两会”、国家、省、市重大活动、北戴河旅游旺季等期间，到北京、石家庄、秦皇岛及北戴河值班，负责组织协调、稳控劝返工作。</w:t>
      </w:r>
    </w:p>
    <w:p>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青龙满族自治县信访局(本级)</w:t>
            </w:r>
          </w:p>
        </w:tc>
        <w:tc>
          <w:tcPr>
            <w:tcW w:w="2445" w:type="dxa"/>
          </w:tcPr>
          <w:p>
            <w:pPr>
              <w:spacing w:line="560" w:lineRule="exact"/>
              <w:jc w:val="center"/>
              <w:rPr>
                <w:rFonts w:hint="eastAsia" w:ascii="仿宋_GB2312" w:hAnsi="Calibri" w:eastAsia="仿宋_GB2312" w:cs="ArialUnicodeMS"/>
                <w:sz w:val="28"/>
                <w:szCs w:val="28"/>
                <w:lang w:val="en-US" w:eastAsia="zh-CN"/>
              </w:rPr>
            </w:pPr>
            <w:r>
              <w:rPr>
                <w:rFonts w:hint="eastAsia" w:ascii="仿宋_GB2312" w:hAnsi="Calibri" w:eastAsia="仿宋_GB2312" w:cs="ArialUnicodeMS"/>
                <w:sz w:val="28"/>
                <w:szCs w:val="28"/>
                <w:lang w:val="en-US" w:eastAsia="zh-CN"/>
              </w:rPr>
              <w:t>行政</w:t>
            </w:r>
          </w:p>
        </w:tc>
        <w:tc>
          <w:tcPr>
            <w:tcW w:w="266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line="360" w:lineRule="auto"/>
        <w:jc w:val="center"/>
        <w:outlineLvl w:val="0"/>
        <w:rPr>
          <w:rFonts w:ascii="Times New Roman" w:eastAsia="黑体"/>
          <w:sz w:val="44"/>
          <w:szCs w:val="44"/>
        </w:rPr>
      </w:pPr>
      <w:r>
        <w:rPr>
          <w:rFonts w:ascii="Times New Roman" w:eastAsia="黑体"/>
          <w:sz w:val="44"/>
          <w:szCs w:val="44"/>
        </w:rPr>
        <w:t>第二部分</w:t>
      </w:r>
      <w:r>
        <w:rPr>
          <w:rFonts w:ascii="Times New Roman" w:eastAsia="仿宋_GB2312"/>
          <w:sz w:val="44"/>
          <w:szCs w:val="44"/>
        </w:rPr>
        <w:t>2024</w:t>
      </w:r>
      <w:r>
        <w:rPr>
          <w:rFonts w:ascii="Times New Roman" w:eastAsia="黑体"/>
          <w:sz w:val="44"/>
          <w:szCs w:val="44"/>
        </w:rPr>
        <w:t>年度部门决算表</w:t>
      </w: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部门（单位）：青龙满族自治县信访局(本级)</w:t>
            </w:r>
          </w:p>
        </w:tc>
        <w:tc>
          <w:tcPr>
            <w:tcW w:w="1262" w:type="pct"/>
            <w:gridSpan w:val="2"/>
            <w:tcBorders>
              <w:top w:val="nil"/>
              <w:left w:val="nil"/>
              <w:bottom w:val="single" w:color="auto" w:sz="4" w:space="0"/>
              <w:right w:val="nil"/>
            </w:tcBorders>
            <w:noWrap/>
            <w:vAlign w:val="bottom"/>
          </w:tcPr>
          <w:p>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365.92</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325.66</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15.00</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22.65</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8.47</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15.00</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380.92</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380.92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380.92</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380.92</w:t>
            </w: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部门（单位）：青龙满族自治县信访局(本级)                                                                                                         </w:t>
            </w:r>
          </w:p>
        </w:tc>
        <w:tc>
          <w:tcPr>
            <w:tcW w:w="3405"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380.92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380.92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325.66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325.66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20140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信访事务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325.66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325.66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2014001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131.30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131.30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2014003</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机关服务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2014004</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信访业务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190.36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190.36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22.65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22.65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21.02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21.02</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抚恤</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其他优抚支出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6.71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6.71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2120899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pPr>
        <w:rPr>
          <w:rFonts w:ascii="仿宋_GB2312" w:hAnsi="宋体" w:eastAsia="仿宋_GB2312"/>
          <w:b/>
          <w:sz w:val="32"/>
          <w:szCs w:val="32"/>
        </w:rPr>
      </w:pPr>
    </w:p>
    <w:p>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部门（单位）：青龙满族自治县信访局(本级) </w:t>
            </w:r>
          </w:p>
        </w:tc>
        <w:tc>
          <w:tcPr>
            <w:tcW w:w="1403"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380.92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171.55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209.36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325.66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131.30</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信访事务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325.66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131.30</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131.30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131.30</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2014003</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机关服务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2014004</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信访业务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190.36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190.36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22.65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22.65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21.02</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21.02</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17.76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17.76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6.71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6.71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国有土地使用权出让收入安排的支出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其他国有土地使用权出让收入安排的支出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trPr>
          <w:trHeight w:val="550" w:hRule="atLeast"/>
        </w:trPr>
        <w:tc>
          <w:tcPr>
            <w:tcW w:w="5000" w:type="pct"/>
            <w:gridSpan w:val="11"/>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部门（单位）：青龙满族自治县信访局(本级) </w:t>
            </w:r>
          </w:p>
        </w:tc>
        <w:tc>
          <w:tcPr>
            <w:tcW w:w="649" w:type="pct"/>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365.92</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325.66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325.66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15.00</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22.65</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22.65</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8.47</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8.47</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15.00</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15.00</w:t>
            </w: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380.92</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380.92</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365.92</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15.00</w:t>
            </w: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380.92</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380.92</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365.92</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15.00</w:t>
            </w:r>
          </w:p>
        </w:tc>
        <w:tc>
          <w:tcPr>
            <w:tcW w:w="520"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48" w:type="pct"/>
        <w:tblInd w:w="-657" w:type="dxa"/>
        <w:tblLayout w:type="autofit"/>
        <w:tblCellMar>
          <w:top w:w="0" w:type="dxa"/>
          <w:left w:w="108" w:type="dxa"/>
          <w:bottom w:w="0" w:type="dxa"/>
          <w:right w:w="108" w:type="dxa"/>
        </w:tblCellMar>
      </w:tblPr>
      <w:tblGrid>
        <w:gridCol w:w="1684"/>
        <w:gridCol w:w="3298"/>
        <w:gridCol w:w="971"/>
        <w:gridCol w:w="507"/>
        <w:gridCol w:w="670"/>
        <w:gridCol w:w="367"/>
        <w:gridCol w:w="1200"/>
      </w:tblGrid>
      <w:tr>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编制部门（单位）：青龙满族自治县信访局(本级)</w:t>
            </w:r>
          </w:p>
        </w:tc>
        <w:tc>
          <w:tcPr>
            <w:tcW w:w="154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365.92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171.55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194.36</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325.66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131.30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194.36</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信访事务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325.66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131.30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194.36</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131.30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2014003</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机关服务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2014004</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信访业务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190.36</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22.65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21.02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17.76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6.71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6.71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部门（单位）：青龙满族自治县信访局(本级) </w:t>
            </w:r>
          </w:p>
        </w:tc>
        <w:tc>
          <w:tcPr>
            <w:tcW w:w="865" w:type="pct"/>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152.69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13.97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68.18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1.60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31.49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10.11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6.99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0.15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17.76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1.60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8.47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0.55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9.13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4.80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4.89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3.26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0.40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1.33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4.10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157.58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ascii="Times New Roman" w:hAnsi="Times New Roman" w:cs="Times New Roman"/>
                <w:sz w:val="18"/>
                <w:szCs w:val="18"/>
              </w:rPr>
              <w:t>13.97</w:t>
            </w:r>
          </w:p>
        </w:tc>
      </w:tr>
      <w:tr>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部门（单位）：青龙满族自治县信访局(本级) </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03"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2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w:t>
            </w:r>
          </w:p>
        </w:tc>
        <w:tc>
          <w:tcPr>
            <w:tcW w:w="703"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国有土地使用权出让收入安排的支出</w:t>
            </w:r>
          </w:p>
        </w:tc>
        <w:tc>
          <w:tcPr>
            <w:tcW w:w="62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2120899</w:t>
            </w:r>
          </w:p>
        </w:tc>
        <w:tc>
          <w:tcPr>
            <w:tcW w:w="703"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其他国有土地使用权出让收入安排的支出</w:t>
            </w:r>
          </w:p>
        </w:tc>
        <w:tc>
          <w:tcPr>
            <w:tcW w:w="62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w:t>
            </w:r>
            <w:r>
              <w:rPr>
                <w:rFonts w:hint="eastAsia" w:ascii="方正仿宋_GB2312" w:hAnsi="方正仿宋_GB2312" w:eastAsia="方正仿宋_GB2312" w:cs="方正仿宋_GB2312"/>
                <w:color w:val="000000"/>
                <w:sz w:val="20"/>
                <w:szCs w:val="20"/>
              </w:rPr>
              <w:br w:type="page"/>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部门（单位）：青龙满族自治县信访局(本级)</w:t>
            </w:r>
          </w:p>
        </w:tc>
        <w:tc>
          <w:tcPr>
            <w:tcW w:w="1421"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noWrap/>
            <w:vAlign w:val="center"/>
          </w:tcPr>
          <w:p>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部门（单位）：青龙满族自治县信访局(本级)</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1.73</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1.33</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1.33</w:t>
            </w: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0.40</w:t>
            </w: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1.73</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1.33</w:t>
            </w: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1.33</w:t>
            </w: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0.40</w:t>
            </w: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p>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pPr>
        <w:widowControl/>
        <w:spacing w:line="360" w:lineRule="auto"/>
        <w:jc w:val="center"/>
        <w:outlineLvl w:val="0"/>
        <w:rPr>
          <w:rFonts w:ascii="Times New Roman" w:eastAsia="黑体"/>
          <w:sz w:val="44"/>
          <w:szCs w:val="44"/>
        </w:rPr>
      </w:pPr>
      <w:r>
        <w:rPr>
          <w:rFonts w:ascii="Times New Roman" w:eastAsia="黑体"/>
          <w:sz w:val="44"/>
          <w:szCs w:val="44"/>
        </w:rPr>
        <w:t>第三部分</w:t>
      </w:r>
      <w:r>
        <w:rPr>
          <w:rFonts w:ascii="Times New Roman" w:eastAsia="仿宋_GB2312"/>
          <w:sz w:val="44"/>
          <w:szCs w:val="44"/>
        </w:rPr>
        <w:t>2024</w:t>
      </w:r>
      <w:r>
        <w:rPr>
          <w:rFonts w:ascii="Times New Roman" w:eastAsia="黑体"/>
          <w:sz w:val="44"/>
          <w:szCs w:val="44"/>
        </w:rPr>
        <w:t>年度部门决算情况说明</w:t>
      </w:r>
    </w:p>
    <w:p>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本单位2024年度收、支总计（含结转和结余）均为380.92万元。与2023年度决算相比，收支各增加6.32万元，增长1.7%，主要原因是本年度追加信访维稳经费等项目收支。</w:t>
      </w:r>
    </w:p>
    <w:p>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eastAsia="Arial"/>
          <w:color w:val="000000"/>
          <w:sz w:val="18"/>
          <w:szCs w:val="18"/>
          <w:shd w:val="clear" w:color="auto" w:fill="FFFFFF"/>
        </w:rPr>
        <w:t> </w:t>
      </w:r>
    </w:p>
    <w:p>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380.92万元，其中：财政拨款收入380.92万元，占100.0%；上级补助收入0.00万元，占0.0%；事业收入0.00万元，占0.0%；经营收入0.00万元，占0.0%；附属单位上缴收入0.00万元，占0.0%；其他收入0.00万元，占0.0%。</w:t>
      </w:r>
    </w:p>
    <w:p>
      <w:pPr>
        <w:adjustRightInd w:val="0"/>
        <w:snapToGrid w:val="0"/>
        <w:spacing w:line="580" w:lineRule="exact"/>
        <w:rPr>
          <w:rFonts w:ascii="Times New Roman" w:eastAsia="黑体"/>
          <w:sz w:val="32"/>
          <w:szCs w:val="32"/>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imes New Roman" w:eastAsia="黑体"/>
          <w:sz w:val="32"/>
          <w:szCs w:val="32"/>
        </w:rPr>
        <w:t>三、支出决算情况说明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本单位2024年度本年支出合计380.92万元，其中：基本支出171.55万元，占45.0%；项目支出209.36万元，占55.0%；上缴上级支出0.00万元，占0.0%；经营支出0.00万元，占0.0%；对附属单位补助支出0.00万元，占0.0%。</w:t>
      </w:r>
    </w:p>
    <w:p>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本单位2024年度财政拨款收、支总计（含结转和结余）均为380.92万元。与2023年度相比，财政拨款收支各增加6.32万元，增长1.7%，主要原因是本年度追加信访维稳经费等项目收支。</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380.92万元,比上年增加6.32万元，增长1.7%，主要原因是本年追加信访维稳经费等项目收入；本年支出380.92万元，比上年增加6.32万元，增长1.7%，主要原因是本年追加信访维稳经费等项目支出。具体情况如下：</w:t>
      </w:r>
    </w:p>
    <w:p>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365.92万元,比上年增加111.42万元，增长43.8%，主要原因是本年度信访维稳经费、群众工作中心运行经费等项目列入一般公共预算财政拨款收入；本年支出365.92万元，比上年增加111.42万元，增长43.8%，主要原因是本年度信访维稳经费、群众工作中心运行经费等项目列入一般公共预算财政拨款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15.00万元，比上年减少105.10万元，降低87.5%，主要原因是本年年初信访维稳经费、群众工作中心运行经费等项目列入一般公共预算财政拨款收入；本年支出15.00万元，比上年减少105.10万元，降低87.5%，主要原因是本年年初度信访维稳经费、群众工作中心运行经费等项目列入一般公共预算财政拨款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国有资本经营预算财政拨款本年收入0.00万元，比上年增加0.00万元，增长0.00%，主要原因是；本年支出0.00万元，比上年增加0.00万元，增长0.00%，主要原因是。</w:t>
      </w:r>
    </w:p>
    <w:p>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380.92万元，完成年初预算的117.0%，比年初预算增加55.37万元，决算数大于预算数主要原因是本年度追加项目经费等预算；本年支出380.92万元，完成年初预算的117.0%，比年初预算增加55.37万元，决算数大于预算数主要原因是本年度追加项目经费等支出。具体情况如下：</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112.4%，比年初预算增加40.37万元，主要原因是本年度一般公共预算追加信访维稳经费等项目预算；支出完成年初预算的112.4%，比年初预算增加40.37万元，主要原因是本年度一般公共预算追加信访维稳经费等项目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15.00万元，主要原因是本年度政府性基金追加信访维稳经费、特殊疑难信访问题救助资金项目预算；支出完成年初预算的0.0%，比年初预算增加15.00万元，主要原因是本年度政府性基金追加信访维稳经费、特殊疑难信访问题救助资金项目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国有资本经营预算财政拨款本年收入完成年初预算的0.0%，比年初预算增加0.00万元，主要原因是；支出完成年初预算的0.0%，比年初预算增加0.00万元，主要原因是。</w:t>
      </w:r>
    </w:p>
    <w:p>
      <w:pPr>
        <w:pStyle w:val="10"/>
        <w:widowControl/>
        <w:spacing w:beforeAutospacing="0" w:afterAutospacing="0"/>
        <w:rPr>
          <w:rFonts w:ascii="Times New Roman" w:hAnsi="Times New Roman" w:eastAsia="Arial"/>
        </w:rPr>
      </w:pPr>
    </w:p>
    <w:p>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2024年度财政拨款支出380.92万元，主要用于以下方面：</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325.66万元，占85.5%，主要用于人员工资福利支出及商品和服务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22.65万元，占5.9%，主要用于机关事业单位基本养老保险缴费、退休费、遗属生活费等支出；卫生健康（类）支出8.47万元，占2.2%，主要用于城镇职工基本医疗保险缴费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9.13万元，占2.4%，主要用于住房公积金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15.00万元，占3.9%，主要用于信访维稳经费、特殊疑难信访问题救助资金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0.00%，主要用于等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2024年度财政拨款基本支出171.55万元，其中：</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157.58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公用经费13.97万元，主要包括办公费、印刷费、咨询费、手续费、水费、电费、邮电费、取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三公”经费财政拨款支出预算为1.73万元，支出决算为1.73万元，完成预算的100.0%，较预算增加0.00万元，增长0.0%，主要原因是与预算持平；较2023年度决算减少0.68万元，降低28.2%，主要原因是厉行节约。</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sz w:val="32"/>
          <w:szCs w:val="32"/>
        </w:rPr>
        <w:t>本单位2024年度因公出国（境）费支出预算为0.00万元,支出决算0.00万元。完成预算的0.0%。因公出国（境）费支出较预算增加0.00万元，增长0.0%,主要原因是；较上年增加0.00万元，增长0.00%,主要原因是。因公出国（境）团组0个、共0人、参加其他单位组织的因公出国（境）团组个、共人/无本部门组织的出国（境）团组。</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sz w:val="32"/>
          <w:szCs w:val="32"/>
        </w:rPr>
        <w:t>本单位2024年度公务用车购置及运行维护费预算为1.33万元，支出决算1.33万元，完成预算的100.0%,较预算增加0.00万元，增长0.0%,主要原因是与预算持平；较上年增加0.23万元，增长20.9%,主要原因是信访维稳任务重。其中：</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本单位2024年度公务用车购置量0辆，发生“公务用车购置”经费支出0.00万元。公务用车购置费支出较预算增加0.00万元，增长0.0%,主要原因是；较上年增加0.00万元，增长0.00%,主要原因是。</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公务用车运行维护费支出1.33万元：</w:t>
      </w:r>
      <w:r>
        <w:rPr>
          <w:rFonts w:ascii="Times New Roman" w:eastAsia="仿宋_GB2312"/>
          <w:sz w:val="32"/>
          <w:szCs w:val="32"/>
        </w:rPr>
        <w:t>本单位2024年度单位公务用车保有量1辆，发生运行维护费支出1.33万元。公车运行维护费支出较预算增加0.00万元，增长0.0%,主要原因是与预算持平；较上年增加0.23万元，增长20.9%，主要原因是信访维稳任务重。</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单位2024年度公务接待费支出预算为0.40万元，支出决算0.40万元，完成预算的100.0%。公务接待费支出较预算增加0.00万元，增长0.0%,主要原因是与预算持平；较上年度减少0.91万元，降低69.5%,主要原因是厉行节约。本年度共发生公务接待6批次、80人次。</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本单位2024年度机关运行经费支出13.97万元，较2023年度减少12.74万元，降低47.7%。主要原因是取暖费、机关公务员交通补贴等公用经费结转下年。</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1辆，比上年增加0辆，主要是。其中，副部（省）级及以上领导用车0辆，主要负责人用车0辆，机要通信用车0辆，应急保障用车1辆，执法执勤用车0辆，特种专业技术用车0辆，离退休干部用车0辆，其他用车0辆，其他用车主要是。单位价值100万元（含）以上设备（不含车辆）0台（套）。</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单位组织对2024年度本级预算项目支出全面开展绩效自评，共涉及资金209.36万元（决算金额）。其中，一般公共预算项目4个，涉及资金194.36万元，占一般公共预算项目支出总额的100%；政府性基金预算项目2个，涉及资金15万元，占政府性基金预算项目支出总额的100%；国有资本经营预算项目0个，涉及资金0万元，占国有资本经营预算项目支出总额的0%。</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组织对“群众工作中心运行经费”、“特殊疑难信访问题救助资金县级配套”、“群众工作中心聘用法律服务费”、“信访维稳经费”等4个项目开展了部门重点评价，涉及一般公共预算支出194.36万元，政府性基金预算支出15万元，国有资本经营预算支出0万元，从评价情况来看，2024年我部门预算绩效整体开展良好，根据财政预算绩效管理要求，我部门以“部门职责—工作活动”为依据，确定部门预算项目和预算额度，清晰描述预算项目开支范围和内容，确定预算项目的绩效目标、绩效指标和评价标准，为预算绩效控制、绩效分析、绩效评价打下好的基础。</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本单位在今年部门决算公开中反映信访维稳经费、群众工作中心运行经费、法律服务费、特殊疑难信访问题救助资金等4个项目绩效自评结果。</w:t>
      </w:r>
    </w:p>
    <w:p>
      <w:pPr>
        <w:widowControl/>
        <w:spacing w:line="360" w:lineRule="auto"/>
        <w:ind w:firstLine="640" w:firstLineChars="200"/>
        <w:jc w:val="left"/>
        <w:rPr>
          <w:rFonts w:hint="eastAsia" w:ascii="仿宋" w:hAnsi="仿宋" w:eastAsia="仿宋"/>
          <w:sz w:val="32"/>
          <w:szCs w:val="32"/>
        </w:rPr>
      </w:pPr>
      <w:r>
        <w:rPr>
          <w:rFonts w:hint="eastAsia" w:ascii="仿宋" w:hAnsi="仿宋" w:eastAsia="仿宋"/>
          <w:sz w:val="32"/>
          <w:szCs w:val="32"/>
        </w:rPr>
        <w:t>1.</w:t>
      </w:r>
      <w:r>
        <w:rPr>
          <w:rFonts w:ascii="仿宋" w:hAnsi="仿宋" w:eastAsia="仿宋"/>
          <w:sz w:val="32"/>
          <w:szCs w:val="32"/>
        </w:rPr>
        <w:t>信访维稳经费项目：项目绩效自评情况：根据年初设定的绩效目标，信访维稳经费项目绩效自评得分为100分（绩效自评表附后）。全年预算数为183.83万元，执行数为173.36万元，完成预算的94.3%。项目绩效目标完成情况：一是圆满完成各级两会、暑期等重点敏感时间信访保障值班任务；二是加大进京访治理工作力度，进京访量大幅下降。发现的主要问题及原因是：一是敏感期仍有进京访；二是进京访量实有发生。下一步改进措施：一是加大进京访治理力度；二是强化对信访工作的考核。</w:t>
      </w:r>
    </w:p>
    <w:p>
      <w:pPr>
        <w:widowControl/>
        <w:spacing w:line="360" w:lineRule="auto"/>
        <w:ind w:firstLine="640" w:firstLineChars="200"/>
        <w:jc w:val="left"/>
        <w:rPr>
          <w:rFonts w:hint="eastAsia" w:ascii="仿宋" w:hAnsi="仿宋" w:eastAsia="仿宋"/>
          <w:sz w:val="32"/>
          <w:szCs w:val="32"/>
        </w:rPr>
      </w:pPr>
      <w:r>
        <w:rPr>
          <w:rFonts w:hint="eastAsia" w:ascii="仿宋" w:hAnsi="仿宋" w:eastAsia="仿宋"/>
          <w:sz w:val="32"/>
          <w:szCs w:val="32"/>
        </w:rPr>
        <w:t>2.</w:t>
      </w:r>
      <w:r>
        <w:rPr>
          <w:rFonts w:hint="eastAsia" w:ascii="仿宋" w:hAnsi="仿宋" w:eastAsia="仿宋" w:cs="仿宋_GB2312"/>
          <w:color w:val="000000"/>
          <w:sz w:val="32"/>
          <w:szCs w:val="32"/>
        </w:rPr>
        <w:t>群众工作中心运行经费：</w:t>
      </w:r>
      <w:r>
        <w:rPr>
          <w:rFonts w:ascii="仿宋" w:hAnsi="仿宋" w:eastAsia="仿宋"/>
          <w:sz w:val="32"/>
          <w:szCs w:val="32"/>
        </w:rPr>
        <w:t>项目绩效自评情况：根据年初设定的绩效目标，</w:t>
      </w:r>
      <w:r>
        <w:rPr>
          <w:rFonts w:hint="eastAsia" w:ascii="仿宋" w:hAnsi="仿宋" w:eastAsia="仿宋" w:cs="仿宋_GB2312"/>
          <w:color w:val="000000"/>
          <w:sz w:val="32"/>
          <w:szCs w:val="32"/>
        </w:rPr>
        <w:t>群众工作中心运行经费</w:t>
      </w:r>
      <w:r>
        <w:rPr>
          <w:rFonts w:ascii="仿宋" w:hAnsi="仿宋" w:eastAsia="仿宋"/>
          <w:sz w:val="32"/>
          <w:szCs w:val="32"/>
        </w:rPr>
        <w:t>项目绩效自评得分为100分（绩效自评表附后）。全年预算数为</w:t>
      </w:r>
      <w:r>
        <w:rPr>
          <w:rFonts w:hint="eastAsia" w:ascii="仿宋" w:hAnsi="仿宋" w:eastAsia="仿宋"/>
          <w:sz w:val="32"/>
          <w:szCs w:val="32"/>
        </w:rPr>
        <w:t>8.75</w:t>
      </w:r>
      <w:r>
        <w:rPr>
          <w:rFonts w:ascii="仿宋" w:hAnsi="仿宋" w:eastAsia="仿宋"/>
          <w:sz w:val="32"/>
          <w:szCs w:val="32"/>
        </w:rPr>
        <w:t>万元，执行数为</w:t>
      </w:r>
      <w:r>
        <w:rPr>
          <w:rFonts w:hint="eastAsia" w:ascii="仿宋" w:hAnsi="仿宋" w:eastAsia="仿宋"/>
          <w:sz w:val="32"/>
          <w:szCs w:val="32"/>
        </w:rPr>
        <w:t>4</w:t>
      </w:r>
      <w:r>
        <w:rPr>
          <w:rFonts w:ascii="仿宋" w:hAnsi="仿宋" w:eastAsia="仿宋"/>
          <w:sz w:val="32"/>
          <w:szCs w:val="32"/>
        </w:rPr>
        <w:t>万元，完成预算的</w:t>
      </w:r>
      <w:r>
        <w:rPr>
          <w:rFonts w:hint="eastAsia" w:ascii="仿宋" w:hAnsi="仿宋" w:eastAsia="仿宋"/>
          <w:sz w:val="32"/>
          <w:szCs w:val="32"/>
        </w:rPr>
        <w:t>45.7</w:t>
      </w:r>
      <w:r>
        <w:rPr>
          <w:rFonts w:ascii="仿宋" w:hAnsi="仿宋" w:eastAsia="仿宋"/>
          <w:sz w:val="32"/>
          <w:szCs w:val="32"/>
        </w:rPr>
        <w:t>%。项目绩效目标完成情况：一是</w:t>
      </w:r>
      <w:r>
        <w:rPr>
          <w:rFonts w:hint="eastAsia" w:ascii="仿宋" w:hAnsi="仿宋" w:eastAsia="仿宋"/>
          <w:sz w:val="32"/>
          <w:szCs w:val="32"/>
        </w:rPr>
        <w:t>保障了县群众工作中心正常运转</w:t>
      </w:r>
      <w:r>
        <w:rPr>
          <w:rFonts w:ascii="仿宋" w:hAnsi="仿宋" w:eastAsia="仿宋"/>
          <w:sz w:val="32"/>
          <w:szCs w:val="32"/>
        </w:rPr>
        <w:t>；二是</w:t>
      </w:r>
      <w:r>
        <w:rPr>
          <w:rFonts w:hint="eastAsia" w:ascii="仿宋" w:hAnsi="仿宋" w:eastAsia="仿宋"/>
          <w:sz w:val="32"/>
          <w:szCs w:val="32"/>
        </w:rPr>
        <w:t>维护领导公开接访正常秩序</w:t>
      </w:r>
      <w:r>
        <w:rPr>
          <w:rFonts w:ascii="仿宋" w:hAnsi="仿宋" w:eastAsia="仿宋"/>
          <w:sz w:val="32"/>
          <w:szCs w:val="32"/>
        </w:rPr>
        <w:t>。发现的主要问题及原因是：一是</w:t>
      </w:r>
      <w:r>
        <w:rPr>
          <w:rFonts w:hint="eastAsia" w:ascii="仿宋" w:hAnsi="仿宋" w:eastAsia="仿宋"/>
          <w:sz w:val="32"/>
          <w:szCs w:val="32"/>
        </w:rPr>
        <w:t>资金未能及时拨付</w:t>
      </w:r>
      <w:r>
        <w:rPr>
          <w:rFonts w:ascii="仿宋" w:hAnsi="仿宋" w:eastAsia="仿宋"/>
          <w:sz w:val="32"/>
          <w:szCs w:val="32"/>
        </w:rPr>
        <w:t>；二是</w:t>
      </w:r>
      <w:r>
        <w:rPr>
          <w:rFonts w:hint="eastAsia" w:ascii="仿宋" w:hAnsi="仿宋" w:eastAsia="仿宋"/>
          <w:sz w:val="32"/>
          <w:szCs w:val="32"/>
        </w:rPr>
        <w:t>群众来访秩序有待加强</w:t>
      </w:r>
      <w:r>
        <w:rPr>
          <w:rFonts w:ascii="仿宋" w:hAnsi="仿宋" w:eastAsia="仿宋"/>
          <w:sz w:val="32"/>
          <w:szCs w:val="32"/>
        </w:rPr>
        <w:t>。下一步改进措施：一是</w:t>
      </w:r>
      <w:r>
        <w:rPr>
          <w:rFonts w:hint="eastAsia" w:ascii="仿宋" w:hAnsi="仿宋" w:eastAsia="仿宋"/>
          <w:sz w:val="32"/>
          <w:szCs w:val="32"/>
        </w:rPr>
        <w:t>加大资金管理力度，确保及时拨付</w:t>
      </w:r>
      <w:r>
        <w:rPr>
          <w:rFonts w:ascii="仿宋" w:hAnsi="仿宋" w:eastAsia="仿宋"/>
          <w:sz w:val="32"/>
          <w:szCs w:val="32"/>
        </w:rPr>
        <w:t>；二是</w:t>
      </w:r>
      <w:r>
        <w:rPr>
          <w:rFonts w:hint="eastAsia" w:ascii="仿宋" w:hAnsi="仿宋" w:eastAsia="仿宋"/>
          <w:sz w:val="32"/>
          <w:szCs w:val="32"/>
        </w:rPr>
        <w:t>加强群众工作中心建设</w:t>
      </w:r>
      <w:r>
        <w:rPr>
          <w:rFonts w:ascii="仿宋" w:hAnsi="仿宋" w:eastAsia="仿宋"/>
          <w:sz w:val="32"/>
          <w:szCs w:val="32"/>
        </w:rPr>
        <w:t>。</w:t>
      </w:r>
    </w:p>
    <w:p>
      <w:pPr>
        <w:widowControl/>
        <w:spacing w:line="360" w:lineRule="auto"/>
        <w:ind w:firstLine="640" w:firstLineChars="200"/>
        <w:jc w:val="left"/>
        <w:rPr>
          <w:rFonts w:hint="eastAsia" w:ascii="Times New Roman" w:eastAsia="仿宋_GB2312"/>
          <w:sz w:val="32"/>
          <w:szCs w:val="32"/>
        </w:rPr>
      </w:pPr>
      <w:r>
        <w:rPr>
          <w:rFonts w:hint="eastAsia" w:ascii="仿宋_GB2312" w:hAnsi="仿宋_GB2312" w:eastAsia="仿宋_GB2312" w:cs="仿宋_GB2312"/>
          <w:color w:val="000000"/>
          <w:sz w:val="32"/>
          <w:szCs w:val="32"/>
        </w:rPr>
        <w:t>3.法律服务费：</w:t>
      </w:r>
      <w:r>
        <w:rPr>
          <w:rFonts w:ascii="Times New Roman" w:eastAsia="仿宋_GB2312"/>
          <w:sz w:val="32"/>
          <w:szCs w:val="32"/>
        </w:rPr>
        <w:t>项目绩效自评情况：根据年初设定的绩效目标，</w:t>
      </w:r>
      <w:r>
        <w:rPr>
          <w:rFonts w:hint="eastAsia" w:ascii="仿宋_GB2312" w:hAnsi="仿宋_GB2312" w:eastAsia="仿宋_GB2312" w:cs="仿宋_GB2312"/>
          <w:color w:val="000000"/>
          <w:sz w:val="32"/>
          <w:szCs w:val="32"/>
        </w:rPr>
        <w:t>法律服务费</w:t>
      </w:r>
      <w:r>
        <w:rPr>
          <w:rFonts w:ascii="Times New Roman" w:eastAsia="仿宋_GB2312"/>
          <w:sz w:val="32"/>
          <w:szCs w:val="32"/>
        </w:rPr>
        <w:t>项目绩效自评得分为100分（绩效自评表附后）。全年预算数为</w:t>
      </w:r>
      <w:r>
        <w:rPr>
          <w:rFonts w:hint="eastAsia" w:ascii="Times New Roman" w:eastAsia="仿宋_GB2312"/>
          <w:sz w:val="32"/>
          <w:szCs w:val="32"/>
        </w:rPr>
        <w:t>1</w:t>
      </w:r>
      <w:r>
        <w:rPr>
          <w:rFonts w:ascii="Times New Roman" w:eastAsia="仿宋_GB2312"/>
          <w:sz w:val="32"/>
          <w:szCs w:val="32"/>
        </w:rPr>
        <w:t>万元，执行数为</w:t>
      </w:r>
      <w:r>
        <w:rPr>
          <w:rFonts w:hint="eastAsia" w:ascii="Times New Roman" w:eastAsia="仿宋_GB2312"/>
          <w:sz w:val="32"/>
          <w:szCs w:val="32"/>
        </w:rPr>
        <w:t>1</w:t>
      </w:r>
      <w:r>
        <w:rPr>
          <w:rFonts w:ascii="Times New Roman" w:eastAsia="仿宋_GB2312"/>
          <w:sz w:val="32"/>
          <w:szCs w:val="32"/>
        </w:rPr>
        <w:t>万元，完成预算的</w:t>
      </w:r>
      <w:r>
        <w:rPr>
          <w:rFonts w:hint="eastAsia" w:ascii="Times New Roman" w:eastAsia="仿宋_GB2312"/>
          <w:sz w:val="32"/>
          <w:szCs w:val="32"/>
        </w:rPr>
        <w:t>100</w:t>
      </w:r>
      <w:r>
        <w:rPr>
          <w:rFonts w:ascii="Times New Roman" w:eastAsia="仿宋_GB2312"/>
          <w:sz w:val="32"/>
          <w:szCs w:val="32"/>
        </w:rPr>
        <w:t>%。项目绩效目标完成情况：一是</w:t>
      </w:r>
      <w:r>
        <w:rPr>
          <w:rFonts w:hint="eastAsia" w:ascii="宋体" w:hAnsi="宋体" w:eastAsia="宋体"/>
          <w:sz w:val="32"/>
          <w:szCs w:val="32"/>
        </w:rPr>
        <w:t>为县领导调度重点信访案件提供了法律保障</w:t>
      </w:r>
      <w:r>
        <w:rPr>
          <w:rFonts w:ascii="Times New Roman" w:eastAsia="仿宋_GB2312"/>
          <w:sz w:val="32"/>
          <w:szCs w:val="32"/>
        </w:rPr>
        <w:t>；二是</w:t>
      </w:r>
      <w:r>
        <w:rPr>
          <w:rFonts w:hint="eastAsia" w:ascii="Times New Roman" w:eastAsia="仿宋_GB2312"/>
          <w:sz w:val="32"/>
          <w:szCs w:val="32"/>
        </w:rPr>
        <w:t>在化解涉法涉诉信访案件起到积极作用</w:t>
      </w:r>
      <w:r>
        <w:rPr>
          <w:rFonts w:ascii="Times New Roman" w:eastAsia="仿宋_GB2312"/>
          <w:sz w:val="32"/>
          <w:szCs w:val="32"/>
        </w:rPr>
        <w:t>。发现的主要问题及原因是：一是</w:t>
      </w:r>
      <w:r>
        <w:rPr>
          <w:rFonts w:hint="eastAsia" w:ascii="Times New Roman" w:eastAsia="仿宋_GB2312"/>
          <w:sz w:val="32"/>
          <w:szCs w:val="32"/>
        </w:rPr>
        <w:t>信访群众法律意识淡薄</w:t>
      </w:r>
      <w:r>
        <w:rPr>
          <w:rFonts w:ascii="Times New Roman" w:eastAsia="仿宋_GB2312"/>
          <w:sz w:val="32"/>
          <w:szCs w:val="32"/>
        </w:rPr>
        <w:t>；二是</w:t>
      </w:r>
      <w:r>
        <w:rPr>
          <w:rFonts w:hint="eastAsia" w:ascii="Times New Roman" w:eastAsia="仿宋_GB2312"/>
          <w:sz w:val="32"/>
          <w:szCs w:val="32"/>
        </w:rPr>
        <w:t>普法工作还需加强</w:t>
      </w:r>
      <w:r>
        <w:rPr>
          <w:rFonts w:ascii="Times New Roman" w:eastAsia="仿宋_GB2312"/>
          <w:sz w:val="32"/>
          <w:szCs w:val="32"/>
        </w:rPr>
        <w:t>。下一步改进措施：一是</w:t>
      </w:r>
      <w:r>
        <w:rPr>
          <w:rFonts w:hint="eastAsia" w:ascii="Times New Roman" w:eastAsia="仿宋_GB2312"/>
          <w:sz w:val="32"/>
          <w:szCs w:val="32"/>
        </w:rPr>
        <w:t>加大对信访群众法律普及力度</w:t>
      </w:r>
      <w:r>
        <w:rPr>
          <w:rFonts w:ascii="Times New Roman" w:eastAsia="仿宋_GB2312"/>
          <w:sz w:val="32"/>
          <w:szCs w:val="32"/>
        </w:rPr>
        <w:t>；二是</w:t>
      </w:r>
      <w:r>
        <w:rPr>
          <w:rFonts w:hint="eastAsia" w:ascii="Times New Roman" w:eastAsia="仿宋_GB2312"/>
          <w:sz w:val="32"/>
          <w:szCs w:val="32"/>
        </w:rPr>
        <w:t>加大对涉法涉诉类信访案件的指导</w:t>
      </w:r>
      <w:r>
        <w:rPr>
          <w:rFonts w:ascii="Times New Roman" w:eastAsia="仿宋_GB2312"/>
          <w:sz w:val="32"/>
          <w:szCs w:val="32"/>
        </w:rPr>
        <w:t>。</w:t>
      </w:r>
    </w:p>
    <w:p>
      <w:pPr>
        <w:widowControl/>
        <w:spacing w:line="360" w:lineRule="auto"/>
        <w:ind w:firstLine="640" w:firstLineChars="200"/>
        <w:jc w:val="left"/>
        <w:rPr>
          <w:rFonts w:hint="eastAsia" w:ascii="仿宋" w:hAnsi="仿宋" w:eastAsia="仿宋" w:cs="仿宋_GB2312"/>
          <w:color w:val="000000"/>
          <w:sz w:val="32"/>
          <w:szCs w:val="32"/>
        </w:rPr>
      </w:pPr>
      <w:r>
        <w:rPr>
          <w:rFonts w:hint="eastAsia" w:ascii="仿宋_GB2312" w:hAnsi="仿宋_GB2312" w:eastAsia="仿宋_GB2312" w:cs="仿宋_GB2312"/>
          <w:color w:val="000000"/>
          <w:sz w:val="32"/>
          <w:szCs w:val="32"/>
        </w:rPr>
        <w:t>4.特殊疑难信访问题救助资金县级配套：</w:t>
      </w:r>
      <w:r>
        <w:rPr>
          <w:rFonts w:ascii="Times New Roman" w:eastAsia="仿宋_GB2312"/>
          <w:sz w:val="32"/>
          <w:szCs w:val="32"/>
        </w:rPr>
        <w:t>项目绩效自评情况：根据年初设定的绩效目标，</w:t>
      </w:r>
      <w:r>
        <w:rPr>
          <w:rFonts w:hint="eastAsia" w:ascii="仿宋_GB2312" w:hAnsi="仿宋_GB2312" w:eastAsia="仿宋_GB2312" w:cs="仿宋_GB2312"/>
          <w:color w:val="000000"/>
          <w:sz w:val="32"/>
          <w:szCs w:val="32"/>
        </w:rPr>
        <w:t>特殊疑难信访问题救助资金县级配套</w:t>
      </w:r>
      <w:r>
        <w:rPr>
          <w:rFonts w:ascii="Times New Roman" w:eastAsia="仿宋_GB2312"/>
          <w:sz w:val="32"/>
          <w:szCs w:val="32"/>
        </w:rPr>
        <w:t>项目绩效自评得分为100分（绩效自评表附后）。</w:t>
      </w:r>
      <w:r>
        <w:rPr>
          <w:rFonts w:ascii="仿宋_GB2312" w:hAnsi="仿宋_GB2312" w:eastAsia="仿宋_GB2312" w:cs="仿宋_GB2312"/>
          <w:color w:val="000000"/>
          <w:sz w:val="32"/>
          <w:szCs w:val="32"/>
        </w:rPr>
        <w:t>全年预算数为</w:t>
      </w:r>
      <w:r>
        <w:rPr>
          <w:rFonts w:hint="eastAsia" w:ascii="仿宋_GB2312" w:hAnsi="仿宋_GB2312" w:eastAsia="仿宋_GB2312" w:cs="仿宋_GB2312"/>
          <w:color w:val="000000"/>
          <w:sz w:val="32"/>
          <w:szCs w:val="32"/>
        </w:rPr>
        <w:t>31</w:t>
      </w:r>
      <w:r>
        <w:rPr>
          <w:rFonts w:ascii="仿宋_GB2312" w:hAnsi="仿宋_GB2312" w:eastAsia="仿宋_GB2312" w:cs="仿宋_GB2312"/>
          <w:color w:val="000000"/>
          <w:sz w:val="32"/>
          <w:szCs w:val="32"/>
        </w:rPr>
        <w:t>万元，执行数为</w:t>
      </w:r>
      <w:r>
        <w:rPr>
          <w:rFonts w:hint="eastAsia" w:ascii="仿宋_GB2312" w:hAnsi="仿宋_GB2312" w:eastAsia="仿宋_GB2312" w:cs="仿宋_GB2312"/>
          <w:color w:val="000000"/>
          <w:sz w:val="32"/>
          <w:szCs w:val="32"/>
        </w:rPr>
        <w:t>31</w:t>
      </w:r>
      <w:r>
        <w:rPr>
          <w:rFonts w:ascii="仿宋_GB2312" w:hAnsi="仿宋_GB2312" w:eastAsia="仿宋_GB2312" w:cs="仿宋_GB2312"/>
          <w:color w:val="000000"/>
          <w:sz w:val="32"/>
          <w:szCs w:val="32"/>
        </w:rPr>
        <w:t>万元，完成预算的</w:t>
      </w:r>
      <w:r>
        <w:rPr>
          <w:rFonts w:hint="eastAsia" w:ascii="仿宋_GB2312" w:hAnsi="仿宋_GB2312" w:eastAsia="仿宋_GB2312" w:cs="仿宋_GB2312"/>
          <w:color w:val="000000"/>
          <w:sz w:val="32"/>
          <w:szCs w:val="32"/>
        </w:rPr>
        <w:t>100</w:t>
      </w:r>
      <w:r>
        <w:rPr>
          <w:rFonts w:ascii="仿宋_GB2312" w:hAnsi="仿宋_GB2312" w:eastAsia="仿宋_GB2312" w:cs="仿宋_GB2312"/>
          <w:color w:val="000000"/>
          <w:sz w:val="32"/>
          <w:szCs w:val="32"/>
        </w:rPr>
        <w:t>%。项目绩效目标完成情况：</w:t>
      </w:r>
      <w:r>
        <w:rPr>
          <w:rFonts w:ascii="仿宋" w:hAnsi="仿宋" w:eastAsia="仿宋" w:cs="仿宋_GB2312"/>
          <w:color w:val="000000"/>
          <w:sz w:val="32"/>
          <w:szCs w:val="32"/>
        </w:rPr>
        <w:t>一是</w:t>
      </w:r>
      <w:r>
        <w:rPr>
          <w:rFonts w:hint="eastAsia" w:ascii="仿宋" w:hAnsi="仿宋" w:eastAsia="仿宋" w:cs="仿宋_GB2312"/>
          <w:color w:val="000000"/>
          <w:sz w:val="32"/>
          <w:szCs w:val="32"/>
        </w:rPr>
        <w:t>彻底化解大石岭王某等多年信访积案</w:t>
      </w:r>
      <w:r>
        <w:rPr>
          <w:rFonts w:ascii="仿宋" w:hAnsi="仿宋" w:eastAsia="仿宋" w:cs="仿宋_GB2312"/>
          <w:color w:val="000000"/>
          <w:sz w:val="32"/>
          <w:szCs w:val="32"/>
        </w:rPr>
        <w:t>；二是</w:t>
      </w:r>
      <w:r>
        <w:rPr>
          <w:rFonts w:hint="eastAsia" w:ascii="仿宋" w:hAnsi="仿宋" w:eastAsia="仿宋" w:cs="仿宋_GB2312"/>
          <w:color w:val="000000"/>
          <w:sz w:val="32"/>
          <w:szCs w:val="32"/>
        </w:rPr>
        <w:t>减少我县特殊疑难信访案件的存量</w:t>
      </w:r>
      <w:r>
        <w:rPr>
          <w:rFonts w:ascii="仿宋" w:hAnsi="仿宋" w:eastAsia="仿宋" w:cs="仿宋_GB2312"/>
          <w:color w:val="000000"/>
          <w:sz w:val="32"/>
          <w:szCs w:val="32"/>
        </w:rPr>
        <w:t>。发现的主要问题及原因是：一是</w:t>
      </w:r>
      <w:r>
        <w:rPr>
          <w:rFonts w:hint="eastAsia" w:ascii="仿宋" w:hAnsi="仿宋" w:eastAsia="仿宋" w:cs="仿宋_GB2312"/>
          <w:color w:val="000000"/>
          <w:sz w:val="32"/>
          <w:szCs w:val="32"/>
        </w:rPr>
        <w:t>救助信访群众数量少</w:t>
      </w:r>
      <w:r>
        <w:rPr>
          <w:rFonts w:ascii="仿宋" w:hAnsi="仿宋" w:eastAsia="仿宋" w:cs="仿宋_GB2312"/>
          <w:color w:val="000000"/>
          <w:sz w:val="32"/>
          <w:szCs w:val="32"/>
        </w:rPr>
        <w:t>；二是</w:t>
      </w:r>
      <w:r>
        <w:rPr>
          <w:rFonts w:hint="eastAsia" w:ascii="仿宋" w:hAnsi="仿宋" w:eastAsia="仿宋" w:cs="仿宋_GB2312"/>
          <w:color w:val="000000"/>
          <w:sz w:val="32"/>
          <w:szCs w:val="32"/>
        </w:rPr>
        <w:t>资金拨付不及时</w:t>
      </w:r>
      <w:r>
        <w:rPr>
          <w:rFonts w:ascii="仿宋" w:hAnsi="仿宋" w:eastAsia="仿宋" w:cs="仿宋_GB2312"/>
          <w:color w:val="000000"/>
          <w:sz w:val="32"/>
          <w:szCs w:val="32"/>
        </w:rPr>
        <w:t>。下一步改进措施：一是</w:t>
      </w:r>
      <w:r>
        <w:rPr>
          <w:rFonts w:hint="eastAsia" w:ascii="仿宋" w:hAnsi="仿宋" w:eastAsia="仿宋" w:cs="仿宋_GB2312"/>
          <w:color w:val="000000"/>
          <w:sz w:val="32"/>
          <w:szCs w:val="32"/>
        </w:rPr>
        <w:t>加大资金拨付力度，确保及时发放</w:t>
      </w:r>
      <w:r>
        <w:rPr>
          <w:rFonts w:ascii="仿宋" w:hAnsi="仿宋" w:eastAsia="仿宋" w:cs="仿宋_GB2312"/>
          <w:color w:val="000000"/>
          <w:sz w:val="32"/>
          <w:szCs w:val="32"/>
        </w:rPr>
        <w:t>；二是</w:t>
      </w:r>
      <w:r>
        <w:rPr>
          <w:rFonts w:hint="eastAsia" w:ascii="仿宋" w:hAnsi="仿宋" w:eastAsia="仿宋" w:cs="仿宋_GB2312"/>
          <w:color w:val="000000"/>
          <w:sz w:val="32"/>
          <w:szCs w:val="32"/>
        </w:rPr>
        <w:t>积极向上争取更多的资金，确保救助更多信访群众</w:t>
      </w:r>
      <w:r>
        <w:rPr>
          <w:rFonts w:ascii="仿宋" w:hAnsi="仿宋" w:eastAsia="仿宋" w:cs="仿宋_GB2312"/>
          <w:color w:val="000000"/>
          <w:sz w:val="32"/>
          <w:szCs w:val="32"/>
        </w:rPr>
        <w:t>。</w:t>
      </w: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2024年度预算项目绩效自评表</w:t>
      </w:r>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（2024年度）</w:t>
      </w:r>
    </w:p>
    <w:p>
      <w:pPr>
        <w:adjustRightInd w:val="0"/>
        <w:snapToGrid w:val="0"/>
        <w:spacing w:line="400" w:lineRule="exact"/>
        <w:rPr>
          <w:rFonts w:ascii="仿宋" w:hAnsi="仿宋" w:eastAsia="仿宋" w:cs="仿宋_GB2312"/>
          <w:color w:val="000000"/>
          <w:sz w:val="16"/>
          <w:szCs w:val="16"/>
        </w:rPr>
      </w:pPr>
      <w:r>
        <w:rPr>
          <w:rFonts w:hint="eastAsia" w:ascii="仿宋" w:hAnsi="仿宋" w:eastAsia="仿宋" w:cs="仿宋_GB2312"/>
          <w:color w:val="000000"/>
          <w:sz w:val="16"/>
          <w:szCs w:val="16"/>
        </w:rPr>
        <w:t>填报单位：青龙满族自治县信访局 金额单位：万元</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084"/>
        <w:gridCol w:w="1050"/>
        <w:gridCol w:w="1067"/>
        <w:gridCol w:w="898"/>
        <w:gridCol w:w="1066"/>
        <w:gridCol w:w="113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一、基本情况</w:t>
            </w:r>
          </w:p>
        </w:tc>
        <w:tc>
          <w:tcPr>
            <w:tcW w:w="1084"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项目名称</w:t>
            </w:r>
          </w:p>
        </w:tc>
        <w:tc>
          <w:tcPr>
            <w:tcW w:w="2117"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信访维稳经费</w:t>
            </w:r>
          </w:p>
        </w:tc>
        <w:tc>
          <w:tcPr>
            <w:tcW w:w="898"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实施（主管）单位</w:t>
            </w:r>
          </w:p>
        </w:tc>
        <w:tc>
          <w:tcPr>
            <w:tcW w:w="3357" w:type="dxa"/>
            <w:gridSpan w:val="3"/>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信访局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restart"/>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二、预算执行情况</w:t>
            </w:r>
          </w:p>
        </w:tc>
        <w:tc>
          <w:tcPr>
            <w:tcW w:w="2134"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预算安排情况（调整后）</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资金到位情况</w:t>
            </w:r>
          </w:p>
        </w:tc>
        <w:tc>
          <w:tcPr>
            <w:tcW w:w="2197"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资金执行情况</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w:t>
            </w:r>
          </w:p>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预算数：</w:t>
            </w: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183.83</w:t>
            </w:r>
          </w:p>
        </w:tc>
        <w:tc>
          <w:tcPr>
            <w:tcW w:w="1067"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到位数：</w:t>
            </w:r>
          </w:p>
        </w:tc>
        <w:tc>
          <w:tcPr>
            <w:tcW w:w="898"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173.36</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执行数</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173.36</w:t>
            </w:r>
          </w:p>
        </w:tc>
        <w:tc>
          <w:tcPr>
            <w:tcW w:w="1160" w:type="dxa"/>
            <w:vMerge w:val="restart"/>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单位：财政  资金</w:t>
            </w: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183.83</w:t>
            </w:r>
          </w:p>
        </w:tc>
        <w:tc>
          <w:tcPr>
            <w:tcW w:w="1067"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898"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173.36</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173.36</w:t>
            </w:r>
          </w:p>
        </w:tc>
        <w:tc>
          <w:tcPr>
            <w:tcW w:w="1160"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p>
        </w:tc>
        <w:tc>
          <w:tcPr>
            <w:tcW w:w="1067"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898" w:type="dxa"/>
            <w:vAlign w:val="center"/>
          </w:tcPr>
          <w:p>
            <w:pPr>
              <w:adjustRightInd w:val="0"/>
              <w:snapToGrid w:val="0"/>
              <w:spacing w:line="160" w:lineRule="exact"/>
              <w:jc w:val="center"/>
              <w:rPr>
                <w:rFonts w:ascii="仿宋" w:hAnsi="仿宋" w:eastAsia="仿宋" w:cs="仿宋_GB2312"/>
                <w:color w:val="000000"/>
                <w:sz w:val="16"/>
                <w:szCs w:val="16"/>
              </w:rPr>
            </w:pP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p>
        </w:tc>
        <w:tc>
          <w:tcPr>
            <w:tcW w:w="1160"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66" w:type="dxa"/>
            <w:vMerge w:val="restart"/>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三、目标完成情况</w:t>
            </w:r>
          </w:p>
        </w:tc>
        <w:tc>
          <w:tcPr>
            <w:tcW w:w="3201" w:type="dxa"/>
            <w:gridSpan w:val="3"/>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年度预期目标</w:t>
            </w:r>
          </w:p>
        </w:tc>
        <w:tc>
          <w:tcPr>
            <w:tcW w:w="3095" w:type="dxa"/>
            <w:gridSpan w:val="3"/>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具体完成情况</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3201" w:type="dxa"/>
            <w:gridSpan w:val="3"/>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通过有效防控进京、赴省、到市及北戴河集体访，圆满完成各大重要活动期间的信访值班任务及接劝返工作，保障我县社会稳定</w:t>
            </w:r>
          </w:p>
        </w:tc>
        <w:tc>
          <w:tcPr>
            <w:tcW w:w="3095" w:type="dxa"/>
            <w:gridSpan w:val="3"/>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已完成</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6" w:type="dxa"/>
            <w:vMerge w:val="restart"/>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四、年度绩效指标完成情况</w:t>
            </w:r>
          </w:p>
        </w:tc>
        <w:tc>
          <w:tcPr>
            <w:tcW w:w="1084"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一级指标</w:t>
            </w: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二级指标</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三级指标</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预期指标值</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实际完成值</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Merge w:val="restart"/>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产出指标（70）</w:t>
            </w: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数量指标</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接访次数</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210</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252</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质量指标</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进京集体访与上年同期下降率</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40%</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质量指标</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上访案件问题处理率</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时效指标</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上访案件应急处理时间</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及时处置</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及时处置</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时效指标</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信访事项按期结案率</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时效指标</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租车费用</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按照实际情况发生计算</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按照实际情况发生计算</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时效指标</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维稳人员交通费及补助</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及时发放</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及时发放</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效益指标（10分）</w:t>
            </w: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社会效益指标</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各“敏感期”国家、省市集体访“零登记”</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敏感期零登记</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零登记</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满意度指标（10分）</w:t>
            </w: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服务对象满意度指标</w:t>
            </w:r>
          </w:p>
        </w:tc>
        <w:tc>
          <w:tcPr>
            <w:tcW w:w="1965" w:type="dxa"/>
            <w:gridSpan w:val="2"/>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维护社会和谐稳定</w:t>
            </w:r>
          </w:p>
        </w:tc>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社会稳定</w:t>
            </w:r>
          </w:p>
        </w:tc>
        <w:tc>
          <w:tcPr>
            <w:tcW w:w="1131"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社会稳定</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预算执行率（10分）</w:t>
            </w:r>
          </w:p>
        </w:tc>
        <w:tc>
          <w:tcPr>
            <w:tcW w:w="105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预算执行率</w:t>
            </w:r>
          </w:p>
        </w:tc>
        <w:tc>
          <w:tcPr>
            <w:tcW w:w="1965" w:type="dxa"/>
            <w:gridSpan w:val="2"/>
            <w:vAlign w:val="center"/>
          </w:tcPr>
          <w:p>
            <w:pPr>
              <w:adjustRightInd w:val="0"/>
              <w:snapToGrid w:val="0"/>
              <w:spacing w:line="160" w:lineRule="exact"/>
              <w:jc w:val="center"/>
              <w:rPr>
                <w:rFonts w:ascii="仿宋" w:hAnsi="仿宋" w:eastAsia="仿宋" w:cs="仿宋_GB2312"/>
                <w:color w:val="000000"/>
                <w:kern w:val="2"/>
                <w:sz w:val="18"/>
                <w:szCs w:val="18"/>
              </w:rPr>
            </w:pPr>
            <w:r>
              <w:rPr>
                <w:rFonts w:hint="eastAsia" w:ascii="仿宋" w:hAnsi="仿宋" w:eastAsia="仿宋" w:cs="仿宋_GB2312"/>
                <w:color w:val="000000"/>
                <w:sz w:val="18"/>
                <w:szCs w:val="18"/>
              </w:rPr>
              <w:t>预算执行率</w:t>
            </w:r>
          </w:p>
        </w:tc>
        <w:tc>
          <w:tcPr>
            <w:tcW w:w="1066" w:type="dxa"/>
            <w:vAlign w:val="center"/>
          </w:tcPr>
          <w:p>
            <w:pPr>
              <w:adjustRightInd w:val="0"/>
              <w:snapToGrid w:val="0"/>
              <w:spacing w:line="160" w:lineRule="exact"/>
              <w:jc w:val="center"/>
              <w:rPr>
                <w:rFonts w:ascii="仿宋" w:hAnsi="仿宋" w:eastAsia="仿宋" w:cs="仿宋_GB2312"/>
                <w:color w:val="000000"/>
                <w:kern w:val="2"/>
                <w:sz w:val="18"/>
                <w:szCs w:val="18"/>
              </w:rPr>
            </w:pPr>
            <w:r>
              <w:rPr>
                <w:rFonts w:hint="eastAsia" w:ascii="仿宋" w:hAnsi="仿宋" w:eastAsia="仿宋" w:cs="仿宋_GB2312"/>
                <w:color w:val="000000"/>
                <w:sz w:val="18"/>
                <w:szCs w:val="18"/>
              </w:rPr>
              <w:t>100%</w:t>
            </w:r>
          </w:p>
        </w:tc>
        <w:tc>
          <w:tcPr>
            <w:tcW w:w="1131" w:type="dxa"/>
            <w:vAlign w:val="center"/>
          </w:tcPr>
          <w:p>
            <w:pPr>
              <w:adjustRightInd w:val="0"/>
              <w:snapToGrid w:val="0"/>
              <w:spacing w:line="160" w:lineRule="exact"/>
              <w:jc w:val="center"/>
              <w:rPr>
                <w:rFonts w:ascii="仿宋" w:hAnsi="仿宋" w:eastAsia="仿宋" w:cs="仿宋_GB2312"/>
                <w:color w:val="000000"/>
                <w:kern w:val="2"/>
                <w:sz w:val="18"/>
                <w:szCs w:val="18"/>
              </w:rPr>
            </w:pPr>
            <w:r>
              <w:rPr>
                <w:rFonts w:hint="eastAsia" w:ascii="仿宋" w:hAnsi="仿宋" w:eastAsia="仿宋" w:cs="仿宋_GB2312"/>
                <w:color w:val="000000"/>
                <w:sz w:val="18"/>
                <w:szCs w:val="18"/>
              </w:rPr>
              <w:t>85.9%</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66" w:type="dxa"/>
            <w:vMerge w:val="continue"/>
            <w:vAlign w:val="center"/>
          </w:tcPr>
          <w:p>
            <w:pPr>
              <w:adjustRightInd w:val="0"/>
              <w:snapToGrid w:val="0"/>
              <w:spacing w:line="160" w:lineRule="exact"/>
              <w:jc w:val="center"/>
              <w:rPr>
                <w:rFonts w:ascii="仿宋" w:hAnsi="仿宋" w:eastAsia="仿宋" w:cs="仿宋_GB2312"/>
                <w:color w:val="000000"/>
                <w:sz w:val="16"/>
                <w:szCs w:val="16"/>
              </w:rPr>
            </w:pPr>
          </w:p>
        </w:tc>
        <w:tc>
          <w:tcPr>
            <w:tcW w:w="6296" w:type="dxa"/>
            <w:gridSpan w:val="6"/>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自评总分</w:t>
            </w:r>
          </w:p>
        </w:tc>
        <w:tc>
          <w:tcPr>
            <w:tcW w:w="1160"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66" w:type="dxa"/>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五、存在问题、原因及下一步整改措施</w:t>
            </w:r>
          </w:p>
        </w:tc>
        <w:tc>
          <w:tcPr>
            <w:tcW w:w="7456" w:type="dxa"/>
            <w:gridSpan w:val="7"/>
            <w:vAlign w:val="center"/>
          </w:tcPr>
          <w:p>
            <w:pPr>
              <w:adjustRightInd w:val="0"/>
              <w:snapToGrid w:val="0"/>
              <w:spacing w:line="1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无</w:t>
            </w:r>
          </w:p>
        </w:tc>
      </w:tr>
    </w:tbl>
    <w:p>
      <w:pPr>
        <w:adjustRightInd w:val="0"/>
        <w:snapToGrid w:val="0"/>
        <w:spacing w:line="400" w:lineRule="exact"/>
        <w:jc w:val="center"/>
        <w:rPr>
          <w:rFonts w:ascii="仿宋" w:hAnsi="仿宋" w:eastAsia="仿宋" w:cs="仿宋_GB2312"/>
          <w:color w:val="000000"/>
          <w:sz w:val="32"/>
          <w:szCs w:val="32"/>
        </w:rPr>
      </w:pPr>
    </w:p>
    <w:p>
      <w:pPr>
        <w:adjustRightInd w:val="0"/>
        <w:snapToGrid w:val="0"/>
        <w:spacing w:line="400" w:lineRule="exact"/>
        <w:jc w:val="center"/>
        <w:rPr>
          <w:rFonts w:ascii="仿宋" w:hAnsi="仿宋" w:eastAsia="仿宋" w:cs="仿宋_GB2312"/>
          <w:color w:val="000000"/>
          <w:sz w:val="32"/>
          <w:szCs w:val="32"/>
        </w:rPr>
      </w:pPr>
    </w:p>
    <w:p>
      <w:pPr>
        <w:adjustRightInd w:val="0"/>
        <w:snapToGrid w:val="0"/>
        <w:spacing w:line="400" w:lineRule="exact"/>
        <w:jc w:val="center"/>
        <w:rPr>
          <w:rFonts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hint="eastAsia" w:ascii="仿宋" w:hAnsi="仿宋" w:eastAsia="仿宋" w:cs="仿宋_GB2312"/>
          <w:color w:val="000000"/>
          <w:sz w:val="32"/>
          <w:szCs w:val="32"/>
        </w:rPr>
      </w:pPr>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2024年度预算项目绩效自评表</w:t>
      </w:r>
    </w:p>
    <w:p>
      <w:pPr>
        <w:adjustRightInd w:val="0"/>
        <w:snapToGrid w:val="0"/>
        <w:spacing w:line="400" w:lineRule="exact"/>
        <w:rPr>
          <w:rFonts w:ascii="仿宋" w:hAnsi="仿宋" w:eastAsia="仿宋" w:cs="仿宋_GB2312"/>
          <w:color w:val="000000"/>
          <w:sz w:val="16"/>
          <w:szCs w:val="16"/>
        </w:rPr>
      </w:pPr>
      <w:r>
        <w:rPr>
          <w:rFonts w:hint="eastAsia" w:ascii="仿宋" w:hAnsi="仿宋" w:eastAsia="仿宋" w:cs="仿宋_GB2312"/>
          <w:color w:val="000000"/>
          <w:sz w:val="16"/>
          <w:szCs w:val="16"/>
        </w:rPr>
        <w:t>填报单位：青龙满族自治县信访局 金额单位：万元</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084"/>
        <w:gridCol w:w="971"/>
        <w:gridCol w:w="1146"/>
        <w:gridCol w:w="898"/>
        <w:gridCol w:w="1066"/>
        <w:gridCol w:w="113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一、基本情况</w:t>
            </w: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项目名称</w:t>
            </w:r>
          </w:p>
        </w:tc>
        <w:tc>
          <w:tcPr>
            <w:tcW w:w="2117"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法律服务费</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实施（主管）单位</w:t>
            </w:r>
          </w:p>
        </w:tc>
        <w:tc>
          <w:tcPr>
            <w:tcW w:w="3357" w:type="dxa"/>
            <w:gridSpan w:val="3"/>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信访局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二、预算执行情况</w:t>
            </w:r>
          </w:p>
        </w:tc>
        <w:tc>
          <w:tcPr>
            <w:tcW w:w="2055"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预算安排情况（调整后）</w:t>
            </w:r>
          </w:p>
        </w:tc>
        <w:tc>
          <w:tcPr>
            <w:tcW w:w="2044"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资金到位情况</w:t>
            </w:r>
          </w:p>
        </w:tc>
        <w:tc>
          <w:tcPr>
            <w:tcW w:w="2197"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资金执行情况</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w:t>
            </w:r>
          </w:p>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预算数：</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w:t>
            </w:r>
          </w:p>
        </w:tc>
        <w:tc>
          <w:tcPr>
            <w:tcW w:w="114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到位数：</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w:t>
            </w: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执行数</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w:t>
            </w:r>
          </w:p>
        </w:tc>
        <w:tc>
          <w:tcPr>
            <w:tcW w:w="1160" w:type="dxa"/>
            <w:vMerge w:val="restart"/>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单位：财政  资金</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w:t>
            </w:r>
          </w:p>
        </w:tc>
        <w:tc>
          <w:tcPr>
            <w:tcW w:w="114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w:t>
            </w: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w:t>
            </w:r>
          </w:p>
        </w:tc>
        <w:tc>
          <w:tcPr>
            <w:tcW w:w="1160"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p>
        </w:tc>
        <w:tc>
          <w:tcPr>
            <w:tcW w:w="114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p>
        </w:tc>
        <w:tc>
          <w:tcPr>
            <w:tcW w:w="1160"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66" w:type="dxa"/>
            <w:vMerge w:val="restart"/>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三、目标完成情况</w:t>
            </w:r>
          </w:p>
        </w:tc>
        <w:tc>
          <w:tcPr>
            <w:tcW w:w="3201" w:type="dxa"/>
            <w:gridSpan w:val="3"/>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年度预期目标</w:t>
            </w:r>
          </w:p>
        </w:tc>
        <w:tc>
          <w:tcPr>
            <w:tcW w:w="3095" w:type="dxa"/>
            <w:gridSpan w:val="3"/>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具体完成情况</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3201" w:type="dxa"/>
            <w:gridSpan w:val="3"/>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通过聘请专业的法律服务并发挥律师专业优势，实现重大政策与法律法规的有效衔接，促进案件化解率的提升，提高依法决策水平，提升政府公信力，推动法治政府建设。</w:t>
            </w:r>
          </w:p>
        </w:tc>
        <w:tc>
          <w:tcPr>
            <w:tcW w:w="3095" w:type="dxa"/>
            <w:gridSpan w:val="3"/>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已完成</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66" w:type="dxa"/>
            <w:vMerge w:val="restart"/>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四、年度绩效指标完成情况</w:t>
            </w:r>
          </w:p>
        </w:tc>
        <w:tc>
          <w:tcPr>
            <w:tcW w:w="1084"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一级指标</w:t>
            </w: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二级指标</w:t>
            </w:r>
          </w:p>
        </w:tc>
        <w:tc>
          <w:tcPr>
            <w:tcW w:w="2044" w:type="dxa"/>
            <w:gridSpan w:val="2"/>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三级指标</w:t>
            </w:r>
          </w:p>
        </w:tc>
        <w:tc>
          <w:tcPr>
            <w:tcW w:w="1066"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预期指标值</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实际完成值</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1084" w:type="dxa"/>
            <w:vMerge w:val="restart"/>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产出指标（70）</w:t>
            </w: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数量指标</w:t>
            </w:r>
          </w:p>
        </w:tc>
        <w:tc>
          <w:tcPr>
            <w:tcW w:w="2044" w:type="dxa"/>
            <w:gridSpan w:val="2"/>
          </w:tcPr>
          <w:p>
            <w:pPr>
              <w:adjustRightInd w:val="0"/>
              <w:snapToGrid w:val="0"/>
              <w:spacing w:line="3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律师人数</w:t>
            </w:r>
          </w:p>
        </w:tc>
        <w:tc>
          <w:tcPr>
            <w:tcW w:w="1066" w:type="dxa"/>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数量指标</w:t>
            </w:r>
          </w:p>
        </w:tc>
        <w:tc>
          <w:tcPr>
            <w:tcW w:w="2044" w:type="dxa"/>
            <w:gridSpan w:val="2"/>
          </w:tcPr>
          <w:p>
            <w:pPr>
              <w:adjustRightInd w:val="0"/>
              <w:snapToGrid w:val="0"/>
              <w:spacing w:line="3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信访案件数量</w:t>
            </w:r>
          </w:p>
        </w:tc>
        <w:tc>
          <w:tcPr>
            <w:tcW w:w="1066" w:type="dxa"/>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质量指标</w:t>
            </w:r>
          </w:p>
        </w:tc>
        <w:tc>
          <w:tcPr>
            <w:tcW w:w="2044" w:type="dxa"/>
            <w:gridSpan w:val="2"/>
          </w:tcPr>
          <w:p>
            <w:pPr>
              <w:adjustRightInd w:val="0"/>
              <w:snapToGrid w:val="0"/>
              <w:spacing w:line="3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参与信访案件听证率</w:t>
            </w:r>
          </w:p>
        </w:tc>
        <w:tc>
          <w:tcPr>
            <w:tcW w:w="1066" w:type="dxa"/>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质量指标</w:t>
            </w:r>
          </w:p>
        </w:tc>
        <w:tc>
          <w:tcPr>
            <w:tcW w:w="2044" w:type="dxa"/>
            <w:gridSpan w:val="2"/>
          </w:tcPr>
          <w:p>
            <w:pPr>
              <w:adjustRightInd w:val="0"/>
              <w:snapToGrid w:val="0"/>
              <w:spacing w:line="360" w:lineRule="exact"/>
              <w:rPr>
                <w:rFonts w:ascii="仿宋" w:hAnsi="仿宋" w:eastAsia="仿宋" w:cs="仿宋_GB2312"/>
                <w:color w:val="000000"/>
                <w:sz w:val="16"/>
                <w:szCs w:val="16"/>
              </w:rPr>
            </w:pPr>
            <w:r>
              <w:rPr>
                <w:rFonts w:ascii="仿宋" w:hAnsi="仿宋" w:eastAsia="仿宋" w:cs="仿宋_GB2312"/>
                <w:color w:val="000000"/>
                <w:sz w:val="16"/>
                <w:szCs w:val="16"/>
              </w:rPr>
              <w:t>涉法涉诉信访案件参</w:t>
            </w:r>
            <w:r>
              <w:rPr>
                <w:rFonts w:hint="eastAsia" w:ascii="仿宋" w:hAnsi="仿宋" w:eastAsia="仿宋" w:cs="仿宋_GB2312"/>
                <w:color w:val="000000"/>
                <w:sz w:val="16"/>
                <w:szCs w:val="16"/>
              </w:rPr>
              <w:t>与</w:t>
            </w:r>
            <w:r>
              <w:rPr>
                <w:rFonts w:ascii="仿宋" w:hAnsi="仿宋" w:eastAsia="仿宋" w:cs="仿宋_GB2312"/>
                <w:color w:val="000000"/>
                <w:sz w:val="16"/>
                <w:szCs w:val="16"/>
              </w:rPr>
              <w:t>率</w:t>
            </w:r>
          </w:p>
        </w:tc>
        <w:tc>
          <w:tcPr>
            <w:tcW w:w="1066" w:type="dxa"/>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50%</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时效指标</w:t>
            </w:r>
          </w:p>
        </w:tc>
        <w:tc>
          <w:tcPr>
            <w:tcW w:w="2044" w:type="dxa"/>
            <w:gridSpan w:val="2"/>
          </w:tcPr>
          <w:p>
            <w:pPr>
              <w:adjustRightInd w:val="0"/>
              <w:snapToGrid w:val="0"/>
              <w:spacing w:line="3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法律服务及时性</w:t>
            </w:r>
          </w:p>
        </w:tc>
        <w:tc>
          <w:tcPr>
            <w:tcW w:w="1066" w:type="dxa"/>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及时履行</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及时履行</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成本指标</w:t>
            </w:r>
          </w:p>
        </w:tc>
        <w:tc>
          <w:tcPr>
            <w:tcW w:w="2044" w:type="dxa"/>
            <w:gridSpan w:val="2"/>
          </w:tcPr>
          <w:p>
            <w:pPr>
              <w:adjustRightInd w:val="0"/>
              <w:snapToGrid w:val="0"/>
              <w:spacing w:line="3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律师服务费</w:t>
            </w:r>
          </w:p>
        </w:tc>
        <w:tc>
          <w:tcPr>
            <w:tcW w:w="1066" w:type="dxa"/>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1万元</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1万元</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时效性</w:t>
            </w:r>
          </w:p>
        </w:tc>
        <w:tc>
          <w:tcPr>
            <w:tcW w:w="2044" w:type="dxa"/>
            <w:gridSpan w:val="2"/>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及时支付服务费用</w:t>
            </w:r>
          </w:p>
        </w:tc>
        <w:tc>
          <w:tcPr>
            <w:tcW w:w="1066" w:type="dxa"/>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年底</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年底支付</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效益指标（10分）</w:t>
            </w: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社会效益指标</w:t>
            </w:r>
          </w:p>
        </w:tc>
        <w:tc>
          <w:tcPr>
            <w:tcW w:w="2044" w:type="dxa"/>
            <w:gridSpan w:val="2"/>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大幅减少信访人对政府不满情绪</w:t>
            </w:r>
          </w:p>
        </w:tc>
        <w:tc>
          <w:tcPr>
            <w:tcW w:w="1066" w:type="dxa"/>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大幅减少</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群众满意程度提升</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满意度指标（10分）</w:t>
            </w: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可持续影响指标</w:t>
            </w:r>
          </w:p>
        </w:tc>
        <w:tc>
          <w:tcPr>
            <w:tcW w:w="2044" w:type="dxa"/>
            <w:gridSpan w:val="2"/>
          </w:tcPr>
          <w:p>
            <w:pPr>
              <w:adjustRightInd w:val="0"/>
              <w:snapToGrid w:val="0"/>
              <w:spacing w:line="36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群众满意度</w:t>
            </w:r>
          </w:p>
        </w:tc>
        <w:tc>
          <w:tcPr>
            <w:tcW w:w="1066" w:type="dxa"/>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80%</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90%</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预算执行率（10分）</w:t>
            </w:r>
          </w:p>
        </w:tc>
        <w:tc>
          <w:tcPr>
            <w:tcW w:w="97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预算执行率</w:t>
            </w:r>
          </w:p>
        </w:tc>
        <w:tc>
          <w:tcPr>
            <w:tcW w:w="2044" w:type="dxa"/>
            <w:gridSpan w:val="2"/>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预算执行率</w:t>
            </w:r>
          </w:p>
        </w:tc>
        <w:tc>
          <w:tcPr>
            <w:tcW w:w="1066"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66" w:type="dxa"/>
            <w:vMerge w:val="continue"/>
            <w:vAlign w:val="center"/>
          </w:tcPr>
          <w:p>
            <w:pPr>
              <w:adjustRightInd w:val="0"/>
              <w:snapToGrid w:val="0"/>
              <w:spacing w:line="360" w:lineRule="exact"/>
              <w:jc w:val="center"/>
              <w:rPr>
                <w:rFonts w:ascii="仿宋" w:hAnsi="仿宋" w:eastAsia="仿宋" w:cs="仿宋_GB2312"/>
                <w:color w:val="000000"/>
                <w:sz w:val="16"/>
                <w:szCs w:val="16"/>
              </w:rPr>
            </w:pPr>
          </w:p>
        </w:tc>
        <w:tc>
          <w:tcPr>
            <w:tcW w:w="6296" w:type="dxa"/>
            <w:gridSpan w:val="6"/>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自评总分</w:t>
            </w:r>
          </w:p>
        </w:tc>
        <w:tc>
          <w:tcPr>
            <w:tcW w:w="1160"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66" w:type="dxa"/>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五、存在问题、原因及下一步整改措施</w:t>
            </w:r>
          </w:p>
        </w:tc>
        <w:tc>
          <w:tcPr>
            <w:tcW w:w="7456" w:type="dxa"/>
            <w:gridSpan w:val="7"/>
            <w:vAlign w:val="center"/>
          </w:tcPr>
          <w:p>
            <w:pPr>
              <w:adjustRightInd w:val="0"/>
              <w:snapToGrid w:val="0"/>
              <w:spacing w:line="36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无</w:t>
            </w:r>
          </w:p>
        </w:tc>
      </w:tr>
    </w:tbl>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2024年度预算项目绩效自评表</w:t>
      </w:r>
    </w:p>
    <w:p>
      <w:pPr>
        <w:adjustRightInd w:val="0"/>
        <w:snapToGrid w:val="0"/>
        <w:spacing w:line="400" w:lineRule="exact"/>
        <w:rPr>
          <w:rFonts w:ascii="仿宋" w:hAnsi="仿宋" w:eastAsia="仿宋" w:cs="仿宋_GB2312"/>
          <w:color w:val="000000"/>
          <w:sz w:val="28"/>
          <w:szCs w:val="28"/>
        </w:rPr>
      </w:pPr>
      <w:r>
        <w:rPr>
          <w:rFonts w:hint="eastAsia" w:ascii="仿宋" w:hAnsi="仿宋" w:eastAsia="仿宋" w:cs="仿宋_GB2312"/>
          <w:color w:val="000000"/>
          <w:sz w:val="28"/>
          <w:szCs w:val="28"/>
        </w:rPr>
        <w:t>填报单位：青龙满族自治县信访局           金额单位：万元</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084"/>
        <w:gridCol w:w="971"/>
        <w:gridCol w:w="1146"/>
        <w:gridCol w:w="898"/>
        <w:gridCol w:w="1066"/>
        <w:gridCol w:w="113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一、基本情况</w:t>
            </w: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项目名称</w:t>
            </w:r>
          </w:p>
        </w:tc>
        <w:tc>
          <w:tcPr>
            <w:tcW w:w="2117"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群众工作中心运行经费</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实施（主管）单位</w:t>
            </w:r>
          </w:p>
        </w:tc>
        <w:tc>
          <w:tcPr>
            <w:tcW w:w="3357" w:type="dxa"/>
            <w:gridSpan w:val="3"/>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信访局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二、预算执行情况</w:t>
            </w:r>
          </w:p>
        </w:tc>
        <w:tc>
          <w:tcPr>
            <w:tcW w:w="2055"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预算安排情况（调整后）</w:t>
            </w:r>
          </w:p>
        </w:tc>
        <w:tc>
          <w:tcPr>
            <w:tcW w:w="2044"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资金到位情况</w:t>
            </w:r>
          </w:p>
        </w:tc>
        <w:tc>
          <w:tcPr>
            <w:tcW w:w="2197"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资金执行情况</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w:t>
            </w:r>
          </w:p>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预算数：</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8.75</w:t>
            </w:r>
          </w:p>
        </w:tc>
        <w:tc>
          <w:tcPr>
            <w:tcW w:w="114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到位数：</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4</w:t>
            </w: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执行数</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4</w:t>
            </w:r>
          </w:p>
        </w:tc>
        <w:tc>
          <w:tcPr>
            <w:tcW w:w="1160"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单位：财政  资金</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8.75</w:t>
            </w:r>
          </w:p>
        </w:tc>
        <w:tc>
          <w:tcPr>
            <w:tcW w:w="114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4</w:t>
            </w: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4</w:t>
            </w:r>
          </w:p>
        </w:tc>
        <w:tc>
          <w:tcPr>
            <w:tcW w:w="1160"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p>
        </w:tc>
        <w:tc>
          <w:tcPr>
            <w:tcW w:w="114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p>
        </w:tc>
        <w:tc>
          <w:tcPr>
            <w:tcW w:w="1160"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66"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三、目标完成情况</w:t>
            </w:r>
          </w:p>
        </w:tc>
        <w:tc>
          <w:tcPr>
            <w:tcW w:w="3201" w:type="dxa"/>
            <w:gridSpan w:val="3"/>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年度预期目标</w:t>
            </w:r>
          </w:p>
        </w:tc>
        <w:tc>
          <w:tcPr>
            <w:tcW w:w="3095" w:type="dxa"/>
            <w:gridSpan w:val="3"/>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具体完成情况</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3201" w:type="dxa"/>
            <w:gridSpan w:val="3"/>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通过拓展和延伸群众工作职能，着力打造群众工作新平台，构建我县信访工作新格局保证群众工作中心正常运转通过处理一般性群众来访工作，促进社会稳定和谐。</w:t>
            </w:r>
          </w:p>
        </w:tc>
        <w:tc>
          <w:tcPr>
            <w:tcW w:w="3095" w:type="dxa"/>
            <w:gridSpan w:val="3"/>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已完成</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66"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四、年度绩效指标完成情况</w:t>
            </w: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一级指标</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二级指标</w:t>
            </w:r>
          </w:p>
        </w:tc>
        <w:tc>
          <w:tcPr>
            <w:tcW w:w="2044"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三级指标</w:t>
            </w: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预期指标值</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实际完成值</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产出指标（70）</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数量指标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办公设备数量</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2</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2</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数量指标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支付工资人数</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2</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2</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质量指标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设备运行率</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质量指标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人员出勤率</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时效指标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工资支付及时性</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按月支付</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按月支付</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成本指标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保安、门卫工资成本</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8</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4</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成本指标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办公费成本</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0.8</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0.8</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效益指标（10分）</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社会效益指标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接待率</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满意度指标（10分）</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可持续影响指标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维护正常办公秩序</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秩序良好</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秩序良好</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84"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预算执行率（10分）</w:t>
            </w:r>
          </w:p>
        </w:tc>
        <w:tc>
          <w:tcPr>
            <w:tcW w:w="97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预算执行率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群众满意度</w:t>
            </w: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66"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6296" w:type="dxa"/>
            <w:gridSpan w:val="6"/>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自评总分</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五、存在问题、原因及下一步整改措施</w:t>
            </w:r>
          </w:p>
        </w:tc>
        <w:tc>
          <w:tcPr>
            <w:tcW w:w="7456" w:type="dxa"/>
            <w:gridSpan w:val="7"/>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无</w:t>
            </w:r>
          </w:p>
        </w:tc>
      </w:tr>
    </w:tbl>
    <w:p/>
    <w:p/>
    <w:p/>
    <w:p>
      <w:pPr>
        <w:adjustRightInd w:val="0"/>
        <w:snapToGrid w:val="0"/>
        <w:spacing w:line="400" w:lineRule="exact"/>
        <w:jc w:val="center"/>
        <w:rPr>
          <w:rFonts w:ascii="仿宋" w:hAnsi="仿宋" w:eastAsia="仿宋" w:cs="仿宋_GB2312"/>
          <w:color w:val="000000"/>
          <w:sz w:val="32"/>
          <w:szCs w:val="32"/>
        </w:rPr>
      </w:pPr>
      <w:r>
        <w:rPr>
          <w:rFonts w:hint="eastAsia" w:ascii="仿宋" w:hAnsi="仿宋" w:eastAsia="仿宋" w:cs="仿宋_GB2312"/>
          <w:color w:val="000000"/>
          <w:sz w:val="32"/>
          <w:szCs w:val="32"/>
        </w:rPr>
        <w:t>2024年度预算项目绩效自评表</w:t>
      </w:r>
    </w:p>
    <w:p>
      <w:pPr>
        <w:adjustRightInd w:val="0"/>
        <w:snapToGrid w:val="0"/>
        <w:spacing w:line="400" w:lineRule="exact"/>
        <w:rPr>
          <w:rFonts w:ascii="仿宋" w:hAnsi="仿宋" w:eastAsia="仿宋" w:cs="仿宋_GB2312"/>
          <w:color w:val="000000"/>
          <w:sz w:val="16"/>
          <w:szCs w:val="16"/>
        </w:rPr>
      </w:pPr>
      <w:bookmarkStart w:id="0" w:name="_GoBack"/>
      <w:bookmarkEnd w:id="0"/>
      <w:r>
        <w:rPr>
          <w:rFonts w:hint="eastAsia" w:ascii="仿宋" w:hAnsi="仿宋" w:eastAsia="仿宋" w:cs="仿宋_GB2312"/>
          <w:color w:val="000000"/>
          <w:sz w:val="16"/>
          <w:szCs w:val="16"/>
        </w:rPr>
        <w:t>填报单位：青龙满族自治县信访局 金额单位：万元</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1091"/>
        <w:gridCol w:w="1035"/>
        <w:gridCol w:w="1146"/>
        <w:gridCol w:w="898"/>
        <w:gridCol w:w="1066"/>
        <w:gridCol w:w="113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99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一、基本情况</w:t>
            </w:r>
          </w:p>
        </w:tc>
        <w:tc>
          <w:tcPr>
            <w:tcW w:w="109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项目名称</w:t>
            </w:r>
          </w:p>
        </w:tc>
        <w:tc>
          <w:tcPr>
            <w:tcW w:w="2181"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特殊疑难信访问题救助资金</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实施（主管）单位</w:t>
            </w:r>
          </w:p>
        </w:tc>
        <w:tc>
          <w:tcPr>
            <w:tcW w:w="3357" w:type="dxa"/>
            <w:gridSpan w:val="3"/>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信访局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995"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二、预算执行情况</w:t>
            </w:r>
          </w:p>
        </w:tc>
        <w:tc>
          <w:tcPr>
            <w:tcW w:w="2126"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预算安排情况（调整后）</w:t>
            </w:r>
          </w:p>
        </w:tc>
        <w:tc>
          <w:tcPr>
            <w:tcW w:w="2044"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资金到位情况</w:t>
            </w:r>
          </w:p>
        </w:tc>
        <w:tc>
          <w:tcPr>
            <w:tcW w:w="2197"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资金执行情况</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5"/>
                <w:szCs w:val="15"/>
              </w:rPr>
              <w:t>预算执行进度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预算数：</w:t>
            </w: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31</w:t>
            </w:r>
          </w:p>
        </w:tc>
        <w:tc>
          <w:tcPr>
            <w:tcW w:w="114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到位数：</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31</w:t>
            </w: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执行数</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31</w:t>
            </w:r>
          </w:p>
        </w:tc>
        <w:tc>
          <w:tcPr>
            <w:tcW w:w="1160"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单位：财政  资金</w:t>
            </w: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31</w:t>
            </w:r>
          </w:p>
        </w:tc>
        <w:tc>
          <w:tcPr>
            <w:tcW w:w="114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31</w:t>
            </w: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其中：财政  资金</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31</w:t>
            </w:r>
          </w:p>
        </w:tc>
        <w:tc>
          <w:tcPr>
            <w:tcW w:w="1160"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p>
        </w:tc>
        <w:tc>
          <w:tcPr>
            <w:tcW w:w="114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898" w:type="dxa"/>
            <w:vAlign w:val="center"/>
          </w:tcPr>
          <w:p>
            <w:pPr>
              <w:adjustRightInd w:val="0"/>
              <w:snapToGrid w:val="0"/>
              <w:spacing w:line="300" w:lineRule="exact"/>
              <w:jc w:val="center"/>
              <w:rPr>
                <w:rFonts w:ascii="仿宋" w:hAnsi="仿宋" w:eastAsia="仿宋" w:cs="仿宋_GB2312"/>
                <w:color w:val="000000"/>
                <w:sz w:val="16"/>
                <w:szCs w:val="16"/>
              </w:rPr>
            </w:pP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其他</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p>
        </w:tc>
        <w:tc>
          <w:tcPr>
            <w:tcW w:w="1160"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95"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三、目标完成情况</w:t>
            </w:r>
          </w:p>
        </w:tc>
        <w:tc>
          <w:tcPr>
            <w:tcW w:w="3272" w:type="dxa"/>
            <w:gridSpan w:val="3"/>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年度预期目标</w:t>
            </w:r>
          </w:p>
        </w:tc>
        <w:tc>
          <w:tcPr>
            <w:tcW w:w="3095" w:type="dxa"/>
            <w:gridSpan w:val="3"/>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具体完成情况</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3272" w:type="dxa"/>
            <w:gridSpan w:val="3"/>
            <w:vAlign w:val="center"/>
          </w:tcPr>
          <w:p>
            <w:pPr>
              <w:adjustRightInd w:val="0"/>
              <w:snapToGrid w:val="0"/>
              <w:spacing w:line="200" w:lineRule="exact"/>
              <w:rPr>
                <w:rFonts w:ascii="仿宋" w:hAnsi="仿宋" w:eastAsia="仿宋" w:cs="仿宋_GB2312"/>
                <w:color w:val="000000"/>
                <w:sz w:val="16"/>
                <w:szCs w:val="16"/>
              </w:rPr>
            </w:pPr>
            <w:r>
              <w:rPr>
                <w:rFonts w:hint="eastAsia" w:ascii="仿宋" w:hAnsi="仿宋" w:eastAsia="仿宋" w:cs="仿宋_GB2312"/>
                <w:color w:val="000000"/>
                <w:sz w:val="16"/>
                <w:szCs w:val="16"/>
              </w:rPr>
              <w:t xml:space="preserve">通过化解矛盾、疏导教育等多种措施相结合，达到“案结事了”，息诉罢访，通过对特殊疑难信访个案有实际困难的当事人给予求助，维护社会稳定。     </w:t>
            </w:r>
          </w:p>
        </w:tc>
        <w:tc>
          <w:tcPr>
            <w:tcW w:w="3095" w:type="dxa"/>
            <w:gridSpan w:val="3"/>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已完成</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95"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四、年度绩效指标完成情况</w:t>
            </w:r>
          </w:p>
        </w:tc>
        <w:tc>
          <w:tcPr>
            <w:tcW w:w="109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一级指标</w:t>
            </w: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二级指标</w:t>
            </w:r>
          </w:p>
        </w:tc>
        <w:tc>
          <w:tcPr>
            <w:tcW w:w="2044"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三级指标</w:t>
            </w: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预期指标值</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实际完成值</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Merge w:val="restart"/>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产出指标（70）</w:t>
            </w: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数量指标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解决特殊疑难信访个案</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质量指标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ascii="仿宋" w:hAnsi="仿宋" w:eastAsia="仿宋" w:cs="仿宋_GB2312"/>
                <w:color w:val="000000"/>
                <w:sz w:val="13"/>
                <w:szCs w:val="13"/>
              </w:rPr>
              <w:t>特殊疑难信访个案息诉罢访率</w:t>
            </w: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质量指标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信访救助金核实精准率</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质量指标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救助金发放准确率</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时效指标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救助资金发放时间</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及时支付</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及时支付</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成本指标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救助资金标准</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25</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25</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效益指标（10分）</w:t>
            </w: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可持续影响指标</w:t>
            </w: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r>
              <w:rPr>
                <w:rFonts w:ascii="仿宋" w:hAnsi="仿宋" w:eastAsia="仿宋" w:cs="仿宋_GB2312"/>
                <w:color w:val="000000"/>
                <w:sz w:val="16"/>
                <w:szCs w:val="16"/>
              </w:rPr>
              <w:t>维护社会稳定</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满意度指标（10分）</w:t>
            </w: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服务对象满意度</w:t>
            </w:r>
          </w:p>
        </w:tc>
        <w:tc>
          <w:tcPr>
            <w:tcW w:w="2044" w:type="dxa"/>
            <w:gridSpan w:val="2"/>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服务对象满意度指标</w:t>
            </w:r>
          </w:p>
        </w:tc>
        <w:tc>
          <w:tcPr>
            <w:tcW w:w="1066" w:type="dxa"/>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信访人满意</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信访人满意</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109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预算执行率（10分）</w:t>
            </w:r>
          </w:p>
        </w:tc>
        <w:tc>
          <w:tcPr>
            <w:tcW w:w="1035" w:type="dxa"/>
            <w:vAlign w:val="center"/>
          </w:tcPr>
          <w:p>
            <w:pPr>
              <w:adjustRightInd w:val="0"/>
              <w:snapToGrid w:val="0"/>
              <w:spacing w:line="300" w:lineRule="exact"/>
              <w:jc w:val="center"/>
              <w:rPr>
                <w:rFonts w:ascii="仿宋" w:hAnsi="仿宋" w:eastAsia="仿宋" w:cs="仿宋_GB2312"/>
                <w:color w:val="000000"/>
                <w:sz w:val="16"/>
                <w:szCs w:val="16"/>
              </w:rPr>
            </w:pPr>
          </w:p>
        </w:tc>
        <w:tc>
          <w:tcPr>
            <w:tcW w:w="2044" w:type="dxa"/>
            <w:gridSpan w:val="2"/>
          </w:tcPr>
          <w:p>
            <w:pPr>
              <w:adjustRightInd w:val="0"/>
              <w:snapToGrid w:val="0"/>
              <w:spacing w:line="300" w:lineRule="exact"/>
              <w:jc w:val="center"/>
              <w:rPr>
                <w:rFonts w:ascii="仿宋" w:hAnsi="仿宋" w:eastAsia="仿宋" w:cs="仿宋_GB2312"/>
                <w:color w:val="000000"/>
                <w:sz w:val="16"/>
                <w:szCs w:val="16"/>
              </w:rPr>
            </w:pPr>
          </w:p>
        </w:tc>
        <w:tc>
          <w:tcPr>
            <w:tcW w:w="1066"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31"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95" w:type="dxa"/>
            <w:vMerge w:val="continue"/>
            <w:vAlign w:val="center"/>
          </w:tcPr>
          <w:p>
            <w:pPr>
              <w:adjustRightInd w:val="0"/>
              <w:snapToGrid w:val="0"/>
              <w:spacing w:line="300" w:lineRule="exact"/>
              <w:jc w:val="center"/>
              <w:rPr>
                <w:rFonts w:ascii="仿宋" w:hAnsi="仿宋" w:eastAsia="仿宋" w:cs="仿宋_GB2312"/>
                <w:color w:val="000000"/>
                <w:sz w:val="16"/>
                <w:szCs w:val="16"/>
              </w:rPr>
            </w:pPr>
          </w:p>
        </w:tc>
        <w:tc>
          <w:tcPr>
            <w:tcW w:w="6367" w:type="dxa"/>
            <w:gridSpan w:val="6"/>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自评总分</w:t>
            </w:r>
          </w:p>
        </w:tc>
        <w:tc>
          <w:tcPr>
            <w:tcW w:w="1160"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995" w:type="dxa"/>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五、存在问题、原因及下一步整改措施</w:t>
            </w:r>
          </w:p>
        </w:tc>
        <w:tc>
          <w:tcPr>
            <w:tcW w:w="7527" w:type="dxa"/>
            <w:gridSpan w:val="7"/>
            <w:vAlign w:val="center"/>
          </w:tcPr>
          <w:p>
            <w:pPr>
              <w:adjustRightInd w:val="0"/>
              <w:snapToGrid w:val="0"/>
              <w:spacing w:line="300" w:lineRule="exact"/>
              <w:jc w:val="center"/>
              <w:rPr>
                <w:rFonts w:ascii="仿宋" w:hAnsi="仿宋" w:eastAsia="仿宋" w:cs="仿宋_GB2312"/>
                <w:color w:val="000000"/>
                <w:sz w:val="16"/>
                <w:szCs w:val="16"/>
              </w:rPr>
            </w:pPr>
            <w:r>
              <w:rPr>
                <w:rFonts w:hint="eastAsia" w:ascii="仿宋" w:hAnsi="仿宋" w:eastAsia="仿宋" w:cs="仿宋_GB2312"/>
                <w:color w:val="000000"/>
                <w:sz w:val="16"/>
                <w:szCs w:val="16"/>
              </w:rPr>
              <w:t>无</w:t>
            </w:r>
          </w:p>
        </w:tc>
      </w:tr>
    </w:tbl>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无</w:t>
      </w:r>
    </w:p>
    <w:p>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1.本单位2024年度国有资本经营预算财政拨款支出决算表（公开08表）无相应收支，故空表列示。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NumType w:start="1"/>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F9597E6-7899-4582-9F94-530171C000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E7E9960-8B85-4465-962F-150926AD2BB0}"/>
  </w:font>
  <w:font w:name="仿宋">
    <w:panose1 w:val="02010609060101010101"/>
    <w:charset w:val="86"/>
    <w:family w:val="modern"/>
    <w:pitch w:val="default"/>
    <w:sig w:usb0="800002BF" w:usb1="38CF7CFA" w:usb2="00000016" w:usb3="00000000" w:csb0="00040001" w:csb1="00000000"/>
    <w:embedRegular r:id="rId3" w:fontKey="{CFA53A02-62FA-4FD6-958C-F4347FDED8D8}"/>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embedRegular r:id="rId4" w:fontKey="{955AF306-368F-4C7F-B8CB-26AD9BCEDA2C}"/>
  </w:font>
  <w:font w:name="方正小标宋_GBK">
    <w:altName w:val="微软雅黑"/>
    <w:panose1 w:val="00000000000000000000"/>
    <w:charset w:val="86"/>
    <w:family w:val="script"/>
    <w:pitch w:val="default"/>
    <w:sig w:usb0="00000000" w:usb1="00000000" w:usb2="00082016" w:usb3="00000000" w:csb0="00040001" w:csb1="00000000"/>
    <w:embedRegular r:id="rId5" w:fontKey="{157AD623-ED72-4F04-9E76-B7EB1CCB2C84}"/>
  </w:font>
  <w:font w:name="仿宋_GB2312">
    <w:panose1 w:val="02010609030101010101"/>
    <w:charset w:val="86"/>
    <w:family w:val="modern"/>
    <w:pitch w:val="default"/>
    <w:sig w:usb0="00000001" w:usb1="080E0000" w:usb2="00000000" w:usb3="00000000" w:csb0="00040000" w:csb1="00000000"/>
    <w:embedRegular r:id="rId6" w:fontKey="{72BB01D5-2927-4A7A-833E-60B5F12C8342}"/>
  </w:font>
  <w:font w:name="ArialUnicodeMS">
    <w:altName w:val="Malgun Gothic"/>
    <w:panose1 w:val="00000000000000000000"/>
    <w:charset w:val="81"/>
    <w:family w:val="auto"/>
    <w:pitch w:val="default"/>
    <w:sig w:usb0="00000000" w:usb1="00000000" w:usb2="00000010" w:usb3="00000000" w:csb0="00080001" w:csb1="00000000"/>
    <w:embedRegular r:id="rId7" w:fontKey="{7971BF4A-9585-46CE-84E5-22B02ACB3492}"/>
  </w:font>
  <w:font w:name="方正仿宋_GB2312">
    <w:altName w:val="仿宋"/>
    <w:panose1 w:val="00000000000000000000"/>
    <w:charset w:val="86"/>
    <w:family w:val="auto"/>
    <w:pitch w:val="default"/>
    <w:sig w:usb0="00000000" w:usb1="00000000" w:usb2="00000012" w:usb3="00000000" w:csb0="00040001" w:csb1="00000000"/>
    <w:embedRegular r:id="rId8" w:fontKey="{0D412D00-DFC9-430E-BBF5-92D8CCBECA1D}"/>
  </w:font>
  <w:font w:name="Arial">
    <w:panose1 w:val="020B0604020202020204"/>
    <w:charset w:val="00"/>
    <w:family w:val="swiss"/>
    <w:pitch w:val="default"/>
    <w:sig w:usb0="E0002EFF" w:usb1="C000785B" w:usb2="00000009" w:usb3="00000000" w:csb0="400001FF" w:csb1="FFFF0000"/>
    <w:embedRegular r:id="rId9" w:fontKey="{A67EE5C8-0E13-4DBD-8011-B58B385CEBF6}"/>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p/>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4</w:t>
    </w:r>
    <w:r>
      <w:fldChar w:fldCharType="end"/>
    </w:r>
  </w:p>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zAsImhkaWQiOiJjZWVmYjc4YTg3NDA5NmI3M2FiOGRmYTJiYzQ3ZWQ0MCIsInVzZXJDb3VudCI6MX0="/>
  </w:docVars>
  <w:rsids>
    <w:rsidRoot w:val="000F42D5"/>
    <w:rsid w:val="00086151"/>
    <w:rsid w:val="000F42D5"/>
    <w:rsid w:val="00236F8C"/>
    <w:rsid w:val="004807E5"/>
    <w:rsid w:val="00822154"/>
    <w:rsid w:val="00B26CAD"/>
    <w:rsid w:val="00C65689"/>
    <w:rsid w:val="00CC2C8E"/>
    <w:rsid w:val="00D113B5"/>
    <w:rsid w:val="00D21241"/>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B5EEA"/>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table" w:customStyle="1" w:styleId="25">
    <w:name w:val="网格型1"/>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374.59</c:v>
                </c:pt>
                <c:pt idx="1">
                  <c:v>380.92</c:v>
                </c:pt>
              </c:numCache>
            </c:numRef>
          </c:val>
        </c:ser>
        <c:dLbls>
          <c:showLegendKey val="0"/>
          <c:showVal val="1"/>
          <c:showCatName val="0"/>
          <c:showSerName val="0"/>
          <c:showPercent val="0"/>
          <c:showBubbleSize val="0"/>
        </c:dLbls>
        <c:gapWidth val="246"/>
        <c:overlap val="-28"/>
        <c:axId val="253719680"/>
        <c:axId val="253721216"/>
      </c:barChart>
      <c:catAx>
        <c:axId val="253719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3721216"/>
        <c:crosses val="autoZero"/>
        <c:auto val="1"/>
        <c:lblAlgn val="ctr"/>
        <c:lblOffset val="100"/>
        <c:noMultiLvlLbl val="0"/>
      </c:catAx>
      <c:valAx>
        <c:axId val="25372121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371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3809150.83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1715543.77</c:v>
                </c:pt>
                <c:pt idx="1">
                  <c:v>2093607.06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374.59</c:v>
                </c:pt>
                <c:pt idx="1">
                  <c:v>374.59</c:v>
                </c:pt>
                <c:pt idx="2">
                  <c:v>254.5</c:v>
                </c:pt>
                <c:pt idx="3">
                  <c:v>254.5</c:v>
                </c:pt>
                <c:pt idx="4">
                  <c:v>120.1</c:v>
                </c:pt>
                <c:pt idx="5">
                  <c:v>120.1</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380.92</c:v>
                </c:pt>
                <c:pt idx="1">
                  <c:v>380.92</c:v>
                </c:pt>
                <c:pt idx="2">
                  <c:v>365.92</c:v>
                </c:pt>
                <c:pt idx="3">
                  <c:v>365.92</c:v>
                </c:pt>
                <c:pt idx="4">
                  <c:v>15</c:v>
                </c:pt>
                <c:pt idx="5">
                  <c:v>15</c:v>
                </c:pt>
                <c:pt idx="6">
                  <c:v>0</c:v>
                </c:pt>
                <c:pt idx="7">
                  <c:v>0</c:v>
                </c:pt>
              </c:numCache>
            </c:numRef>
          </c:val>
        </c:ser>
        <c:dLbls>
          <c:showLegendKey val="0"/>
          <c:showVal val="1"/>
          <c:showCatName val="0"/>
          <c:showSerName val="0"/>
          <c:showPercent val="0"/>
          <c:showBubbleSize val="0"/>
        </c:dLbls>
        <c:gapWidth val="246"/>
        <c:overlap val="-28"/>
        <c:axId val="171328256"/>
        <c:axId val="171329792"/>
      </c:barChart>
      <c:catAx>
        <c:axId val="171328256"/>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1329792"/>
        <c:crosses val="autoZero"/>
        <c:auto val="1"/>
        <c:lblAlgn val="ctr"/>
        <c:lblOffset val="100"/>
        <c:noMultiLvlLbl val="0"/>
      </c:catAx>
      <c:valAx>
        <c:axId val="17132979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132825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325.55</c:v>
                </c:pt>
                <c:pt idx="1">
                  <c:v>325.55</c:v>
                </c:pt>
                <c:pt idx="2">
                  <c:v>325.55</c:v>
                </c:pt>
                <c:pt idx="3">
                  <c:v>325.55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380.92</c:v>
                </c:pt>
                <c:pt idx="1">
                  <c:v>380.92</c:v>
                </c:pt>
                <c:pt idx="2">
                  <c:v>365.92</c:v>
                </c:pt>
                <c:pt idx="3">
                  <c:v>365.92</c:v>
                </c:pt>
                <c:pt idx="4">
                  <c:v>15</c:v>
                </c:pt>
                <c:pt idx="5">
                  <c:v>15</c:v>
                </c:pt>
                <c:pt idx="6">
                  <c:v>0</c:v>
                </c:pt>
                <c:pt idx="7">
                  <c:v>0</c:v>
                </c:pt>
              </c:numCache>
            </c:numRef>
          </c:val>
        </c:ser>
        <c:dLbls>
          <c:showLegendKey val="0"/>
          <c:showVal val="1"/>
          <c:showCatName val="0"/>
          <c:showSerName val="0"/>
          <c:showPercent val="0"/>
          <c:showBubbleSize val="0"/>
        </c:dLbls>
        <c:gapWidth val="150"/>
        <c:axId val="171353216"/>
        <c:axId val="171354752"/>
      </c:barChart>
      <c:catAx>
        <c:axId val="1713532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1354752"/>
        <c:crosses val="autoZero"/>
        <c:auto val="1"/>
        <c:lblAlgn val="ctr"/>
        <c:lblOffset val="100"/>
        <c:noMultiLvlLbl val="0"/>
      </c:catAx>
      <c:valAx>
        <c:axId val="17135475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135321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325.66</c:v>
                </c:pt>
                <c:pt idx="1">
                  <c:v>0</c:v>
                </c:pt>
                <c:pt idx="2">
                  <c:v>0</c:v>
                </c:pt>
                <c:pt idx="3">
                  <c:v>0</c:v>
                </c:pt>
                <c:pt idx="4">
                  <c:v>0</c:v>
                </c:pt>
                <c:pt idx="5">
                  <c:v>0</c:v>
                </c:pt>
                <c:pt idx="6">
                  <c:v>0</c:v>
                </c:pt>
                <c:pt idx="7">
                  <c:v>22.65</c:v>
                </c:pt>
                <c:pt idx="8">
                  <c:v>8.47</c:v>
                </c:pt>
                <c:pt idx="9">
                  <c:v>0</c:v>
                </c:pt>
                <c:pt idx="10">
                  <c:v>15</c:v>
                </c:pt>
                <c:pt idx="11">
                  <c:v>0</c:v>
                </c:pt>
                <c:pt idx="12">
                  <c:v>0</c:v>
                </c:pt>
                <c:pt idx="13">
                  <c:v>0</c:v>
                </c:pt>
                <c:pt idx="14">
                  <c:v>0</c:v>
                </c:pt>
                <c:pt idx="15">
                  <c:v>0</c:v>
                </c:pt>
                <c:pt idx="16">
                  <c:v>0</c:v>
                </c:pt>
                <c:pt idx="17">
                  <c:v>0</c:v>
                </c:pt>
                <c:pt idx="18">
                  <c:v>9.13</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46</Pages>
  <Words>14448</Words>
  <Characters>17406</Characters>
  <Lines>143</Lines>
  <Paragraphs>40</Paragraphs>
  <TotalTime>24</TotalTime>
  <ScaleCrop>false</ScaleCrop>
  <LinksUpToDate>false</LinksUpToDate>
  <CharactersWithSpaces>17628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2025-10-16T02:51:00Z</dcterms:created>
  <dc:creator>王明新TIAD</dc:creator>
  <cp:lastModifiedBy>王爷</cp:lastModifiedBy>
  <cp:lastPrinted>2023-08-04T01:00:00Z</cp:lastPrinted>
  <dcterms:modified xsi:type="dcterms:W3CDTF">2025-10-16T03:10:23Z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