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679" w:type="dxa"/>
        <w:tblInd w:w="0" w:type="dxa"/>
        <w:tblLayout w:type="fixed"/>
        <w:tblCellMar>
          <w:top w:w="15" w:type="dxa"/>
          <w:left w:w="15" w:type="dxa"/>
          <w:bottom w:w="15" w:type="dxa"/>
          <w:right w:w="15" w:type="dxa"/>
        </w:tblCellMar>
      </w:tblPr>
      <w:tblGrid>
        <w:gridCol w:w="544"/>
        <w:gridCol w:w="850"/>
        <w:gridCol w:w="831"/>
        <w:gridCol w:w="3660"/>
        <w:gridCol w:w="895"/>
        <w:gridCol w:w="963"/>
        <w:gridCol w:w="3967"/>
        <w:gridCol w:w="3402"/>
        <w:gridCol w:w="567"/>
      </w:tblGrid>
      <w:tr w14:paraId="2034447A">
        <w:trPr>
          <w:trHeight w:val="567" w:hRule="atLeast"/>
          <w:tblHeader/>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C6E674">
            <w:pPr>
              <w:widowControl/>
              <w:jc w:val="center"/>
              <w:textAlignment w:val="center"/>
              <w:rPr>
                <w:rFonts w:ascii="黑体" w:eastAsia="黑体" w:cs="黑体"/>
                <w:color w:val="000000"/>
                <w:sz w:val="24"/>
              </w:rPr>
            </w:pPr>
            <w:bookmarkStart w:id="0" w:name="_GoBack"/>
            <w:bookmarkEnd w:id="0"/>
            <w:r>
              <w:rPr>
                <w:rFonts w:hint="eastAsia" w:ascii="黑体" w:eastAsia="黑体" w:cs="黑体"/>
                <w:color w:val="000000"/>
                <w:kern w:val="0"/>
                <w:sz w:val="24"/>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0B3">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4DBDAE4">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5F0">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69328014">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56E">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3E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0545127C">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EAAF">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34CF196C">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517">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A76">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7B8">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4418E918">
        <w:tblPrEx>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C93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9BE2">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行政强制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369">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kern w:val="0"/>
                <w:sz w:val="18"/>
                <w:szCs w:val="18"/>
              </w:rPr>
              <w:t>依法查封建筑施工工地及相关设备</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70E">
            <w:pPr>
              <w:widowControl/>
              <w:spacing w:line="240" w:lineRule="exact"/>
              <w:jc w:val="left"/>
              <w:textAlignment w:val="center"/>
              <w:rPr>
                <w:rFonts w:ascii="仿宋_GB2312" w:eastAsia="仿宋_GB2312" w:cs="仿宋_GB2312"/>
                <w:sz w:val="18"/>
                <w:szCs w:val="18"/>
              </w:rPr>
            </w:pPr>
            <w:r>
              <w:rPr>
                <w:rFonts w:ascii="仿宋_GB2312" w:eastAsia="仿宋_GB2312" w:cs="仿宋_GB2312"/>
                <w:kern w:val="0"/>
                <w:sz w:val="18"/>
                <w:szCs w:val="18"/>
              </w:rPr>
              <w:t>《中华人民共和国安全生产法》第六十</w:t>
            </w:r>
            <w:r>
              <w:rPr>
                <w:rFonts w:hint="eastAsia" w:ascii="仿宋_GB2312" w:eastAsia="仿宋_GB2312" w:cs="仿宋_GB2312"/>
                <w:kern w:val="0"/>
                <w:sz w:val="18"/>
                <w:szCs w:val="18"/>
              </w:rPr>
              <w:t>五</w:t>
            </w:r>
            <w:r>
              <w:rPr>
                <w:rFonts w:ascii="仿宋_GB2312" w:eastAsia="仿宋_GB2312" w:cs="仿宋_GB2312"/>
                <w:kern w:val="0"/>
                <w:sz w:val="18"/>
                <w:szCs w:val="18"/>
              </w:rPr>
              <w:t>条</w:t>
            </w:r>
            <w:r>
              <w:rPr>
                <w:rFonts w:hint="eastAsia" w:ascii="仿宋_GB2312" w:eastAsia="仿宋_GB2312" w:cs="仿宋_GB2312"/>
                <w:kern w:val="0"/>
                <w:sz w:val="18"/>
                <w:szCs w:val="18"/>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117">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FAE7">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kern w:val="0"/>
                <w:sz w:val="18"/>
                <w:szCs w:val="18"/>
              </w:rPr>
              <w:t>市级、县级</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665">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1检查责任：对生产经营单位进行监督检查；</w:t>
            </w:r>
          </w:p>
          <w:p w14:paraId="11B4038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2.处置责任：对监督检查发现的问题，责令限期整改、并依法作出处理决定；</w:t>
            </w:r>
          </w:p>
          <w:p w14:paraId="1779CEC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3.事后管理责任：对监督检查发现的问题，生产经验单位整改完成后，对整改情况组织进行核查；</w:t>
            </w:r>
          </w:p>
          <w:p w14:paraId="797740A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4.其他责任：法律法规规章等规定应履行的责任。</w:t>
            </w:r>
          </w:p>
          <w:p w14:paraId="1D8E097A">
            <w:pPr>
              <w:widowControl/>
              <w:spacing w:line="240" w:lineRule="exact"/>
              <w:jc w:val="left"/>
              <w:textAlignment w:val="center"/>
              <w:rPr>
                <w:rFonts w:ascii="仿宋_GB2312" w:eastAsia="仿宋_GB2312" w:cs="仿宋_GB2312"/>
                <w:sz w:val="18"/>
                <w:szCs w:val="1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13B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负有安全生产监督管理职责的部门的工作人员，有下列行为之一的，给予降级或者撤职的处分；构成犯罪的，依照刑法有关规定追究刑事责任:</w:t>
            </w:r>
          </w:p>
          <w:p w14:paraId="035D2B4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（一）对不符合法定安全生产条件的涉及安全生产的事项予以批准或者验收通过的；</w:t>
            </w:r>
          </w:p>
          <w:p w14:paraId="3C62129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（二）发现未依法取得批准、验收的单位擅自从事有关活动或者接到举报后不予取缔或者不依法予以处理的；</w:t>
            </w:r>
          </w:p>
          <w:p w14:paraId="5E1338A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（三）对已经依法取得批准的单位不履行监督管理职责，发现其不再具备安全生产条件而不撤销原批准或者发现安全生产违法行为不予查处的；</w:t>
            </w:r>
          </w:p>
          <w:p w14:paraId="3963396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（四）在监督检查中发现重大事故隐患，不依法及时处理的。</w:t>
            </w:r>
          </w:p>
          <w:p w14:paraId="174A21F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负有安全生产监督管理职责的部门的工作人员有前款规定以外的滥用职权、玩忽职守、徇私舞弊行为的，依法给予处分；构成犯罪的，依照刑法有关规定追究刑事责任。</w:t>
            </w:r>
          </w:p>
          <w:p w14:paraId="1285F107">
            <w:pPr>
              <w:widowControl/>
              <w:spacing w:line="240" w:lineRule="exact"/>
              <w:jc w:val="left"/>
              <w:textAlignment w:val="center"/>
              <w:rPr>
                <w:rFonts w:ascii="仿宋_GB2312" w:eastAsia="仿宋_GB2312" w:cs="仿宋_GB2312"/>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9B1E">
            <w:pPr>
              <w:spacing w:line="240" w:lineRule="exact"/>
              <w:jc w:val="left"/>
              <w:rPr>
                <w:rFonts w:ascii="仿宋_GB2312" w:eastAsia="仿宋_GB2312" w:cs="仿宋_GB2312"/>
                <w:sz w:val="18"/>
                <w:szCs w:val="18"/>
              </w:rPr>
            </w:pPr>
          </w:p>
        </w:tc>
      </w:tr>
      <w:tr w14:paraId="31E92A39">
        <w:tblPrEx>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2CDA">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0DD">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行政强制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F19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对涉嫌违反抗震设防强制性标准的施工现场进行查封</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1819">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color w:val="000000"/>
                <w:kern w:val="0"/>
                <w:sz w:val="18"/>
                <w:szCs w:val="18"/>
              </w:rPr>
              <w:t>《建设工程抗震管理条例》第三十五条；</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1E5D">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省住建厅</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1E8">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市级、县级</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3EC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1检查责任：对施工现场相关各方责任主体单位进行监督检查；</w:t>
            </w:r>
          </w:p>
          <w:p w14:paraId="50458625">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2.处置责任：对监督检查发现的问题，责令限期整改、并依法作出处理决定；</w:t>
            </w:r>
          </w:p>
          <w:p w14:paraId="7AB4A33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3.事后管理责任：对监督检查发现的问题，施工现场相关各方责任主体单位整改完成后，对整改情况组织进行核查；</w:t>
            </w:r>
          </w:p>
          <w:p w14:paraId="032C46F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4.其他责任：法律法规规章等规定应履行的责任。</w:t>
            </w:r>
          </w:p>
          <w:p w14:paraId="5C876215">
            <w:pPr>
              <w:widowControl/>
              <w:spacing w:line="240" w:lineRule="exact"/>
              <w:jc w:val="left"/>
              <w:textAlignment w:val="center"/>
              <w:rPr>
                <w:rFonts w:ascii="仿宋_GB2312" w:eastAsia="仿宋_GB2312" w:cs="仿宋_GB2312"/>
                <w:sz w:val="18"/>
                <w:szCs w:val="1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DD45">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305817E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1、建设行政主管部门及其他有关部门的工作人员在抗震管理工作中玩忽职守、滥用职权、徇私舞弊情节轻微的，由其所在单位或者上级主管部门给予行政处分；情节严重构成犯罪的，依法追究刑事责任。</w:t>
            </w:r>
          </w:p>
          <w:p w14:paraId="024351D7">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kern w:val="0"/>
                <w:sz w:val="18"/>
                <w:szCs w:val="18"/>
              </w:rPr>
              <w:t>2、其他违反法律法规规章文件规定的行为。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F77">
            <w:pPr>
              <w:spacing w:line="240" w:lineRule="exact"/>
              <w:jc w:val="left"/>
              <w:rPr>
                <w:rFonts w:ascii="仿宋_GB2312" w:eastAsia="仿宋_GB2312" w:cs="仿宋_GB2312"/>
                <w:sz w:val="18"/>
                <w:szCs w:val="18"/>
              </w:rPr>
            </w:pPr>
          </w:p>
        </w:tc>
      </w:tr>
    </w:tbl>
    <w:p w14:paraId="59F40373">
      <w:pPr>
        <w:spacing w:line="240" w:lineRule="exact"/>
        <w:rPr>
          <w:rFonts w:ascii="仿宋_GB2312" w:eastAsia="仿宋_GB2312" w:cs="仿宋_GB2312"/>
          <w:sz w:val="18"/>
          <w:szCs w:val="1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GViNGFkYzdjNDkyMGNhY2RlNjBmMzEzNGE1NDUifQ=="/>
  </w:docVars>
  <w:rsids>
    <w:rsidRoot w:val="006F151B"/>
    <w:rsid w:val="00131DF6"/>
    <w:rsid w:val="003F3C7A"/>
    <w:rsid w:val="00426321"/>
    <w:rsid w:val="006F151B"/>
    <w:rsid w:val="007B76D9"/>
    <w:rsid w:val="00C91228"/>
    <w:rsid w:val="16BA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uiPriority w:val="99"/>
    <w:pPr>
      <w:tabs>
        <w:tab w:val="center" w:pos="4153"/>
        <w:tab w:val="right" w:pos="8306"/>
      </w:tabs>
      <w:snapToGrid w:val="0"/>
      <w:jc w:val="left"/>
    </w:pPr>
    <w:rPr>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kern w:val="0"/>
      <w:sz w:val="24"/>
    </w:rPr>
  </w:style>
  <w:style w:type="character" w:customStyle="1" w:styleId="10">
    <w:name w:val="页眉 Char"/>
    <w:basedOn w:val="9"/>
    <w:link w:val="6"/>
    <w:semiHidden/>
    <w:uiPriority w:val="99"/>
    <w:rPr>
      <w:rFonts w:ascii="Calibri" w:hAnsi="Calibri" w:cs="Arial"/>
      <w:kern w:val="2"/>
      <w:sz w:val="18"/>
      <w:szCs w:val="18"/>
    </w:rPr>
  </w:style>
  <w:style w:type="character" w:customStyle="1" w:styleId="11">
    <w:name w:val="页脚 Char"/>
    <w:basedOn w:val="9"/>
    <w:link w:val="5"/>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855</Words>
  <Characters>861</Characters>
  <Lines>6</Lines>
  <Paragraphs>1</Paragraphs>
  <TotalTime>0</TotalTime>
  <ScaleCrop>false</ScaleCrop>
  <LinksUpToDate>false</LinksUpToDate>
  <CharactersWithSpaces>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2024-06-17T03:45:00Z</dcterms:created>
  <dc:creator>Administrator</dc:creator>
  <cp:lastModifiedBy>Administrator</cp:lastModifiedBy>
  <dcterms:modified xsi:type="dcterms:W3CDTF">2025-09-17T06:50:07Z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4F7926A5B0BE45DEBC377497C1E64F15_13</vt:lpwstr>
  </property>
</Properties>
</file>