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5</w:t>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6</w:t>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9</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3</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1</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六、部门项目预算安排情况及绩效目标</w:t>
      </w:r>
      <w:r>
        <w:tab/>
      </w:r>
      <w:r>
        <w:rPr>
          <w:rFonts w:hint="eastAsia"/>
          <w:lang w:val="en-US" w:eastAsia="zh-CN"/>
        </w:rPr>
        <w:t>2</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七、政府采购预算情况</w:t>
      </w:r>
      <w:r>
        <w:tab/>
      </w:r>
      <w:r>
        <w:rPr>
          <w:rFonts w:hint="eastAsia"/>
          <w:lang w:val="en-US" w:eastAsia="zh-CN"/>
        </w:rPr>
        <w:t>2</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八、国有资产信息</w:t>
      </w:r>
      <w:r>
        <w:tab/>
      </w:r>
      <w:r>
        <w:rPr>
          <w:rFonts w:hint="eastAsia"/>
          <w:lang w:val="en-US" w:eastAsia="zh-CN"/>
        </w:rPr>
        <w:t>2</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九、名词解释</w:t>
      </w:r>
      <w:r>
        <w:tab/>
      </w:r>
      <w:r>
        <w:rPr>
          <w:rFonts w:hint="eastAsia"/>
          <w:lang w:val="en-US" w:eastAsia="zh-CN"/>
        </w:rPr>
        <w:t>2</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十、其他需要说明的事项</w:t>
      </w:r>
      <w:r>
        <w:tab/>
      </w:r>
      <w:r>
        <w:rPr>
          <w:rFonts w:hint="eastAsia"/>
          <w:lang w:val="en-US" w:eastAsia="zh-CN"/>
        </w:rPr>
        <w:t>2</w:t>
      </w:r>
      <w:r>
        <w:fldChar w:fldCharType="end"/>
      </w:r>
      <w:r>
        <w:rPr>
          <w:rFonts w:hint="eastAsia"/>
          <w:lang w:val="en-US" w:eastAsia="zh-CN"/>
        </w:rPr>
        <w:t>9</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712中国共产主义青年团青龙满族自治县委员会</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35.86</w:t>
            </w:r>
          </w:p>
        </w:tc>
        <w:tc>
          <w:tcPr>
            <w:tcW w:w="4535" w:type="dxa"/>
            <w:vAlign w:val="center"/>
          </w:tcPr>
          <w:p>
            <w:pPr>
              <w:pStyle w:val="14"/>
            </w:pPr>
            <w:r>
              <w:t>一、一般公共服务支出</w:t>
            </w:r>
          </w:p>
        </w:tc>
        <w:tc>
          <w:tcPr>
            <w:tcW w:w="2126" w:type="dxa"/>
            <w:vAlign w:val="center"/>
          </w:tcPr>
          <w:p>
            <w:pPr>
              <w:pStyle w:val="13"/>
            </w:pPr>
            <w:r>
              <w:t>28.90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35.86</w:t>
            </w:r>
          </w:p>
        </w:tc>
        <w:tc>
          <w:tcPr>
            <w:tcW w:w="4535" w:type="dxa"/>
            <w:vAlign w:val="center"/>
          </w:tcPr>
          <w:p>
            <w:pPr>
              <w:pStyle w:val="16"/>
            </w:pPr>
            <w:r>
              <w:t>本年支出合计</w:t>
            </w:r>
          </w:p>
        </w:tc>
        <w:tc>
          <w:tcPr>
            <w:tcW w:w="2126" w:type="dxa"/>
            <w:vAlign w:val="center"/>
          </w:tcPr>
          <w:p>
            <w:pPr>
              <w:pStyle w:val="17"/>
            </w:pPr>
            <w:r>
              <w:t>35.86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35.86</w:t>
            </w:r>
          </w:p>
        </w:tc>
        <w:tc>
          <w:tcPr>
            <w:tcW w:w="4535" w:type="dxa"/>
            <w:vAlign w:val="center"/>
          </w:tcPr>
          <w:p>
            <w:pPr>
              <w:pStyle w:val="16"/>
            </w:pPr>
            <w:r>
              <w:t>支出总计</w:t>
            </w:r>
          </w:p>
        </w:tc>
        <w:tc>
          <w:tcPr>
            <w:tcW w:w="2126" w:type="dxa"/>
            <w:vAlign w:val="center"/>
          </w:tcPr>
          <w:p>
            <w:pPr>
              <w:pStyle w:val="17"/>
            </w:pPr>
            <w:r>
              <w:t>35.86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712中国共产主义青年团青龙满族自治县委员会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35.86</w:t>
            </w:r>
          </w:p>
        </w:tc>
        <w:tc>
          <w:tcPr>
            <w:tcW w:w="1134" w:type="dxa"/>
            <w:vAlign w:val="center"/>
          </w:tcPr>
          <w:p>
            <w:pPr>
              <w:pStyle w:val="17"/>
            </w:pPr>
            <w:r>
              <w:t>35.86</w:t>
            </w:r>
          </w:p>
        </w:tc>
        <w:tc>
          <w:tcPr>
            <w:tcW w:w="1134" w:type="dxa"/>
            <w:vAlign w:val="center"/>
          </w:tcPr>
          <w:p>
            <w:pPr>
              <w:pStyle w:val="17"/>
            </w:pPr>
            <w:r>
              <w:t>35.86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28.90</w:t>
            </w:r>
          </w:p>
        </w:tc>
        <w:tc>
          <w:tcPr>
            <w:tcW w:w="1134" w:type="dxa"/>
            <w:vAlign w:val="center"/>
          </w:tcPr>
          <w:p>
            <w:pPr>
              <w:pStyle w:val="13"/>
            </w:pPr>
            <w:r>
              <w:t>28.90</w:t>
            </w:r>
          </w:p>
        </w:tc>
        <w:tc>
          <w:tcPr>
            <w:tcW w:w="1134" w:type="dxa"/>
            <w:vAlign w:val="center"/>
          </w:tcPr>
          <w:p>
            <w:pPr>
              <w:pStyle w:val="13"/>
            </w:pPr>
            <w:r>
              <w:t>28.90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20129</w:t>
            </w:r>
          </w:p>
        </w:tc>
        <w:tc>
          <w:tcPr>
            <w:tcW w:w="1559" w:type="dxa"/>
            <w:vAlign w:val="center"/>
          </w:tcPr>
          <w:p>
            <w:pPr>
              <w:pStyle w:val="14"/>
            </w:pPr>
            <w:r>
              <w:t>群众团体事务</w:t>
            </w:r>
          </w:p>
        </w:tc>
        <w:tc>
          <w:tcPr>
            <w:tcW w:w="1134" w:type="dxa"/>
            <w:vAlign w:val="center"/>
          </w:tcPr>
          <w:p>
            <w:pPr>
              <w:pStyle w:val="13"/>
            </w:pPr>
            <w:r>
              <w:t>28.90</w:t>
            </w:r>
          </w:p>
        </w:tc>
        <w:tc>
          <w:tcPr>
            <w:tcW w:w="1134" w:type="dxa"/>
            <w:vAlign w:val="center"/>
          </w:tcPr>
          <w:p>
            <w:pPr>
              <w:pStyle w:val="13"/>
            </w:pPr>
            <w:r>
              <w:t>28.90</w:t>
            </w:r>
          </w:p>
        </w:tc>
        <w:tc>
          <w:tcPr>
            <w:tcW w:w="1134" w:type="dxa"/>
            <w:vAlign w:val="center"/>
          </w:tcPr>
          <w:p>
            <w:pPr>
              <w:pStyle w:val="13"/>
            </w:pPr>
            <w:r>
              <w:t>28.90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2012901</w:t>
            </w:r>
          </w:p>
        </w:tc>
        <w:tc>
          <w:tcPr>
            <w:tcW w:w="1559" w:type="dxa"/>
            <w:vAlign w:val="center"/>
          </w:tcPr>
          <w:p>
            <w:pPr>
              <w:pStyle w:val="14"/>
            </w:pPr>
            <w:r>
              <w:t>行政运行</w:t>
            </w:r>
          </w:p>
        </w:tc>
        <w:tc>
          <w:tcPr>
            <w:tcW w:w="1134" w:type="dxa"/>
            <w:vAlign w:val="center"/>
          </w:tcPr>
          <w:p>
            <w:pPr>
              <w:pStyle w:val="13"/>
            </w:pPr>
            <w:r>
              <w:t>25.90</w:t>
            </w:r>
          </w:p>
        </w:tc>
        <w:tc>
          <w:tcPr>
            <w:tcW w:w="1134" w:type="dxa"/>
            <w:vAlign w:val="center"/>
          </w:tcPr>
          <w:p>
            <w:pPr>
              <w:pStyle w:val="13"/>
            </w:pPr>
            <w:r>
              <w:t>25.90</w:t>
            </w:r>
          </w:p>
        </w:tc>
        <w:tc>
          <w:tcPr>
            <w:tcW w:w="1134" w:type="dxa"/>
            <w:vAlign w:val="center"/>
          </w:tcPr>
          <w:p>
            <w:pPr>
              <w:pStyle w:val="13"/>
            </w:pPr>
            <w:r>
              <w:t>25.90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2012902</w:t>
            </w:r>
          </w:p>
        </w:tc>
        <w:tc>
          <w:tcPr>
            <w:tcW w:w="1559" w:type="dxa"/>
            <w:vAlign w:val="center"/>
          </w:tcPr>
          <w:p>
            <w:pPr>
              <w:pStyle w:val="14"/>
            </w:pPr>
            <w:r>
              <w:t>一般行政管理事务</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3.33</w:t>
            </w:r>
          </w:p>
        </w:tc>
        <w:tc>
          <w:tcPr>
            <w:tcW w:w="1134" w:type="dxa"/>
            <w:vAlign w:val="center"/>
          </w:tcPr>
          <w:p>
            <w:pPr>
              <w:pStyle w:val="13"/>
            </w:pPr>
            <w:r>
              <w:t>3.33</w:t>
            </w:r>
          </w:p>
        </w:tc>
        <w:tc>
          <w:tcPr>
            <w:tcW w:w="1134" w:type="dxa"/>
            <w:vAlign w:val="center"/>
          </w:tcPr>
          <w:p>
            <w:pPr>
              <w:pStyle w:val="13"/>
            </w:pPr>
            <w:r>
              <w:t>3.33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3.33</w:t>
            </w:r>
          </w:p>
        </w:tc>
        <w:tc>
          <w:tcPr>
            <w:tcW w:w="1134" w:type="dxa"/>
            <w:vAlign w:val="center"/>
          </w:tcPr>
          <w:p>
            <w:pPr>
              <w:pStyle w:val="13"/>
            </w:pPr>
            <w:r>
              <w:t>3.33</w:t>
            </w:r>
          </w:p>
        </w:tc>
        <w:tc>
          <w:tcPr>
            <w:tcW w:w="1134" w:type="dxa"/>
            <w:vAlign w:val="center"/>
          </w:tcPr>
          <w:p>
            <w:pPr>
              <w:pStyle w:val="13"/>
            </w:pPr>
            <w:r>
              <w:t>3.33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3.33</w:t>
            </w:r>
          </w:p>
        </w:tc>
        <w:tc>
          <w:tcPr>
            <w:tcW w:w="1134" w:type="dxa"/>
            <w:vAlign w:val="center"/>
          </w:tcPr>
          <w:p>
            <w:pPr>
              <w:pStyle w:val="13"/>
            </w:pPr>
            <w:r>
              <w:t>3.33</w:t>
            </w:r>
          </w:p>
        </w:tc>
        <w:tc>
          <w:tcPr>
            <w:tcW w:w="1134" w:type="dxa"/>
            <w:vAlign w:val="center"/>
          </w:tcPr>
          <w:p>
            <w:pPr>
              <w:pStyle w:val="13"/>
            </w:pPr>
            <w:r>
              <w:t>3.33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1.89</w:t>
            </w:r>
          </w:p>
        </w:tc>
        <w:tc>
          <w:tcPr>
            <w:tcW w:w="1134" w:type="dxa"/>
            <w:vAlign w:val="center"/>
          </w:tcPr>
          <w:p>
            <w:pPr>
              <w:pStyle w:val="13"/>
            </w:pPr>
            <w:r>
              <w:t>1.89</w:t>
            </w:r>
          </w:p>
        </w:tc>
        <w:tc>
          <w:tcPr>
            <w:tcW w:w="1134" w:type="dxa"/>
            <w:vAlign w:val="center"/>
          </w:tcPr>
          <w:p>
            <w:pPr>
              <w:pStyle w:val="13"/>
            </w:pPr>
            <w:r>
              <w:t>1.89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1.89</w:t>
            </w:r>
          </w:p>
        </w:tc>
        <w:tc>
          <w:tcPr>
            <w:tcW w:w="1134" w:type="dxa"/>
            <w:vAlign w:val="center"/>
          </w:tcPr>
          <w:p>
            <w:pPr>
              <w:pStyle w:val="13"/>
            </w:pPr>
            <w:r>
              <w:t>1.89</w:t>
            </w:r>
          </w:p>
        </w:tc>
        <w:tc>
          <w:tcPr>
            <w:tcW w:w="1134" w:type="dxa"/>
            <w:vAlign w:val="center"/>
          </w:tcPr>
          <w:p>
            <w:pPr>
              <w:pStyle w:val="13"/>
            </w:pPr>
            <w:r>
              <w:t>1.89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1.89</w:t>
            </w:r>
          </w:p>
        </w:tc>
        <w:tc>
          <w:tcPr>
            <w:tcW w:w="1134" w:type="dxa"/>
            <w:vAlign w:val="center"/>
          </w:tcPr>
          <w:p>
            <w:pPr>
              <w:pStyle w:val="13"/>
            </w:pPr>
            <w:r>
              <w:t>1.89</w:t>
            </w:r>
          </w:p>
        </w:tc>
        <w:tc>
          <w:tcPr>
            <w:tcW w:w="1134" w:type="dxa"/>
            <w:vAlign w:val="center"/>
          </w:tcPr>
          <w:p>
            <w:pPr>
              <w:pStyle w:val="13"/>
            </w:pPr>
            <w:r>
              <w:t>1.89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1.74</w:t>
            </w:r>
          </w:p>
        </w:tc>
        <w:tc>
          <w:tcPr>
            <w:tcW w:w="1134" w:type="dxa"/>
            <w:vAlign w:val="center"/>
          </w:tcPr>
          <w:p>
            <w:pPr>
              <w:pStyle w:val="13"/>
            </w:pPr>
            <w:r>
              <w:t>1.74</w:t>
            </w:r>
          </w:p>
        </w:tc>
        <w:tc>
          <w:tcPr>
            <w:tcW w:w="1134" w:type="dxa"/>
            <w:vAlign w:val="center"/>
          </w:tcPr>
          <w:p>
            <w:pPr>
              <w:pStyle w:val="13"/>
            </w:pPr>
            <w:r>
              <w:t>1.74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1.74</w:t>
            </w:r>
          </w:p>
        </w:tc>
        <w:tc>
          <w:tcPr>
            <w:tcW w:w="1134" w:type="dxa"/>
            <w:vAlign w:val="center"/>
          </w:tcPr>
          <w:p>
            <w:pPr>
              <w:pStyle w:val="13"/>
            </w:pPr>
            <w:r>
              <w:t>1.74</w:t>
            </w:r>
          </w:p>
        </w:tc>
        <w:tc>
          <w:tcPr>
            <w:tcW w:w="1134" w:type="dxa"/>
            <w:vAlign w:val="center"/>
          </w:tcPr>
          <w:p>
            <w:pPr>
              <w:pStyle w:val="13"/>
            </w:pPr>
            <w:r>
              <w:t>1.74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1.74</w:t>
            </w:r>
          </w:p>
        </w:tc>
        <w:tc>
          <w:tcPr>
            <w:tcW w:w="1134" w:type="dxa"/>
            <w:vAlign w:val="center"/>
          </w:tcPr>
          <w:p>
            <w:pPr>
              <w:pStyle w:val="13"/>
            </w:pPr>
            <w:r>
              <w:t>1.74</w:t>
            </w:r>
          </w:p>
        </w:tc>
        <w:tc>
          <w:tcPr>
            <w:tcW w:w="1134" w:type="dxa"/>
            <w:vAlign w:val="center"/>
          </w:tcPr>
          <w:p>
            <w:pPr>
              <w:pStyle w:val="13"/>
            </w:pPr>
            <w:r>
              <w:t>1.74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712中国共产主义青年团青龙满族自治县委员会</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35.86</w:t>
            </w:r>
          </w:p>
        </w:tc>
        <w:tc>
          <w:tcPr>
            <w:tcW w:w="1361" w:type="dxa"/>
            <w:vAlign w:val="center"/>
          </w:tcPr>
          <w:p>
            <w:pPr>
              <w:pStyle w:val="17"/>
            </w:pPr>
            <w:r>
              <w:t>32.86</w:t>
            </w:r>
          </w:p>
        </w:tc>
        <w:tc>
          <w:tcPr>
            <w:tcW w:w="1361" w:type="dxa"/>
            <w:vAlign w:val="center"/>
          </w:tcPr>
          <w:p>
            <w:pPr>
              <w:pStyle w:val="17"/>
            </w:pPr>
            <w:r>
              <w:t>3.00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28.90</w:t>
            </w:r>
          </w:p>
        </w:tc>
        <w:tc>
          <w:tcPr>
            <w:tcW w:w="1361" w:type="dxa"/>
            <w:vAlign w:val="center"/>
          </w:tcPr>
          <w:p>
            <w:pPr>
              <w:pStyle w:val="13"/>
            </w:pPr>
            <w:r>
              <w:t>25.90</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20129</w:t>
            </w:r>
          </w:p>
        </w:tc>
        <w:tc>
          <w:tcPr>
            <w:tcW w:w="4535" w:type="dxa"/>
            <w:vAlign w:val="center"/>
          </w:tcPr>
          <w:p>
            <w:pPr>
              <w:pStyle w:val="14"/>
            </w:pPr>
            <w:r>
              <w:t>群众团体事务</w:t>
            </w:r>
          </w:p>
        </w:tc>
        <w:tc>
          <w:tcPr>
            <w:tcW w:w="1361" w:type="dxa"/>
            <w:vAlign w:val="center"/>
          </w:tcPr>
          <w:p>
            <w:pPr>
              <w:pStyle w:val="13"/>
            </w:pPr>
            <w:r>
              <w:t>28.90</w:t>
            </w:r>
          </w:p>
        </w:tc>
        <w:tc>
          <w:tcPr>
            <w:tcW w:w="1361" w:type="dxa"/>
            <w:vAlign w:val="center"/>
          </w:tcPr>
          <w:p>
            <w:pPr>
              <w:pStyle w:val="13"/>
            </w:pPr>
            <w:r>
              <w:t>25.90</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2012901</w:t>
            </w:r>
          </w:p>
        </w:tc>
        <w:tc>
          <w:tcPr>
            <w:tcW w:w="4535" w:type="dxa"/>
            <w:vAlign w:val="center"/>
          </w:tcPr>
          <w:p>
            <w:pPr>
              <w:pStyle w:val="14"/>
            </w:pPr>
            <w:r>
              <w:t>行政运行</w:t>
            </w:r>
          </w:p>
        </w:tc>
        <w:tc>
          <w:tcPr>
            <w:tcW w:w="1361" w:type="dxa"/>
            <w:vAlign w:val="center"/>
          </w:tcPr>
          <w:p>
            <w:pPr>
              <w:pStyle w:val="13"/>
            </w:pPr>
            <w:r>
              <w:t>25.90</w:t>
            </w:r>
          </w:p>
        </w:tc>
        <w:tc>
          <w:tcPr>
            <w:tcW w:w="1361" w:type="dxa"/>
            <w:vAlign w:val="center"/>
          </w:tcPr>
          <w:p>
            <w:pPr>
              <w:pStyle w:val="13"/>
            </w:pPr>
            <w:r>
              <w:t>25.90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2012902</w:t>
            </w:r>
          </w:p>
        </w:tc>
        <w:tc>
          <w:tcPr>
            <w:tcW w:w="4535" w:type="dxa"/>
            <w:vAlign w:val="center"/>
          </w:tcPr>
          <w:p>
            <w:pPr>
              <w:pStyle w:val="14"/>
            </w:pPr>
            <w:r>
              <w:t>一般行政管理事务</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3.33</w:t>
            </w:r>
          </w:p>
        </w:tc>
        <w:tc>
          <w:tcPr>
            <w:tcW w:w="1361" w:type="dxa"/>
            <w:vAlign w:val="center"/>
          </w:tcPr>
          <w:p>
            <w:pPr>
              <w:pStyle w:val="13"/>
            </w:pPr>
            <w:r>
              <w:t>3.33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3.33</w:t>
            </w:r>
          </w:p>
        </w:tc>
        <w:tc>
          <w:tcPr>
            <w:tcW w:w="1361" w:type="dxa"/>
            <w:vAlign w:val="center"/>
          </w:tcPr>
          <w:p>
            <w:pPr>
              <w:pStyle w:val="13"/>
            </w:pPr>
            <w:r>
              <w:t>3.33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3.33</w:t>
            </w:r>
          </w:p>
        </w:tc>
        <w:tc>
          <w:tcPr>
            <w:tcW w:w="1361" w:type="dxa"/>
            <w:vAlign w:val="center"/>
          </w:tcPr>
          <w:p>
            <w:pPr>
              <w:pStyle w:val="13"/>
            </w:pPr>
            <w:r>
              <w:t>3.33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1.89</w:t>
            </w:r>
          </w:p>
        </w:tc>
        <w:tc>
          <w:tcPr>
            <w:tcW w:w="1361" w:type="dxa"/>
            <w:vAlign w:val="center"/>
          </w:tcPr>
          <w:p>
            <w:pPr>
              <w:pStyle w:val="13"/>
            </w:pPr>
            <w:r>
              <w:t>1.89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1.89</w:t>
            </w:r>
          </w:p>
        </w:tc>
        <w:tc>
          <w:tcPr>
            <w:tcW w:w="1361" w:type="dxa"/>
            <w:vAlign w:val="center"/>
          </w:tcPr>
          <w:p>
            <w:pPr>
              <w:pStyle w:val="13"/>
            </w:pPr>
            <w:r>
              <w:t>1.89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1.89</w:t>
            </w:r>
          </w:p>
        </w:tc>
        <w:tc>
          <w:tcPr>
            <w:tcW w:w="1361" w:type="dxa"/>
            <w:vAlign w:val="center"/>
          </w:tcPr>
          <w:p>
            <w:pPr>
              <w:pStyle w:val="13"/>
            </w:pPr>
            <w:r>
              <w:t>1.89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1.74</w:t>
            </w:r>
          </w:p>
        </w:tc>
        <w:tc>
          <w:tcPr>
            <w:tcW w:w="1361" w:type="dxa"/>
            <w:vAlign w:val="center"/>
          </w:tcPr>
          <w:p>
            <w:pPr>
              <w:pStyle w:val="13"/>
            </w:pPr>
            <w:r>
              <w:t>1.74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1.74</w:t>
            </w:r>
          </w:p>
        </w:tc>
        <w:tc>
          <w:tcPr>
            <w:tcW w:w="1361" w:type="dxa"/>
            <w:vAlign w:val="center"/>
          </w:tcPr>
          <w:p>
            <w:pPr>
              <w:pStyle w:val="13"/>
            </w:pPr>
            <w:r>
              <w:t>1.74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1.74</w:t>
            </w:r>
          </w:p>
        </w:tc>
        <w:tc>
          <w:tcPr>
            <w:tcW w:w="1361" w:type="dxa"/>
            <w:vAlign w:val="center"/>
          </w:tcPr>
          <w:p>
            <w:pPr>
              <w:pStyle w:val="13"/>
            </w:pPr>
            <w:r>
              <w:t>1.74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712中国共产主义青年团青龙满族自治县委员会</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35.86</w:t>
            </w:r>
          </w:p>
        </w:tc>
        <w:tc>
          <w:tcPr>
            <w:tcW w:w="3402" w:type="dxa"/>
            <w:vAlign w:val="center"/>
          </w:tcPr>
          <w:p>
            <w:pPr>
              <w:pStyle w:val="14"/>
            </w:pPr>
            <w:r>
              <w:t>一、一般公共服务支出</w:t>
            </w:r>
          </w:p>
        </w:tc>
        <w:tc>
          <w:tcPr>
            <w:tcW w:w="1474" w:type="dxa"/>
            <w:vAlign w:val="center"/>
          </w:tcPr>
          <w:p>
            <w:pPr>
              <w:pStyle w:val="13"/>
            </w:pPr>
            <w:r>
              <w:t>28.90</w:t>
            </w:r>
          </w:p>
        </w:tc>
        <w:tc>
          <w:tcPr>
            <w:tcW w:w="1474" w:type="dxa"/>
            <w:vAlign w:val="center"/>
          </w:tcPr>
          <w:p>
            <w:pPr>
              <w:pStyle w:val="13"/>
            </w:pPr>
            <w:r>
              <w:t>28.90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3.33</w:t>
            </w:r>
          </w:p>
        </w:tc>
        <w:tc>
          <w:tcPr>
            <w:tcW w:w="1474" w:type="dxa"/>
            <w:vAlign w:val="center"/>
          </w:tcPr>
          <w:p>
            <w:pPr>
              <w:pStyle w:val="13"/>
            </w:pPr>
            <w:r>
              <w:t>3.33</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1.89</w:t>
            </w:r>
          </w:p>
        </w:tc>
        <w:tc>
          <w:tcPr>
            <w:tcW w:w="1474" w:type="dxa"/>
            <w:vAlign w:val="center"/>
          </w:tcPr>
          <w:p>
            <w:pPr>
              <w:pStyle w:val="13"/>
            </w:pPr>
            <w:r>
              <w:t>1.89</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1.74</w:t>
            </w:r>
          </w:p>
        </w:tc>
        <w:tc>
          <w:tcPr>
            <w:tcW w:w="1474" w:type="dxa"/>
            <w:vAlign w:val="center"/>
          </w:tcPr>
          <w:p>
            <w:pPr>
              <w:pStyle w:val="13"/>
            </w:pPr>
            <w:r>
              <w:t>1.74</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35.86</w:t>
            </w:r>
          </w:p>
        </w:tc>
        <w:tc>
          <w:tcPr>
            <w:tcW w:w="3402" w:type="dxa"/>
            <w:vAlign w:val="center"/>
          </w:tcPr>
          <w:p>
            <w:pPr>
              <w:pStyle w:val="16"/>
            </w:pPr>
            <w:r>
              <w:t>本年支出合计</w:t>
            </w:r>
          </w:p>
        </w:tc>
        <w:tc>
          <w:tcPr>
            <w:tcW w:w="1474" w:type="dxa"/>
            <w:vAlign w:val="center"/>
          </w:tcPr>
          <w:p>
            <w:pPr>
              <w:pStyle w:val="17"/>
            </w:pPr>
            <w:r>
              <w:t>35.86</w:t>
            </w:r>
          </w:p>
        </w:tc>
        <w:tc>
          <w:tcPr>
            <w:tcW w:w="1474" w:type="dxa"/>
            <w:vAlign w:val="center"/>
          </w:tcPr>
          <w:p>
            <w:pPr>
              <w:pStyle w:val="17"/>
            </w:pPr>
            <w:r>
              <w:t>35.86</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35.86</w:t>
            </w:r>
          </w:p>
        </w:tc>
        <w:tc>
          <w:tcPr>
            <w:tcW w:w="3402" w:type="dxa"/>
            <w:vAlign w:val="center"/>
          </w:tcPr>
          <w:p>
            <w:pPr>
              <w:pStyle w:val="16"/>
            </w:pPr>
            <w:r>
              <w:t>支出总计</w:t>
            </w:r>
          </w:p>
        </w:tc>
        <w:tc>
          <w:tcPr>
            <w:tcW w:w="1474" w:type="dxa"/>
            <w:vAlign w:val="center"/>
          </w:tcPr>
          <w:p>
            <w:pPr>
              <w:pStyle w:val="17"/>
            </w:pPr>
            <w:r>
              <w:t>35.86</w:t>
            </w:r>
          </w:p>
        </w:tc>
        <w:tc>
          <w:tcPr>
            <w:tcW w:w="1474" w:type="dxa"/>
            <w:vAlign w:val="center"/>
          </w:tcPr>
          <w:p>
            <w:pPr>
              <w:pStyle w:val="17"/>
            </w:pPr>
            <w:r>
              <w:t>35.86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712中国共产主义青年团青龙满族自治县委员会</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35.86</w:t>
            </w:r>
          </w:p>
        </w:tc>
        <w:tc>
          <w:tcPr>
            <w:tcW w:w="2551" w:type="dxa"/>
            <w:vAlign w:val="center"/>
          </w:tcPr>
          <w:p>
            <w:pPr>
              <w:pStyle w:val="17"/>
            </w:pPr>
            <w:r>
              <w:t>32.86</w:t>
            </w:r>
          </w:p>
        </w:tc>
        <w:tc>
          <w:tcPr>
            <w:tcW w:w="2551" w:type="dxa"/>
            <w:vAlign w:val="center"/>
          </w:tcPr>
          <w:p>
            <w:pPr>
              <w:pStyle w:val="17"/>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28.90</w:t>
            </w:r>
          </w:p>
        </w:tc>
        <w:tc>
          <w:tcPr>
            <w:tcW w:w="2551" w:type="dxa"/>
            <w:vAlign w:val="center"/>
          </w:tcPr>
          <w:p>
            <w:pPr>
              <w:pStyle w:val="13"/>
            </w:pPr>
            <w:r>
              <w:t>25.90</w:t>
            </w:r>
          </w:p>
        </w:tc>
        <w:tc>
          <w:tcPr>
            <w:tcW w:w="2551" w:type="dxa"/>
            <w:vAlign w:val="center"/>
          </w:tcPr>
          <w:p>
            <w:pPr>
              <w:pStyle w:val="13"/>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20129</w:t>
            </w:r>
          </w:p>
        </w:tc>
        <w:tc>
          <w:tcPr>
            <w:tcW w:w="4535" w:type="dxa"/>
            <w:vAlign w:val="center"/>
          </w:tcPr>
          <w:p>
            <w:pPr>
              <w:pStyle w:val="14"/>
            </w:pPr>
            <w:r>
              <w:t>群众团体事务</w:t>
            </w:r>
          </w:p>
        </w:tc>
        <w:tc>
          <w:tcPr>
            <w:tcW w:w="2551" w:type="dxa"/>
            <w:vAlign w:val="center"/>
          </w:tcPr>
          <w:p>
            <w:pPr>
              <w:pStyle w:val="13"/>
            </w:pPr>
            <w:r>
              <w:t>28.90</w:t>
            </w:r>
          </w:p>
        </w:tc>
        <w:tc>
          <w:tcPr>
            <w:tcW w:w="2551" w:type="dxa"/>
            <w:vAlign w:val="center"/>
          </w:tcPr>
          <w:p>
            <w:pPr>
              <w:pStyle w:val="13"/>
            </w:pPr>
            <w:r>
              <w:t>25.90</w:t>
            </w:r>
          </w:p>
        </w:tc>
        <w:tc>
          <w:tcPr>
            <w:tcW w:w="2551" w:type="dxa"/>
            <w:vAlign w:val="center"/>
          </w:tcPr>
          <w:p>
            <w:pPr>
              <w:pStyle w:val="13"/>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2012901</w:t>
            </w:r>
          </w:p>
        </w:tc>
        <w:tc>
          <w:tcPr>
            <w:tcW w:w="4535" w:type="dxa"/>
            <w:vAlign w:val="center"/>
          </w:tcPr>
          <w:p>
            <w:pPr>
              <w:pStyle w:val="14"/>
            </w:pPr>
            <w:r>
              <w:t>行政运行</w:t>
            </w:r>
          </w:p>
        </w:tc>
        <w:tc>
          <w:tcPr>
            <w:tcW w:w="2551" w:type="dxa"/>
            <w:vAlign w:val="center"/>
          </w:tcPr>
          <w:p>
            <w:pPr>
              <w:pStyle w:val="13"/>
            </w:pPr>
            <w:r>
              <w:t>25.90</w:t>
            </w:r>
          </w:p>
        </w:tc>
        <w:tc>
          <w:tcPr>
            <w:tcW w:w="2551" w:type="dxa"/>
            <w:vAlign w:val="center"/>
          </w:tcPr>
          <w:p>
            <w:pPr>
              <w:pStyle w:val="13"/>
            </w:pPr>
            <w:r>
              <w:t>25.90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2012902</w:t>
            </w:r>
          </w:p>
        </w:tc>
        <w:tc>
          <w:tcPr>
            <w:tcW w:w="4535" w:type="dxa"/>
            <w:vAlign w:val="center"/>
          </w:tcPr>
          <w:p>
            <w:pPr>
              <w:pStyle w:val="14"/>
            </w:pPr>
            <w:r>
              <w:t>一般行政管理事务</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3.33</w:t>
            </w:r>
          </w:p>
        </w:tc>
        <w:tc>
          <w:tcPr>
            <w:tcW w:w="2551" w:type="dxa"/>
            <w:vAlign w:val="center"/>
          </w:tcPr>
          <w:p>
            <w:pPr>
              <w:pStyle w:val="13"/>
            </w:pPr>
            <w:r>
              <w:t>3.33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3.33</w:t>
            </w:r>
          </w:p>
        </w:tc>
        <w:tc>
          <w:tcPr>
            <w:tcW w:w="2551" w:type="dxa"/>
            <w:vAlign w:val="center"/>
          </w:tcPr>
          <w:p>
            <w:pPr>
              <w:pStyle w:val="13"/>
            </w:pPr>
            <w:r>
              <w:t>3.33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3.33</w:t>
            </w:r>
          </w:p>
        </w:tc>
        <w:tc>
          <w:tcPr>
            <w:tcW w:w="2551" w:type="dxa"/>
            <w:vAlign w:val="center"/>
          </w:tcPr>
          <w:p>
            <w:pPr>
              <w:pStyle w:val="13"/>
            </w:pPr>
            <w:r>
              <w:t>3.33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1.89</w:t>
            </w:r>
          </w:p>
        </w:tc>
        <w:tc>
          <w:tcPr>
            <w:tcW w:w="2551" w:type="dxa"/>
            <w:vAlign w:val="center"/>
          </w:tcPr>
          <w:p>
            <w:pPr>
              <w:pStyle w:val="13"/>
            </w:pPr>
            <w:r>
              <w:t>1.89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1.89</w:t>
            </w:r>
          </w:p>
        </w:tc>
        <w:tc>
          <w:tcPr>
            <w:tcW w:w="2551" w:type="dxa"/>
            <w:vAlign w:val="center"/>
          </w:tcPr>
          <w:p>
            <w:pPr>
              <w:pStyle w:val="13"/>
            </w:pPr>
            <w:r>
              <w:t>1.89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1.89</w:t>
            </w:r>
          </w:p>
        </w:tc>
        <w:tc>
          <w:tcPr>
            <w:tcW w:w="2551" w:type="dxa"/>
            <w:vAlign w:val="center"/>
          </w:tcPr>
          <w:p>
            <w:pPr>
              <w:pStyle w:val="13"/>
            </w:pPr>
            <w:r>
              <w:t>1.89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1.74</w:t>
            </w:r>
          </w:p>
        </w:tc>
        <w:tc>
          <w:tcPr>
            <w:tcW w:w="2551" w:type="dxa"/>
            <w:vAlign w:val="center"/>
          </w:tcPr>
          <w:p>
            <w:pPr>
              <w:pStyle w:val="13"/>
            </w:pPr>
            <w:r>
              <w:t>1.74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1.74</w:t>
            </w:r>
          </w:p>
        </w:tc>
        <w:tc>
          <w:tcPr>
            <w:tcW w:w="2551" w:type="dxa"/>
            <w:vAlign w:val="center"/>
          </w:tcPr>
          <w:p>
            <w:pPr>
              <w:pStyle w:val="13"/>
            </w:pPr>
            <w:r>
              <w:t>1.74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1.74</w:t>
            </w:r>
          </w:p>
        </w:tc>
        <w:tc>
          <w:tcPr>
            <w:tcW w:w="2551" w:type="dxa"/>
            <w:vAlign w:val="center"/>
          </w:tcPr>
          <w:p>
            <w:pPr>
              <w:pStyle w:val="13"/>
            </w:pPr>
            <w:r>
              <w:t>1.74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712中国共产主义青年团青龙满族自治县委员会</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32.86</w:t>
            </w:r>
          </w:p>
        </w:tc>
        <w:tc>
          <w:tcPr>
            <w:tcW w:w="2551" w:type="dxa"/>
            <w:vAlign w:val="center"/>
          </w:tcPr>
          <w:p>
            <w:pPr>
              <w:pStyle w:val="17"/>
            </w:pPr>
            <w:r>
              <w:t>29.26</w:t>
            </w:r>
          </w:p>
        </w:tc>
        <w:tc>
          <w:tcPr>
            <w:tcW w:w="2551" w:type="dxa"/>
            <w:vAlign w:val="center"/>
          </w:tcPr>
          <w:p>
            <w:pPr>
              <w:pStyle w:val="17"/>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29.26</w:t>
            </w:r>
          </w:p>
        </w:tc>
        <w:tc>
          <w:tcPr>
            <w:tcW w:w="2551" w:type="dxa"/>
            <w:vAlign w:val="center"/>
          </w:tcPr>
          <w:p>
            <w:pPr>
              <w:pStyle w:val="13"/>
            </w:pPr>
            <w:r>
              <w:t>29.26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12.26</w:t>
            </w:r>
          </w:p>
        </w:tc>
        <w:tc>
          <w:tcPr>
            <w:tcW w:w="2551" w:type="dxa"/>
            <w:vAlign w:val="center"/>
          </w:tcPr>
          <w:p>
            <w:pPr>
              <w:pStyle w:val="13"/>
            </w:pPr>
            <w:r>
              <w:t>12.26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6.68</w:t>
            </w:r>
          </w:p>
        </w:tc>
        <w:tc>
          <w:tcPr>
            <w:tcW w:w="2551" w:type="dxa"/>
            <w:vAlign w:val="center"/>
          </w:tcPr>
          <w:p>
            <w:pPr>
              <w:pStyle w:val="13"/>
            </w:pPr>
            <w:r>
              <w:t>6.68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3.25</w:t>
            </w:r>
          </w:p>
        </w:tc>
        <w:tc>
          <w:tcPr>
            <w:tcW w:w="2551" w:type="dxa"/>
            <w:vAlign w:val="center"/>
          </w:tcPr>
          <w:p>
            <w:pPr>
              <w:pStyle w:val="13"/>
            </w:pPr>
            <w:r>
              <w:t>3.25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3.33</w:t>
            </w:r>
          </w:p>
        </w:tc>
        <w:tc>
          <w:tcPr>
            <w:tcW w:w="2551" w:type="dxa"/>
            <w:vAlign w:val="center"/>
          </w:tcPr>
          <w:p>
            <w:pPr>
              <w:pStyle w:val="13"/>
            </w:pPr>
            <w:r>
              <w:t>3.33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1.89</w:t>
            </w:r>
          </w:p>
        </w:tc>
        <w:tc>
          <w:tcPr>
            <w:tcW w:w="2551" w:type="dxa"/>
            <w:vAlign w:val="center"/>
          </w:tcPr>
          <w:p>
            <w:pPr>
              <w:pStyle w:val="13"/>
            </w:pPr>
            <w:r>
              <w:t>1.89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0.10</w:t>
            </w:r>
          </w:p>
        </w:tc>
        <w:tc>
          <w:tcPr>
            <w:tcW w:w="2551" w:type="dxa"/>
            <w:vAlign w:val="center"/>
          </w:tcPr>
          <w:p>
            <w:pPr>
              <w:pStyle w:val="13"/>
            </w:pPr>
            <w:r>
              <w:t>0.10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1.74</w:t>
            </w:r>
          </w:p>
        </w:tc>
        <w:tc>
          <w:tcPr>
            <w:tcW w:w="2551" w:type="dxa"/>
            <w:vAlign w:val="center"/>
          </w:tcPr>
          <w:p>
            <w:pPr>
              <w:pStyle w:val="13"/>
            </w:pPr>
            <w:r>
              <w:t>1.74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3.60</w:t>
            </w:r>
          </w:p>
        </w:tc>
        <w:tc>
          <w:tcPr>
            <w:tcW w:w="2551" w:type="dxa"/>
            <w:vAlign w:val="center"/>
          </w:tcPr>
          <w:p>
            <w:pPr>
              <w:pStyle w:val="13"/>
            </w:pPr>
          </w:p>
        </w:tc>
        <w:tc>
          <w:tcPr>
            <w:tcW w:w="2551" w:type="dxa"/>
            <w:vAlign w:val="center"/>
          </w:tcPr>
          <w:p>
            <w:pPr>
              <w:pStyle w:val="13"/>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1.08</w:t>
            </w:r>
          </w:p>
        </w:tc>
        <w:tc>
          <w:tcPr>
            <w:tcW w:w="2551" w:type="dxa"/>
            <w:vAlign w:val="center"/>
          </w:tcPr>
          <w:p>
            <w:pPr>
              <w:pStyle w:val="13"/>
            </w:pPr>
          </w:p>
        </w:tc>
        <w:tc>
          <w:tcPr>
            <w:tcW w:w="2551" w:type="dxa"/>
            <w:vAlign w:val="center"/>
          </w:tcPr>
          <w:p>
            <w:pPr>
              <w:pStyle w:val="13"/>
            </w:pPr>
            <w:r>
              <w:t>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0.12</w:t>
            </w:r>
          </w:p>
        </w:tc>
        <w:tc>
          <w:tcPr>
            <w:tcW w:w="2551" w:type="dxa"/>
            <w:vAlign w:val="center"/>
          </w:tcPr>
          <w:p>
            <w:pPr>
              <w:pStyle w:val="13"/>
            </w:pPr>
          </w:p>
        </w:tc>
        <w:tc>
          <w:tcPr>
            <w:tcW w:w="2551" w:type="dxa"/>
            <w:vAlign w:val="center"/>
          </w:tcPr>
          <w:p>
            <w:pPr>
              <w:pStyle w:val="13"/>
            </w:pPr>
            <w: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0.08</w:t>
            </w:r>
          </w:p>
        </w:tc>
        <w:tc>
          <w:tcPr>
            <w:tcW w:w="2551" w:type="dxa"/>
            <w:vAlign w:val="center"/>
          </w:tcPr>
          <w:p>
            <w:pPr>
              <w:pStyle w:val="13"/>
            </w:pPr>
          </w:p>
        </w:tc>
        <w:tc>
          <w:tcPr>
            <w:tcW w:w="2551" w:type="dxa"/>
            <w:vAlign w:val="center"/>
          </w:tcPr>
          <w:p>
            <w:pPr>
              <w:pStyle w:val="13"/>
            </w:pPr>
            <w: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0.16</w:t>
            </w:r>
          </w:p>
        </w:tc>
        <w:tc>
          <w:tcPr>
            <w:tcW w:w="2551" w:type="dxa"/>
            <w:vAlign w:val="center"/>
          </w:tcPr>
          <w:p>
            <w:pPr>
              <w:pStyle w:val="13"/>
            </w:pPr>
          </w:p>
        </w:tc>
        <w:tc>
          <w:tcPr>
            <w:tcW w:w="2551" w:type="dxa"/>
            <w:vAlign w:val="center"/>
          </w:tcPr>
          <w:p>
            <w:pPr>
              <w:pStyle w:val="13"/>
            </w:pPr>
            <w:r>
              <w:t>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2.16</w:t>
            </w:r>
          </w:p>
        </w:tc>
        <w:tc>
          <w:tcPr>
            <w:tcW w:w="2551" w:type="dxa"/>
            <w:vAlign w:val="center"/>
          </w:tcPr>
          <w:p>
            <w:pPr>
              <w:pStyle w:val="13"/>
            </w:pPr>
          </w:p>
        </w:tc>
        <w:tc>
          <w:tcPr>
            <w:tcW w:w="2551" w:type="dxa"/>
            <w:vAlign w:val="center"/>
          </w:tcPr>
          <w:p>
            <w:pPr>
              <w:pStyle w:val="13"/>
            </w:pPr>
            <w:r>
              <w:t>2.16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712中国共产主义青年团青龙满族自治县委员会</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712中国共产主义青年团青龙满族自治县委员会</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712中国共产主义青年团青龙满族自治县委员会</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top"/>
          </w:tcPr>
          <w:p>
            <w:pPr>
              <w:pStyle w:val="27"/>
              <w:spacing w:before="141"/>
              <w:ind w:left="10" w:leftChars="0"/>
              <w:jc w:val="center"/>
              <w:rPr>
                <w:rFonts w:ascii="宋体" w:hAnsi="宋体" w:eastAsia="宋体" w:cs="宋体"/>
                <w:sz w:val="21"/>
                <w:szCs w:val="24"/>
                <w:lang w:val="en-US" w:eastAsia="zh-CN" w:bidi="ar-SA"/>
              </w:rPr>
            </w:pPr>
            <w:r>
              <w:rPr>
                <w:w w:val="99"/>
                <w:sz w:val="21"/>
              </w:rPr>
              <w:t>1</w:t>
            </w:r>
          </w:p>
        </w:tc>
        <w:tc>
          <w:tcPr>
            <w:tcW w:w="3798" w:type="dxa"/>
            <w:vAlign w:val="top"/>
          </w:tcPr>
          <w:p>
            <w:pPr>
              <w:pStyle w:val="27"/>
              <w:spacing w:before="141"/>
              <w:ind w:left="108" w:leftChars="0"/>
              <w:rPr>
                <w:rFonts w:ascii="宋体" w:hAnsi="宋体" w:eastAsia="宋体" w:cs="宋体"/>
                <w:sz w:val="21"/>
                <w:szCs w:val="24"/>
                <w:lang w:val="en-US" w:eastAsia="zh-CN" w:bidi="ar-SA"/>
              </w:rPr>
            </w:pPr>
            <w:r>
              <w:rPr>
                <w:sz w:val="21"/>
              </w:rPr>
              <w:t>“三公”经费</w:t>
            </w:r>
          </w:p>
        </w:tc>
        <w:tc>
          <w:tcPr>
            <w:tcW w:w="2381" w:type="dxa"/>
            <w:vAlign w:val="top"/>
          </w:tcPr>
          <w:p>
            <w:pPr>
              <w:pStyle w:val="27"/>
              <w:spacing w:before="141"/>
              <w:ind w:right="91" w:rightChars="0"/>
              <w:jc w:val="right"/>
              <w:rPr>
                <w:rFonts w:ascii="宋体" w:hAnsi="宋体" w:eastAsia="宋体" w:cs="宋体"/>
                <w:sz w:val="21"/>
                <w:szCs w:val="24"/>
                <w:lang w:val="en-US" w:eastAsia="zh-CN" w:bidi="ar-SA"/>
              </w:rPr>
            </w:pPr>
            <w:r>
              <w:rPr>
                <w:rFonts w:hint="eastAsia"/>
                <w:w w:val="95"/>
                <w:sz w:val="21"/>
                <w:lang w:val="en-US" w:eastAsia="zh-CN"/>
              </w:rPr>
              <w:t>0.16</w:t>
            </w:r>
          </w:p>
        </w:tc>
        <w:tc>
          <w:tcPr>
            <w:tcW w:w="2381" w:type="dxa"/>
            <w:vAlign w:val="top"/>
          </w:tcPr>
          <w:p>
            <w:pPr>
              <w:pStyle w:val="27"/>
              <w:spacing w:before="141"/>
              <w:ind w:right="91" w:rightChars="0"/>
              <w:jc w:val="right"/>
              <w:rPr>
                <w:rFonts w:ascii="宋体" w:hAnsi="宋体" w:eastAsia="宋体" w:cs="宋体"/>
                <w:sz w:val="21"/>
                <w:szCs w:val="24"/>
                <w:lang w:val="en-US" w:eastAsia="zh-CN" w:bidi="ar-SA"/>
              </w:rPr>
            </w:pPr>
            <w:r>
              <w:rPr>
                <w:rFonts w:hint="eastAsia"/>
                <w:w w:val="95"/>
                <w:sz w:val="21"/>
                <w:lang w:val="en-US" w:eastAsia="zh-CN"/>
              </w:rPr>
              <w:t>0.16</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top"/>
          </w:tcPr>
          <w:p>
            <w:pPr>
              <w:pStyle w:val="27"/>
              <w:spacing w:before="141"/>
              <w:ind w:left="10" w:leftChars="0"/>
              <w:jc w:val="center"/>
              <w:rPr>
                <w:rFonts w:hint="eastAsia" w:eastAsia="宋体"/>
                <w:w w:val="99"/>
                <w:sz w:val="21"/>
                <w:lang w:val="en-US" w:eastAsia="zh-CN"/>
              </w:rPr>
            </w:pPr>
            <w:r>
              <w:rPr>
                <w:rFonts w:hint="eastAsia"/>
                <w:w w:val="99"/>
                <w:sz w:val="21"/>
                <w:lang w:val="en-US" w:eastAsia="zh-CN"/>
              </w:rPr>
              <w:t>2</w:t>
            </w:r>
          </w:p>
        </w:tc>
        <w:tc>
          <w:tcPr>
            <w:tcW w:w="3798" w:type="dxa"/>
            <w:vAlign w:val="top"/>
          </w:tcPr>
          <w:p>
            <w:pPr>
              <w:pStyle w:val="27"/>
              <w:spacing w:before="140"/>
              <w:ind w:left="108" w:leftChars="0"/>
              <w:rPr>
                <w:rFonts w:ascii="宋体" w:hAnsi="宋体" w:eastAsia="宋体" w:cs="宋体"/>
                <w:sz w:val="21"/>
                <w:szCs w:val="24"/>
                <w:lang w:val="en-US" w:eastAsia="zh-CN" w:bidi="ar-SA"/>
              </w:rPr>
            </w:pPr>
            <w:r>
              <w:rPr>
                <w:rFonts w:hint="eastAsia"/>
                <w:sz w:val="21"/>
                <w:lang w:val="en-US" w:eastAsia="zh-CN"/>
              </w:rPr>
              <w:t>一</w:t>
            </w:r>
            <w:r>
              <w:rPr>
                <w:sz w:val="21"/>
              </w:rPr>
              <w:t>、公务接待费</w:t>
            </w:r>
          </w:p>
        </w:tc>
        <w:tc>
          <w:tcPr>
            <w:tcW w:w="2381" w:type="dxa"/>
            <w:vAlign w:val="top"/>
          </w:tcPr>
          <w:p>
            <w:pPr>
              <w:pStyle w:val="27"/>
              <w:spacing w:before="140"/>
              <w:ind w:right="91" w:rightChars="0"/>
              <w:jc w:val="right"/>
              <w:rPr>
                <w:rFonts w:hint="default" w:ascii="宋体" w:hAnsi="宋体" w:eastAsia="宋体" w:cs="宋体"/>
                <w:sz w:val="21"/>
                <w:szCs w:val="24"/>
                <w:lang w:val="en-US" w:eastAsia="zh-CN" w:bidi="ar-SA"/>
              </w:rPr>
            </w:pPr>
            <w:r>
              <w:rPr>
                <w:rFonts w:hint="eastAsia"/>
                <w:w w:val="95"/>
                <w:sz w:val="21"/>
                <w:lang w:val="en-US" w:eastAsia="zh-CN"/>
              </w:rPr>
              <w:t>0.16</w:t>
            </w:r>
          </w:p>
        </w:tc>
        <w:tc>
          <w:tcPr>
            <w:tcW w:w="2381" w:type="dxa"/>
            <w:vAlign w:val="top"/>
          </w:tcPr>
          <w:p>
            <w:pPr>
              <w:pStyle w:val="27"/>
              <w:spacing w:before="140"/>
              <w:ind w:right="91" w:rightChars="0"/>
              <w:jc w:val="right"/>
              <w:rPr>
                <w:rFonts w:ascii="宋体" w:hAnsi="宋体" w:eastAsia="宋体" w:cs="宋体"/>
                <w:sz w:val="21"/>
                <w:szCs w:val="24"/>
                <w:lang w:val="en-US" w:eastAsia="zh-CN" w:bidi="ar-SA"/>
              </w:rPr>
            </w:pPr>
            <w:r>
              <w:rPr>
                <w:rFonts w:hint="eastAsia"/>
                <w:w w:val="95"/>
                <w:sz w:val="21"/>
                <w:lang w:val="en-US" w:eastAsia="zh-CN"/>
              </w:rPr>
              <w:t>0.16</w:t>
            </w: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中国共产主义青年团青龙满族自治县委员会2025年部门预算信息公开情况说明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中国共产主义青年团青龙满族自治县委员会2025年部门预算信息公开情况说明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按照《中华人民共和国预算法》、《地方预决算公开操作规程》和《关于进一步推进预算公开工作的实施意见》规定，现将中国共产主义青年团青龙满族自治县委员会2025年部门预算公开如下：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加强青少年思想道德教育。组织广大团员青年、少先队员，采取灵活多样的形式，开展富有鲜明时代特征的主题活动，对青少年进行人生观、世界观、价值观教育。以青年志愿者行动、“青年文明号”创建、青少年维权岗等常规性活动为载体，开展具有青年特色的群众新精神文明创建活动。</w:t>
      </w:r>
    </w:p>
    <w:p>
      <w:pPr>
        <w:pStyle w:val="19"/>
      </w:pPr>
      <w:r>
        <w:t>围绕服务经济大局，引导广大青年城成长成才。</w:t>
      </w:r>
    </w:p>
    <w:p>
      <w:pPr>
        <w:pStyle w:val="19"/>
      </w:pPr>
      <w:r>
        <w:t>青工战线：组织广大青工开展“创新创效”、争当“青年岗位能手”活动；组织下岗青工开展“再就业”岗位技能培训。</w:t>
      </w:r>
    </w:p>
    <w:p>
      <w:pPr>
        <w:pStyle w:val="19"/>
      </w:pPr>
      <w:r>
        <w:t>青农战线：培养青年星火带头人，以领办科技推广项目为切入点，带动广大青年农民致富增收，推进农业产业化进程。</w:t>
      </w:r>
    </w:p>
    <w:p>
      <w:pPr>
        <w:pStyle w:val="19"/>
      </w:pPr>
      <w:r>
        <w:t>做好学校共青团工作，发挥全团带队作用。</w:t>
      </w:r>
    </w:p>
    <w:p>
      <w:pPr>
        <w:pStyle w:val="19"/>
      </w:pPr>
      <w:r>
        <w:t>继续实施“希望工程”，扩大救助范围，改善办学条件，不断推进我县基础教育事业的发展。</w:t>
      </w:r>
    </w:p>
    <w:p>
      <w:pPr>
        <w:pStyle w:val="19"/>
      </w:pPr>
      <w:r>
        <w:t>加强共青团基层组织建设、团干部队伍思想作风建设，进一步做好团员发展和推优工作。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中国共产主义青年团青龙满族自治县委员会本级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按照预算管理有关规定，目前部门预算的编制实行综合预算管理，即全部收入和支出都反映在预算中。中国共产主义青年团青龙满族自治县委员会机关及所属事业单位的收支包含在部门预算中。</w:t>
      </w:r>
    </w:p>
    <w:p>
      <w:pPr>
        <w:pStyle w:val="20"/>
      </w:pPr>
      <w:r>
        <w:t>1、收入说明</w:t>
      </w:r>
    </w:p>
    <w:p>
      <w:pPr>
        <w:pStyle w:val="20"/>
      </w:pPr>
      <w:r>
        <w:t>反映本部门当年全部收入。2025年预算收入35.86万元，其中：一般公共预算收入35.86万元，基金预算收入0.00万元，国有资本经营预算收入0.00万元，财政专户核拨收入0.00万元，单位资金收入0.00万元，上年结转结余0.00万元。</w:t>
      </w:r>
    </w:p>
    <w:p>
      <w:pPr>
        <w:pStyle w:val="20"/>
      </w:pPr>
      <w:r>
        <w:t>2、支出说明</w:t>
      </w:r>
    </w:p>
    <w:p>
      <w:pPr>
        <w:pStyle w:val="20"/>
      </w:pPr>
      <w:r>
        <w:t>收支预算总表支出栏、基本支出表、项目支出表按经济分类和支出功能分类科目编制，反映中国共产主义青年团青龙满族自治县委员会年度部门预算中支出预算的总体情况。2025年支出预算35.86万元，其中基本支出32.86万元，包括人员经费29.26万元和日常公用经费3.60万元；项目支出3.00万元，主要为维护青少年合法权益经费、预防青少年违法犯罪工作经费、组织建设和宣传教育经费等。</w:t>
      </w:r>
    </w:p>
    <w:p>
      <w:pPr>
        <w:pStyle w:val="20"/>
      </w:pPr>
      <w:r>
        <w:t>3、比上年增减情况</w:t>
      </w:r>
    </w:p>
    <w:p>
      <w:pPr>
        <w:pStyle w:val="20"/>
      </w:pPr>
      <w:r>
        <w:t>2025年预算收支安排35.86万元，较2024年预算减少18.10万元，其中：基本支出减少15.20万元，主要为减少人员经费支出和日常公用经费支出；项目支出减少2.90万元，主要为减少了维护青少年合法权益经费、预防青少年违法犯罪工作经费、组织建设和宣传教育经费等。</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
        <w:spacing w:before="70" w:line="405" w:lineRule="auto"/>
        <w:ind w:left="720" w:right="785" w:firstLine="640"/>
      </w:pPr>
      <w:r>
        <w:rPr>
          <w:rFonts w:ascii="Times New Roman" w:eastAsia="Times New Roman"/>
        </w:rPr>
        <w:t>202</w:t>
      </w:r>
      <w:r>
        <w:rPr>
          <w:rFonts w:hint="eastAsia" w:ascii="Times New Roman"/>
          <w:lang w:val="en-US" w:eastAsia="zh-CN"/>
        </w:rPr>
        <w:t>5</w:t>
      </w:r>
      <w:r>
        <w:rPr>
          <w:rFonts w:ascii="Times New Roman" w:eastAsia="Times New Roman"/>
        </w:rPr>
        <w:t xml:space="preserve"> </w:t>
      </w:r>
      <w:r>
        <w:rPr>
          <w:spacing w:val="-8"/>
        </w:rPr>
        <w:t>年我部门机关运行经费共计安排</w:t>
      </w:r>
      <w:r>
        <w:rPr>
          <w:rFonts w:hint="eastAsia"/>
          <w:spacing w:val="-8"/>
          <w:lang w:val="en-US" w:eastAsia="zh-CN"/>
        </w:rPr>
        <w:t>3.6</w:t>
      </w:r>
      <w:r>
        <w:rPr>
          <w:spacing w:val="-3"/>
        </w:rPr>
        <w:t>万元，主要用于办公费、邮电费、差旅费、公务接待费、公务用车运行维护费、其他交通费用</w:t>
      </w:r>
      <w:r>
        <w:t>（</w:t>
      </w:r>
      <w:r>
        <w:rPr>
          <w:spacing w:val="-3"/>
        </w:rPr>
        <w:t>公务员车改补贴</w:t>
      </w:r>
      <w:r>
        <w:t>）</w:t>
      </w:r>
      <w:r>
        <w:rPr>
          <w:spacing w:val="-3"/>
        </w:rPr>
        <w:t>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2025年，我部门财政拨款“三公”经费预算安排0.</w:t>
      </w:r>
      <w:r>
        <w:rPr>
          <w:rFonts w:hint="eastAsia"/>
          <w:lang w:val="en-US" w:eastAsia="zh-CN"/>
        </w:rPr>
        <w:t>16</w:t>
      </w:r>
      <w:r>
        <w:t>万元，其中因公出国（境）费0.00万元；公务用车购置及运维费0.00万元（其中：公务用车购置费为0.00万元，公务用车运维费0.00万元)；公务接待费0.</w:t>
      </w:r>
      <w:r>
        <w:rPr>
          <w:rFonts w:hint="eastAsia"/>
          <w:lang w:val="en-US" w:eastAsia="zh-CN"/>
        </w:rPr>
        <w:t>16</w:t>
      </w:r>
      <w:r>
        <w:t>万元。与2024年相比减少1.</w:t>
      </w:r>
      <w:r>
        <w:rPr>
          <w:rFonts w:hint="eastAsia"/>
          <w:lang w:val="en-US" w:eastAsia="zh-CN"/>
        </w:rPr>
        <w:t>6</w:t>
      </w:r>
      <w:r>
        <w:t>万元，增减变化的主要原因是我部门认真贯彻落实中央“八项规定”要求，严格控制公务接待费。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一是持续推动学习贯彻习近平新时代中国特色社会主义思想走深走实。二是牢牢掌握意识形态工作领导权。认真贯彻落实中央和省市委有关要求，切实强化责任，落实好各项规定动作。三是做大做强主流思想舆论。加大对市级媒体的经费保障力度，鼓励市级新闻媒体改革创新，提升融合发展能力，提高城市的凝聚力、吸引力。四是扎实开展精神文明创建工作。落实常态长效创建机制，持续深化省级文明城市巩固提升工作。五是培育和践行社会主义核心价值观。大力挖掘培树先进典型，不断扩大先进典型在全社会的影响。开展诚信经营示范店等活动，使诚信制度化建设走在全省前列。六是推动文化事业和文化产业高质量发展。组织好群众性文化活动，加强农村电影放映队伍管理，做好农村公益数字电影放映工作。大力推进文化领域改革创新，打造一批知名文化企业和重点文化产业项目，推动旅游和文化深度融合。</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（1）思想理论建设</w:t>
      </w:r>
    </w:p>
    <w:p>
      <w:pPr>
        <w:pStyle w:val="24"/>
      </w:pPr>
      <w:r>
        <w:t>绩效目标：党员干部</w:t>
      </w:r>
      <w:r>
        <w:rPr>
          <w:rFonts w:hint="eastAsia"/>
          <w:lang w:eastAsia="zh-CN"/>
        </w:rPr>
        <w:t>学</w:t>
      </w:r>
      <w:r>
        <w:rPr>
          <w:rFonts w:hint="eastAsia"/>
          <w:lang w:val="en-US" w:eastAsia="zh-CN"/>
        </w:rPr>
        <w:t>习</w:t>
      </w:r>
      <w:r>
        <w:rPr>
          <w:rFonts w:hint="eastAsia"/>
          <w:lang w:eastAsia="zh-CN"/>
        </w:rPr>
        <w:t>习近平总书记</w:t>
      </w:r>
      <w:r>
        <w:t>系列重要讲话精神成果；理论研究课题成果数量；培训全市宣传文化干部，做好习近平新时代中国特色社会主义思想宣讲和阐释工作。</w:t>
      </w:r>
      <w:bookmarkStart w:id="19" w:name="_GoBack"/>
      <w:bookmarkEnd w:id="19"/>
    </w:p>
    <w:p>
      <w:pPr>
        <w:pStyle w:val="24"/>
      </w:pPr>
      <w:r>
        <w:t>绩效指标：</w:t>
      </w:r>
    </w:p>
    <w:p>
      <w:pPr>
        <w:pStyle w:val="24"/>
      </w:pPr>
      <w:r>
        <w:t>1、 县委中心组学习次数：12次；</w:t>
      </w:r>
    </w:p>
    <w:p>
      <w:pPr>
        <w:pStyle w:val="24"/>
      </w:pPr>
      <w:r>
        <w:t>2、 开展集中宣讲活动&gt;100场</w:t>
      </w:r>
    </w:p>
    <w:p>
      <w:pPr>
        <w:pStyle w:val="24"/>
      </w:pPr>
      <w:r>
        <w:t>（2）对外宣传事业</w:t>
      </w:r>
    </w:p>
    <w:p>
      <w:pPr>
        <w:pStyle w:val="24"/>
      </w:pPr>
      <w:r>
        <w:t>绩效目标：制订对外宣传事业发展规划，加强和改进新闻发布工作，扩大对外宣传，开展多种形式的外宣及文化交流活动。</w:t>
      </w:r>
    </w:p>
    <w:p>
      <w:pPr>
        <w:pStyle w:val="24"/>
      </w:pPr>
      <w:r>
        <w:t>绩效指标：外宣工作计划完成率100%</w:t>
      </w:r>
    </w:p>
    <w:p>
      <w:pPr>
        <w:pStyle w:val="24"/>
      </w:pPr>
      <w:r>
        <w:t>（3）舆论舆情引导管理</w:t>
      </w:r>
    </w:p>
    <w:p>
      <w:pPr>
        <w:pStyle w:val="24"/>
      </w:pPr>
      <w:r>
        <w:t>绩效目标：指导协调新闻舆论工作，为全市经济社会发展提供有力的舆论支持；提高舆情研判能力和信息服务水平，及时化解、妥善处理有关负面舆情。</w:t>
      </w:r>
    </w:p>
    <w:p>
      <w:pPr>
        <w:pStyle w:val="24"/>
      </w:pPr>
      <w:r>
        <w:t>绩效指标：突发事件新闻处置完成率达100%</w:t>
      </w:r>
    </w:p>
    <w:p>
      <w:pPr>
        <w:pStyle w:val="24"/>
      </w:pPr>
      <w:r>
        <w:t>（4）精神文明建设</w:t>
      </w:r>
    </w:p>
    <w:p>
      <w:pPr>
        <w:pStyle w:val="24"/>
      </w:pPr>
      <w:r>
        <w:t>绩效目标：规划部署全市精神文明创建工作，组织指导全县群众性精神文明创建活动，规划部署全市精神文明创建工作，开展主题志愿服务活动，提升全市志愿服务活动水平。</w:t>
      </w:r>
    </w:p>
    <w:p>
      <w:pPr>
        <w:pStyle w:val="24"/>
      </w:pPr>
      <w:r>
        <w:t>绩效指标：</w:t>
      </w:r>
    </w:p>
    <w:p>
      <w:pPr>
        <w:pStyle w:val="24"/>
      </w:pPr>
      <w:r>
        <w:t>1、精神文明创建活动目标达成率100%；</w:t>
      </w:r>
    </w:p>
    <w:p>
      <w:pPr>
        <w:pStyle w:val="24"/>
      </w:pPr>
      <w:r>
        <w:t>2、举办记者节活动1次；</w:t>
      </w:r>
    </w:p>
    <w:p>
      <w:pPr>
        <w:pStyle w:val="24"/>
      </w:pPr>
      <w:r>
        <w:t>3、组织开展三下乡活动3次；</w:t>
      </w:r>
    </w:p>
    <w:p>
      <w:pPr>
        <w:pStyle w:val="24"/>
      </w:pPr>
      <w:r>
        <w:t>4、开展志愿服务活动次数不低于10次。</w:t>
      </w:r>
    </w:p>
    <w:p>
      <w:pPr>
        <w:pStyle w:val="24"/>
      </w:pPr>
      <w:r>
        <w:t>（5）文化体制改革</w:t>
      </w:r>
    </w:p>
    <w:p>
      <w:pPr>
        <w:pStyle w:val="24"/>
      </w:pPr>
      <w:r>
        <w:t>绩效目标：研究制定并组织实施深化文化体制改革实施方案；文化体制改革重点任务和文化改革政策落实协调推进到位，落实文化体制改革任务，确保国有文化资产保值增值。</w:t>
      </w:r>
    </w:p>
    <w:p>
      <w:pPr>
        <w:pStyle w:val="24"/>
      </w:pPr>
      <w:r>
        <w:t>绩效指标：</w:t>
      </w:r>
    </w:p>
    <w:p>
      <w:pPr>
        <w:pStyle w:val="24"/>
      </w:pPr>
      <w:r>
        <w:t>1、 文化体制改革实施方案编制完成率100%；</w:t>
      </w:r>
    </w:p>
    <w:p>
      <w:pPr>
        <w:pStyle w:val="24"/>
      </w:pPr>
      <w:r>
        <w:t>2、 文化体系改革任务推进情况效果明显；</w:t>
      </w:r>
    </w:p>
    <w:p>
      <w:pPr>
        <w:pStyle w:val="24"/>
      </w:pPr>
      <w:r>
        <w:t>3、 国有文化资产保值情况效果明显</w:t>
      </w:r>
    </w:p>
    <w:p>
      <w:pPr>
        <w:pStyle w:val="24"/>
      </w:pPr>
      <w:r>
        <w:t>（6）文化事业产业发展</w:t>
      </w:r>
    </w:p>
    <w:p>
      <w:pPr>
        <w:pStyle w:val="24"/>
      </w:pPr>
      <w:r>
        <w:t>绩效目标：研究制定全市文化发展方针政策，管理市级各类文化发展</w:t>
      </w:r>
    </w:p>
    <w:p>
      <w:pPr>
        <w:pStyle w:val="24"/>
      </w:pPr>
      <w:r>
        <w:t>专项资金和基金，支持重点文化项目建设，加强文化招商，推动文化事业产业健康发展。</w:t>
      </w:r>
    </w:p>
    <w:p>
      <w:pPr>
        <w:pStyle w:val="24"/>
      </w:pPr>
      <w:r>
        <w:t>绩效指标：</w:t>
      </w:r>
    </w:p>
    <w:p>
      <w:pPr>
        <w:pStyle w:val="24"/>
      </w:pPr>
      <w:r>
        <w:t>1、 文化产业类财政资金撬动社会资金比例提升明显</w:t>
      </w:r>
    </w:p>
    <w:p>
      <w:pPr>
        <w:pStyle w:val="24"/>
      </w:pPr>
      <w:r>
        <w:t>2、 重点文化项目建设完成情况按时完成</w:t>
      </w:r>
    </w:p>
    <w:p>
      <w:pPr>
        <w:pStyle w:val="24"/>
      </w:pPr>
      <w:r>
        <w:t>3、 全市文化产业增加值年增速增速明显</w:t>
      </w:r>
    </w:p>
    <w:p>
      <w:pPr>
        <w:pStyle w:val="24"/>
      </w:pPr>
      <w:r>
        <w:t>（7）综合业务管理</w:t>
      </w:r>
    </w:p>
    <w:p>
      <w:pPr>
        <w:pStyle w:val="24"/>
      </w:pPr>
      <w:r>
        <w:t>绩效目标：制定思想宣传和文化发展规划、政策制度，开展重点工作督察督办，加强行政后勤工作，保障机关工作正常高效运转。</w:t>
      </w:r>
    </w:p>
    <w:p>
      <w:pPr>
        <w:pStyle w:val="24"/>
      </w:pPr>
      <w:r>
        <w:t>绩效指标：</w:t>
      </w:r>
    </w:p>
    <w:p>
      <w:pPr>
        <w:pStyle w:val="24"/>
      </w:pPr>
      <w:r>
        <w:t>1、 思想宣传和文化发展规划制定完成情况按时完成</w:t>
      </w:r>
    </w:p>
    <w:p>
      <w:pPr>
        <w:pStyle w:val="24"/>
      </w:pPr>
      <w:r>
        <w:t>2、 重点工作督察督办情况按时完成</w:t>
      </w:r>
    </w:p>
    <w:p>
      <w:pPr>
        <w:pStyle w:val="24"/>
      </w:pPr>
      <w:r>
        <w:t>3、 机关工作运转保障率100%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是抓好“学习强国”宣传推广和建设使用工作，组织开展答题竞赛、演讲比赛、学习讨论和互动交流等线上线下学习活动和宣传推广活动，不断激发干部群众学习自觉性主动性。不断满足广大党员干部群众多样化、个性化、差异化需求。</w:t>
      </w:r>
    </w:p>
    <w:p>
      <w:pPr>
        <w:pStyle w:val="25"/>
      </w:pPr>
      <w:r>
        <w:t>二是认真贯彻落实中央和省市委有关要求，切实强化责任，落实好各项规定动作。严格高校课堂、讲座、论坛、学生社团、文化市场、公益广告等各个意识形态阵地管理。</w:t>
      </w:r>
    </w:p>
    <w:p>
      <w:pPr>
        <w:pStyle w:val="25"/>
      </w:pPr>
      <w:r>
        <w:t>三是全媒体宣传党的路线方针政策，深入宣传我县推进京津冀协同发展、提高城市的凝聚力、吸引力。加大对外宣传力度，进一步完善“秦皇岛外语频道”，多种途径宣传推广秦皇岛。落实全市新闻发布工作办法，推动新闻发布工作常规化。</w:t>
      </w:r>
    </w:p>
    <w:p>
      <w:pPr>
        <w:pStyle w:val="25"/>
      </w:pPr>
      <w:r>
        <w:t>四是抓好省级文明城区、文明县城创建活动以及文明村镇、文明单位、文明家庭、文明校园等群众性创建活动。全面开展“讲文明、树新风”活动，开展移风易俗工作，形成崇德向善、文明节俭的良好局面。创新志愿服务培训平台，打造“接力沈汝波、为民做好事”品牌活动，推动志愿服务品牌化。</w:t>
      </w:r>
    </w:p>
    <w:p>
      <w:pPr>
        <w:pStyle w:val="25"/>
      </w:pPr>
      <w:r>
        <w:t>五是大力挖掘培树先进典型，积极组织道德模范、河北好人评选活动，定期评选“最美青龙人”不断扩大先进典型在全社会的影响。建立健全公益广告统一巡察制度，发挥全县公益广告阵地作用，营造浓厚的涵育氛围。开展诚信经营示范店、诚信示范街区创建活动，使诚信制度化建设走在全市前列。</w:t>
      </w:r>
    </w:p>
    <w:p>
      <w:pPr>
        <w:pStyle w:val="25"/>
      </w:pPr>
      <w:r>
        <w:t>六是组织好群众文化艺术节等群众性文化活动。抓好全民阅读活动，建好用好城市公益阅读空间，打造“书香青龙”项目建设。做好戏曲进校园、篆刻艺术推广等活动。加强农村电影放映队伍管理，做好农村公益数字电影放映工作。打造一批知名文化企业和重点文化产业项目，推动旅游和文化在资源、产业、市场、服务等方深度融合。</w:t>
      </w:r>
    </w:p>
    <w:p>
      <w:pPr>
        <w:pStyle w:val="25"/>
        <w:sectPr>
          <w:pgSz w:w="16840" w:h="11900" w:orient="landscape"/>
          <w:pgMar w:top="1361" w:right="1020" w:bottom="1361" w:left="1020" w:header="720" w:footer="720" w:gutter="0"/>
          <w:cols w:space="720" w:num="1"/>
        </w:sectPr>
      </w:pPr>
      <w:r>
        <w:t>七是加强监督管理，定期对各项活动的开展情况作调研，做好督促及改进工作，推动各项工作出亮点、见成效。</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val="en-US" w:eastAsia="zh-CN"/>
        </w:rPr>
        <w:t>六</w:t>
      </w:r>
      <w:r>
        <w:rPr>
          <w:rFonts w:ascii="黑体" w:hAnsi="黑体" w:eastAsia="黑体" w:cs="黑体"/>
          <w:color w:val="000000"/>
          <w:sz w:val="32"/>
        </w:rPr>
        <w:t>、部门项目预算安排情况及绩效目标</w:t>
      </w:r>
      <w:bookmarkEnd w:id="14"/>
    </w:p>
    <w:p>
      <w:pPr>
        <w:spacing w:before="0" w:after="0"/>
        <w:ind w:firstLine="560"/>
        <w:jc w:val="left"/>
        <w:outlineLvl w:val="9"/>
      </w:pPr>
      <w:r>
        <w:rPr>
          <w:rFonts w:ascii="方正仿宋_GBK" w:hAnsi="方正仿宋_GBK" w:eastAsia="方正仿宋_GBK" w:cs="方正仿宋_GBK"/>
          <w:color w:val="000000"/>
          <w:sz w:val="28"/>
        </w:rPr>
        <w:t>1、服务、引导青少年工作经费绩效目标表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13032125P003349103497</w:t>
            </w:r>
          </w:p>
        </w:tc>
        <w:tc>
          <w:tcPr>
            <w:tcW w:w="2835" w:type="dxa"/>
            <w:vAlign w:val="center"/>
          </w:tcPr>
          <w:p>
            <w:pPr>
              <w:pStyle w:val="12"/>
            </w:pPr>
            <w:r>
              <w:t>项目名称</w:t>
            </w:r>
          </w:p>
        </w:tc>
        <w:tc>
          <w:tcPr>
            <w:tcW w:w="6095" w:type="dxa"/>
            <w:gridSpan w:val="3"/>
            <w:vAlign w:val="center"/>
          </w:tcPr>
          <w:p>
            <w:pPr>
              <w:pStyle w:val="14"/>
            </w:pPr>
            <w:r>
              <w:t>服务、引导青少年工作经费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0.40</w:t>
            </w:r>
          </w:p>
        </w:tc>
        <w:tc>
          <w:tcPr>
            <w:tcW w:w="2835" w:type="dxa"/>
            <w:vAlign w:val="center"/>
          </w:tcPr>
          <w:p>
            <w:pPr>
              <w:pStyle w:val="12"/>
            </w:pPr>
            <w:r>
              <w:t>其中：财政    资金</w:t>
            </w:r>
          </w:p>
        </w:tc>
        <w:tc>
          <w:tcPr>
            <w:tcW w:w="2551" w:type="dxa"/>
            <w:vAlign w:val="center"/>
          </w:tcPr>
          <w:p>
            <w:pPr>
              <w:pStyle w:val="14"/>
            </w:pPr>
            <w:r>
              <w:t>0.40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预算数0.4万元，其中财政资金0.4万元。主要用于服务引导青少年工作。</w:t>
            </w:r>
            <w:r>
              <w:tab/>
            </w:r>
            <w:r>
              <w:tab/>
            </w:r>
            <w:r>
              <w:tab/>
            </w:r>
            <w:r>
              <w:tab/>
            </w:r>
            <w:r>
              <w:tab/>
            </w:r>
            <w:r>
              <w:tab/>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0.10</w:t>
            </w:r>
          </w:p>
        </w:tc>
        <w:tc>
          <w:tcPr>
            <w:tcW w:w="2835" w:type="dxa"/>
            <w:vAlign w:val="center"/>
          </w:tcPr>
          <w:p>
            <w:pPr>
              <w:pStyle w:val="15"/>
            </w:pPr>
            <w:r>
              <w:t>0.20</w:t>
            </w:r>
          </w:p>
        </w:tc>
        <w:tc>
          <w:tcPr>
            <w:tcW w:w="2551" w:type="dxa"/>
            <w:vAlign w:val="center"/>
          </w:tcPr>
          <w:p>
            <w:pPr>
              <w:pStyle w:val="15"/>
            </w:pPr>
            <w:r>
              <w:t>0.30</w:t>
            </w:r>
          </w:p>
        </w:tc>
        <w:tc>
          <w:tcPr>
            <w:tcW w:w="3544" w:type="dxa"/>
            <w:gridSpan w:val="2"/>
            <w:vAlign w:val="center"/>
          </w:tcPr>
          <w:p>
            <w:pPr>
              <w:pStyle w:val="15"/>
            </w:pPr>
            <w:r>
              <w:t>0.40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1.通过加强青年志愿组织及青年活动阵地的指导和管理，为全县经济社会发展贡献力量。</w:t>
            </w:r>
            <w:r>
              <w:tab/>
            </w:r>
            <w:r>
              <w:tab/>
            </w:r>
            <w:r>
              <w:tab/>
            </w:r>
            <w:r>
              <w:tab/>
            </w:r>
            <w:r>
              <w:tab/>
            </w:r>
            <w:r>
              <w:tab/>
            </w:r>
          </w:p>
          <w:p>
            <w:pPr>
              <w:pStyle w:val="14"/>
            </w:pPr>
            <w:r>
              <w:t>2.通过做好青年统战对象的引导服务工作，促进青少年健康成长。</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青年文明号单位</w:t>
            </w:r>
          </w:p>
        </w:tc>
        <w:tc>
          <w:tcPr>
            <w:tcW w:w="5386" w:type="dxa"/>
            <w:vAlign w:val="center"/>
          </w:tcPr>
          <w:p>
            <w:pPr>
              <w:pStyle w:val="14"/>
            </w:pPr>
            <w:r>
              <w:t>市级青年文明号单位成立数量</w:t>
            </w:r>
          </w:p>
        </w:tc>
        <w:tc>
          <w:tcPr>
            <w:tcW w:w="2268" w:type="dxa"/>
            <w:vAlign w:val="center"/>
          </w:tcPr>
          <w:p>
            <w:pPr>
              <w:pStyle w:val="14"/>
            </w:pPr>
            <w:r>
              <w:t>≥7家</w:t>
            </w:r>
          </w:p>
        </w:tc>
        <w:tc>
          <w:tcPr>
            <w:tcW w:w="1276" w:type="dxa"/>
            <w:vAlign w:val="center"/>
          </w:tcPr>
          <w:p>
            <w:pPr>
              <w:pStyle w:val="14"/>
            </w:pPr>
            <w:r>
              <w:t>共青团改革方案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青创十万加活动</w:t>
            </w:r>
          </w:p>
        </w:tc>
        <w:tc>
          <w:tcPr>
            <w:tcW w:w="5386" w:type="dxa"/>
            <w:vAlign w:val="center"/>
          </w:tcPr>
          <w:p>
            <w:pPr>
              <w:pStyle w:val="14"/>
            </w:pPr>
            <w:r>
              <w:t>全年举办青年创业活动次数</w:t>
            </w:r>
          </w:p>
        </w:tc>
        <w:tc>
          <w:tcPr>
            <w:tcW w:w="2268" w:type="dxa"/>
            <w:vAlign w:val="center"/>
          </w:tcPr>
          <w:p>
            <w:pPr>
              <w:pStyle w:val="14"/>
            </w:pPr>
            <w:r>
              <w:t>≥4次</w:t>
            </w:r>
          </w:p>
        </w:tc>
        <w:tc>
          <w:tcPr>
            <w:tcW w:w="1276" w:type="dxa"/>
            <w:vAlign w:val="center"/>
          </w:tcPr>
          <w:p>
            <w:pPr>
              <w:pStyle w:val="14"/>
            </w:pPr>
            <w:r>
              <w:t>共青团改革方案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婚恋交友联谊会活动</w:t>
            </w:r>
          </w:p>
        </w:tc>
        <w:tc>
          <w:tcPr>
            <w:tcW w:w="5386" w:type="dxa"/>
            <w:vAlign w:val="center"/>
          </w:tcPr>
          <w:p>
            <w:pPr>
              <w:pStyle w:val="14"/>
            </w:pPr>
            <w:r>
              <w:t>全年举办青年婚恋交友联谊会活动次数</w:t>
            </w:r>
          </w:p>
        </w:tc>
        <w:tc>
          <w:tcPr>
            <w:tcW w:w="2268" w:type="dxa"/>
            <w:vAlign w:val="center"/>
          </w:tcPr>
          <w:p>
            <w:pPr>
              <w:pStyle w:val="14"/>
            </w:pPr>
            <w:r>
              <w:t>≥4次</w:t>
            </w:r>
          </w:p>
        </w:tc>
        <w:tc>
          <w:tcPr>
            <w:tcW w:w="1276" w:type="dxa"/>
            <w:vAlign w:val="center"/>
          </w:tcPr>
          <w:p>
            <w:pPr>
              <w:pStyle w:val="14"/>
            </w:pPr>
            <w:r>
              <w:t>共青团改革方案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圆梦大学走访</w:t>
            </w:r>
          </w:p>
        </w:tc>
        <w:tc>
          <w:tcPr>
            <w:tcW w:w="5386" w:type="dxa"/>
            <w:vAlign w:val="center"/>
          </w:tcPr>
          <w:p>
            <w:pPr>
              <w:pStyle w:val="14"/>
            </w:pPr>
            <w:r>
              <w:t>圆梦大学资助对象走访覆盖率</w:t>
            </w:r>
          </w:p>
        </w:tc>
        <w:tc>
          <w:tcPr>
            <w:tcW w:w="2268" w:type="dxa"/>
            <w:vAlign w:val="center"/>
          </w:tcPr>
          <w:p>
            <w:pPr>
              <w:pStyle w:val="14"/>
            </w:pPr>
            <w:r>
              <w:t>≥90百分比</w:t>
            </w:r>
          </w:p>
        </w:tc>
        <w:tc>
          <w:tcPr>
            <w:tcW w:w="1276" w:type="dxa"/>
            <w:vAlign w:val="center"/>
          </w:tcPr>
          <w:p>
            <w:pPr>
              <w:pStyle w:val="14"/>
            </w:pPr>
            <w:r>
              <w:t>共青团改革方案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希望小学援建工作</w:t>
            </w:r>
          </w:p>
        </w:tc>
        <w:tc>
          <w:tcPr>
            <w:tcW w:w="5386" w:type="dxa"/>
            <w:vAlign w:val="center"/>
          </w:tcPr>
          <w:p>
            <w:pPr>
              <w:pStyle w:val="14"/>
            </w:pPr>
            <w:r>
              <w:t>希望小学建成质量达标情况</w:t>
            </w:r>
          </w:p>
        </w:tc>
        <w:tc>
          <w:tcPr>
            <w:tcW w:w="2268" w:type="dxa"/>
            <w:vAlign w:val="center"/>
          </w:tcPr>
          <w:p>
            <w:pPr>
              <w:pStyle w:val="14"/>
            </w:pPr>
            <w:r>
              <w:t>100百分比</w:t>
            </w:r>
          </w:p>
        </w:tc>
        <w:tc>
          <w:tcPr>
            <w:tcW w:w="1276" w:type="dxa"/>
            <w:vAlign w:val="center"/>
          </w:tcPr>
          <w:p>
            <w:pPr>
              <w:pStyle w:val="14"/>
            </w:pPr>
            <w:r>
              <w:t>共青团改革方案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工作完成及时性</w:t>
            </w:r>
          </w:p>
        </w:tc>
        <w:tc>
          <w:tcPr>
            <w:tcW w:w="5386" w:type="dxa"/>
            <w:vAlign w:val="center"/>
          </w:tcPr>
          <w:p>
            <w:pPr>
              <w:pStyle w:val="14"/>
            </w:pPr>
            <w:r>
              <w:t>各项活动完成时间</w:t>
            </w:r>
          </w:p>
        </w:tc>
        <w:tc>
          <w:tcPr>
            <w:tcW w:w="2268" w:type="dxa"/>
            <w:vAlign w:val="center"/>
          </w:tcPr>
          <w:p>
            <w:pPr>
              <w:pStyle w:val="14"/>
            </w:pPr>
            <w:r>
              <w:t>100百分比</w:t>
            </w:r>
          </w:p>
        </w:tc>
        <w:tc>
          <w:tcPr>
            <w:tcW w:w="1276" w:type="dxa"/>
            <w:vAlign w:val="center"/>
          </w:tcPr>
          <w:p>
            <w:pPr>
              <w:pStyle w:val="14"/>
            </w:pPr>
            <w:r>
              <w:t>共青团改革方案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5386" w:type="dxa"/>
            <w:vAlign w:val="center"/>
          </w:tcPr>
          <w:p>
            <w:pPr>
              <w:pStyle w:val="14"/>
            </w:pPr>
            <w:r>
              <w:t>反应举办青年活动的支出</w:t>
            </w:r>
          </w:p>
        </w:tc>
        <w:tc>
          <w:tcPr>
            <w:tcW w:w="2268" w:type="dxa"/>
            <w:vAlign w:val="center"/>
          </w:tcPr>
          <w:p>
            <w:pPr>
              <w:pStyle w:val="14"/>
            </w:pPr>
            <w:r>
              <w:t>≤0.4万元</w:t>
            </w:r>
          </w:p>
        </w:tc>
        <w:tc>
          <w:tcPr>
            <w:tcW w:w="1276" w:type="dxa"/>
            <w:vAlign w:val="center"/>
          </w:tcPr>
          <w:p>
            <w:pPr>
              <w:pStyle w:val="14"/>
            </w:pPr>
            <w:r>
              <w:t>共青团改革方案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保障团委工作稳定开展</w:t>
            </w:r>
          </w:p>
        </w:tc>
        <w:tc>
          <w:tcPr>
            <w:tcW w:w="5386" w:type="dxa"/>
            <w:vAlign w:val="center"/>
          </w:tcPr>
          <w:p>
            <w:pPr>
              <w:pStyle w:val="14"/>
            </w:pPr>
            <w:r>
              <w:t>通过及时办理经费支出，确保团委办公正常运转。</w:t>
            </w:r>
          </w:p>
        </w:tc>
        <w:tc>
          <w:tcPr>
            <w:tcW w:w="2268" w:type="dxa"/>
            <w:vAlign w:val="center"/>
          </w:tcPr>
          <w:p>
            <w:pPr>
              <w:pStyle w:val="14"/>
            </w:pPr>
            <w:r>
              <w:t>≥80百分比</w:t>
            </w:r>
          </w:p>
        </w:tc>
        <w:tc>
          <w:tcPr>
            <w:tcW w:w="1276" w:type="dxa"/>
            <w:vAlign w:val="center"/>
          </w:tcPr>
          <w:p>
            <w:pPr>
              <w:pStyle w:val="14"/>
            </w:pPr>
            <w:r>
              <w:t>共青团改革方案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业务工作可持续性</w:t>
            </w:r>
          </w:p>
        </w:tc>
        <w:tc>
          <w:tcPr>
            <w:tcW w:w="5386" w:type="dxa"/>
            <w:vAlign w:val="center"/>
          </w:tcPr>
          <w:p>
            <w:pPr>
              <w:pStyle w:val="14"/>
            </w:pPr>
            <w:r>
              <w:t>通过及时办理经费支出，确保团委办公正常运转。</w:t>
            </w:r>
          </w:p>
        </w:tc>
        <w:tc>
          <w:tcPr>
            <w:tcW w:w="2268" w:type="dxa"/>
            <w:vAlign w:val="center"/>
          </w:tcPr>
          <w:p>
            <w:pPr>
              <w:pStyle w:val="14"/>
            </w:pPr>
            <w:r>
              <w:t>≥80百分比</w:t>
            </w:r>
          </w:p>
        </w:tc>
        <w:tc>
          <w:tcPr>
            <w:tcW w:w="1276" w:type="dxa"/>
            <w:vAlign w:val="center"/>
          </w:tcPr>
          <w:p>
            <w:pPr>
              <w:pStyle w:val="14"/>
            </w:pPr>
            <w:r>
              <w:t>共青团改革方案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青少年满意度</w:t>
            </w:r>
          </w:p>
        </w:tc>
        <w:tc>
          <w:tcPr>
            <w:tcW w:w="5386" w:type="dxa"/>
            <w:vAlign w:val="center"/>
          </w:tcPr>
          <w:p>
            <w:pPr>
              <w:pStyle w:val="14"/>
            </w:pPr>
            <w:r>
              <w:t>参加活动人员的满意占比</w:t>
            </w:r>
          </w:p>
        </w:tc>
        <w:tc>
          <w:tcPr>
            <w:tcW w:w="2268" w:type="dxa"/>
            <w:vAlign w:val="center"/>
          </w:tcPr>
          <w:p>
            <w:pPr>
              <w:pStyle w:val="14"/>
            </w:pPr>
            <w:r>
              <w:t>≥95百分比</w:t>
            </w:r>
          </w:p>
        </w:tc>
        <w:tc>
          <w:tcPr>
            <w:tcW w:w="1276" w:type="dxa"/>
            <w:vAlign w:val="center"/>
          </w:tcPr>
          <w:p>
            <w:pPr>
              <w:pStyle w:val="14"/>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2、预防青少年违法犯罪工作经费绩效目标表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13032125P00334910348K</w:t>
            </w:r>
          </w:p>
        </w:tc>
        <w:tc>
          <w:tcPr>
            <w:tcW w:w="2835" w:type="dxa"/>
            <w:vAlign w:val="center"/>
          </w:tcPr>
          <w:p>
            <w:pPr>
              <w:pStyle w:val="12"/>
            </w:pPr>
            <w:r>
              <w:t>项目名称</w:t>
            </w:r>
          </w:p>
        </w:tc>
        <w:tc>
          <w:tcPr>
            <w:tcW w:w="6095" w:type="dxa"/>
            <w:gridSpan w:val="3"/>
            <w:vAlign w:val="center"/>
          </w:tcPr>
          <w:p>
            <w:pPr>
              <w:pStyle w:val="14"/>
            </w:pPr>
            <w:r>
              <w:t>预防青少年违法犯罪工作经费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0.50</w:t>
            </w:r>
          </w:p>
        </w:tc>
        <w:tc>
          <w:tcPr>
            <w:tcW w:w="2835" w:type="dxa"/>
            <w:vAlign w:val="center"/>
          </w:tcPr>
          <w:p>
            <w:pPr>
              <w:pStyle w:val="12"/>
            </w:pPr>
            <w:r>
              <w:t>其中：财政    资金</w:t>
            </w:r>
          </w:p>
        </w:tc>
        <w:tc>
          <w:tcPr>
            <w:tcW w:w="2551" w:type="dxa"/>
            <w:vAlign w:val="center"/>
          </w:tcPr>
          <w:p>
            <w:pPr>
              <w:pStyle w:val="14"/>
            </w:pPr>
            <w:r>
              <w:t>0.50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预算数0.5万元，其中财政资金0.5万元。主要用于预防青少年违法犯罪工作。</w:t>
            </w:r>
            <w:r>
              <w:tab/>
            </w:r>
            <w:r>
              <w:tab/>
            </w:r>
            <w:r>
              <w:tab/>
            </w:r>
            <w:r>
              <w:tab/>
            </w:r>
            <w:r>
              <w:tab/>
            </w:r>
            <w:r>
              <w:tab/>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0.20</w:t>
            </w:r>
          </w:p>
        </w:tc>
        <w:tc>
          <w:tcPr>
            <w:tcW w:w="2835" w:type="dxa"/>
            <w:vAlign w:val="center"/>
          </w:tcPr>
          <w:p>
            <w:pPr>
              <w:pStyle w:val="15"/>
            </w:pPr>
            <w:r>
              <w:t>0.30</w:t>
            </w:r>
          </w:p>
        </w:tc>
        <w:tc>
          <w:tcPr>
            <w:tcW w:w="2551" w:type="dxa"/>
            <w:vAlign w:val="center"/>
          </w:tcPr>
          <w:p>
            <w:pPr>
              <w:pStyle w:val="15"/>
            </w:pPr>
            <w:r>
              <w:t>0.40</w:t>
            </w:r>
          </w:p>
        </w:tc>
        <w:tc>
          <w:tcPr>
            <w:tcW w:w="3544" w:type="dxa"/>
            <w:gridSpan w:val="2"/>
            <w:vAlign w:val="center"/>
          </w:tcPr>
          <w:p>
            <w:pPr>
              <w:pStyle w:val="15"/>
            </w:pPr>
            <w:r>
              <w:t>0.50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1.通过开展全县青少您寒暑期自护教育及中高考心理辅导，帮助青少年平安度过寒暑假及调整应届考生应考心理素质。</w:t>
            </w:r>
            <w:r>
              <w:tab/>
            </w:r>
            <w:r>
              <w:tab/>
            </w:r>
            <w:r>
              <w:tab/>
            </w:r>
            <w:r>
              <w:tab/>
            </w:r>
            <w:r>
              <w:tab/>
            </w:r>
            <w:r>
              <w:tab/>
            </w:r>
          </w:p>
          <w:p>
            <w:pPr>
              <w:pStyle w:val="14"/>
            </w:pPr>
            <w:r>
              <w:t>2.通过开展全县青少年预防违法犯罪宣传教育活动，增强青少年学法、尊法、守法、用法意识。</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宣传教育次数</w:t>
            </w:r>
          </w:p>
        </w:tc>
        <w:tc>
          <w:tcPr>
            <w:tcW w:w="5386" w:type="dxa"/>
            <w:vAlign w:val="center"/>
          </w:tcPr>
          <w:p>
            <w:pPr>
              <w:pStyle w:val="14"/>
            </w:pPr>
            <w:r>
              <w:t>反映“预防青少年违法犯罪”活动的次数</w:t>
            </w:r>
          </w:p>
        </w:tc>
        <w:tc>
          <w:tcPr>
            <w:tcW w:w="2268" w:type="dxa"/>
            <w:vAlign w:val="center"/>
          </w:tcPr>
          <w:p>
            <w:pPr>
              <w:pStyle w:val="14"/>
            </w:pPr>
            <w:r>
              <w:t>≥4次</w:t>
            </w:r>
          </w:p>
        </w:tc>
        <w:tc>
          <w:tcPr>
            <w:tcW w:w="1276" w:type="dxa"/>
            <w:vAlign w:val="center"/>
          </w:tcPr>
          <w:p>
            <w:pPr>
              <w:pStyle w:val="14"/>
            </w:pPr>
            <w:r>
              <w:t>年度青少年事务社会工作计划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寒暑期自护教育</w:t>
            </w:r>
          </w:p>
        </w:tc>
        <w:tc>
          <w:tcPr>
            <w:tcW w:w="5386" w:type="dxa"/>
            <w:vAlign w:val="center"/>
          </w:tcPr>
          <w:p>
            <w:pPr>
              <w:pStyle w:val="14"/>
            </w:pPr>
            <w:r>
              <w:t>反映寒暑期自护教育的次数</w:t>
            </w:r>
          </w:p>
        </w:tc>
        <w:tc>
          <w:tcPr>
            <w:tcW w:w="2268" w:type="dxa"/>
            <w:vAlign w:val="center"/>
          </w:tcPr>
          <w:p>
            <w:pPr>
              <w:pStyle w:val="14"/>
            </w:pPr>
            <w:r>
              <w:t>≥2次</w:t>
            </w:r>
          </w:p>
        </w:tc>
        <w:tc>
          <w:tcPr>
            <w:tcW w:w="1276" w:type="dxa"/>
            <w:vAlign w:val="center"/>
          </w:tcPr>
          <w:p>
            <w:pPr>
              <w:pStyle w:val="14"/>
            </w:pPr>
            <w:r>
              <w:t>年度青少年事务社会工作计划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中高考心理辅导</w:t>
            </w:r>
          </w:p>
        </w:tc>
        <w:tc>
          <w:tcPr>
            <w:tcW w:w="5386" w:type="dxa"/>
            <w:vAlign w:val="center"/>
          </w:tcPr>
          <w:p>
            <w:pPr>
              <w:pStyle w:val="14"/>
            </w:pPr>
            <w:r>
              <w:t>反映中高考心理辅导的次数</w:t>
            </w:r>
          </w:p>
        </w:tc>
        <w:tc>
          <w:tcPr>
            <w:tcW w:w="2268" w:type="dxa"/>
            <w:vAlign w:val="center"/>
          </w:tcPr>
          <w:p>
            <w:pPr>
              <w:pStyle w:val="14"/>
            </w:pPr>
            <w:r>
              <w:t>≥2次</w:t>
            </w:r>
          </w:p>
        </w:tc>
        <w:tc>
          <w:tcPr>
            <w:tcW w:w="1276" w:type="dxa"/>
            <w:vAlign w:val="center"/>
          </w:tcPr>
          <w:p>
            <w:pPr>
              <w:pStyle w:val="14"/>
            </w:pPr>
            <w:r>
              <w:t>年度青少年事务社会工作计划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预防活动完成率</w:t>
            </w:r>
          </w:p>
        </w:tc>
        <w:tc>
          <w:tcPr>
            <w:tcW w:w="5386" w:type="dxa"/>
            <w:vAlign w:val="center"/>
          </w:tcPr>
          <w:p>
            <w:pPr>
              <w:pStyle w:val="14"/>
            </w:pPr>
            <w:r>
              <w:t>反映各项活动完成程度</w:t>
            </w:r>
          </w:p>
        </w:tc>
        <w:tc>
          <w:tcPr>
            <w:tcW w:w="2268" w:type="dxa"/>
            <w:vAlign w:val="center"/>
          </w:tcPr>
          <w:p>
            <w:pPr>
              <w:pStyle w:val="14"/>
            </w:pPr>
            <w:r>
              <w:t>≥85百分比</w:t>
            </w:r>
          </w:p>
        </w:tc>
        <w:tc>
          <w:tcPr>
            <w:tcW w:w="1276" w:type="dxa"/>
            <w:vAlign w:val="center"/>
          </w:tcPr>
          <w:p>
            <w:pPr>
              <w:pStyle w:val="14"/>
            </w:pPr>
            <w:r>
              <w:t>年度青少年事务社会工作计划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预防活动完成及时性</w:t>
            </w:r>
          </w:p>
        </w:tc>
        <w:tc>
          <w:tcPr>
            <w:tcW w:w="5386" w:type="dxa"/>
            <w:vAlign w:val="center"/>
          </w:tcPr>
          <w:p>
            <w:pPr>
              <w:pStyle w:val="14"/>
            </w:pPr>
            <w:r>
              <w:t>各项活动完成时间</w:t>
            </w:r>
          </w:p>
        </w:tc>
        <w:tc>
          <w:tcPr>
            <w:tcW w:w="2268" w:type="dxa"/>
            <w:vAlign w:val="center"/>
          </w:tcPr>
          <w:p>
            <w:pPr>
              <w:pStyle w:val="14"/>
            </w:pPr>
            <w:r>
              <w:t>≤1年</w:t>
            </w:r>
          </w:p>
        </w:tc>
        <w:tc>
          <w:tcPr>
            <w:tcW w:w="1276" w:type="dxa"/>
            <w:vAlign w:val="center"/>
          </w:tcPr>
          <w:p>
            <w:pPr>
              <w:pStyle w:val="14"/>
            </w:pPr>
            <w:r>
              <w:t>年度青少年事务社会工作计划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宣传资料支出</w:t>
            </w:r>
          </w:p>
        </w:tc>
        <w:tc>
          <w:tcPr>
            <w:tcW w:w="5386" w:type="dxa"/>
            <w:vAlign w:val="center"/>
          </w:tcPr>
          <w:p>
            <w:pPr>
              <w:pStyle w:val="14"/>
            </w:pPr>
            <w:r>
              <w:t>反映用于各项活动的宣传资料支出的金额</w:t>
            </w:r>
          </w:p>
        </w:tc>
        <w:tc>
          <w:tcPr>
            <w:tcW w:w="2268" w:type="dxa"/>
            <w:vAlign w:val="center"/>
          </w:tcPr>
          <w:p>
            <w:pPr>
              <w:pStyle w:val="14"/>
            </w:pPr>
            <w:r>
              <w:t>≤0.5万元</w:t>
            </w:r>
          </w:p>
        </w:tc>
        <w:tc>
          <w:tcPr>
            <w:tcW w:w="1276" w:type="dxa"/>
            <w:vAlign w:val="center"/>
          </w:tcPr>
          <w:p>
            <w:pPr>
              <w:pStyle w:val="14"/>
            </w:pPr>
            <w:r>
              <w:t>年度青少年事务社会工作计划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保障团委工作稳定开展</w:t>
            </w:r>
          </w:p>
        </w:tc>
        <w:tc>
          <w:tcPr>
            <w:tcW w:w="5386" w:type="dxa"/>
            <w:vAlign w:val="center"/>
          </w:tcPr>
          <w:p>
            <w:pPr>
              <w:pStyle w:val="14"/>
            </w:pPr>
            <w:r>
              <w:t>通过及时办理经费支出，确保团委办公正常运转</w:t>
            </w:r>
          </w:p>
        </w:tc>
        <w:tc>
          <w:tcPr>
            <w:tcW w:w="2268" w:type="dxa"/>
            <w:vAlign w:val="center"/>
          </w:tcPr>
          <w:p>
            <w:pPr>
              <w:pStyle w:val="14"/>
            </w:pPr>
            <w:r>
              <w:t>≥80百分比</w:t>
            </w:r>
          </w:p>
        </w:tc>
        <w:tc>
          <w:tcPr>
            <w:tcW w:w="1276" w:type="dxa"/>
            <w:vAlign w:val="center"/>
          </w:tcPr>
          <w:p>
            <w:pPr>
              <w:pStyle w:val="14"/>
            </w:pPr>
            <w:r>
              <w:t>共青团改革方案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业务工作可持续性</w:t>
            </w:r>
          </w:p>
        </w:tc>
        <w:tc>
          <w:tcPr>
            <w:tcW w:w="5386" w:type="dxa"/>
            <w:vAlign w:val="center"/>
          </w:tcPr>
          <w:p>
            <w:pPr>
              <w:pStyle w:val="14"/>
            </w:pPr>
            <w:r>
              <w:t>通过及时办理经费支出，确保团委办公正常运转</w:t>
            </w:r>
          </w:p>
        </w:tc>
        <w:tc>
          <w:tcPr>
            <w:tcW w:w="2268" w:type="dxa"/>
            <w:vAlign w:val="center"/>
          </w:tcPr>
          <w:p>
            <w:pPr>
              <w:pStyle w:val="14"/>
            </w:pPr>
            <w:r>
              <w:t>≥80百分比</w:t>
            </w:r>
          </w:p>
        </w:tc>
        <w:tc>
          <w:tcPr>
            <w:tcW w:w="1276" w:type="dxa"/>
            <w:vAlign w:val="center"/>
          </w:tcPr>
          <w:p>
            <w:pPr>
              <w:pStyle w:val="14"/>
            </w:pPr>
            <w:r>
              <w:t>共青团改革方案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青少年满意度</w:t>
            </w:r>
          </w:p>
        </w:tc>
        <w:tc>
          <w:tcPr>
            <w:tcW w:w="5386" w:type="dxa"/>
            <w:vAlign w:val="center"/>
          </w:tcPr>
          <w:p>
            <w:pPr>
              <w:pStyle w:val="14"/>
            </w:pPr>
            <w:r>
              <w:t>参加活动人员的满意的占比</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3、组织建设和宣传教育等团委事务管理经费绩效目标表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13032125P003349103470</w:t>
            </w:r>
          </w:p>
        </w:tc>
        <w:tc>
          <w:tcPr>
            <w:tcW w:w="2835" w:type="dxa"/>
            <w:vAlign w:val="center"/>
          </w:tcPr>
          <w:p>
            <w:pPr>
              <w:pStyle w:val="12"/>
            </w:pPr>
            <w:r>
              <w:t>项目名称</w:t>
            </w:r>
          </w:p>
        </w:tc>
        <w:tc>
          <w:tcPr>
            <w:tcW w:w="6095" w:type="dxa"/>
            <w:gridSpan w:val="3"/>
            <w:vAlign w:val="center"/>
          </w:tcPr>
          <w:p>
            <w:pPr>
              <w:pStyle w:val="14"/>
            </w:pPr>
            <w:r>
              <w:t>组织建设和宣传教育等团委事务管理经费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2.10</w:t>
            </w:r>
          </w:p>
        </w:tc>
        <w:tc>
          <w:tcPr>
            <w:tcW w:w="2835" w:type="dxa"/>
            <w:vAlign w:val="center"/>
          </w:tcPr>
          <w:p>
            <w:pPr>
              <w:pStyle w:val="12"/>
            </w:pPr>
            <w:r>
              <w:t>其中：财政    资金</w:t>
            </w:r>
          </w:p>
        </w:tc>
        <w:tc>
          <w:tcPr>
            <w:tcW w:w="2551" w:type="dxa"/>
            <w:vAlign w:val="center"/>
          </w:tcPr>
          <w:p>
            <w:pPr>
              <w:pStyle w:val="14"/>
            </w:pPr>
            <w:r>
              <w:t>2.10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预算数2.1万元，其中财政资金2.1万元。主要用于组织建设和宣传教育等团委事务管理工作。</w:t>
            </w:r>
            <w:r>
              <w:tab/>
            </w:r>
            <w:r>
              <w:tab/>
            </w:r>
            <w:r>
              <w:tab/>
            </w:r>
            <w:r>
              <w:tab/>
            </w:r>
            <w:r>
              <w:tab/>
            </w:r>
            <w:r>
              <w:tab/>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1.00</w:t>
            </w:r>
          </w:p>
        </w:tc>
        <w:tc>
          <w:tcPr>
            <w:tcW w:w="2835" w:type="dxa"/>
            <w:vAlign w:val="center"/>
          </w:tcPr>
          <w:p>
            <w:pPr>
              <w:pStyle w:val="15"/>
            </w:pPr>
            <w:r>
              <w:t>1.50</w:t>
            </w:r>
          </w:p>
        </w:tc>
        <w:tc>
          <w:tcPr>
            <w:tcW w:w="2551" w:type="dxa"/>
            <w:vAlign w:val="center"/>
          </w:tcPr>
          <w:p>
            <w:pPr>
              <w:pStyle w:val="15"/>
            </w:pPr>
            <w:r>
              <w:t>2.00</w:t>
            </w:r>
          </w:p>
        </w:tc>
        <w:tc>
          <w:tcPr>
            <w:tcW w:w="3544" w:type="dxa"/>
            <w:gridSpan w:val="2"/>
            <w:vAlign w:val="center"/>
          </w:tcPr>
          <w:p>
            <w:pPr>
              <w:pStyle w:val="15"/>
            </w:pPr>
            <w:r>
              <w:t>2.10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1.通过加强基层干部、少先队工作者教育培训，提升自身素质，更好的开展青少年工作。</w:t>
            </w:r>
            <w:r>
              <w:tab/>
            </w:r>
            <w:r>
              <w:tab/>
            </w:r>
            <w:r>
              <w:tab/>
            </w:r>
            <w:r>
              <w:tab/>
            </w:r>
            <w:r>
              <w:tab/>
            </w:r>
            <w:r>
              <w:tab/>
            </w:r>
          </w:p>
          <w:p>
            <w:pPr>
              <w:pStyle w:val="14"/>
            </w:pPr>
            <w:r>
              <w:t>2.通过举办青年联席会议，确保青年工作项目顺利开展</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青年联席会议次数</w:t>
            </w:r>
          </w:p>
        </w:tc>
        <w:tc>
          <w:tcPr>
            <w:tcW w:w="5386" w:type="dxa"/>
            <w:vAlign w:val="center"/>
          </w:tcPr>
          <w:p>
            <w:pPr>
              <w:pStyle w:val="14"/>
            </w:pPr>
            <w:r>
              <w:t>举办青年联席会议的次数</w:t>
            </w:r>
          </w:p>
        </w:tc>
        <w:tc>
          <w:tcPr>
            <w:tcW w:w="2268" w:type="dxa"/>
            <w:vAlign w:val="center"/>
          </w:tcPr>
          <w:p>
            <w:pPr>
              <w:pStyle w:val="14"/>
            </w:pPr>
            <w:r>
              <w:t>≥1次</w:t>
            </w:r>
          </w:p>
        </w:tc>
        <w:tc>
          <w:tcPr>
            <w:tcW w:w="1276" w:type="dxa"/>
            <w:vAlign w:val="center"/>
          </w:tcPr>
          <w:p>
            <w:pPr>
              <w:pStyle w:val="14"/>
            </w:pPr>
            <w:r>
              <w:t>共青团改革方案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基层团干部培训人数</w:t>
            </w:r>
          </w:p>
        </w:tc>
        <w:tc>
          <w:tcPr>
            <w:tcW w:w="5386" w:type="dxa"/>
            <w:vAlign w:val="center"/>
          </w:tcPr>
          <w:p>
            <w:pPr>
              <w:pStyle w:val="14"/>
            </w:pPr>
            <w:r>
              <w:t>全县基层团干部教育培训人数</w:t>
            </w:r>
          </w:p>
        </w:tc>
        <w:tc>
          <w:tcPr>
            <w:tcW w:w="2268" w:type="dxa"/>
            <w:vAlign w:val="center"/>
          </w:tcPr>
          <w:p>
            <w:pPr>
              <w:pStyle w:val="14"/>
            </w:pPr>
            <w:r>
              <w:t>≥30人</w:t>
            </w:r>
          </w:p>
        </w:tc>
        <w:tc>
          <w:tcPr>
            <w:tcW w:w="1276" w:type="dxa"/>
            <w:vAlign w:val="center"/>
          </w:tcPr>
          <w:p>
            <w:pPr>
              <w:pStyle w:val="14"/>
            </w:pPr>
            <w:r>
              <w:t>中长期青少年发展规划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少先队工作者培训人数</w:t>
            </w:r>
          </w:p>
        </w:tc>
        <w:tc>
          <w:tcPr>
            <w:tcW w:w="5386" w:type="dxa"/>
            <w:vAlign w:val="center"/>
          </w:tcPr>
          <w:p>
            <w:pPr>
              <w:pStyle w:val="14"/>
            </w:pPr>
            <w:r>
              <w:t>县少工委培训少先队工作者人数</w:t>
            </w:r>
          </w:p>
        </w:tc>
        <w:tc>
          <w:tcPr>
            <w:tcW w:w="2268" w:type="dxa"/>
            <w:vAlign w:val="center"/>
          </w:tcPr>
          <w:p>
            <w:pPr>
              <w:pStyle w:val="14"/>
            </w:pPr>
            <w:r>
              <w:t>≥40人</w:t>
            </w:r>
          </w:p>
        </w:tc>
        <w:tc>
          <w:tcPr>
            <w:tcW w:w="1276" w:type="dxa"/>
            <w:vAlign w:val="center"/>
          </w:tcPr>
          <w:p>
            <w:pPr>
              <w:pStyle w:val="14"/>
            </w:pPr>
            <w:r>
              <w:t>中长期青少年发展规划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预防宣传活动完成率</w:t>
            </w:r>
          </w:p>
        </w:tc>
        <w:tc>
          <w:tcPr>
            <w:tcW w:w="5386" w:type="dxa"/>
            <w:vAlign w:val="center"/>
          </w:tcPr>
          <w:p>
            <w:pPr>
              <w:pStyle w:val="14"/>
            </w:pPr>
            <w:r>
              <w:t>反应各项活动完成程度</w:t>
            </w:r>
          </w:p>
        </w:tc>
        <w:tc>
          <w:tcPr>
            <w:tcW w:w="2268" w:type="dxa"/>
            <w:vAlign w:val="center"/>
          </w:tcPr>
          <w:p>
            <w:pPr>
              <w:pStyle w:val="14"/>
            </w:pPr>
            <w:r>
              <w:t>≥95百分比</w:t>
            </w:r>
          </w:p>
        </w:tc>
        <w:tc>
          <w:tcPr>
            <w:tcW w:w="1276" w:type="dxa"/>
            <w:vAlign w:val="center"/>
          </w:tcPr>
          <w:p>
            <w:pPr>
              <w:pStyle w:val="14"/>
            </w:pPr>
            <w:r>
              <w:t>中长期青少年发展规划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活动完成及时性</w:t>
            </w:r>
          </w:p>
        </w:tc>
        <w:tc>
          <w:tcPr>
            <w:tcW w:w="5386" w:type="dxa"/>
            <w:vAlign w:val="center"/>
          </w:tcPr>
          <w:p>
            <w:pPr>
              <w:pStyle w:val="14"/>
            </w:pPr>
            <w:r>
              <w:t>反应各项活动完成时间</w:t>
            </w:r>
          </w:p>
        </w:tc>
        <w:tc>
          <w:tcPr>
            <w:tcW w:w="2268" w:type="dxa"/>
            <w:vAlign w:val="center"/>
          </w:tcPr>
          <w:p>
            <w:pPr>
              <w:pStyle w:val="14"/>
            </w:pPr>
            <w:r>
              <w:t>100百分比</w:t>
            </w:r>
          </w:p>
        </w:tc>
        <w:tc>
          <w:tcPr>
            <w:tcW w:w="1276" w:type="dxa"/>
            <w:vAlign w:val="center"/>
          </w:tcPr>
          <w:p>
            <w:pPr>
              <w:pStyle w:val="14"/>
            </w:pPr>
            <w:r>
              <w:t>共青团改革方案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费用支出控制在预算范围内</w:t>
            </w:r>
          </w:p>
        </w:tc>
        <w:tc>
          <w:tcPr>
            <w:tcW w:w="2268" w:type="dxa"/>
            <w:vAlign w:val="center"/>
          </w:tcPr>
          <w:p>
            <w:pPr>
              <w:pStyle w:val="14"/>
            </w:pPr>
            <w:r>
              <w:t>≤2.1万元</w:t>
            </w:r>
          </w:p>
        </w:tc>
        <w:tc>
          <w:tcPr>
            <w:tcW w:w="1276" w:type="dxa"/>
            <w:vAlign w:val="center"/>
          </w:tcPr>
          <w:p>
            <w:pPr>
              <w:pStyle w:val="14"/>
            </w:pPr>
            <w:r>
              <w:t>共青团改革方案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保障团委工作稳定开展</w:t>
            </w:r>
          </w:p>
        </w:tc>
        <w:tc>
          <w:tcPr>
            <w:tcW w:w="5386" w:type="dxa"/>
            <w:vAlign w:val="center"/>
          </w:tcPr>
          <w:p>
            <w:pPr>
              <w:pStyle w:val="14"/>
            </w:pPr>
            <w:r>
              <w:t>通过及时办理经费支出，确保团委工作正常运转。</w:t>
            </w:r>
          </w:p>
        </w:tc>
        <w:tc>
          <w:tcPr>
            <w:tcW w:w="2268" w:type="dxa"/>
            <w:vAlign w:val="center"/>
          </w:tcPr>
          <w:p>
            <w:pPr>
              <w:pStyle w:val="14"/>
            </w:pPr>
            <w:r>
              <w:t>≥80百分比</w:t>
            </w:r>
          </w:p>
        </w:tc>
        <w:tc>
          <w:tcPr>
            <w:tcW w:w="1276" w:type="dxa"/>
            <w:vAlign w:val="center"/>
          </w:tcPr>
          <w:p>
            <w:pPr>
              <w:pStyle w:val="14"/>
            </w:pPr>
            <w:r>
              <w:t>共青团改革方案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业务工作可持续性</w:t>
            </w:r>
          </w:p>
        </w:tc>
        <w:tc>
          <w:tcPr>
            <w:tcW w:w="5386" w:type="dxa"/>
            <w:vAlign w:val="center"/>
          </w:tcPr>
          <w:p>
            <w:pPr>
              <w:pStyle w:val="14"/>
            </w:pPr>
            <w:r>
              <w:t>通过及时办理经费支出，确保团委工作正常运转。</w:t>
            </w:r>
          </w:p>
        </w:tc>
        <w:tc>
          <w:tcPr>
            <w:tcW w:w="2268" w:type="dxa"/>
            <w:vAlign w:val="center"/>
          </w:tcPr>
          <w:p>
            <w:pPr>
              <w:pStyle w:val="14"/>
            </w:pPr>
            <w:r>
              <w:t>≥80百分比</w:t>
            </w:r>
          </w:p>
        </w:tc>
        <w:tc>
          <w:tcPr>
            <w:tcW w:w="1276" w:type="dxa"/>
            <w:vAlign w:val="center"/>
          </w:tcPr>
          <w:p>
            <w:pPr>
              <w:pStyle w:val="14"/>
            </w:pPr>
            <w:r>
              <w:t>共青团改革方案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青少年满意度</w:t>
            </w:r>
          </w:p>
        </w:tc>
        <w:tc>
          <w:tcPr>
            <w:tcW w:w="5386" w:type="dxa"/>
            <w:vAlign w:val="center"/>
          </w:tcPr>
          <w:p>
            <w:pPr>
              <w:pStyle w:val="14"/>
            </w:pPr>
            <w:r>
              <w:t>参加活动人员的满意占比</w:t>
            </w:r>
          </w:p>
        </w:tc>
        <w:tc>
          <w:tcPr>
            <w:tcW w:w="2268" w:type="dxa"/>
            <w:vAlign w:val="center"/>
          </w:tcPr>
          <w:p>
            <w:pPr>
              <w:pStyle w:val="14"/>
            </w:pPr>
            <w:r>
              <w:t>≥95百分比</w:t>
            </w:r>
          </w:p>
        </w:tc>
        <w:tc>
          <w:tcPr>
            <w:tcW w:w="1276" w:type="dxa"/>
            <w:vAlign w:val="center"/>
          </w:tcPr>
          <w:p>
            <w:pPr>
              <w:pStyle w:val="14"/>
            </w:pPr>
            <w:r>
              <w:t>共青团改革方案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5" w:name="_Toc_3_3_0000000017"/>
      <w:r>
        <w:rPr>
          <w:rFonts w:hint="eastAsia" w:ascii="黑体" w:hAnsi="黑体" w:eastAsia="黑体" w:cs="黑体"/>
          <w:color w:val="000000"/>
          <w:sz w:val="32"/>
          <w:lang w:val="en-US" w:eastAsia="zh-CN"/>
        </w:rPr>
        <w:t>七</w:t>
      </w:r>
      <w:r>
        <w:rPr>
          <w:rFonts w:ascii="黑体" w:hAnsi="黑体" w:eastAsia="黑体" w:cs="黑体"/>
          <w:color w:val="000000"/>
          <w:sz w:val="32"/>
        </w:rPr>
        <w:t>、政府采购预算情况</w:t>
      </w:r>
      <w:bookmarkEnd w:id="15"/>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712中国共产主义青年团青龙满族自治县委员会</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0.20</w:t>
            </w:r>
          </w:p>
        </w:tc>
        <w:tc>
          <w:tcPr>
            <w:tcW w:w="964" w:type="dxa"/>
            <w:vAlign w:val="center"/>
          </w:tcPr>
          <w:p>
            <w:pPr>
              <w:pStyle w:val="17"/>
            </w:pPr>
            <w:r>
              <w:t>0.20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6"/>
            </w:pPr>
            <w:r>
              <w:t>中国共产主义青年团青龙满族自治县委员会本级小计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0.20</w:t>
            </w:r>
          </w:p>
        </w:tc>
        <w:tc>
          <w:tcPr>
            <w:tcW w:w="964" w:type="dxa"/>
            <w:vAlign w:val="center"/>
          </w:tcPr>
          <w:p>
            <w:pPr>
              <w:pStyle w:val="17"/>
            </w:pPr>
            <w:r>
              <w:t>0.20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公用经费一</w:t>
            </w:r>
          </w:p>
        </w:tc>
        <w:tc>
          <w:tcPr>
            <w:tcW w:w="964" w:type="dxa"/>
            <w:vAlign w:val="center"/>
          </w:tcPr>
          <w:p>
            <w:pPr>
              <w:pStyle w:val="13"/>
            </w:pPr>
            <w:r>
              <w:t>1.44</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118</w:t>
            </w:r>
          </w:p>
        </w:tc>
        <w:tc>
          <w:tcPr>
            <w:tcW w:w="850" w:type="dxa"/>
            <w:vAlign w:val="center"/>
          </w:tcPr>
          <w:p>
            <w:pPr>
              <w:pStyle w:val="13"/>
            </w:pPr>
            <w:r>
              <w:t>0.00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8"/>
      <w:r>
        <w:rPr>
          <w:rFonts w:hint="eastAsia" w:ascii="黑体" w:hAnsi="黑体" w:eastAsia="黑体" w:cs="黑体"/>
          <w:color w:val="000000"/>
          <w:sz w:val="32"/>
          <w:lang w:val="en-US" w:eastAsia="zh-CN"/>
        </w:rPr>
        <w:t>八</w:t>
      </w:r>
      <w:r>
        <w:rPr>
          <w:rFonts w:ascii="黑体" w:hAnsi="黑体" w:eastAsia="黑体" w:cs="黑体"/>
          <w:color w:val="000000"/>
          <w:sz w:val="32"/>
        </w:rPr>
        <w:t>、国有资产信息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中国共产主义青年团青龙满族自治县委员会（含所属单位）上年末固定资产金额为17.47万元（详见下表）。本年度拟购置固定资产总额为0.00万元，已按要求列入政府采购预算，详见政府采购预算表。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712中国共产主义青年团青龙满族自治县委员会</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17.47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10.78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6.69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9"/>
      <w:r>
        <w:rPr>
          <w:rFonts w:hint="eastAsia" w:ascii="黑体" w:hAnsi="黑体" w:eastAsia="黑体" w:cs="黑体"/>
          <w:color w:val="000000"/>
          <w:sz w:val="32"/>
          <w:lang w:val="en-US" w:eastAsia="zh-CN"/>
        </w:rPr>
        <w:t>九</w:t>
      </w:r>
      <w:r>
        <w:rPr>
          <w:rFonts w:ascii="黑体" w:hAnsi="黑体" w:eastAsia="黑体" w:cs="黑体"/>
          <w:color w:val="000000"/>
          <w:sz w:val="32"/>
        </w:rPr>
        <w:t>、名词解释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8" w:name="_Toc_3_3_0000000020"/>
      <w:r>
        <w:rPr>
          <w:rFonts w:ascii="黑体" w:hAnsi="黑体" w:eastAsia="黑体" w:cs="黑体"/>
          <w:color w:val="000000"/>
          <w:sz w:val="32"/>
        </w:rPr>
        <w:t>十、其他需要说明的事项</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ODY5MTgxNmU5OTZjZDFlMjQ1YTZjODNkZDVmNDMifQ=="/>
  </w:docVars>
  <w:rsids>
    <w:rsidRoot w:val="00000000"/>
    <w:rsid w:val="1B8A16F7"/>
    <w:rsid w:val="43941B82"/>
    <w:rsid w:val="59277A7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8"/>
      <w:szCs w:val="28"/>
      <w:lang w:val="en-US" w:eastAsia="zh-CN" w:bidi="ar-SA"/>
    </w:r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Words>9238</Words>
  <Characters>10500</Characters>
  <TotalTime>4</TotalTime>
  <ScaleCrop>false</ScaleCrop>
  <LinksUpToDate>false</LinksUpToDate>
  <CharactersWithSpaces>10699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2025-01-26T15:53:00Z</dcterms:created>
  <dc:creator>Administrator</dc:creator>
  <cp:lastModifiedBy>Administrator</cp:lastModifiedBy>
  <dcterms:modified xsi:type="dcterms:W3CDTF">2025-07-14T09:59:10Z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075F37EEED764DABA7C72A3095C22036_13</vt:lpwstr>
  </property>
</Properties>
</file>