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711青龙满族自治县总工会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166.46</w:t>
            </w:r>
          </w:p>
        </w:tc>
        <w:tc>
          <w:tcPr>
            <w:tcW w:w="4535" w:type="dxa"/>
            <w:vAlign w:val="center"/>
          </w:tcPr>
          <w:p>
            <w:pPr>
              <w:pStyle w:val="12"/>
            </w:pPr>
            <w:r>
              <w:t>一、一般公共服务支出</w:t>
            </w:r>
          </w:p>
        </w:tc>
        <w:tc>
          <w:tcPr>
            <w:tcW w:w="2126" w:type="dxa"/>
            <w:vAlign w:val="center"/>
          </w:tcPr>
          <w:p>
            <w:pPr>
              <w:pStyle w:val="11"/>
            </w:pPr>
            <w:r>
              <w:t>155.10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39.15</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205.61</w:t>
            </w:r>
          </w:p>
        </w:tc>
        <w:tc>
          <w:tcPr>
            <w:tcW w:w="4535" w:type="dxa"/>
            <w:vAlign w:val="center"/>
          </w:tcPr>
          <w:p>
            <w:pPr>
              <w:pStyle w:val="14"/>
            </w:pPr>
            <w:r>
              <w:t>本年支出合计</w:t>
            </w:r>
          </w:p>
        </w:tc>
        <w:tc>
          <w:tcPr>
            <w:tcW w:w="2126" w:type="dxa"/>
            <w:vAlign w:val="center"/>
          </w:tcPr>
          <w:p>
            <w:pPr>
              <w:pStyle w:val="15"/>
            </w:pPr>
            <w:r>
              <w:t>228.82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23.21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228.82</w:t>
            </w:r>
          </w:p>
        </w:tc>
        <w:tc>
          <w:tcPr>
            <w:tcW w:w="4535" w:type="dxa"/>
            <w:vAlign w:val="center"/>
          </w:tcPr>
          <w:p>
            <w:pPr>
              <w:pStyle w:val="14"/>
            </w:pPr>
            <w:r>
              <w:t>支出总计</w:t>
            </w:r>
          </w:p>
        </w:tc>
        <w:tc>
          <w:tcPr>
            <w:tcW w:w="2126" w:type="dxa"/>
            <w:vAlign w:val="center"/>
          </w:tcPr>
          <w:p>
            <w:pPr>
              <w:pStyle w:val="15"/>
            </w:pPr>
            <w:r>
              <w:t>228.82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228.82</w:t>
            </w:r>
          </w:p>
        </w:tc>
        <w:tc>
          <w:tcPr>
            <w:tcW w:w="1134" w:type="dxa"/>
            <w:vAlign w:val="center"/>
          </w:tcPr>
          <w:p>
            <w:pPr>
              <w:pStyle w:val="15"/>
            </w:pPr>
            <w:r>
              <w:t>205.61</w:t>
            </w:r>
          </w:p>
        </w:tc>
        <w:tc>
          <w:tcPr>
            <w:tcW w:w="1134" w:type="dxa"/>
            <w:vAlign w:val="center"/>
          </w:tcPr>
          <w:p>
            <w:pPr>
              <w:pStyle w:val="15"/>
            </w:pPr>
            <w:r>
              <w:t>205.61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155.10</w:t>
            </w:r>
          </w:p>
        </w:tc>
        <w:tc>
          <w:tcPr>
            <w:tcW w:w="1134" w:type="dxa"/>
            <w:vAlign w:val="center"/>
          </w:tcPr>
          <w:p>
            <w:pPr>
              <w:pStyle w:val="11"/>
            </w:pPr>
            <w:r>
              <w:t>131.89</w:t>
            </w:r>
          </w:p>
        </w:tc>
        <w:tc>
          <w:tcPr>
            <w:tcW w:w="1134" w:type="dxa"/>
            <w:vAlign w:val="center"/>
          </w:tcPr>
          <w:p>
            <w:pPr>
              <w:pStyle w:val="11"/>
            </w:pPr>
            <w:r>
              <w:t>131.89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155.10</w:t>
            </w:r>
          </w:p>
        </w:tc>
        <w:tc>
          <w:tcPr>
            <w:tcW w:w="1134" w:type="dxa"/>
            <w:vAlign w:val="center"/>
          </w:tcPr>
          <w:p>
            <w:pPr>
              <w:pStyle w:val="11"/>
            </w:pPr>
            <w:r>
              <w:t>131.89</w:t>
            </w:r>
          </w:p>
        </w:tc>
        <w:tc>
          <w:tcPr>
            <w:tcW w:w="1134" w:type="dxa"/>
            <w:vAlign w:val="center"/>
          </w:tcPr>
          <w:p>
            <w:pPr>
              <w:pStyle w:val="11"/>
            </w:pPr>
            <w:r>
              <w:t>131.89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84.81</w:t>
            </w:r>
          </w:p>
        </w:tc>
        <w:tc>
          <w:tcPr>
            <w:tcW w:w="1134" w:type="dxa"/>
            <w:vAlign w:val="center"/>
          </w:tcPr>
          <w:p>
            <w:pPr>
              <w:pStyle w:val="11"/>
            </w:pPr>
            <w:r>
              <w:t>78.80</w:t>
            </w:r>
          </w:p>
        </w:tc>
        <w:tc>
          <w:tcPr>
            <w:tcW w:w="1134" w:type="dxa"/>
            <w:vAlign w:val="center"/>
          </w:tcPr>
          <w:p>
            <w:pPr>
              <w:pStyle w:val="11"/>
            </w:pPr>
            <w:r>
              <w:t>78.80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26.01</w:t>
            </w:r>
          </w:p>
        </w:tc>
        <w:tc>
          <w:tcPr>
            <w:tcW w:w="1134" w:type="dxa"/>
            <w:vAlign w:val="center"/>
          </w:tcPr>
          <w:p>
            <w:pPr>
              <w:pStyle w:val="11"/>
            </w:pPr>
            <w:r>
              <w:t>8.81</w:t>
            </w:r>
          </w:p>
        </w:tc>
        <w:tc>
          <w:tcPr>
            <w:tcW w:w="1134" w:type="dxa"/>
            <w:vAlign w:val="center"/>
          </w:tcPr>
          <w:p>
            <w:pPr>
              <w:pStyle w:val="11"/>
            </w:pPr>
            <w:r>
              <w:t>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23.53</w:t>
            </w:r>
          </w:p>
        </w:tc>
        <w:tc>
          <w:tcPr>
            <w:tcW w:w="1134" w:type="dxa"/>
            <w:vAlign w:val="center"/>
          </w:tcPr>
          <w:p>
            <w:pPr>
              <w:pStyle w:val="11"/>
            </w:pPr>
            <w:r>
              <w:t>23.53</w:t>
            </w:r>
          </w:p>
        </w:tc>
        <w:tc>
          <w:tcPr>
            <w:tcW w:w="1134" w:type="dxa"/>
            <w:vAlign w:val="center"/>
          </w:tcPr>
          <w:p>
            <w:pPr>
              <w:pStyle w:val="11"/>
            </w:pPr>
            <w:r>
              <w:t>23.53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23.53</w:t>
            </w:r>
          </w:p>
        </w:tc>
        <w:tc>
          <w:tcPr>
            <w:tcW w:w="1134" w:type="dxa"/>
            <w:vAlign w:val="center"/>
          </w:tcPr>
          <w:p>
            <w:pPr>
              <w:pStyle w:val="11"/>
            </w:pPr>
            <w:r>
              <w:t>23.53</w:t>
            </w:r>
          </w:p>
        </w:tc>
        <w:tc>
          <w:tcPr>
            <w:tcW w:w="1134" w:type="dxa"/>
            <w:vAlign w:val="center"/>
          </w:tcPr>
          <w:p>
            <w:pPr>
              <w:pStyle w:val="11"/>
            </w:pPr>
            <w:r>
              <w:t>23.53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r>
              <w:t>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r>
              <w:t>39.15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228.82</w:t>
            </w:r>
          </w:p>
        </w:tc>
        <w:tc>
          <w:tcPr>
            <w:tcW w:w="1361" w:type="dxa"/>
            <w:vAlign w:val="center"/>
          </w:tcPr>
          <w:p>
            <w:pPr>
              <w:pStyle w:val="15"/>
            </w:pPr>
            <w:r>
              <w:t>130.66</w:t>
            </w:r>
          </w:p>
        </w:tc>
        <w:tc>
          <w:tcPr>
            <w:tcW w:w="1361" w:type="dxa"/>
            <w:vAlign w:val="center"/>
          </w:tcPr>
          <w:p>
            <w:pPr>
              <w:pStyle w:val="15"/>
            </w:pPr>
            <w:r>
              <w:t>98.16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155.10</w:t>
            </w:r>
          </w:p>
        </w:tc>
        <w:tc>
          <w:tcPr>
            <w:tcW w:w="1361" w:type="dxa"/>
            <w:vAlign w:val="center"/>
          </w:tcPr>
          <w:p>
            <w:pPr>
              <w:pStyle w:val="11"/>
            </w:pPr>
            <w:r>
              <w:t>96.09</w:t>
            </w:r>
          </w:p>
        </w:tc>
        <w:tc>
          <w:tcPr>
            <w:tcW w:w="1361" w:type="dxa"/>
            <w:vAlign w:val="center"/>
          </w:tcPr>
          <w:p>
            <w:pPr>
              <w:pStyle w:val="11"/>
            </w:pPr>
            <w:r>
              <w:t>59.01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155.10</w:t>
            </w:r>
          </w:p>
        </w:tc>
        <w:tc>
          <w:tcPr>
            <w:tcW w:w="1361" w:type="dxa"/>
            <w:vAlign w:val="center"/>
          </w:tcPr>
          <w:p>
            <w:pPr>
              <w:pStyle w:val="11"/>
            </w:pPr>
            <w:r>
              <w:t>96.09</w:t>
            </w:r>
          </w:p>
        </w:tc>
        <w:tc>
          <w:tcPr>
            <w:tcW w:w="1361" w:type="dxa"/>
            <w:vAlign w:val="center"/>
          </w:tcPr>
          <w:p>
            <w:pPr>
              <w:pStyle w:val="11"/>
            </w:pPr>
            <w:r>
              <w:t>59.01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84.81</w:t>
            </w:r>
          </w:p>
        </w:tc>
        <w:tc>
          <w:tcPr>
            <w:tcW w:w="1361" w:type="dxa"/>
            <w:vAlign w:val="center"/>
          </w:tcPr>
          <w:p>
            <w:pPr>
              <w:pStyle w:val="11"/>
            </w:pPr>
            <w:r>
              <w:t>84.81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26.01</w:t>
            </w:r>
          </w:p>
        </w:tc>
        <w:tc>
          <w:tcPr>
            <w:tcW w:w="1361" w:type="dxa"/>
            <w:vAlign w:val="center"/>
          </w:tcPr>
          <w:p>
            <w:pPr>
              <w:pStyle w:val="11"/>
            </w:pPr>
          </w:p>
        </w:tc>
        <w:tc>
          <w:tcPr>
            <w:tcW w:w="1361" w:type="dxa"/>
            <w:vAlign w:val="center"/>
          </w:tcPr>
          <w:p>
            <w:pPr>
              <w:pStyle w:val="11"/>
            </w:pPr>
            <w:r>
              <w:t>26.01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5" w:type="dxa"/>
            <w:vAlign w:val="center"/>
          </w:tcPr>
          <w:p>
            <w:pPr>
              <w:pStyle w:val="12"/>
            </w:pPr>
            <w:r>
              <w:t>工会事务</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11.28</w:t>
            </w:r>
          </w:p>
        </w:tc>
        <w:tc>
          <w:tcPr>
            <w:tcW w:w="1361" w:type="dxa"/>
            <w:vAlign w:val="center"/>
          </w:tcPr>
          <w:p>
            <w:pPr>
              <w:pStyle w:val="11"/>
            </w:pPr>
            <w:r>
              <w:t>11.28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23.53</w:t>
            </w:r>
          </w:p>
        </w:tc>
        <w:tc>
          <w:tcPr>
            <w:tcW w:w="1361" w:type="dxa"/>
            <w:vAlign w:val="center"/>
          </w:tcPr>
          <w:p>
            <w:pPr>
              <w:pStyle w:val="11"/>
            </w:pPr>
            <w:r>
              <w:t>23.53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23.53</w:t>
            </w:r>
          </w:p>
        </w:tc>
        <w:tc>
          <w:tcPr>
            <w:tcW w:w="1361" w:type="dxa"/>
            <w:vAlign w:val="center"/>
          </w:tcPr>
          <w:p>
            <w:pPr>
              <w:pStyle w:val="11"/>
            </w:pPr>
            <w:r>
              <w:t>23.53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13.32</w:t>
            </w:r>
          </w:p>
        </w:tc>
        <w:tc>
          <w:tcPr>
            <w:tcW w:w="1361" w:type="dxa"/>
            <w:vAlign w:val="center"/>
          </w:tcPr>
          <w:p>
            <w:pPr>
              <w:pStyle w:val="11"/>
            </w:pPr>
            <w:r>
              <w:t>13.32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10.22</w:t>
            </w:r>
          </w:p>
        </w:tc>
        <w:tc>
          <w:tcPr>
            <w:tcW w:w="1361" w:type="dxa"/>
            <w:vAlign w:val="center"/>
          </w:tcPr>
          <w:p>
            <w:pPr>
              <w:pStyle w:val="11"/>
            </w:pPr>
            <w:r>
              <w:t>10.22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5.93</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5.93</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4.72</w:t>
            </w:r>
          </w:p>
        </w:tc>
        <w:tc>
          <w:tcPr>
            <w:tcW w:w="1361" w:type="dxa"/>
            <w:vAlign w:val="center"/>
          </w:tcPr>
          <w:p>
            <w:pPr>
              <w:pStyle w:val="11"/>
            </w:pPr>
            <w:r>
              <w:t>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1.21</w:t>
            </w:r>
          </w:p>
        </w:tc>
        <w:tc>
          <w:tcPr>
            <w:tcW w:w="1361" w:type="dxa"/>
            <w:vAlign w:val="center"/>
          </w:tcPr>
          <w:p>
            <w:pPr>
              <w:pStyle w:val="11"/>
            </w:pPr>
            <w:r>
              <w:t>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r>
              <w:t>39.15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166.46</w:t>
            </w:r>
          </w:p>
        </w:tc>
        <w:tc>
          <w:tcPr>
            <w:tcW w:w="3402" w:type="dxa"/>
            <w:vAlign w:val="center"/>
          </w:tcPr>
          <w:p>
            <w:pPr>
              <w:pStyle w:val="12"/>
            </w:pPr>
            <w:r>
              <w:t>一、一般公共服务支出</w:t>
            </w:r>
          </w:p>
        </w:tc>
        <w:tc>
          <w:tcPr>
            <w:tcW w:w="1474" w:type="dxa"/>
            <w:vAlign w:val="center"/>
          </w:tcPr>
          <w:p>
            <w:pPr>
              <w:pStyle w:val="11"/>
            </w:pPr>
            <w:r>
              <w:t>155.10</w:t>
            </w:r>
          </w:p>
        </w:tc>
        <w:tc>
          <w:tcPr>
            <w:tcW w:w="1474" w:type="dxa"/>
            <w:vAlign w:val="center"/>
          </w:tcPr>
          <w:p>
            <w:pPr>
              <w:pStyle w:val="11"/>
            </w:pPr>
            <w:r>
              <w:t>155.10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39.15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23.53</w:t>
            </w:r>
          </w:p>
        </w:tc>
        <w:tc>
          <w:tcPr>
            <w:tcW w:w="1474" w:type="dxa"/>
            <w:vAlign w:val="center"/>
          </w:tcPr>
          <w:p>
            <w:pPr>
              <w:pStyle w:val="11"/>
            </w:pPr>
            <w:r>
              <w:t>23.53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5.93</w:t>
            </w:r>
          </w:p>
        </w:tc>
        <w:tc>
          <w:tcPr>
            <w:tcW w:w="1474" w:type="dxa"/>
            <w:vAlign w:val="center"/>
          </w:tcPr>
          <w:p>
            <w:pPr>
              <w:pStyle w:val="11"/>
            </w:pPr>
            <w:r>
              <w:t>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39.15</w:t>
            </w:r>
          </w:p>
        </w:tc>
        <w:tc>
          <w:tcPr>
            <w:tcW w:w="1474" w:type="dxa"/>
            <w:vAlign w:val="center"/>
          </w:tcPr>
          <w:p>
            <w:pPr>
              <w:pStyle w:val="11"/>
            </w:pPr>
          </w:p>
        </w:tc>
        <w:tc>
          <w:tcPr>
            <w:tcW w:w="1474" w:type="dxa"/>
            <w:vAlign w:val="center"/>
          </w:tcPr>
          <w:p>
            <w:pPr>
              <w:pStyle w:val="11"/>
            </w:pPr>
            <w:r>
              <w:t>39.15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5.11</w:t>
            </w:r>
          </w:p>
        </w:tc>
        <w:tc>
          <w:tcPr>
            <w:tcW w:w="1474" w:type="dxa"/>
            <w:vAlign w:val="center"/>
          </w:tcPr>
          <w:p>
            <w:pPr>
              <w:pStyle w:val="11"/>
            </w:pPr>
            <w:r>
              <w:t>5.11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205.61</w:t>
            </w:r>
          </w:p>
        </w:tc>
        <w:tc>
          <w:tcPr>
            <w:tcW w:w="3402" w:type="dxa"/>
            <w:vAlign w:val="center"/>
          </w:tcPr>
          <w:p>
            <w:pPr>
              <w:pStyle w:val="14"/>
            </w:pPr>
            <w:r>
              <w:t>本年支出合计</w:t>
            </w:r>
          </w:p>
        </w:tc>
        <w:tc>
          <w:tcPr>
            <w:tcW w:w="1474" w:type="dxa"/>
            <w:vAlign w:val="center"/>
          </w:tcPr>
          <w:p>
            <w:pPr>
              <w:pStyle w:val="15"/>
            </w:pPr>
            <w:r>
              <w:t>228.82</w:t>
            </w:r>
          </w:p>
        </w:tc>
        <w:tc>
          <w:tcPr>
            <w:tcW w:w="1474" w:type="dxa"/>
            <w:vAlign w:val="center"/>
          </w:tcPr>
          <w:p>
            <w:pPr>
              <w:pStyle w:val="15"/>
            </w:pPr>
            <w:r>
              <w:t>189.67</w:t>
            </w:r>
          </w:p>
        </w:tc>
        <w:tc>
          <w:tcPr>
            <w:tcW w:w="1474" w:type="dxa"/>
            <w:vAlign w:val="center"/>
          </w:tcPr>
          <w:p>
            <w:pPr>
              <w:pStyle w:val="15"/>
            </w:pPr>
            <w:r>
              <w:t>39.15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23.21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23.21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228.82</w:t>
            </w:r>
          </w:p>
        </w:tc>
        <w:tc>
          <w:tcPr>
            <w:tcW w:w="3402" w:type="dxa"/>
            <w:vAlign w:val="center"/>
          </w:tcPr>
          <w:p>
            <w:pPr>
              <w:pStyle w:val="14"/>
            </w:pPr>
            <w:r>
              <w:t>支出总计</w:t>
            </w:r>
          </w:p>
        </w:tc>
        <w:tc>
          <w:tcPr>
            <w:tcW w:w="1474" w:type="dxa"/>
            <w:vAlign w:val="center"/>
          </w:tcPr>
          <w:p>
            <w:pPr>
              <w:pStyle w:val="15"/>
            </w:pPr>
            <w:r>
              <w:t>228.82</w:t>
            </w:r>
          </w:p>
        </w:tc>
        <w:tc>
          <w:tcPr>
            <w:tcW w:w="1474" w:type="dxa"/>
            <w:vAlign w:val="center"/>
          </w:tcPr>
          <w:p>
            <w:pPr>
              <w:pStyle w:val="15"/>
            </w:pPr>
            <w:r>
              <w:t>189.67</w:t>
            </w:r>
          </w:p>
        </w:tc>
        <w:tc>
          <w:tcPr>
            <w:tcW w:w="1474" w:type="dxa"/>
            <w:vAlign w:val="center"/>
          </w:tcPr>
          <w:p>
            <w:pPr>
              <w:pStyle w:val="15"/>
            </w:pPr>
            <w:r>
              <w:t>39.15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189.67</w:t>
            </w:r>
          </w:p>
        </w:tc>
        <w:tc>
          <w:tcPr>
            <w:tcW w:w="2551" w:type="dxa"/>
            <w:vAlign w:val="center"/>
          </w:tcPr>
          <w:p>
            <w:pPr>
              <w:pStyle w:val="15"/>
            </w:pPr>
            <w:r>
              <w:t>130.66</w:t>
            </w:r>
          </w:p>
        </w:tc>
        <w:tc>
          <w:tcPr>
            <w:tcW w:w="2551" w:type="dxa"/>
            <w:vAlign w:val="center"/>
          </w:tcPr>
          <w:p>
            <w:pPr>
              <w:pStyle w:val="15"/>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155.10</w:t>
            </w:r>
          </w:p>
        </w:tc>
        <w:tc>
          <w:tcPr>
            <w:tcW w:w="2551" w:type="dxa"/>
            <w:vAlign w:val="center"/>
          </w:tcPr>
          <w:p>
            <w:pPr>
              <w:pStyle w:val="11"/>
            </w:pPr>
            <w:r>
              <w:t>96.09</w:t>
            </w:r>
          </w:p>
        </w:tc>
        <w:tc>
          <w:tcPr>
            <w:tcW w:w="2551" w:type="dxa"/>
            <w:vAlign w:val="center"/>
          </w:tcPr>
          <w:p>
            <w:pPr>
              <w:pStyle w:val="11"/>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155.10</w:t>
            </w:r>
          </w:p>
        </w:tc>
        <w:tc>
          <w:tcPr>
            <w:tcW w:w="2551" w:type="dxa"/>
            <w:vAlign w:val="center"/>
          </w:tcPr>
          <w:p>
            <w:pPr>
              <w:pStyle w:val="11"/>
            </w:pPr>
            <w:r>
              <w:t>96.09</w:t>
            </w:r>
          </w:p>
        </w:tc>
        <w:tc>
          <w:tcPr>
            <w:tcW w:w="2551" w:type="dxa"/>
            <w:vAlign w:val="center"/>
          </w:tcPr>
          <w:p>
            <w:pPr>
              <w:pStyle w:val="11"/>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84.81</w:t>
            </w:r>
          </w:p>
        </w:tc>
        <w:tc>
          <w:tcPr>
            <w:tcW w:w="2551" w:type="dxa"/>
            <w:vAlign w:val="center"/>
          </w:tcPr>
          <w:p>
            <w:pPr>
              <w:pStyle w:val="11"/>
            </w:pPr>
            <w:r>
              <w:t>84.81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26.01</w:t>
            </w:r>
          </w:p>
        </w:tc>
        <w:tc>
          <w:tcPr>
            <w:tcW w:w="2551" w:type="dxa"/>
            <w:vAlign w:val="center"/>
          </w:tcPr>
          <w:p>
            <w:pPr>
              <w:pStyle w:val="11"/>
            </w:pPr>
          </w:p>
        </w:tc>
        <w:tc>
          <w:tcPr>
            <w:tcW w:w="2551" w:type="dxa"/>
            <w:vAlign w:val="center"/>
          </w:tcPr>
          <w:p>
            <w:pPr>
              <w:pStyle w:val="11"/>
            </w:pPr>
            <w:r>
              <w:t>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23.53</w:t>
            </w:r>
          </w:p>
        </w:tc>
        <w:tc>
          <w:tcPr>
            <w:tcW w:w="2551" w:type="dxa"/>
            <w:vAlign w:val="center"/>
          </w:tcPr>
          <w:p>
            <w:pPr>
              <w:pStyle w:val="11"/>
            </w:pPr>
            <w:r>
              <w:t>23.53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23.53</w:t>
            </w:r>
          </w:p>
        </w:tc>
        <w:tc>
          <w:tcPr>
            <w:tcW w:w="2551" w:type="dxa"/>
            <w:vAlign w:val="center"/>
          </w:tcPr>
          <w:p>
            <w:pPr>
              <w:pStyle w:val="11"/>
            </w:pPr>
            <w:r>
              <w:t>23.53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13.32</w:t>
            </w:r>
          </w:p>
        </w:tc>
        <w:tc>
          <w:tcPr>
            <w:tcW w:w="2551" w:type="dxa"/>
            <w:vAlign w:val="center"/>
          </w:tcPr>
          <w:p>
            <w:pPr>
              <w:pStyle w:val="11"/>
            </w:pPr>
            <w:r>
              <w:t>13.32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10.22</w:t>
            </w:r>
          </w:p>
        </w:tc>
        <w:tc>
          <w:tcPr>
            <w:tcW w:w="2551" w:type="dxa"/>
            <w:vAlign w:val="center"/>
          </w:tcPr>
          <w:p>
            <w:pPr>
              <w:pStyle w:val="11"/>
            </w:pPr>
            <w:r>
              <w:t>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1.21</w:t>
            </w:r>
          </w:p>
        </w:tc>
        <w:tc>
          <w:tcPr>
            <w:tcW w:w="2551" w:type="dxa"/>
            <w:vAlign w:val="center"/>
          </w:tcPr>
          <w:p>
            <w:pPr>
              <w:pStyle w:val="11"/>
            </w:pPr>
            <w:r>
              <w:t>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130.66</w:t>
            </w:r>
          </w:p>
        </w:tc>
        <w:tc>
          <w:tcPr>
            <w:tcW w:w="2551" w:type="dxa"/>
            <w:vAlign w:val="center"/>
          </w:tcPr>
          <w:p>
            <w:pPr>
              <w:pStyle w:val="15"/>
            </w:pPr>
            <w:r>
              <w:t>100.02</w:t>
            </w:r>
          </w:p>
        </w:tc>
        <w:tc>
          <w:tcPr>
            <w:tcW w:w="2551" w:type="dxa"/>
            <w:vAlign w:val="center"/>
          </w:tcPr>
          <w:p>
            <w:pPr>
              <w:pStyle w:val="15"/>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86.70</w:t>
            </w:r>
          </w:p>
        </w:tc>
        <w:tc>
          <w:tcPr>
            <w:tcW w:w="2551" w:type="dxa"/>
            <w:vAlign w:val="center"/>
          </w:tcPr>
          <w:p>
            <w:pPr>
              <w:pStyle w:val="11"/>
            </w:pPr>
            <w:r>
              <w:t>86.70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41.27</w:t>
            </w:r>
          </w:p>
        </w:tc>
        <w:tc>
          <w:tcPr>
            <w:tcW w:w="2551" w:type="dxa"/>
            <w:vAlign w:val="center"/>
          </w:tcPr>
          <w:p>
            <w:pPr>
              <w:pStyle w:val="11"/>
            </w:pPr>
            <w:r>
              <w:t>41.27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2.89</w:t>
            </w:r>
          </w:p>
        </w:tc>
        <w:tc>
          <w:tcPr>
            <w:tcW w:w="2551" w:type="dxa"/>
            <w:vAlign w:val="center"/>
          </w:tcPr>
          <w:p>
            <w:pPr>
              <w:pStyle w:val="11"/>
            </w:pPr>
            <w:r>
              <w:t>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10.22</w:t>
            </w:r>
          </w:p>
        </w:tc>
        <w:tc>
          <w:tcPr>
            <w:tcW w:w="2551" w:type="dxa"/>
            <w:vAlign w:val="center"/>
          </w:tcPr>
          <w:p>
            <w:pPr>
              <w:pStyle w:val="11"/>
            </w:pPr>
            <w:r>
              <w:t>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30.64</w:t>
            </w:r>
          </w:p>
        </w:tc>
        <w:tc>
          <w:tcPr>
            <w:tcW w:w="2551" w:type="dxa"/>
            <w:vAlign w:val="center"/>
          </w:tcPr>
          <w:p>
            <w:pPr>
              <w:pStyle w:val="11"/>
            </w:pPr>
          </w:p>
        </w:tc>
        <w:tc>
          <w:tcPr>
            <w:tcW w:w="2551" w:type="dxa"/>
            <w:vAlign w:val="center"/>
          </w:tcPr>
          <w:p>
            <w:pPr>
              <w:pStyle w:val="11"/>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11.43</w:t>
            </w:r>
          </w:p>
        </w:tc>
        <w:tc>
          <w:tcPr>
            <w:tcW w:w="2551" w:type="dxa"/>
            <w:vAlign w:val="center"/>
          </w:tcPr>
          <w:p>
            <w:pPr>
              <w:pStyle w:val="11"/>
            </w:pPr>
          </w:p>
        </w:tc>
        <w:tc>
          <w:tcPr>
            <w:tcW w:w="2551" w:type="dxa"/>
            <w:vAlign w:val="center"/>
          </w:tcPr>
          <w:p>
            <w:pPr>
              <w:pStyle w:val="11"/>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13.27</w:t>
            </w:r>
          </w:p>
        </w:tc>
        <w:tc>
          <w:tcPr>
            <w:tcW w:w="2551" w:type="dxa"/>
            <w:vAlign w:val="center"/>
          </w:tcPr>
          <w:p>
            <w:pPr>
              <w:pStyle w:val="11"/>
            </w:pPr>
          </w:p>
        </w:tc>
        <w:tc>
          <w:tcPr>
            <w:tcW w:w="2551" w:type="dxa"/>
            <w:vAlign w:val="center"/>
          </w:tcPr>
          <w:p>
            <w:pPr>
              <w:pStyle w:val="11"/>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13.32</w:t>
            </w:r>
          </w:p>
        </w:tc>
        <w:tc>
          <w:tcPr>
            <w:tcW w:w="2551" w:type="dxa"/>
            <w:vAlign w:val="center"/>
          </w:tcPr>
          <w:p>
            <w:pPr>
              <w:pStyle w:val="11"/>
            </w:pPr>
            <w:r>
              <w:t>13.32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39.15</w:t>
            </w:r>
          </w:p>
        </w:tc>
        <w:tc>
          <w:tcPr>
            <w:tcW w:w="2551" w:type="dxa"/>
            <w:vAlign w:val="center"/>
          </w:tcPr>
          <w:p>
            <w:pPr>
              <w:pStyle w:val="15"/>
            </w:pPr>
          </w:p>
        </w:tc>
        <w:tc>
          <w:tcPr>
            <w:tcW w:w="2551" w:type="dxa"/>
            <w:vAlign w:val="center"/>
          </w:tcPr>
          <w:p>
            <w:pPr>
              <w:pStyle w:val="15"/>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39.15</w:t>
            </w:r>
          </w:p>
        </w:tc>
        <w:tc>
          <w:tcPr>
            <w:tcW w:w="2551" w:type="dxa"/>
            <w:vAlign w:val="center"/>
          </w:tcPr>
          <w:p>
            <w:pPr>
              <w:pStyle w:val="11"/>
            </w:pPr>
          </w:p>
        </w:tc>
        <w:tc>
          <w:tcPr>
            <w:tcW w:w="2551" w:type="dxa"/>
            <w:vAlign w:val="center"/>
          </w:tcPr>
          <w:p>
            <w:pPr>
              <w:pStyle w:val="11"/>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39.15</w:t>
            </w:r>
          </w:p>
        </w:tc>
        <w:tc>
          <w:tcPr>
            <w:tcW w:w="2551" w:type="dxa"/>
            <w:vAlign w:val="center"/>
          </w:tcPr>
          <w:p>
            <w:pPr>
              <w:pStyle w:val="11"/>
            </w:pPr>
          </w:p>
        </w:tc>
        <w:tc>
          <w:tcPr>
            <w:tcW w:w="2551" w:type="dxa"/>
            <w:vAlign w:val="center"/>
          </w:tcPr>
          <w:p>
            <w:pPr>
              <w:pStyle w:val="11"/>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39.15</w:t>
            </w:r>
          </w:p>
        </w:tc>
        <w:tc>
          <w:tcPr>
            <w:tcW w:w="2551" w:type="dxa"/>
            <w:vAlign w:val="center"/>
          </w:tcPr>
          <w:p>
            <w:pPr>
              <w:pStyle w:val="11"/>
            </w:pPr>
          </w:p>
        </w:tc>
        <w:tc>
          <w:tcPr>
            <w:tcW w:w="2551" w:type="dxa"/>
            <w:vAlign w:val="center"/>
          </w:tcPr>
          <w:p>
            <w:pPr>
              <w:pStyle w:val="11"/>
            </w:pPr>
            <w:r>
              <w:t>39.15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eastAsia" w:eastAsiaTheme="minorEastAsia"/>
                <w:lang w:eastAsia="zh-CN"/>
              </w:rPr>
            </w:pPr>
            <w:r>
              <w:rPr>
                <w:rFonts w:hint="eastAsia" w:eastAsiaTheme="minorEastAsia"/>
                <w:lang w:eastAsia="zh-CN"/>
              </w:rPr>
              <w:t>1.60</w:t>
            </w:r>
          </w:p>
        </w:tc>
        <w:tc>
          <w:tcPr>
            <w:tcW w:w="2381" w:type="dxa"/>
            <w:vAlign w:val="center"/>
          </w:tcPr>
          <w:p>
            <w:pPr>
              <w:pStyle w:val="15"/>
              <w:rPr>
                <w:rFonts w:hint="eastAsia" w:eastAsiaTheme="minorEastAsia"/>
                <w:lang w:eastAsia="zh-CN"/>
              </w:rPr>
            </w:pPr>
            <w:r>
              <w:rPr>
                <w:rFonts w:hint="eastAsia" w:eastAsiaTheme="minorEastAsia"/>
                <w:lang w:eastAsia="zh-CN"/>
              </w:rP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rPr>
                <w:lang w:eastAsia="zh-CN"/>
              </w:rPr>
            </w:pPr>
            <w:r>
              <w:rPr>
                <w:rFonts w:hint="eastAsia"/>
                <w:lang w:eastAsia="zh-CN"/>
              </w:rPr>
              <w:t>1.60</w:t>
            </w:r>
          </w:p>
        </w:tc>
        <w:tc>
          <w:tcPr>
            <w:tcW w:w="2381" w:type="dxa"/>
            <w:vAlign w:val="center"/>
          </w:tcPr>
          <w:p>
            <w:pPr>
              <w:pStyle w:val="11"/>
              <w:rPr>
                <w:lang w:eastAsia="zh-CN"/>
              </w:rPr>
            </w:pPr>
            <w:r>
              <w:rPr>
                <w:rFonts w:hint="eastAsia"/>
                <w:lang w:eastAsia="zh-CN"/>
              </w:rP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ind w:firstLine="420" w:firstLineChars="200"/>
            </w:pPr>
            <w:r>
              <w:t>公务用车购置及运维费</w:t>
            </w:r>
          </w:p>
        </w:tc>
        <w:tc>
          <w:tcPr>
            <w:tcW w:w="2382" w:type="dxa"/>
            <w:vAlign w:val="center"/>
          </w:tcPr>
          <w:p>
            <w:pPr>
              <w:pStyle w:val="11"/>
              <w:rPr>
                <w:lang w:eastAsia="zh-CN"/>
              </w:rPr>
            </w:pPr>
            <w:r>
              <w:rPr>
                <w:rFonts w:hint="eastAsia"/>
                <w:lang w:eastAsia="zh-CN"/>
              </w:rPr>
              <w:t>1.60</w:t>
            </w:r>
          </w:p>
        </w:tc>
        <w:tc>
          <w:tcPr>
            <w:tcW w:w="2381" w:type="dxa"/>
            <w:vAlign w:val="center"/>
          </w:tcPr>
          <w:p>
            <w:pPr>
              <w:pStyle w:val="11"/>
              <w:rPr>
                <w:lang w:eastAsia="zh-CN"/>
              </w:rPr>
            </w:pPr>
            <w:r>
              <w:rPr>
                <w:rFonts w:hint="eastAsia"/>
                <w:lang w:eastAsia="zh-CN"/>
              </w:rP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青龙满族自治县总工会2022年部门预算信息公开情况说明</w:t>
      </w:r>
    </w:p>
    <w:p>
      <w:pPr>
        <w:jc w:val="center"/>
      </w:pPr>
      <w:r>
        <w:rPr>
          <w:rFonts w:ascii="方正小标宋_GBK" w:hAnsi="方正小标宋_GBK" w:eastAsia="方正小标宋_GBK" w:cs="方正小标宋_GBK"/>
          <w:color w:val="000000"/>
          <w:sz w:val="44"/>
        </w:rPr>
        <w:t>青龙满族自治县总工会2022年部门预算信息公开情况说明</w:t>
      </w:r>
    </w:p>
    <w:p>
      <w:pPr>
        <w:spacing w:line="500" w:lineRule="exact"/>
        <w:ind w:firstLine="560"/>
      </w:pPr>
      <w:r>
        <w:rPr>
          <w:rFonts w:eastAsia="方正仿宋_GBK"/>
          <w:color w:val="000000"/>
          <w:sz w:val="28"/>
        </w:rPr>
        <w:t>按照《</w:t>
      </w:r>
      <w:r>
        <w:rPr>
          <w:rFonts w:hint="eastAsia" w:eastAsiaTheme="minor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预算法》、《地方预决算公开操作规程》和《关于进一步推进预算公开工作的实施意见》规定，现将青龙满族自治县总工会2022年部门预算公开如下：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（一）维护职工合法权益</w:t>
      </w:r>
    </w:p>
    <w:p>
      <w:pPr>
        <w:pStyle w:val="17"/>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17"/>
      </w:pPr>
      <w:r>
        <w:t>（二）完善工会参与社会管理机制</w:t>
      </w:r>
    </w:p>
    <w:p>
      <w:pPr>
        <w:pStyle w:val="17"/>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pPr>
        <w:pStyle w:val="17"/>
      </w:pPr>
      <w:r>
        <w:t>（三）维权服务</w:t>
      </w:r>
    </w:p>
    <w:p>
      <w:pPr>
        <w:pStyle w:val="17"/>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pPr>
        <w:pStyle w:val="17"/>
      </w:pPr>
      <w:r>
        <w:t>（四）劳动模范管理</w:t>
      </w:r>
    </w:p>
    <w:p>
      <w:pPr>
        <w:pStyle w:val="17"/>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pPr>
        <w:pStyle w:val="17"/>
      </w:pPr>
      <w:r>
        <w:t>（五）提升职工技能及创新水平</w:t>
      </w:r>
    </w:p>
    <w:p>
      <w:pPr>
        <w:pStyle w:val="17"/>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pPr>
        <w:pStyle w:val="17"/>
      </w:pPr>
      <w:r>
        <w:t>（六）职工事业发展</w:t>
      </w:r>
    </w:p>
    <w:p>
      <w:pPr>
        <w:pStyle w:val="17"/>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pPr>
        <w:pStyle w:val="17"/>
      </w:pPr>
      <w:r>
        <w:t>（七）工会事务管理</w:t>
      </w:r>
    </w:p>
    <w:p>
      <w:pPr>
        <w:pStyle w:val="17"/>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pPr>
        <w:pStyle w:val="17"/>
      </w:pPr>
      <w:r>
        <w:t>（八）综合事务管理</w:t>
      </w:r>
    </w:p>
    <w:p>
      <w:pPr>
        <w:pStyle w:val="17"/>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按照预算管理有关规定，目前我部门预算的编制实行综合预算管理，即全部收入和支出都反映在预算中。青龙满族自治县总工会机关及所属事业单位的收支包含在部门预算中。</w:t>
      </w:r>
    </w:p>
    <w:p>
      <w:pPr>
        <w:pStyle w:val="18"/>
      </w:pPr>
      <w:r>
        <w:t>按照预算管理有关规定，目前我省部门预算的编制实行综合预算管理，即全部收入和支出都反映在预算中。总工会机关及所属事业单位的收支包含在部门预算中。</w:t>
      </w:r>
    </w:p>
    <w:p>
      <w:pPr>
        <w:pStyle w:val="18"/>
      </w:pPr>
      <w:r>
        <w:t>1、收入说明</w:t>
      </w:r>
    </w:p>
    <w:p>
      <w:pPr>
        <w:pStyle w:val="18"/>
      </w:pPr>
      <w:r>
        <w:t>反映本部门当年全部收入。2022年预算收入228.82万元，其中：一般公共预算收入193.62万元，基金预算收入35.19万元，财政专户核拨收入0万元，国有资本经营收入0万元，其他来源收入0万元。</w:t>
      </w:r>
    </w:p>
    <w:p>
      <w:pPr>
        <w:pStyle w:val="18"/>
      </w:pPr>
      <w:r>
        <w:t>2、支出说明</w:t>
      </w:r>
    </w:p>
    <w:p>
      <w:pPr>
        <w:pStyle w:val="18"/>
      </w:pPr>
      <w:r>
        <w:t>收支预算总表支出栏、基本支出表、项目支出表按经济分类和支出功能分类科目编制，反映财政局年度部门预算中支出预算的总体情况。2022年支出预算228.82万元，其中基本支出130.66万元，包括人员经费100.02万元和日常公用经费30.64万元；项目支出98.16万元，主要为本级支出和对下补助支出，主要为工会经费、劳模体检费、金秋助学款等项目。</w:t>
      </w:r>
    </w:p>
    <w:p>
      <w:pPr>
        <w:pStyle w:val="18"/>
      </w:pPr>
      <w:r>
        <w:t>3、比上年增减情况</w:t>
      </w:r>
    </w:p>
    <w:p>
      <w:pPr>
        <w:pStyle w:val="18"/>
      </w:pPr>
      <w:r>
        <w:t>2022年预算收支安排228.82万元，较2021年预算增加12.53万元，其中：基本支出增加6.29万元，主要为公用经费支出；项目支出增加6.24万元，主要是增加工会专职干部补助工资、省提前下达帮扶资金等项目资金。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机关运行经费共计安排30.64万元，主要用于办公费0.84万元、水费0.48万元、电费1.13万元、邮电费0.5万元、取暖费11.43万元、差旅费0.8万元、网络运行维护费0.6万元、公务用车运行维护费1.6万元、公务交通补贴13.27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1.6万元，其中因公出国（境）费0万元，同比无变化，原因是无因公出国（境）安排；公务用车购置及运维费1.6万元（其中：公务用车购置费为0万元，公务用车运维费1.6万元)，同比无变化，主要原因是我部门认真贯彻落实中央八项规定要求，严格执行公务用车管理办法，严格控制公务用车运维费；公务接待费0万元，是我部门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（一）总体绩效目标</w:t>
      </w:r>
    </w:p>
    <w:p>
      <w:pPr>
        <w:pStyle w:val="21"/>
      </w:pPr>
      <w:r>
        <w:t>2021年是全面贯彻落实</w:t>
      </w:r>
      <w:r>
        <w:rPr>
          <w:rFonts w:hint="eastAsia"/>
          <w:lang w:eastAsia="zh-CN"/>
        </w:rPr>
        <w:t>党的</w:t>
      </w:r>
      <w:r>
        <w:t>十九届五中全会精神和“十四五”规划的开局之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签订</w:t>
      </w:r>
      <w:bookmarkStart w:id="18" w:name="_GoBack"/>
      <w:bookmarkEnd w:id="18"/>
      <w:r>
        <w:t>。完善高技能人才培养、选树、激励机制，推动技术工人待遇政策的落实。加强基层民主政治建设，维护职工合法权益，竭诚服务职工群众，积极开展各类文体活动。</w:t>
      </w:r>
    </w:p>
    <w:p>
      <w:pPr>
        <w:spacing w:line="500" w:lineRule="exact"/>
        <w:ind w:firstLine="560"/>
      </w:pPr>
      <w:r>
        <w:rPr>
          <w:rFonts w:eastAsia="方正仿宋_GBK"/>
          <w:color w:val="000000"/>
          <w:sz w:val="28"/>
        </w:rPr>
        <w:t>（二）分项绩效目标</w:t>
      </w:r>
    </w:p>
    <w:p>
      <w:pPr>
        <w:pStyle w:val="22"/>
      </w:pPr>
      <w:r>
        <w:t>（一）加强职工教育培训工作</w:t>
      </w:r>
    </w:p>
    <w:p>
      <w:pPr>
        <w:pStyle w:val="22"/>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pPr>
        <w:pStyle w:val="22"/>
      </w:pPr>
      <w:r>
        <w:t>绩效指标：职工法制教育培训计划完成率100%；文化活动计划完成率100%</w:t>
      </w:r>
    </w:p>
    <w:p>
      <w:pPr>
        <w:pStyle w:val="22"/>
      </w:pPr>
      <w:r>
        <w:t>（二）夯实工会组织基础，扩大工会组织覆盖面</w:t>
      </w:r>
    </w:p>
    <w:p>
      <w:pPr>
        <w:pStyle w:val="22"/>
      </w:pPr>
      <w:r>
        <w:t>绩效目标：推进工会组织建设，积极探索新思路、新方法，完善各项措施，坚持"横向到边，纵向到底"的工会组织网络体系建设。完善基层组织规范化管理模式。</w:t>
      </w:r>
    </w:p>
    <w:p>
      <w:pPr>
        <w:pStyle w:val="22"/>
      </w:pPr>
      <w:r>
        <w:t>绩效指标：工会组织网络体系目标计划完成率≥90%；基层工会组织规范化达标率≥90%</w:t>
      </w:r>
    </w:p>
    <w:p>
      <w:pPr>
        <w:pStyle w:val="22"/>
      </w:pPr>
      <w:r>
        <w:t>（三）加强高技能人才培养</w:t>
      </w:r>
    </w:p>
    <w:p>
      <w:pPr>
        <w:pStyle w:val="22"/>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pPr>
        <w:pStyle w:val="22"/>
      </w:pPr>
      <w:r>
        <w:t>绩效指标：技术工人待遇政策落实率≥90%；技术攻关比武活动计划完成率≥90%；创新工作室培育数量≥1个；职工职业技能培训次数≥2次；职工职业技能培训计划完成率≥95%</w:t>
      </w:r>
    </w:p>
    <w:p>
      <w:pPr>
        <w:pStyle w:val="22"/>
      </w:pPr>
      <w:r>
        <w:t>（四）开展劳动模范和一线职工关心关爱活动</w:t>
      </w:r>
    </w:p>
    <w:p>
      <w:pPr>
        <w:pStyle w:val="22"/>
      </w:pPr>
      <w:r>
        <w:t>绩效目标：组织劳模和从事有毒有害、苦脏累险行业、患职业病、获得先进荣誉的一线职工疗休养。开展市级以上劳模生活状态调查，对生活困难劳模给予照顾，组织劳模进行健康体检。</w:t>
      </w:r>
    </w:p>
    <w:p>
      <w:pPr>
        <w:pStyle w:val="22"/>
      </w:pPr>
      <w:r>
        <w:t>绩效指标：劳模等一线职工疗养计划落实率≥95%；市级以上劳模生活状态调查完成率100%；劳模健康体检落实率100%。</w:t>
      </w:r>
    </w:p>
    <w:p>
      <w:pPr>
        <w:pStyle w:val="22"/>
      </w:pPr>
      <w:r>
        <w:t>（五）加强基层民主政治建设，维护职工合法权益</w:t>
      </w:r>
    </w:p>
    <w:p>
      <w:pPr>
        <w:pStyle w:val="22"/>
      </w:pPr>
      <w:r>
        <w:t>绩效目标：完善和谐劳动关系创建活动的工作机制。挖掘引导企业参与和谐企业创建，推动非公有制企业开展创建活动，努力扩大创建活动覆盖方面，力争全县非公有制企业80%开展创建活动。</w:t>
      </w:r>
    </w:p>
    <w:p>
      <w:pPr>
        <w:pStyle w:val="22"/>
      </w:pPr>
      <w:r>
        <w:t>绩效指标：和谐企业创建工作参与覆盖面≥80%；非公有制企业参与和谐劳动关系创建活动参与面≥80%。</w:t>
      </w:r>
    </w:p>
    <w:p>
      <w:pPr>
        <w:pStyle w:val="22"/>
      </w:pPr>
      <w:r>
        <w:t>（六）服务职工群众，积极开展各类文体活动</w:t>
      </w:r>
    </w:p>
    <w:p>
      <w:pPr>
        <w:pStyle w:val="22"/>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pPr>
        <w:pStyle w:val="22"/>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pPr>
        <w:pStyle w:val="22"/>
      </w:pPr>
      <w:r>
        <w:t>（七）完善工会自身建设，提升整体工作水平</w:t>
      </w:r>
    </w:p>
    <w:p>
      <w:pPr>
        <w:pStyle w:val="22"/>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pPr>
        <w:pStyle w:val="22"/>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pPr>
        <w:spacing w:line="500" w:lineRule="exact"/>
        <w:ind w:firstLine="560"/>
      </w:pPr>
      <w:r>
        <w:rPr>
          <w:rFonts w:eastAsia="方正仿宋_GBK"/>
          <w:color w:val="000000"/>
          <w:sz w:val="28"/>
        </w:rPr>
        <w:t>（三）工作保障措施</w:t>
      </w:r>
    </w:p>
    <w:p>
      <w:pPr>
        <w:pStyle w:val="23"/>
      </w:pPr>
      <w:r>
        <w:t>（一）、广泛开展职工建功立业活动，在助推我县科学发展绿色崛起中作出新贡献</w:t>
      </w:r>
    </w:p>
    <w:p>
      <w:pPr>
        <w:pStyle w:val="23"/>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pPr>
        <w:pStyle w:val="23"/>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pPr>
        <w:pStyle w:val="23"/>
      </w:pPr>
      <w:r>
        <w:t>（二）、积极构建和谐劳动关系，在维护和谐稳定大局上实现新突破</w:t>
      </w:r>
    </w:p>
    <w:p>
      <w:pPr>
        <w:pStyle w:val="23"/>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pPr>
        <w:pStyle w:val="23"/>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pPr>
        <w:pStyle w:val="23"/>
      </w:pPr>
      <w:r>
        <w:t>3、切实维护职工合法权益。 进一步加强劳动关系矛盾处理机制建设，加大矛盾纠纷调处力度。建立健全与人社、司法、法院、信访部门维权维稳联系制度，建立起“三位一体”的大调解工作格局。</w:t>
      </w:r>
    </w:p>
    <w:p>
      <w:pPr>
        <w:pStyle w:val="23"/>
      </w:pPr>
      <w:r>
        <w:t>（三）、尽心竭力保障和改善民生，在服务职工群众工作上展现新作为。</w:t>
      </w:r>
    </w:p>
    <w:p>
      <w:pPr>
        <w:pStyle w:val="23"/>
      </w:pPr>
      <w:r>
        <w:t>坚持以职工为本，着眼于解决职工群众最直接、最关心、最现实的利益问题，着力做好2件实事：</w:t>
      </w:r>
    </w:p>
    <w:p>
      <w:pPr>
        <w:pStyle w:val="23"/>
      </w:pPr>
      <w:r>
        <w:t>1、继续深化金秋助学活动。救助名困难职工子女上大学，发放助学金。</w:t>
      </w:r>
    </w:p>
    <w:p>
      <w:pPr>
        <w:pStyle w:val="23"/>
      </w:pPr>
      <w:r>
        <w:t>2、深化送温暖活动长效机制。争取同级财政送温暖资金，大力实施“春送岗位”、“夏送清凉”、“金秋助学”、“冬送温暖”等四季帮扶活动。</w:t>
      </w:r>
    </w:p>
    <w:p>
      <w:pPr>
        <w:pStyle w:val="23"/>
      </w:pPr>
      <w:r>
        <w:t>（四）、努力增强吸引力凝聚力，在加强基层组织建设上实现新提升</w:t>
      </w:r>
    </w:p>
    <w:p>
      <w:pPr>
        <w:pStyle w:val="23"/>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pPr>
        <w:pStyle w:val="23"/>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pPr>
        <w:pStyle w:val="23"/>
      </w:pPr>
      <w:r>
        <w:t>（五）、强化工会组织自身建设，在改进作风提升能力上实现新跨越</w:t>
      </w:r>
    </w:p>
    <w:p>
      <w:pPr>
        <w:pStyle w:val="23"/>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pPr>
        <w:pStyle w:val="23"/>
      </w:pPr>
      <w:r>
        <w:t>（六）完善制度建设。包括制定完善预算绩效管理制度、资金管理办法、工作保障制度等，为全年预算绩效目标的实现奠定制度基础。</w:t>
      </w:r>
    </w:p>
    <w:p>
      <w:pPr>
        <w:pStyle w:val="23"/>
      </w:pPr>
      <w:r>
        <w:t>（七）加强支出管理。通过优化支出结构、编细编实预算、加快履行政府采购手续、尽快启动项目、及时支付资金、按规定及时下达资金等多种措施，确保支出进度达标。</w:t>
      </w:r>
    </w:p>
    <w:p>
      <w:pPr>
        <w:pStyle w:val="23"/>
      </w:pPr>
      <w:r>
        <w:t>（八）加强绩效运行监控。按要求开展绩效运行监控，发现问题及时采取措施，确保绩效目标如期保质实现。</w:t>
      </w:r>
    </w:p>
    <w:p>
      <w:pPr>
        <w:pStyle w:val="23"/>
      </w:pPr>
      <w:r>
        <w:t>（九）做好绩效自评。按要求开展上年度部门预算绩效自评和重点评价工作，对评价中发现的问题及时整改，调整优化支出结构，提高财政资金使用效益。</w:t>
      </w:r>
    </w:p>
    <w:p>
      <w:pPr>
        <w:pStyle w:val="23"/>
      </w:pPr>
      <w:r>
        <w:t>（十）规范财务资产管理。完善财务管理制度，严格审批程序，加强固定资产登记、使用和报废处置管理，做到支出合理，物尽其用。</w:t>
      </w:r>
    </w:p>
    <w:p>
      <w:pPr>
        <w:pStyle w:val="23"/>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十二）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1.通过工会各项工作重点的开展，增强工会服务物质基础，更好发挥工会在社会中的作用。</w:t>
            </w:r>
          </w:p>
          <w:p>
            <w:pPr>
              <w:pStyle w:val="26"/>
            </w:pPr>
            <w:r>
              <w:t>2.通过工会经费的支出向基层倾斜，促进工会经费服务于基层职工，促进基层工会健康发展，实现各项工作的顺利开展</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上缴比例</w:t>
            </w:r>
          </w:p>
        </w:tc>
        <w:tc>
          <w:tcPr>
            <w:tcW w:w="2835" w:type="dxa"/>
            <w:vAlign w:val="center"/>
          </w:tcPr>
          <w:p>
            <w:pPr>
              <w:pStyle w:val="26"/>
            </w:pPr>
            <w:r>
              <w:t>按预算金额的固定比例上缴</w:t>
            </w:r>
          </w:p>
        </w:tc>
        <w:tc>
          <w:tcPr>
            <w:tcW w:w="2551" w:type="dxa"/>
            <w:vAlign w:val="center"/>
          </w:tcPr>
          <w:p>
            <w:pPr>
              <w:pStyle w:val="26"/>
            </w:pPr>
            <w:r>
              <w:t>37.5%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维护职工合法权益案件件数</w:t>
            </w:r>
          </w:p>
        </w:tc>
        <w:tc>
          <w:tcPr>
            <w:tcW w:w="2835" w:type="dxa"/>
            <w:vAlign w:val="center"/>
          </w:tcPr>
          <w:p>
            <w:pPr>
              <w:pStyle w:val="26"/>
            </w:pPr>
            <w:r>
              <w:t>维护职工合法权益案件件数</w:t>
            </w:r>
          </w:p>
        </w:tc>
        <w:tc>
          <w:tcPr>
            <w:tcW w:w="2551" w:type="dxa"/>
            <w:vAlign w:val="center"/>
          </w:tcPr>
          <w:p>
            <w:pPr>
              <w:pStyle w:val="26"/>
            </w:pPr>
            <w:r>
              <w:t>≥5件</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职工本年度技能创新</w:t>
            </w:r>
          </w:p>
        </w:tc>
        <w:tc>
          <w:tcPr>
            <w:tcW w:w="2835" w:type="dxa"/>
            <w:vAlign w:val="center"/>
          </w:tcPr>
          <w:p>
            <w:pPr>
              <w:pStyle w:val="26"/>
            </w:pPr>
            <w:r>
              <w:t>职工技能创新培训次数</w:t>
            </w:r>
          </w:p>
        </w:tc>
        <w:tc>
          <w:tcPr>
            <w:tcW w:w="2551" w:type="dxa"/>
            <w:vAlign w:val="center"/>
          </w:tcPr>
          <w:p>
            <w:pPr>
              <w:pStyle w:val="26"/>
            </w:pPr>
            <w:r>
              <w:t>≥2次</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完善工会参与社会管理机制建制率</w:t>
            </w:r>
          </w:p>
        </w:tc>
        <w:tc>
          <w:tcPr>
            <w:tcW w:w="2835" w:type="dxa"/>
            <w:vAlign w:val="center"/>
          </w:tcPr>
          <w:p>
            <w:pPr>
              <w:pStyle w:val="26"/>
            </w:pPr>
            <w:r>
              <w:t>工会参与社会管理机制建建制率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维权案件结案率</w:t>
            </w:r>
          </w:p>
        </w:tc>
        <w:tc>
          <w:tcPr>
            <w:tcW w:w="2835" w:type="dxa"/>
            <w:vAlign w:val="center"/>
          </w:tcPr>
          <w:p>
            <w:pPr>
              <w:pStyle w:val="26"/>
            </w:pPr>
            <w:r>
              <w:t>维权案件结案率</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提升职工技能及创新水平</w:t>
            </w:r>
          </w:p>
        </w:tc>
        <w:tc>
          <w:tcPr>
            <w:tcW w:w="2835" w:type="dxa"/>
            <w:vAlign w:val="center"/>
          </w:tcPr>
          <w:p>
            <w:pPr>
              <w:pStyle w:val="26"/>
            </w:pPr>
            <w:r>
              <w:t>职工本年度技能创新占总创新率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各项工作开展及时性</w:t>
            </w:r>
          </w:p>
        </w:tc>
        <w:tc>
          <w:tcPr>
            <w:tcW w:w="2835" w:type="dxa"/>
            <w:vAlign w:val="center"/>
          </w:tcPr>
          <w:p>
            <w:pPr>
              <w:pStyle w:val="26"/>
            </w:pPr>
            <w:r>
              <w:t>为职工服务和开展工会活动及时性</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成本预算控制数</w:t>
            </w:r>
          </w:p>
        </w:tc>
        <w:tc>
          <w:tcPr>
            <w:tcW w:w="2835" w:type="dxa"/>
            <w:vAlign w:val="center"/>
          </w:tcPr>
          <w:p>
            <w:pPr>
              <w:pStyle w:val="26"/>
            </w:pPr>
            <w:r>
              <w:t>支出金额控制在预算额度内</w:t>
            </w:r>
          </w:p>
        </w:tc>
        <w:tc>
          <w:tcPr>
            <w:tcW w:w="2551" w:type="dxa"/>
            <w:vAlign w:val="center"/>
          </w:tcPr>
          <w:p>
            <w:pPr>
              <w:pStyle w:val="26"/>
            </w:pPr>
            <w:r>
              <w:t>≤32万元</w:t>
            </w:r>
          </w:p>
        </w:tc>
        <w:tc>
          <w:tcPr>
            <w:tcW w:w="2268" w:type="dxa"/>
            <w:vAlign w:val="center"/>
          </w:tcPr>
          <w:p>
            <w:pPr>
              <w:pStyle w:val="26"/>
            </w:pPr>
            <w:r>
              <w:t>2022年预算批复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提高工会综合事务管理水平，保障单位的正常运转</w:t>
            </w:r>
          </w:p>
        </w:tc>
        <w:tc>
          <w:tcPr>
            <w:tcW w:w="2835" w:type="dxa"/>
            <w:vAlign w:val="center"/>
          </w:tcPr>
          <w:p>
            <w:pPr>
              <w:pStyle w:val="26"/>
            </w:pPr>
            <w:r>
              <w:t>反映保障单位正常运转情况，综合事务保障率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职工对工会工作的满意度</w:t>
            </w:r>
          </w:p>
        </w:tc>
        <w:tc>
          <w:tcPr>
            <w:tcW w:w="2835" w:type="dxa"/>
            <w:vAlign w:val="center"/>
          </w:tcPr>
          <w:p>
            <w:pPr>
              <w:pStyle w:val="26"/>
            </w:pPr>
            <w:r>
              <w:t>职工对工会工作满意度占总职工人数的比例</w:t>
            </w:r>
          </w:p>
        </w:tc>
        <w:tc>
          <w:tcPr>
            <w:tcW w:w="2551" w:type="dxa"/>
            <w:vAlign w:val="center"/>
          </w:tcPr>
          <w:p>
            <w:pPr>
              <w:pStyle w:val="26"/>
            </w:pPr>
            <w:r>
              <w:t>≥90%</w:t>
            </w:r>
          </w:p>
        </w:tc>
        <w:tc>
          <w:tcPr>
            <w:tcW w:w="2268" w:type="dxa"/>
            <w:vAlign w:val="center"/>
          </w:tcPr>
          <w:p>
            <w:pPr>
              <w:pStyle w:val="26"/>
            </w:pPr>
            <w:r>
              <w:t>根据调查问卷结果确定</w:t>
            </w:r>
          </w:p>
        </w:tc>
      </w:tr>
    </w:tbl>
    <w:p>
      <w:pPr>
        <w:pStyle w:val="24"/>
      </w:pPr>
    </w:p>
    <w:p>
      <w:pPr>
        <w:pStyle w:val="24"/>
        <w:ind w:firstLine="560"/>
      </w:pPr>
      <w:r>
        <w:rPr>
          <w:rFonts w:ascii="方正仿宋_GBK" w:hAnsi="方正仿宋_GBK" w:eastAsia="方正仿宋_GBK" w:cs="方正仿宋_GBK"/>
          <w:b/>
          <w:color w:val="000000"/>
          <w:sz w:val="28"/>
        </w:rPr>
        <w:t>2、劳模体检费绩效目标表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1.通过开展劳模体检活动，促进劳动模范身体健康，体现工会组织关爱。</w:t>
            </w:r>
          </w:p>
          <w:p>
            <w:pPr>
              <w:pStyle w:val="26"/>
            </w:pPr>
            <w:r>
              <w:t>2.通过劳模体检，带动其他职工积极爱岗敬业，向劳模学习，激发社会全体劳动者工作热情。</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体检人数</w:t>
            </w:r>
          </w:p>
        </w:tc>
        <w:tc>
          <w:tcPr>
            <w:tcW w:w="2835" w:type="dxa"/>
            <w:vAlign w:val="center"/>
          </w:tcPr>
          <w:p>
            <w:pPr>
              <w:pStyle w:val="26"/>
            </w:pPr>
            <w:r>
              <w:t>每年体检人数</w:t>
            </w:r>
          </w:p>
        </w:tc>
        <w:tc>
          <w:tcPr>
            <w:tcW w:w="2551" w:type="dxa"/>
            <w:vAlign w:val="center"/>
          </w:tcPr>
          <w:p>
            <w:pPr>
              <w:pStyle w:val="26"/>
            </w:pPr>
            <w:r>
              <w:t>≥105人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参加体检人数参检率</w:t>
            </w:r>
          </w:p>
        </w:tc>
        <w:tc>
          <w:tcPr>
            <w:tcW w:w="2835" w:type="dxa"/>
            <w:vAlign w:val="center"/>
          </w:tcPr>
          <w:p>
            <w:pPr>
              <w:pStyle w:val="26"/>
            </w:pPr>
            <w:r>
              <w:t>参加体检的人数占总人数比率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省部级以上劳模参检率</w:t>
            </w:r>
          </w:p>
        </w:tc>
        <w:tc>
          <w:tcPr>
            <w:tcW w:w="2835" w:type="dxa"/>
            <w:vAlign w:val="center"/>
          </w:tcPr>
          <w:p>
            <w:pPr>
              <w:pStyle w:val="26"/>
            </w:pPr>
            <w:r>
              <w:t>参加体检的省部级以上劳模占应参加体检人数比率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市级劳模参检率</w:t>
            </w:r>
          </w:p>
        </w:tc>
        <w:tc>
          <w:tcPr>
            <w:tcW w:w="2835" w:type="dxa"/>
            <w:vAlign w:val="center"/>
          </w:tcPr>
          <w:p>
            <w:pPr>
              <w:pStyle w:val="26"/>
            </w:pPr>
            <w:r>
              <w:t>参加体检的市级劳模占应参加体检人数比率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县级劳模参检率</w:t>
            </w:r>
          </w:p>
        </w:tc>
        <w:tc>
          <w:tcPr>
            <w:tcW w:w="2835" w:type="dxa"/>
            <w:vAlign w:val="center"/>
          </w:tcPr>
          <w:p>
            <w:pPr>
              <w:pStyle w:val="26"/>
            </w:pPr>
            <w:r>
              <w:t>参加体检的县级劳模占应参加体检人数比率</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体检及时率</w:t>
            </w:r>
          </w:p>
        </w:tc>
        <w:tc>
          <w:tcPr>
            <w:tcW w:w="2835" w:type="dxa"/>
            <w:vAlign w:val="center"/>
          </w:tcPr>
          <w:p>
            <w:pPr>
              <w:pStyle w:val="26"/>
            </w:pPr>
            <w:r>
              <w:t>每年11月之前完成</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劳模体检费标准</w:t>
            </w:r>
          </w:p>
        </w:tc>
        <w:tc>
          <w:tcPr>
            <w:tcW w:w="2835" w:type="dxa"/>
            <w:vAlign w:val="center"/>
          </w:tcPr>
          <w:p>
            <w:pPr>
              <w:pStyle w:val="26"/>
            </w:pPr>
            <w:r>
              <w:t>反映劳模体检的人均费用标准。</w:t>
            </w:r>
          </w:p>
        </w:tc>
        <w:tc>
          <w:tcPr>
            <w:tcW w:w="2551" w:type="dxa"/>
            <w:vAlign w:val="center"/>
          </w:tcPr>
          <w:p>
            <w:pPr>
              <w:pStyle w:val="26"/>
            </w:pPr>
            <w:r>
              <w:t>300元/人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增强争当劳模影响力</w:t>
            </w:r>
          </w:p>
        </w:tc>
        <w:tc>
          <w:tcPr>
            <w:tcW w:w="2835" w:type="dxa"/>
            <w:vAlign w:val="center"/>
          </w:tcPr>
          <w:p>
            <w:pPr>
              <w:pStyle w:val="26"/>
            </w:pPr>
            <w:r>
              <w:t>通过体检活动关爱劳模，激发全体劳动者爱岗敬业的热情，增强人人争当劳模的动力。</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劳模满意率</w:t>
            </w:r>
          </w:p>
        </w:tc>
        <w:tc>
          <w:tcPr>
            <w:tcW w:w="2835" w:type="dxa"/>
            <w:vAlign w:val="center"/>
          </w:tcPr>
          <w:p>
            <w:pPr>
              <w:pStyle w:val="26"/>
            </w:pPr>
            <w:r>
              <w:t>劳模对体检活动满意率</w:t>
            </w:r>
          </w:p>
        </w:tc>
        <w:tc>
          <w:tcPr>
            <w:tcW w:w="2551" w:type="dxa"/>
            <w:vAlign w:val="center"/>
          </w:tcPr>
          <w:p>
            <w:pPr>
              <w:pStyle w:val="26"/>
            </w:pPr>
            <w:r>
              <w:t>≥90%</w:t>
            </w:r>
          </w:p>
        </w:tc>
        <w:tc>
          <w:tcPr>
            <w:tcW w:w="2268" w:type="dxa"/>
            <w:vAlign w:val="center"/>
          </w:tcPr>
          <w:p>
            <w:pPr>
              <w:pStyle w:val="26"/>
            </w:pPr>
            <w:r>
              <w:t>2022工作计划</w:t>
            </w:r>
          </w:p>
        </w:tc>
      </w:tr>
    </w:tbl>
    <w:p>
      <w:pPr>
        <w:pStyle w:val="24"/>
      </w:pPr>
    </w:p>
    <w:p>
      <w:pPr>
        <w:pStyle w:val="24"/>
        <w:ind w:firstLine="560"/>
      </w:pPr>
      <w:r>
        <w:rPr>
          <w:rFonts w:ascii="方正仿宋_GBK" w:hAnsi="方正仿宋_GBK" w:eastAsia="方正仿宋_GBK" w:cs="方正仿宋_GBK"/>
          <w:b/>
          <w:color w:val="000000"/>
          <w:sz w:val="28"/>
        </w:rPr>
        <w:t>3、送温暖基金绩效目标表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1.通过开展送温暖活动，有效救助困难职工疾病、意外等问题。</w:t>
            </w:r>
          </w:p>
          <w:p>
            <w:pPr>
              <w:pStyle w:val="26"/>
            </w:pPr>
            <w:r>
              <w:t>2.通过开展送温暖活动，有效促进国家及工会组织各项帮助政策落地实施。</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慰问劳模、走访困难群众人数</w:t>
            </w:r>
          </w:p>
        </w:tc>
        <w:tc>
          <w:tcPr>
            <w:tcW w:w="2835" w:type="dxa"/>
            <w:vAlign w:val="center"/>
          </w:tcPr>
          <w:p>
            <w:pPr>
              <w:pStyle w:val="26"/>
            </w:pPr>
            <w:r>
              <w:t>慰问劳模、走访困难群众人数</w:t>
            </w:r>
          </w:p>
        </w:tc>
        <w:tc>
          <w:tcPr>
            <w:tcW w:w="2551" w:type="dxa"/>
            <w:vAlign w:val="center"/>
          </w:tcPr>
          <w:p>
            <w:pPr>
              <w:pStyle w:val="26"/>
            </w:pPr>
            <w:r>
              <w:t>≥40人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补助困难职工人数比率</w:t>
            </w:r>
          </w:p>
        </w:tc>
        <w:tc>
          <w:tcPr>
            <w:tcW w:w="2835" w:type="dxa"/>
            <w:vAlign w:val="center"/>
          </w:tcPr>
          <w:p>
            <w:pPr>
              <w:pStyle w:val="26"/>
            </w:pPr>
            <w:r>
              <w:t>补助困难职工个人（家庭）数量（人/户）占在档管理困难职工人数比例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生活救助困难职工占在档困难职工人数比例</w:t>
            </w:r>
          </w:p>
        </w:tc>
        <w:tc>
          <w:tcPr>
            <w:tcW w:w="2835" w:type="dxa"/>
            <w:vAlign w:val="center"/>
          </w:tcPr>
          <w:p>
            <w:pPr>
              <w:pStyle w:val="26"/>
            </w:pPr>
            <w:r>
              <w:t>生活救助困难职工占在档困难职工人数比例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慰问劳模比率</w:t>
            </w:r>
          </w:p>
        </w:tc>
        <w:tc>
          <w:tcPr>
            <w:tcW w:w="2835" w:type="dxa"/>
            <w:vAlign w:val="center"/>
          </w:tcPr>
          <w:p>
            <w:pPr>
              <w:pStyle w:val="26"/>
            </w:pPr>
            <w:r>
              <w:t>反映慰问劳模的人数占在档劳模的比例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重大疾病困难职工占在档困难职工人数比例</w:t>
            </w:r>
          </w:p>
        </w:tc>
        <w:tc>
          <w:tcPr>
            <w:tcW w:w="2835" w:type="dxa"/>
            <w:vAlign w:val="center"/>
          </w:tcPr>
          <w:p>
            <w:pPr>
              <w:pStyle w:val="26"/>
            </w:pPr>
            <w:r>
              <w:t>重大疾病困难职工占在档困难职工人数比例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走访慰问及时率</w:t>
            </w:r>
          </w:p>
        </w:tc>
        <w:tc>
          <w:tcPr>
            <w:tcW w:w="2835" w:type="dxa"/>
            <w:vAlign w:val="center"/>
          </w:tcPr>
          <w:p>
            <w:pPr>
              <w:pStyle w:val="26"/>
            </w:pPr>
            <w:r>
              <w:t>每年重大节日慰问劳模，走访困难职工</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补助标准</w:t>
            </w:r>
          </w:p>
        </w:tc>
        <w:tc>
          <w:tcPr>
            <w:tcW w:w="2835" w:type="dxa"/>
            <w:vAlign w:val="center"/>
          </w:tcPr>
          <w:p>
            <w:pPr>
              <w:pStyle w:val="26"/>
            </w:pPr>
            <w:r>
              <w:t>慰问劳模、走访困难群众500-1000元/人.次</w:t>
            </w:r>
          </w:p>
        </w:tc>
        <w:tc>
          <w:tcPr>
            <w:tcW w:w="2551" w:type="dxa"/>
            <w:vAlign w:val="center"/>
          </w:tcPr>
          <w:p>
            <w:pPr>
              <w:pStyle w:val="26"/>
            </w:pPr>
            <w:r>
              <w:t>≤1000元/人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困难职工生活得到改善</w:t>
            </w:r>
          </w:p>
        </w:tc>
        <w:tc>
          <w:tcPr>
            <w:tcW w:w="2835" w:type="dxa"/>
            <w:vAlign w:val="center"/>
          </w:tcPr>
          <w:p>
            <w:pPr>
              <w:pStyle w:val="26"/>
            </w:pPr>
            <w:r>
              <w:t>通过资助使得生活困难的家庭得以改善。</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困难群众满意度</w:t>
            </w:r>
          </w:p>
        </w:tc>
        <w:tc>
          <w:tcPr>
            <w:tcW w:w="2835" w:type="dxa"/>
            <w:vAlign w:val="center"/>
          </w:tcPr>
          <w:p>
            <w:pPr>
              <w:pStyle w:val="26"/>
            </w:pPr>
            <w:r>
              <w:t>走访困难群众慰问劳模满意度</w:t>
            </w:r>
          </w:p>
        </w:tc>
        <w:tc>
          <w:tcPr>
            <w:tcW w:w="2551" w:type="dxa"/>
            <w:vAlign w:val="center"/>
          </w:tcPr>
          <w:p>
            <w:pPr>
              <w:pStyle w:val="26"/>
            </w:pPr>
            <w:r>
              <w:t>≥90%</w:t>
            </w:r>
          </w:p>
        </w:tc>
        <w:tc>
          <w:tcPr>
            <w:tcW w:w="2268" w:type="dxa"/>
            <w:vAlign w:val="center"/>
          </w:tcPr>
          <w:p>
            <w:pPr>
              <w:pStyle w:val="26"/>
            </w:pPr>
            <w:r>
              <w:t>2022工作计划</w:t>
            </w:r>
          </w:p>
        </w:tc>
      </w:tr>
    </w:tbl>
    <w:p>
      <w:pPr>
        <w:pStyle w:val="24"/>
      </w:pPr>
    </w:p>
    <w:p>
      <w:pPr>
        <w:pStyle w:val="24"/>
        <w:ind w:firstLine="560"/>
      </w:pPr>
      <w:r>
        <w:rPr>
          <w:rFonts w:ascii="方正仿宋_GBK" w:hAnsi="方正仿宋_GBK" w:eastAsia="方正仿宋_GBK" w:cs="方正仿宋_GBK"/>
          <w:b/>
          <w:color w:val="000000"/>
          <w:sz w:val="28"/>
        </w:rPr>
        <w:t>4、工会专职干部补助工资绩效目标表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1.通过聘用专职人员参与工会工作，促进基层工会组织各项工作高质量完成。</w:t>
            </w:r>
          </w:p>
          <w:p>
            <w:pPr>
              <w:pStyle w:val="26"/>
            </w:pPr>
            <w:r>
              <w:t>2.通过聘用专职人员参与工会工作，促进基层工会组织各项工作高质量完成。</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聘请工会社会工作者</w:t>
            </w:r>
          </w:p>
        </w:tc>
        <w:tc>
          <w:tcPr>
            <w:tcW w:w="2835" w:type="dxa"/>
            <w:vAlign w:val="center"/>
          </w:tcPr>
          <w:p>
            <w:pPr>
              <w:pStyle w:val="26"/>
            </w:pPr>
            <w:r>
              <w:t>聘请工会社会工作者人数</w:t>
            </w:r>
          </w:p>
        </w:tc>
        <w:tc>
          <w:tcPr>
            <w:tcW w:w="2551" w:type="dxa"/>
            <w:vAlign w:val="center"/>
          </w:tcPr>
          <w:p>
            <w:pPr>
              <w:pStyle w:val="26"/>
            </w:pPr>
            <w:r>
              <w:t>≥18人</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年终考核结果为称职以上的人数</w:t>
            </w:r>
          </w:p>
        </w:tc>
        <w:tc>
          <w:tcPr>
            <w:tcW w:w="2835" w:type="dxa"/>
            <w:vAlign w:val="center"/>
          </w:tcPr>
          <w:p>
            <w:pPr>
              <w:pStyle w:val="26"/>
            </w:pPr>
            <w:r>
              <w:t>对一年工作完成情况进行考核，结果为称职以上人数</w:t>
            </w:r>
          </w:p>
        </w:tc>
        <w:tc>
          <w:tcPr>
            <w:tcW w:w="2551" w:type="dxa"/>
            <w:vAlign w:val="center"/>
          </w:tcPr>
          <w:p>
            <w:pPr>
              <w:pStyle w:val="26"/>
            </w:pPr>
            <w:r>
              <w:t>≥18人</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基层工会工作完成情况</w:t>
            </w:r>
          </w:p>
        </w:tc>
        <w:tc>
          <w:tcPr>
            <w:tcW w:w="2835" w:type="dxa"/>
            <w:vAlign w:val="center"/>
          </w:tcPr>
          <w:p>
            <w:pPr>
              <w:pStyle w:val="26"/>
            </w:pPr>
            <w:r>
              <w:t>基层工会工作完成情况占总任务数的比例</w:t>
            </w:r>
          </w:p>
        </w:tc>
        <w:tc>
          <w:tcPr>
            <w:tcW w:w="2551" w:type="dxa"/>
            <w:vAlign w:val="center"/>
          </w:tcPr>
          <w:p>
            <w:pPr>
              <w:pStyle w:val="26"/>
            </w:pPr>
            <w:r>
              <w:t>≥90%</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工资发放时间</w:t>
            </w:r>
          </w:p>
        </w:tc>
        <w:tc>
          <w:tcPr>
            <w:tcW w:w="2835" w:type="dxa"/>
            <w:vAlign w:val="center"/>
          </w:tcPr>
          <w:p>
            <w:pPr>
              <w:pStyle w:val="26"/>
            </w:pPr>
            <w:r>
              <w:t>工资每月按时发放</w:t>
            </w:r>
          </w:p>
        </w:tc>
        <w:tc>
          <w:tcPr>
            <w:tcW w:w="2551" w:type="dxa"/>
            <w:vAlign w:val="center"/>
          </w:tcPr>
          <w:p>
            <w:pPr>
              <w:pStyle w:val="26"/>
            </w:pPr>
            <w:r>
              <w:t>100%</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工资标准</w:t>
            </w:r>
          </w:p>
        </w:tc>
        <w:tc>
          <w:tcPr>
            <w:tcW w:w="2835" w:type="dxa"/>
            <w:vAlign w:val="center"/>
          </w:tcPr>
          <w:p>
            <w:pPr>
              <w:pStyle w:val="26"/>
            </w:pPr>
            <w:r>
              <w:t>一级岗位工资标准为1600-2000元</w:t>
            </w:r>
          </w:p>
        </w:tc>
        <w:tc>
          <w:tcPr>
            <w:tcW w:w="2551" w:type="dxa"/>
            <w:vAlign w:val="center"/>
          </w:tcPr>
          <w:p>
            <w:pPr>
              <w:pStyle w:val="26"/>
            </w:pPr>
            <w:r>
              <w:t>≤2000元/月</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工资标准</w:t>
            </w:r>
          </w:p>
        </w:tc>
        <w:tc>
          <w:tcPr>
            <w:tcW w:w="2835" w:type="dxa"/>
            <w:vAlign w:val="center"/>
          </w:tcPr>
          <w:p>
            <w:pPr>
              <w:pStyle w:val="26"/>
            </w:pPr>
            <w:r>
              <w:t>二级岗1150-1450元</w:t>
            </w:r>
          </w:p>
        </w:tc>
        <w:tc>
          <w:tcPr>
            <w:tcW w:w="2551" w:type="dxa"/>
            <w:vAlign w:val="center"/>
          </w:tcPr>
          <w:p>
            <w:pPr>
              <w:pStyle w:val="26"/>
            </w:pPr>
            <w:r>
              <w:t>≤1450元/月</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工资标准</w:t>
            </w:r>
          </w:p>
        </w:tc>
        <w:tc>
          <w:tcPr>
            <w:tcW w:w="2835" w:type="dxa"/>
            <w:vAlign w:val="center"/>
          </w:tcPr>
          <w:p>
            <w:pPr>
              <w:pStyle w:val="26"/>
            </w:pPr>
            <w:r>
              <w:t>三级岗850-1050元</w:t>
            </w:r>
          </w:p>
        </w:tc>
        <w:tc>
          <w:tcPr>
            <w:tcW w:w="2551" w:type="dxa"/>
            <w:vAlign w:val="center"/>
          </w:tcPr>
          <w:p>
            <w:pPr>
              <w:pStyle w:val="26"/>
            </w:pPr>
            <w:r>
              <w:t>≤1050元/月</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工资标准</w:t>
            </w:r>
          </w:p>
        </w:tc>
        <w:tc>
          <w:tcPr>
            <w:tcW w:w="2835" w:type="dxa"/>
            <w:vAlign w:val="center"/>
          </w:tcPr>
          <w:p>
            <w:pPr>
              <w:pStyle w:val="26"/>
            </w:pPr>
            <w:r>
              <w:t>初级岗700-800元</w:t>
            </w:r>
          </w:p>
        </w:tc>
        <w:tc>
          <w:tcPr>
            <w:tcW w:w="2551" w:type="dxa"/>
            <w:vAlign w:val="center"/>
          </w:tcPr>
          <w:p>
            <w:pPr>
              <w:pStyle w:val="26"/>
            </w:pPr>
            <w:r>
              <w:t>≤800元/月</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解决基层工会无专职工会干部的问题，确保全年工作按时完成</w:t>
            </w:r>
          </w:p>
        </w:tc>
        <w:tc>
          <w:tcPr>
            <w:tcW w:w="2835" w:type="dxa"/>
            <w:vAlign w:val="center"/>
          </w:tcPr>
          <w:p>
            <w:pPr>
              <w:pStyle w:val="26"/>
            </w:pPr>
            <w:r>
              <w:t>解决基层工会无专职工会干部的问题，全年工作完成情况占全年总任务的比例</w:t>
            </w:r>
          </w:p>
        </w:tc>
        <w:tc>
          <w:tcPr>
            <w:tcW w:w="2551" w:type="dxa"/>
            <w:vAlign w:val="center"/>
          </w:tcPr>
          <w:p>
            <w:pPr>
              <w:pStyle w:val="26"/>
            </w:pPr>
            <w:r>
              <w:t>≥90%</w:t>
            </w:r>
          </w:p>
        </w:tc>
        <w:tc>
          <w:tcPr>
            <w:tcW w:w="2268" w:type="dxa"/>
            <w:vAlign w:val="center"/>
          </w:tcPr>
          <w:p>
            <w:pPr>
              <w:pStyle w:val="26"/>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职工满意度</w:t>
            </w:r>
          </w:p>
        </w:tc>
        <w:tc>
          <w:tcPr>
            <w:tcW w:w="2835" w:type="dxa"/>
            <w:vAlign w:val="center"/>
          </w:tcPr>
          <w:p>
            <w:pPr>
              <w:pStyle w:val="26"/>
            </w:pPr>
            <w:r>
              <w:t>职工对基层工会工作的满意度</w:t>
            </w:r>
          </w:p>
        </w:tc>
        <w:tc>
          <w:tcPr>
            <w:tcW w:w="2551" w:type="dxa"/>
            <w:vAlign w:val="center"/>
          </w:tcPr>
          <w:p>
            <w:pPr>
              <w:pStyle w:val="26"/>
            </w:pPr>
            <w:r>
              <w:t>≥90%</w:t>
            </w:r>
          </w:p>
        </w:tc>
        <w:tc>
          <w:tcPr>
            <w:tcW w:w="2268" w:type="dxa"/>
            <w:vAlign w:val="center"/>
          </w:tcPr>
          <w:p>
            <w:pPr>
              <w:pStyle w:val="26"/>
            </w:pPr>
            <w:r>
              <w:t>根据满意度调查结果确定</w:t>
            </w:r>
          </w:p>
        </w:tc>
      </w:tr>
    </w:tbl>
    <w:p>
      <w:pPr>
        <w:pStyle w:val="24"/>
      </w:pPr>
    </w:p>
    <w:p>
      <w:pPr>
        <w:pStyle w:val="24"/>
        <w:ind w:firstLine="560"/>
      </w:pPr>
      <w:r>
        <w:rPr>
          <w:rFonts w:ascii="方正仿宋_GBK" w:hAnsi="方正仿宋_GBK" w:eastAsia="方正仿宋_GBK" w:cs="方正仿宋_GBK"/>
          <w:b/>
          <w:color w:val="000000"/>
          <w:sz w:val="28"/>
        </w:rPr>
        <w:t>5、关于提前下达2022年困难职工及劳模帮扶救助专项资金的通知（冀财行[2021]102号）绩效目标表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1.全国级困难职工进行常态化帮扶，开展生活救助、医疗救助、子女助学。</w:t>
            </w:r>
          </w:p>
          <w:p>
            <w:pPr>
              <w:pStyle w:val="26"/>
            </w:pPr>
            <w:r>
              <w:t>2.对非持续稳定脱困困难职工家庭、非贫困低收入职工家庭实施分类帮扶、因困帮扶，帮助职工家庭缓解生活困难、医疗困难，帮助职工子女顺利完成学业。</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帮扶人数</w:t>
            </w:r>
          </w:p>
        </w:tc>
        <w:tc>
          <w:tcPr>
            <w:tcW w:w="2835" w:type="dxa"/>
            <w:vAlign w:val="center"/>
          </w:tcPr>
          <w:p>
            <w:pPr>
              <w:pStyle w:val="26"/>
            </w:pPr>
            <w:r>
              <w:t>帮助困难人数</w:t>
            </w:r>
          </w:p>
        </w:tc>
        <w:tc>
          <w:tcPr>
            <w:tcW w:w="2551" w:type="dxa"/>
            <w:vAlign w:val="center"/>
          </w:tcPr>
          <w:p>
            <w:pPr>
              <w:pStyle w:val="26"/>
            </w:pPr>
            <w:r>
              <w:t>≥8人</w:t>
            </w:r>
          </w:p>
        </w:tc>
        <w:tc>
          <w:tcPr>
            <w:tcW w:w="2268" w:type="dxa"/>
            <w:vAlign w:val="center"/>
          </w:tcPr>
          <w:p>
            <w:pPr>
              <w:pStyle w:val="26"/>
            </w:pPr>
            <w:r>
              <w:t>2022年困难职工及劳模帮扶救助专项资金的通知冀财行[2019]46号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帮扶救助精准率</w:t>
            </w:r>
          </w:p>
        </w:tc>
        <w:tc>
          <w:tcPr>
            <w:tcW w:w="2835" w:type="dxa"/>
            <w:vAlign w:val="center"/>
          </w:tcPr>
          <w:p>
            <w:pPr>
              <w:pStyle w:val="26"/>
            </w:pPr>
            <w:r>
              <w:t>反映帮扶困难职工家庭的准确性</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救助生活困难职工人数比率</w:t>
            </w:r>
          </w:p>
        </w:tc>
        <w:tc>
          <w:tcPr>
            <w:tcW w:w="2835" w:type="dxa"/>
            <w:vAlign w:val="center"/>
          </w:tcPr>
          <w:p>
            <w:pPr>
              <w:pStyle w:val="26"/>
            </w:pPr>
            <w:r>
              <w:t>反映实际帮扶生活困难人数占实际困难人数比例</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医疗救助比率</w:t>
            </w:r>
          </w:p>
        </w:tc>
        <w:tc>
          <w:tcPr>
            <w:tcW w:w="2835" w:type="dxa"/>
            <w:vAlign w:val="center"/>
          </w:tcPr>
          <w:p>
            <w:pPr>
              <w:pStyle w:val="26"/>
            </w:pPr>
            <w:r>
              <w:t>反映实际帮扶困难职工解决就医的人数占实际生活困难职工比例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子女助学比率</w:t>
            </w:r>
          </w:p>
        </w:tc>
        <w:tc>
          <w:tcPr>
            <w:tcW w:w="2835" w:type="dxa"/>
            <w:vAlign w:val="center"/>
          </w:tcPr>
          <w:p>
            <w:pPr>
              <w:pStyle w:val="26"/>
            </w:pPr>
            <w:r>
              <w:t>反映帮扶困难职工家庭子女上学人数占在实际难家庭子女上学人数的比例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发放及时率</w:t>
            </w:r>
          </w:p>
        </w:tc>
        <w:tc>
          <w:tcPr>
            <w:tcW w:w="2835" w:type="dxa"/>
            <w:vAlign w:val="center"/>
          </w:tcPr>
          <w:p>
            <w:pPr>
              <w:pStyle w:val="26"/>
            </w:pPr>
            <w:r>
              <w:t>困难职工救助资金发放及时性</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支出金额控制在预算额度内</w:t>
            </w:r>
          </w:p>
        </w:tc>
        <w:tc>
          <w:tcPr>
            <w:tcW w:w="2551" w:type="dxa"/>
            <w:vAlign w:val="center"/>
          </w:tcPr>
          <w:p>
            <w:pPr>
              <w:pStyle w:val="26"/>
            </w:pPr>
            <w:r>
              <w:t>≤8.81万元</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职工生活状况</w:t>
            </w:r>
          </w:p>
        </w:tc>
        <w:tc>
          <w:tcPr>
            <w:tcW w:w="2835" w:type="dxa"/>
            <w:vAlign w:val="center"/>
          </w:tcPr>
          <w:p>
            <w:pPr>
              <w:pStyle w:val="26"/>
            </w:pPr>
            <w:r>
              <w:t>帮扶救助后职工困难得到缓解，生活状况有明显提高情况</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受助职工满意度</w:t>
            </w:r>
          </w:p>
        </w:tc>
        <w:tc>
          <w:tcPr>
            <w:tcW w:w="2835" w:type="dxa"/>
            <w:vAlign w:val="center"/>
          </w:tcPr>
          <w:p>
            <w:pPr>
              <w:pStyle w:val="26"/>
            </w:pPr>
            <w:r>
              <w:t>受助职工满意度</w:t>
            </w:r>
          </w:p>
        </w:tc>
        <w:tc>
          <w:tcPr>
            <w:tcW w:w="2551" w:type="dxa"/>
            <w:vAlign w:val="center"/>
          </w:tcPr>
          <w:p>
            <w:pPr>
              <w:pStyle w:val="26"/>
            </w:pPr>
            <w:r>
              <w:t>≥90%</w:t>
            </w:r>
          </w:p>
        </w:tc>
        <w:tc>
          <w:tcPr>
            <w:tcW w:w="2268" w:type="dxa"/>
            <w:vAlign w:val="center"/>
          </w:tcPr>
          <w:p>
            <w:pPr>
              <w:pStyle w:val="26"/>
            </w:pPr>
            <w:r>
              <w:t>根据满意度调查结果确定</w:t>
            </w:r>
          </w:p>
        </w:tc>
      </w:tr>
    </w:tbl>
    <w:p>
      <w:pPr>
        <w:pStyle w:val="24"/>
      </w:pPr>
    </w:p>
    <w:p>
      <w:pPr>
        <w:pStyle w:val="24"/>
        <w:ind w:firstLine="560"/>
      </w:pPr>
      <w:r>
        <w:rPr>
          <w:rFonts w:ascii="方正仿宋_GBK" w:hAnsi="方正仿宋_GBK" w:eastAsia="方正仿宋_GBK" w:cs="方正仿宋_GBK"/>
          <w:b/>
          <w:color w:val="000000"/>
          <w:sz w:val="28"/>
        </w:rPr>
        <w:t>6、河北省财政厅关于提前下达2021年困难职工及劳模帮扶救助专项资金的通知(冀财行[2020]167号)绩效目标表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1.通过全国级困难职工进行常态化帮扶，开展生活救助、医疗救助、子女助学，实现困难职工解困脱困。</w:t>
            </w:r>
          </w:p>
          <w:p>
            <w:pPr>
              <w:pStyle w:val="26"/>
            </w:pPr>
            <w:r>
              <w:t>2.对非持续稳定脱困困难职工家庭、非贫困低收入职工家庭实施分类帮扶、因困帮扶，帮助职工家庭缓解生活困难、医疗困难，帮助职工子女顺利完成学业。</w:t>
            </w:r>
          </w:p>
          <w:p>
            <w:pPr>
              <w:pStyle w:val="26"/>
            </w:pPr>
            <w:r>
              <w:t>3.通过对困难职工的帮扶，改善困难职工的生活状况，达到解困脱困的目的。</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帮扶人数</w:t>
            </w:r>
          </w:p>
        </w:tc>
        <w:tc>
          <w:tcPr>
            <w:tcW w:w="2835" w:type="dxa"/>
            <w:vAlign w:val="center"/>
          </w:tcPr>
          <w:p>
            <w:pPr>
              <w:pStyle w:val="26"/>
            </w:pPr>
            <w:r>
              <w:t>帮助困难人数</w:t>
            </w:r>
          </w:p>
        </w:tc>
        <w:tc>
          <w:tcPr>
            <w:tcW w:w="2551" w:type="dxa"/>
            <w:vAlign w:val="center"/>
          </w:tcPr>
          <w:p>
            <w:pPr>
              <w:pStyle w:val="26"/>
            </w:pPr>
            <w:r>
              <w:t>≥10人</w:t>
            </w:r>
          </w:p>
        </w:tc>
        <w:tc>
          <w:tcPr>
            <w:tcW w:w="2268" w:type="dxa"/>
            <w:vAlign w:val="center"/>
          </w:tcPr>
          <w:p>
            <w:pPr>
              <w:pStyle w:val="26"/>
            </w:pPr>
            <w:r>
              <w:t>2022年困难职工及劳模帮扶救助专项资金的通知冀财行[2019]46号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帮扶救助精准率</w:t>
            </w:r>
          </w:p>
        </w:tc>
        <w:tc>
          <w:tcPr>
            <w:tcW w:w="2835" w:type="dxa"/>
            <w:vAlign w:val="center"/>
          </w:tcPr>
          <w:p>
            <w:pPr>
              <w:pStyle w:val="26"/>
            </w:pPr>
            <w:r>
              <w:t>反映帮扶困难职工家庭的准确性</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救助生活困难职工人数比率</w:t>
            </w:r>
          </w:p>
        </w:tc>
        <w:tc>
          <w:tcPr>
            <w:tcW w:w="2835" w:type="dxa"/>
            <w:vAlign w:val="center"/>
          </w:tcPr>
          <w:p>
            <w:pPr>
              <w:pStyle w:val="26"/>
            </w:pPr>
            <w:r>
              <w:t>反映实际帮扶生活困难人数占实际困难人数比例</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医疗救助比率</w:t>
            </w:r>
          </w:p>
        </w:tc>
        <w:tc>
          <w:tcPr>
            <w:tcW w:w="2835" w:type="dxa"/>
            <w:vAlign w:val="center"/>
          </w:tcPr>
          <w:p>
            <w:pPr>
              <w:pStyle w:val="26"/>
            </w:pPr>
            <w:r>
              <w:t>反映实际帮扶困难职工解决就医的人数占实际生活困难职工比例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子女助学比率</w:t>
            </w:r>
          </w:p>
        </w:tc>
        <w:tc>
          <w:tcPr>
            <w:tcW w:w="2835" w:type="dxa"/>
            <w:vAlign w:val="center"/>
          </w:tcPr>
          <w:p>
            <w:pPr>
              <w:pStyle w:val="26"/>
            </w:pPr>
            <w:r>
              <w:t>反映帮扶困难职工家庭子女上学人数占在实际难家庭子女上学人数的比例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发放及时率</w:t>
            </w:r>
          </w:p>
        </w:tc>
        <w:tc>
          <w:tcPr>
            <w:tcW w:w="2835" w:type="dxa"/>
            <w:vAlign w:val="center"/>
          </w:tcPr>
          <w:p>
            <w:pPr>
              <w:pStyle w:val="26"/>
            </w:pPr>
            <w:r>
              <w:t>困难职工救助资金发放及时性</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w:t>
            </w:r>
          </w:p>
        </w:tc>
        <w:tc>
          <w:tcPr>
            <w:tcW w:w="2835" w:type="dxa"/>
            <w:vAlign w:val="center"/>
          </w:tcPr>
          <w:p>
            <w:pPr>
              <w:pStyle w:val="26"/>
            </w:pPr>
            <w:r>
              <w:t>支出金额控制在预算额度内</w:t>
            </w:r>
          </w:p>
        </w:tc>
        <w:tc>
          <w:tcPr>
            <w:tcW w:w="2551" w:type="dxa"/>
            <w:vAlign w:val="center"/>
          </w:tcPr>
          <w:p>
            <w:pPr>
              <w:pStyle w:val="26"/>
            </w:pPr>
            <w:r>
              <w:t>≤17.2万元</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职工生活状况</w:t>
            </w:r>
          </w:p>
        </w:tc>
        <w:tc>
          <w:tcPr>
            <w:tcW w:w="2835" w:type="dxa"/>
            <w:vAlign w:val="center"/>
          </w:tcPr>
          <w:p>
            <w:pPr>
              <w:pStyle w:val="26"/>
            </w:pPr>
            <w:r>
              <w:t>帮扶救助后职工困难得到缓解，生活状况有明显提高</w:t>
            </w:r>
          </w:p>
        </w:tc>
        <w:tc>
          <w:tcPr>
            <w:tcW w:w="2551" w:type="dxa"/>
            <w:vAlign w:val="center"/>
          </w:tcPr>
          <w:p>
            <w:pPr>
              <w:pStyle w:val="26"/>
            </w:pPr>
            <w:r>
              <w:t>≥95%</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受助职工满意度</w:t>
            </w:r>
          </w:p>
        </w:tc>
        <w:tc>
          <w:tcPr>
            <w:tcW w:w="2835" w:type="dxa"/>
            <w:vAlign w:val="center"/>
          </w:tcPr>
          <w:p>
            <w:pPr>
              <w:pStyle w:val="26"/>
            </w:pPr>
            <w:r>
              <w:t>受助职工满意度</w:t>
            </w:r>
          </w:p>
        </w:tc>
        <w:tc>
          <w:tcPr>
            <w:tcW w:w="2551" w:type="dxa"/>
            <w:vAlign w:val="center"/>
          </w:tcPr>
          <w:p>
            <w:pPr>
              <w:pStyle w:val="26"/>
            </w:pPr>
            <w:r>
              <w:t>≥90%</w:t>
            </w:r>
          </w:p>
        </w:tc>
        <w:tc>
          <w:tcPr>
            <w:tcW w:w="2268" w:type="dxa"/>
            <w:vAlign w:val="center"/>
          </w:tcPr>
          <w:p>
            <w:pPr>
              <w:pStyle w:val="26"/>
            </w:pPr>
            <w:r>
              <w:t>根据满意度调查结果确定</w:t>
            </w:r>
          </w:p>
        </w:tc>
      </w:tr>
    </w:tbl>
    <w:p>
      <w:pPr>
        <w:pStyle w:val="24"/>
      </w:pPr>
    </w:p>
    <w:p>
      <w:pPr>
        <w:pStyle w:val="24"/>
        <w:ind w:firstLine="560"/>
      </w:pPr>
      <w:r>
        <w:rPr>
          <w:rFonts w:ascii="方正仿宋_GBK" w:hAnsi="方正仿宋_GBK" w:eastAsia="方正仿宋_GBK" w:cs="方正仿宋_GBK"/>
          <w:b/>
          <w:color w:val="000000"/>
          <w:sz w:val="28"/>
        </w:rPr>
        <w:t>7、金秋助学款绩效目标表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1.通过金秋助学活动，帮助困难职工子女上大学问题。</w:t>
            </w:r>
          </w:p>
          <w:p>
            <w:pPr>
              <w:pStyle w:val="26"/>
            </w:pPr>
            <w:r>
              <w:t>2.通过帮助困难职工子女解决上学问题，促进工会扶危助困工作有效落实，促进社会人才培养。</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补助人数</w:t>
            </w:r>
          </w:p>
        </w:tc>
        <w:tc>
          <w:tcPr>
            <w:tcW w:w="2835" w:type="dxa"/>
            <w:vAlign w:val="center"/>
          </w:tcPr>
          <w:p>
            <w:pPr>
              <w:pStyle w:val="26"/>
            </w:pPr>
            <w:r>
              <w:t>困难职工子女人数</w:t>
            </w:r>
          </w:p>
        </w:tc>
        <w:tc>
          <w:tcPr>
            <w:tcW w:w="2551" w:type="dxa"/>
            <w:vAlign w:val="center"/>
          </w:tcPr>
          <w:p>
            <w:pPr>
              <w:pStyle w:val="26"/>
            </w:pPr>
            <w:r>
              <w:t>≥20人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补助在档的困难职工子女比例</w:t>
            </w:r>
          </w:p>
        </w:tc>
        <w:tc>
          <w:tcPr>
            <w:tcW w:w="2835" w:type="dxa"/>
            <w:vAlign w:val="center"/>
          </w:tcPr>
          <w:p>
            <w:pPr>
              <w:pStyle w:val="26"/>
            </w:pPr>
            <w:r>
              <w:t>补助在档困难职工子女比例占总人数的比例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补助在档困难职工子女本科生占总人数的比例</w:t>
            </w:r>
          </w:p>
        </w:tc>
        <w:tc>
          <w:tcPr>
            <w:tcW w:w="2835" w:type="dxa"/>
            <w:vAlign w:val="center"/>
          </w:tcPr>
          <w:p>
            <w:pPr>
              <w:pStyle w:val="26"/>
            </w:pPr>
            <w:r>
              <w:t>补助困难职工子女本科生占总人数的比例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补助在档困难职工子女专科生占总人数的比例</w:t>
            </w:r>
          </w:p>
        </w:tc>
        <w:tc>
          <w:tcPr>
            <w:tcW w:w="2835" w:type="dxa"/>
            <w:vAlign w:val="center"/>
          </w:tcPr>
          <w:p>
            <w:pPr>
              <w:pStyle w:val="26"/>
            </w:pPr>
            <w:r>
              <w:t>补助困难职工子女专科生占总人数的比例</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补贴发放准确性</w:t>
            </w:r>
          </w:p>
        </w:tc>
        <w:tc>
          <w:tcPr>
            <w:tcW w:w="2835" w:type="dxa"/>
            <w:vAlign w:val="center"/>
          </w:tcPr>
          <w:p>
            <w:pPr>
              <w:pStyle w:val="26"/>
            </w:pPr>
            <w:r>
              <w:t>反映补贴准确无误地按预定人员计划发放</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补贴发放及时性</w:t>
            </w:r>
          </w:p>
        </w:tc>
        <w:tc>
          <w:tcPr>
            <w:tcW w:w="2835" w:type="dxa"/>
            <w:vAlign w:val="center"/>
          </w:tcPr>
          <w:p>
            <w:pPr>
              <w:pStyle w:val="26"/>
            </w:pPr>
            <w:r>
              <w:t>每年9月前及时发放</w:t>
            </w:r>
          </w:p>
        </w:tc>
        <w:tc>
          <w:tcPr>
            <w:tcW w:w="2551" w:type="dxa"/>
            <w:vAlign w:val="center"/>
          </w:tcPr>
          <w:p>
            <w:pPr>
              <w:pStyle w:val="26"/>
            </w:pPr>
            <w:r>
              <w:t>100%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专科生补助标准</w:t>
            </w:r>
          </w:p>
        </w:tc>
        <w:tc>
          <w:tcPr>
            <w:tcW w:w="2835" w:type="dxa"/>
            <w:vAlign w:val="center"/>
          </w:tcPr>
          <w:p>
            <w:pPr>
              <w:pStyle w:val="26"/>
            </w:pPr>
            <w:r>
              <w:t>对考取专科的困难大学生补助标准</w:t>
            </w:r>
          </w:p>
        </w:tc>
        <w:tc>
          <w:tcPr>
            <w:tcW w:w="2551" w:type="dxa"/>
            <w:vAlign w:val="center"/>
          </w:tcPr>
          <w:p>
            <w:pPr>
              <w:pStyle w:val="26"/>
            </w:pPr>
            <w:r>
              <w:t>3000元/人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专科生补助标准</w:t>
            </w:r>
          </w:p>
        </w:tc>
        <w:tc>
          <w:tcPr>
            <w:tcW w:w="2835" w:type="dxa"/>
            <w:vAlign w:val="center"/>
          </w:tcPr>
          <w:p>
            <w:pPr>
              <w:pStyle w:val="26"/>
            </w:pPr>
            <w:r>
              <w:t>对考取本科的困难大学生补助标准</w:t>
            </w:r>
          </w:p>
        </w:tc>
        <w:tc>
          <w:tcPr>
            <w:tcW w:w="2551" w:type="dxa"/>
            <w:vAlign w:val="center"/>
          </w:tcPr>
          <w:p>
            <w:pPr>
              <w:pStyle w:val="26"/>
            </w:pPr>
            <w:r>
              <w:t>4000元/人</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困难职工子女就学难题破解率</w:t>
            </w:r>
          </w:p>
        </w:tc>
        <w:tc>
          <w:tcPr>
            <w:tcW w:w="2835" w:type="dxa"/>
            <w:vAlign w:val="center"/>
          </w:tcPr>
          <w:p>
            <w:pPr>
              <w:pStyle w:val="26"/>
            </w:pPr>
            <w:r>
              <w:t>帮助在档的困难职工子女上大学问题，解决因职工家庭困难而辍学的问题。</w:t>
            </w:r>
          </w:p>
        </w:tc>
        <w:tc>
          <w:tcPr>
            <w:tcW w:w="2551" w:type="dxa"/>
            <w:vAlign w:val="center"/>
          </w:tcPr>
          <w:p>
            <w:pPr>
              <w:pStyle w:val="26"/>
            </w:pPr>
            <w:r>
              <w:t>≥90%</w:t>
            </w:r>
          </w:p>
        </w:tc>
        <w:tc>
          <w:tcPr>
            <w:tcW w:w="2268" w:type="dxa"/>
            <w:vAlign w:val="center"/>
          </w:tcPr>
          <w:p>
            <w:pPr>
              <w:pStyle w:val="2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困难职工对金秋助学活动满意率</w:t>
            </w:r>
          </w:p>
        </w:tc>
        <w:tc>
          <w:tcPr>
            <w:tcW w:w="2835" w:type="dxa"/>
            <w:vAlign w:val="center"/>
          </w:tcPr>
          <w:p>
            <w:pPr>
              <w:pStyle w:val="26"/>
            </w:pPr>
            <w:r>
              <w:t>困难职工对金秋助学活动满意率</w:t>
            </w:r>
          </w:p>
        </w:tc>
        <w:tc>
          <w:tcPr>
            <w:tcW w:w="2551" w:type="dxa"/>
            <w:vAlign w:val="center"/>
          </w:tcPr>
          <w:p>
            <w:pPr>
              <w:pStyle w:val="26"/>
            </w:pPr>
            <w:r>
              <w:t>≥90%</w:t>
            </w:r>
          </w:p>
        </w:tc>
        <w:tc>
          <w:tcPr>
            <w:tcW w:w="2268" w:type="dxa"/>
            <w:vAlign w:val="center"/>
          </w:tcPr>
          <w:p>
            <w:pPr>
              <w:pStyle w:val="26"/>
            </w:pPr>
            <w:r>
              <w:t>根据满意度调查结果确定</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2022年，青龙满族自治县总工会安排政府采购预算0.00万元。具体内容见下表。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711青龙满族自治县总工会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青龙满族自治县总工会（含所属单位）上年末固定资产金额为293.08万元（详见下表）。本年度拟购置固定资产总额为0.00万元，已按要求列入政府采购预算，详见政府采购预算表。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711青龙满族自治县总工会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w:t>
            </w:r>
          </w:p>
        </w:tc>
        <w:tc>
          <w:tcPr>
            <w:tcW w:w="2835" w:type="dxa"/>
            <w:vAlign w:val="center"/>
          </w:tcPr>
          <w:p>
            <w:pPr>
              <w:pStyle w:val="11"/>
            </w:pPr>
            <w:r>
              <w:t>211.12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w:t>
            </w:r>
          </w:p>
        </w:tc>
        <w:tc>
          <w:tcPr>
            <w:tcW w:w="2835" w:type="dxa"/>
            <w:vAlign w:val="center"/>
          </w:tcPr>
          <w:p>
            <w:pPr>
              <w:pStyle w:val="11"/>
            </w:pPr>
            <w:r>
              <w:t>211.12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108</w:t>
            </w:r>
          </w:p>
        </w:tc>
        <w:tc>
          <w:tcPr>
            <w:tcW w:w="2835" w:type="dxa"/>
            <w:vAlign w:val="center"/>
          </w:tcPr>
          <w:p>
            <w:pPr>
              <w:pStyle w:val="11"/>
            </w:pPr>
            <w:r>
              <w:t>55.88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005010CD"/>
    <w:rsid w:val="003A6B66"/>
    <w:rsid w:val="003F6B50"/>
    <w:rsid w:val="0046333D"/>
    <w:rsid w:val="004E5901"/>
    <w:rsid w:val="005010CD"/>
    <w:rsid w:val="00657C79"/>
    <w:rsid w:val="008604F7"/>
    <w:rsid w:val="00B07ABF"/>
    <w:rsid w:val="00B778B5"/>
    <w:rsid w:val="00CB15A1"/>
    <w:rsid w:val="0EB43F87"/>
    <w:rsid w:val="15567BEB"/>
    <w:rsid w:val="16C7634A"/>
    <w:rsid w:val="19306900"/>
    <w:rsid w:val="20191F65"/>
    <w:rsid w:val="2D8C0151"/>
    <w:rsid w:val="36770FE5"/>
    <w:rsid w:val="3C3711A0"/>
    <w:rsid w:val="41271509"/>
    <w:rsid w:val="44223AB6"/>
    <w:rsid w:val="449012E0"/>
    <w:rsid w:val="45AD4CB1"/>
    <w:rsid w:val="568E0FF3"/>
    <w:rsid w:val="59592D2E"/>
    <w:rsid w:val="59CA59DA"/>
    <w:rsid w:val="640164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6a5ec7e3-c602-4799-88f6-525f3a405989"/>
    <w:qFormat/>
    <w:uiPriority w:val="0"/>
    <w:rPr>
      <w:rFonts w:ascii="Times New Roman" w:hAnsi="Times New Roman" w:eastAsia="Times New Roman" w:cs="Times New Roman"/>
      <w:sz w:val="24"/>
      <w:szCs w:val="24"/>
      <w:lang w:val="en-US" w:eastAsia="uk-UA" w:bidi="ar-SA"/>
    </w:rPr>
  </w:style>
  <w:style w:type="paragraph" w:customStyle="1" w:styleId="25">
    <w:name w:val="单元格样式1_ffaadc06-3d67-46b3-9f4d-13fed70332cc"/>
    <w:basedOn w:val="1"/>
    <w:qFormat/>
    <w:uiPriority w:val="0"/>
    <w:pPr>
      <w:jc w:val="center"/>
    </w:pPr>
    <w:rPr>
      <w:rFonts w:ascii="方正书宋_GBK" w:hAnsi="方正书宋_GBK" w:eastAsia="方正书宋_GBK" w:cs="方正书宋_GBK"/>
      <w:b/>
      <w:sz w:val="21"/>
    </w:rPr>
  </w:style>
  <w:style w:type="paragraph" w:customStyle="1" w:styleId="26">
    <w:name w:val="单元格样式2_e6323138-c989-4294-86b8-026fb10ff65f"/>
    <w:basedOn w:val="1"/>
    <w:qFormat/>
    <w:uiPriority w:val="0"/>
    <w:rPr>
      <w:rFonts w:ascii="方正书宋_GBK" w:hAnsi="方正书宋_GBK" w:eastAsia="方正书宋_GBK" w:cs="方正书宋_GBK"/>
      <w:sz w:val="21"/>
    </w:rPr>
  </w:style>
  <w:style w:type="paragraph" w:customStyle="1" w:styleId="27">
    <w:name w:val="单元格样式3_26d8fd19-866e-4444-8cdd-7db7bf7200cd"/>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2022-02-16T10:34:49Z</dcterms:created>
  <dcterms:modified xsi:type="dcterms:W3CDTF">2022-02-16T02:34:49Z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2022-02-16T10:34:47Z</dcterms:created>
  <dcterms:modified xsi:type="dcterms:W3CDTF">2022-02-16T02:34:47Z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2022-02-16T10:34:45Z</dcterms:created>
  <dcterms:modified xsi:type="dcterms:W3CDTF">2022-02-16T02:34:45Z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2022-02-16T10:34:51Z</dcterms:created>
  <dcterms:modified xsi:type="dcterms:W3CDTF">2022-02-16T02:34:51Z</dcterms:modified>
</cp:coreProperties>
</file>

<file path=customXml/itemProps1.xml><?xml version="1.0" encoding="utf-8"?>
<ds:datastoreItem xmlns:ds="http://schemas.openxmlformats.org/officeDocument/2006/customXml" ds:itemID="{30162D12-4CD4-4EA5-8BE1-9C49FB3A9A83}">
  <ds:schemaRefs/>
</ds:datastoreItem>
</file>

<file path=customXml/itemProps2.xml><?xml version="1.0" encoding="utf-8"?>
<ds:datastoreItem xmlns:ds="http://schemas.openxmlformats.org/officeDocument/2006/customXml" ds:itemID="{C757DC73-A468-4A5F-A41B-F40ED0FD469C}">
  <ds:schemaRefs/>
</ds:datastoreItem>
</file>

<file path=customXml/itemProps3.xml><?xml version="1.0" encoding="utf-8"?>
<ds:datastoreItem xmlns:ds="http://schemas.openxmlformats.org/officeDocument/2006/customXml" ds:itemID="{0F8AD2AE-475E-4826-8D15-ADF70266BD22}">
  <ds:schemaRefs/>
</ds:datastoreItem>
</file>

<file path=customXml/itemProps4.xml><?xml version="1.0" encoding="utf-8"?>
<ds:datastoreItem xmlns:ds="http://schemas.openxmlformats.org/officeDocument/2006/customXml" ds:itemID="{592F5247-1B1B-4177-ACA7-81C717956421}">
  <ds:schemaRefs/>
</ds:datastoreItem>
</file>

<file path=customXml/itemProps5.xml><?xml version="1.0" encoding="utf-8"?>
<ds:datastoreItem xmlns:ds="http://schemas.openxmlformats.org/officeDocument/2006/customXml" ds:itemID="{DB62DEDC-1337-40AF-9286-8C1E83C1EA66}">
  <ds:schemaRefs/>
</ds:datastoreItem>
</file>

<file path=customXml/itemProps6.xml><?xml version="1.0" encoding="utf-8"?>
<ds:datastoreItem xmlns:ds="http://schemas.openxmlformats.org/officeDocument/2006/customXml" ds:itemID="{6577F643-BF30-4E7C-85B3-FADD5C9C339F}">
  <ds:schemaRefs/>
</ds:datastoreItem>
</file>

<file path=customXml/itemProps7.xml><?xml version="1.0" encoding="utf-8"?>
<ds:datastoreItem xmlns:ds="http://schemas.openxmlformats.org/officeDocument/2006/customXml" ds:itemID="{81A3FAD3-14BD-43FC-91D2-5B78B343FEE6}">
  <ds:schemaRefs/>
</ds:datastoreItem>
</file>

<file path=customXml/itemProps8.xml><?xml version="1.0" encoding="utf-8"?>
<ds:datastoreItem xmlns:ds="http://schemas.openxmlformats.org/officeDocument/2006/customXml" ds:itemID="{E3C633E3-540E-438C-B8CB-6FDEE6AC15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3008</Words>
  <Characters>17151</Characters>
  <Lines>142</Lines>
  <Paragraphs>40</Paragraphs>
  <TotalTime>9</TotalTime>
  <ScaleCrop>false</ScaleCrop>
  <LinksUpToDate>false</LinksUpToDate>
  <CharactersWithSpaces>20119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2022-02-16T10:34:00Z</dcterms:created>
  <dc:creator>Administrator</dc:creator>
  <cp:lastModifiedBy>Administrator</cp:lastModifiedBy>
  <dcterms:modified xsi:type="dcterms:W3CDTF">2025-07-03T08:17:50Z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FF93AFE5E10E4ADD9AD4B4F65C63948D_12</vt:lpwstr>
  </property>
</Properties>
</file>