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916肖营子镇</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1740.93</w:t>
            </w:r>
          </w:p>
        </w:tc>
        <w:tc>
          <w:tcPr>
            <w:tcW w:w="4535" w:type="dxa"/>
            <w:vAlign w:val="center"/>
          </w:tcPr>
          <w:p>
            <w:pPr>
              <w:pStyle w:val="13"/>
            </w:pPr>
            <w:r>
              <w:t>一、一般公共服务支出</w:t>
            </w:r>
          </w:p>
        </w:tc>
        <w:tc>
          <w:tcPr>
            <w:tcW w:w="2126" w:type="dxa"/>
            <w:vAlign w:val="center"/>
          </w:tcPr>
          <w:p>
            <w:pPr>
              <w:pStyle w:val="12"/>
            </w:pPr>
            <w:r>
              <w:t>1335.24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65.00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233.79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1805.93</w:t>
            </w:r>
          </w:p>
        </w:tc>
        <w:tc>
          <w:tcPr>
            <w:tcW w:w="4535" w:type="dxa"/>
            <w:vAlign w:val="center"/>
          </w:tcPr>
          <w:p>
            <w:pPr>
              <w:pStyle w:val="15"/>
            </w:pPr>
            <w:r>
              <w:t>本年支出合计</w:t>
            </w:r>
          </w:p>
        </w:tc>
        <w:tc>
          <w:tcPr>
            <w:tcW w:w="2126" w:type="dxa"/>
            <w:vAlign w:val="center"/>
          </w:tcPr>
          <w:p>
            <w:pPr>
              <w:pStyle w:val="16"/>
            </w:pPr>
            <w:r>
              <w:t>2042.78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236.85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2042.78</w:t>
            </w:r>
          </w:p>
        </w:tc>
        <w:tc>
          <w:tcPr>
            <w:tcW w:w="4535" w:type="dxa"/>
            <w:vAlign w:val="center"/>
          </w:tcPr>
          <w:p>
            <w:pPr>
              <w:pStyle w:val="15"/>
            </w:pPr>
            <w:r>
              <w:t>支出总计</w:t>
            </w:r>
          </w:p>
        </w:tc>
        <w:tc>
          <w:tcPr>
            <w:tcW w:w="2126" w:type="dxa"/>
            <w:vAlign w:val="center"/>
          </w:tcPr>
          <w:p>
            <w:pPr>
              <w:pStyle w:val="16"/>
            </w:pPr>
            <w:r>
              <w:t>2042.78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916肖营子镇</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2042.78</w:t>
            </w:r>
          </w:p>
        </w:tc>
        <w:tc>
          <w:tcPr>
            <w:tcW w:w="1134" w:type="dxa"/>
            <w:vAlign w:val="center"/>
          </w:tcPr>
          <w:p>
            <w:pPr>
              <w:pStyle w:val="16"/>
            </w:pPr>
            <w:r>
              <w:t>1805.93</w:t>
            </w:r>
          </w:p>
        </w:tc>
        <w:tc>
          <w:tcPr>
            <w:tcW w:w="1134" w:type="dxa"/>
            <w:vAlign w:val="center"/>
          </w:tcPr>
          <w:p>
            <w:pPr>
              <w:pStyle w:val="16"/>
            </w:pPr>
            <w:r>
              <w:t>1805.93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236.85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1335.24</w:t>
            </w:r>
          </w:p>
        </w:tc>
        <w:tc>
          <w:tcPr>
            <w:tcW w:w="1134" w:type="dxa"/>
            <w:vAlign w:val="center"/>
          </w:tcPr>
          <w:p>
            <w:pPr>
              <w:pStyle w:val="12"/>
            </w:pPr>
            <w:r>
              <w:t>1298.64</w:t>
            </w:r>
          </w:p>
        </w:tc>
        <w:tc>
          <w:tcPr>
            <w:tcW w:w="1134" w:type="dxa"/>
            <w:vAlign w:val="center"/>
          </w:tcPr>
          <w:p>
            <w:pPr>
              <w:pStyle w:val="12"/>
            </w:pPr>
            <w:r>
              <w:t>1298.64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1.50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1.50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1297.91</w:t>
            </w:r>
          </w:p>
        </w:tc>
        <w:tc>
          <w:tcPr>
            <w:tcW w:w="1134" w:type="dxa"/>
            <w:vAlign w:val="center"/>
          </w:tcPr>
          <w:p>
            <w:pPr>
              <w:pStyle w:val="12"/>
            </w:pPr>
            <w:r>
              <w:t>1280.64</w:t>
            </w:r>
          </w:p>
        </w:tc>
        <w:tc>
          <w:tcPr>
            <w:tcW w:w="1134" w:type="dxa"/>
            <w:vAlign w:val="center"/>
          </w:tcPr>
          <w:p>
            <w:pPr>
              <w:pStyle w:val="12"/>
            </w:pPr>
            <w:r>
              <w:t>1280.64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453.35</w:t>
            </w:r>
          </w:p>
        </w:tc>
        <w:tc>
          <w:tcPr>
            <w:tcW w:w="1134" w:type="dxa"/>
            <w:vAlign w:val="center"/>
          </w:tcPr>
          <w:p>
            <w:pPr>
              <w:pStyle w:val="12"/>
            </w:pPr>
            <w:r>
              <w:t>436.07</w:t>
            </w:r>
          </w:p>
        </w:tc>
        <w:tc>
          <w:tcPr>
            <w:tcW w:w="1134" w:type="dxa"/>
            <w:vAlign w:val="center"/>
          </w:tcPr>
          <w:p>
            <w:pPr>
              <w:pStyle w:val="12"/>
            </w:pPr>
            <w:r>
              <w:t>436.07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r>
              <w:t>201.00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641.57</w:t>
            </w:r>
          </w:p>
        </w:tc>
        <w:tc>
          <w:tcPr>
            <w:tcW w:w="1134" w:type="dxa"/>
            <w:vAlign w:val="center"/>
          </w:tcPr>
          <w:p>
            <w:pPr>
              <w:pStyle w:val="12"/>
            </w:pPr>
            <w:r>
              <w:t>641.57</w:t>
            </w:r>
          </w:p>
        </w:tc>
        <w:tc>
          <w:tcPr>
            <w:tcW w:w="1134" w:type="dxa"/>
            <w:vAlign w:val="center"/>
          </w:tcPr>
          <w:p>
            <w:pPr>
              <w:pStyle w:val="12"/>
            </w:pPr>
            <w:r>
              <w:t>641.57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1.54</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1.54</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32.29</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32.29</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233.79</w:t>
            </w:r>
          </w:p>
        </w:tc>
        <w:tc>
          <w:tcPr>
            <w:tcW w:w="1134" w:type="dxa"/>
            <w:vAlign w:val="center"/>
          </w:tcPr>
          <w:p>
            <w:pPr>
              <w:pStyle w:val="12"/>
            </w:pPr>
            <w:r>
              <w:t>233.79</w:t>
            </w:r>
          </w:p>
        </w:tc>
        <w:tc>
          <w:tcPr>
            <w:tcW w:w="1134" w:type="dxa"/>
            <w:vAlign w:val="center"/>
          </w:tcPr>
          <w:p>
            <w:pPr>
              <w:pStyle w:val="12"/>
            </w:pPr>
            <w:r>
              <w:t>233.79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210.56</w:t>
            </w:r>
          </w:p>
        </w:tc>
        <w:tc>
          <w:tcPr>
            <w:tcW w:w="1134" w:type="dxa"/>
            <w:vAlign w:val="center"/>
          </w:tcPr>
          <w:p>
            <w:pPr>
              <w:pStyle w:val="12"/>
            </w:pPr>
            <w:r>
              <w:t>210.56</w:t>
            </w:r>
          </w:p>
        </w:tc>
        <w:tc>
          <w:tcPr>
            <w:tcW w:w="1134" w:type="dxa"/>
            <w:vAlign w:val="center"/>
          </w:tcPr>
          <w:p>
            <w:pPr>
              <w:pStyle w:val="12"/>
            </w:pPr>
            <w:r>
              <w:t>210.56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46.66</w:t>
            </w:r>
          </w:p>
        </w:tc>
        <w:tc>
          <w:tcPr>
            <w:tcW w:w="1134" w:type="dxa"/>
            <w:vAlign w:val="center"/>
          </w:tcPr>
          <w:p>
            <w:pPr>
              <w:pStyle w:val="12"/>
            </w:pPr>
            <w:r>
              <w:t>46.66</w:t>
            </w:r>
          </w:p>
        </w:tc>
        <w:tc>
          <w:tcPr>
            <w:tcW w:w="1134" w:type="dxa"/>
            <w:vAlign w:val="center"/>
          </w:tcPr>
          <w:p>
            <w:pPr>
              <w:pStyle w:val="12"/>
            </w:pPr>
            <w:r>
              <w:t>46.66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3.57</w:t>
            </w:r>
          </w:p>
        </w:tc>
        <w:tc>
          <w:tcPr>
            <w:tcW w:w="1134" w:type="dxa"/>
            <w:vAlign w:val="center"/>
          </w:tcPr>
          <w:p>
            <w:pPr>
              <w:pStyle w:val="12"/>
            </w:pPr>
            <w:r>
              <w:t>3.57</w:t>
            </w:r>
          </w:p>
        </w:tc>
        <w:tc>
          <w:tcPr>
            <w:tcW w:w="1134" w:type="dxa"/>
            <w:vAlign w:val="center"/>
          </w:tcPr>
          <w:p>
            <w:pPr>
              <w:pStyle w:val="12"/>
            </w:pPr>
            <w:r>
              <w:t>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145.09</w:t>
            </w:r>
          </w:p>
        </w:tc>
        <w:tc>
          <w:tcPr>
            <w:tcW w:w="1134" w:type="dxa"/>
            <w:vAlign w:val="center"/>
          </w:tcPr>
          <w:p>
            <w:pPr>
              <w:pStyle w:val="12"/>
            </w:pPr>
            <w:r>
              <w:t>145.09</w:t>
            </w:r>
          </w:p>
        </w:tc>
        <w:tc>
          <w:tcPr>
            <w:tcW w:w="1134" w:type="dxa"/>
            <w:vAlign w:val="center"/>
          </w:tcPr>
          <w:p>
            <w:pPr>
              <w:pStyle w:val="12"/>
            </w:pPr>
            <w:r>
              <w:t>145.09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15.23</w:t>
            </w:r>
          </w:p>
        </w:tc>
        <w:tc>
          <w:tcPr>
            <w:tcW w:w="1134" w:type="dxa"/>
            <w:vAlign w:val="center"/>
          </w:tcPr>
          <w:p>
            <w:pPr>
              <w:pStyle w:val="12"/>
            </w:pPr>
            <w:r>
              <w:t>15.23</w:t>
            </w:r>
          </w:p>
        </w:tc>
        <w:tc>
          <w:tcPr>
            <w:tcW w:w="1134" w:type="dxa"/>
            <w:vAlign w:val="center"/>
          </w:tcPr>
          <w:p>
            <w:pPr>
              <w:pStyle w:val="12"/>
            </w:pPr>
            <w:r>
              <w:t>15.23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23.23</w:t>
            </w:r>
          </w:p>
        </w:tc>
        <w:tc>
          <w:tcPr>
            <w:tcW w:w="1134" w:type="dxa"/>
            <w:vAlign w:val="center"/>
          </w:tcPr>
          <w:p>
            <w:pPr>
              <w:pStyle w:val="12"/>
            </w:pPr>
            <w:r>
              <w:t>23.23</w:t>
            </w:r>
          </w:p>
        </w:tc>
        <w:tc>
          <w:tcPr>
            <w:tcW w:w="1134" w:type="dxa"/>
            <w:vAlign w:val="center"/>
          </w:tcPr>
          <w:p>
            <w:pPr>
              <w:pStyle w:val="12"/>
            </w:pPr>
            <w:r>
              <w:t>23.23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23.23</w:t>
            </w:r>
          </w:p>
        </w:tc>
        <w:tc>
          <w:tcPr>
            <w:tcW w:w="1134" w:type="dxa"/>
            <w:vAlign w:val="center"/>
          </w:tcPr>
          <w:p>
            <w:pPr>
              <w:pStyle w:val="12"/>
            </w:pPr>
            <w:r>
              <w:t>23.23</w:t>
            </w:r>
          </w:p>
        </w:tc>
        <w:tc>
          <w:tcPr>
            <w:tcW w:w="1134" w:type="dxa"/>
            <w:vAlign w:val="center"/>
          </w:tcPr>
          <w:p>
            <w:pPr>
              <w:pStyle w:val="12"/>
            </w:pPr>
            <w:r>
              <w:t>23.23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90.31</w:t>
            </w:r>
          </w:p>
        </w:tc>
        <w:tc>
          <w:tcPr>
            <w:tcW w:w="1134" w:type="dxa"/>
            <w:vAlign w:val="center"/>
          </w:tcPr>
          <w:p>
            <w:pPr>
              <w:pStyle w:val="12"/>
            </w:pPr>
            <w:r>
              <w:t>90.31</w:t>
            </w:r>
          </w:p>
        </w:tc>
        <w:tc>
          <w:tcPr>
            <w:tcW w:w="1134" w:type="dxa"/>
            <w:vAlign w:val="center"/>
          </w:tcPr>
          <w:p>
            <w:pPr>
              <w:pStyle w:val="12"/>
            </w:pPr>
            <w:r>
              <w:t>90.31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79.82</w:t>
            </w:r>
          </w:p>
        </w:tc>
        <w:tc>
          <w:tcPr>
            <w:tcW w:w="1134" w:type="dxa"/>
            <w:vAlign w:val="center"/>
          </w:tcPr>
          <w:p>
            <w:pPr>
              <w:pStyle w:val="12"/>
            </w:pPr>
            <w:r>
              <w:t>79.82</w:t>
            </w:r>
          </w:p>
        </w:tc>
        <w:tc>
          <w:tcPr>
            <w:tcW w:w="1134" w:type="dxa"/>
            <w:vAlign w:val="center"/>
          </w:tcPr>
          <w:p>
            <w:pPr>
              <w:pStyle w:val="12"/>
            </w:pPr>
            <w:r>
              <w:t>79.82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25.22</w:t>
            </w:r>
          </w:p>
        </w:tc>
        <w:tc>
          <w:tcPr>
            <w:tcW w:w="1134" w:type="dxa"/>
            <w:vAlign w:val="center"/>
          </w:tcPr>
          <w:p>
            <w:pPr>
              <w:pStyle w:val="12"/>
            </w:pPr>
            <w:r>
              <w:t>25.22</w:t>
            </w:r>
          </w:p>
        </w:tc>
        <w:tc>
          <w:tcPr>
            <w:tcW w:w="1134" w:type="dxa"/>
            <w:vAlign w:val="center"/>
          </w:tcPr>
          <w:p>
            <w:pPr>
              <w:pStyle w:val="12"/>
            </w:pPr>
            <w:r>
              <w:t>25.22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r>
              <w:t>54.60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76.21</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63.00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63.00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13.21</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2110499</w:t>
            </w:r>
          </w:p>
        </w:tc>
        <w:tc>
          <w:tcPr>
            <w:tcW w:w="1559" w:type="dxa"/>
            <w:vAlign w:val="center"/>
          </w:tcPr>
          <w:p>
            <w:pPr>
              <w:pStyle w:val="13"/>
            </w:pPr>
            <w:r>
              <w:t>其他自然生态保护支出</w:t>
            </w:r>
          </w:p>
        </w:tc>
        <w:tc>
          <w:tcPr>
            <w:tcW w:w="1134" w:type="dxa"/>
            <w:vAlign w:val="center"/>
          </w:tcPr>
          <w:p>
            <w:pPr>
              <w:pStyle w:val="12"/>
            </w:pPr>
            <w:r>
              <w:t>13.21</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167.04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167.04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167.04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r>
              <w:t>75.20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2042.78</w:t>
            </w:r>
          </w:p>
        </w:tc>
        <w:tc>
          <w:tcPr>
            <w:tcW w:w="1361" w:type="dxa"/>
            <w:vAlign w:val="center"/>
          </w:tcPr>
          <w:p>
            <w:pPr>
              <w:pStyle w:val="16"/>
            </w:pPr>
            <w:r>
              <w:t>1483.71</w:t>
            </w:r>
          </w:p>
        </w:tc>
        <w:tc>
          <w:tcPr>
            <w:tcW w:w="1361" w:type="dxa"/>
            <w:vAlign w:val="center"/>
          </w:tcPr>
          <w:p>
            <w:pPr>
              <w:pStyle w:val="16"/>
            </w:pPr>
            <w:r>
              <w:t>559.07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1335.24</w:t>
            </w:r>
          </w:p>
        </w:tc>
        <w:tc>
          <w:tcPr>
            <w:tcW w:w="1361" w:type="dxa"/>
            <w:vAlign w:val="center"/>
          </w:tcPr>
          <w:p>
            <w:pPr>
              <w:pStyle w:val="12"/>
            </w:pPr>
            <w:r>
              <w:t>1094.91</w:t>
            </w:r>
          </w:p>
        </w:tc>
        <w:tc>
          <w:tcPr>
            <w:tcW w:w="1361" w:type="dxa"/>
            <w:vAlign w:val="center"/>
          </w:tcPr>
          <w:p>
            <w:pPr>
              <w:pStyle w:val="12"/>
            </w:pPr>
            <w:r>
              <w:t>240.33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1297.91</w:t>
            </w:r>
          </w:p>
        </w:tc>
        <w:tc>
          <w:tcPr>
            <w:tcW w:w="1361" w:type="dxa"/>
            <w:vAlign w:val="center"/>
          </w:tcPr>
          <w:p>
            <w:pPr>
              <w:pStyle w:val="12"/>
            </w:pPr>
            <w:r>
              <w:t>1094.91</w:t>
            </w:r>
          </w:p>
        </w:tc>
        <w:tc>
          <w:tcPr>
            <w:tcW w:w="1361" w:type="dxa"/>
            <w:vAlign w:val="center"/>
          </w:tcPr>
          <w:p>
            <w:pPr>
              <w:pStyle w:val="12"/>
            </w:pPr>
            <w:r>
              <w:t>203.00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453.35</w:t>
            </w:r>
          </w:p>
        </w:tc>
        <w:tc>
          <w:tcPr>
            <w:tcW w:w="1361" w:type="dxa"/>
            <w:vAlign w:val="center"/>
          </w:tcPr>
          <w:p>
            <w:pPr>
              <w:pStyle w:val="12"/>
            </w:pPr>
            <w:r>
              <w:t>453.35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201.00</w:t>
            </w:r>
          </w:p>
        </w:tc>
        <w:tc>
          <w:tcPr>
            <w:tcW w:w="1361" w:type="dxa"/>
            <w:vAlign w:val="center"/>
          </w:tcPr>
          <w:p>
            <w:pPr>
              <w:pStyle w:val="12"/>
            </w:pPr>
          </w:p>
        </w:tc>
        <w:tc>
          <w:tcPr>
            <w:tcW w:w="1361" w:type="dxa"/>
            <w:vAlign w:val="center"/>
          </w:tcPr>
          <w:p>
            <w:pPr>
              <w:pStyle w:val="12"/>
            </w:pPr>
            <w:r>
              <w:t>201.00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641.57</w:t>
            </w:r>
          </w:p>
        </w:tc>
        <w:tc>
          <w:tcPr>
            <w:tcW w:w="1361" w:type="dxa"/>
            <w:vAlign w:val="center"/>
          </w:tcPr>
          <w:p>
            <w:pPr>
              <w:pStyle w:val="12"/>
            </w:pPr>
            <w:r>
              <w:t>641.57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32.29</w:t>
            </w:r>
          </w:p>
        </w:tc>
        <w:tc>
          <w:tcPr>
            <w:tcW w:w="1361" w:type="dxa"/>
            <w:vAlign w:val="center"/>
          </w:tcPr>
          <w:p>
            <w:pPr>
              <w:pStyle w:val="12"/>
            </w:pPr>
          </w:p>
        </w:tc>
        <w:tc>
          <w:tcPr>
            <w:tcW w:w="1361" w:type="dxa"/>
            <w:vAlign w:val="center"/>
          </w:tcPr>
          <w:p>
            <w:pPr>
              <w:pStyle w:val="12"/>
            </w:pPr>
            <w:r>
              <w:t>32.29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32.29</w:t>
            </w:r>
          </w:p>
        </w:tc>
        <w:tc>
          <w:tcPr>
            <w:tcW w:w="1361" w:type="dxa"/>
            <w:vAlign w:val="center"/>
          </w:tcPr>
          <w:p>
            <w:pPr>
              <w:pStyle w:val="12"/>
            </w:pPr>
          </w:p>
        </w:tc>
        <w:tc>
          <w:tcPr>
            <w:tcW w:w="1361" w:type="dxa"/>
            <w:vAlign w:val="center"/>
          </w:tcPr>
          <w:p>
            <w:pPr>
              <w:pStyle w:val="12"/>
            </w:pPr>
            <w:r>
              <w:t>32.29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233.79</w:t>
            </w:r>
          </w:p>
        </w:tc>
        <w:tc>
          <w:tcPr>
            <w:tcW w:w="1361" w:type="dxa"/>
            <w:vAlign w:val="center"/>
          </w:tcPr>
          <w:p>
            <w:pPr>
              <w:pStyle w:val="12"/>
            </w:pPr>
            <w:r>
              <w:t>233.79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210.56</w:t>
            </w:r>
          </w:p>
        </w:tc>
        <w:tc>
          <w:tcPr>
            <w:tcW w:w="1361" w:type="dxa"/>
            <w:vAlign w:val="center"/>
          </w:tcPr>
          <w:p>
            <w:pPr>
              <w:pStyle w:val="12"/>
            </w:pPr>
            <w:r>
              <w:t>210.56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46.66</w:t>
            </w:r>
          </w:p>
        </w:tc>
        <w:tc>
          <w:tcPr>
            <w:tcW w:w="1361" w:type="dxa"/>
            <w:vAlign w:val="center"/>
          </w:tcPr>
          <w:p>
            <w:pPr>
              <w:pStyle w:val="12"/>
            </w:pPr>
            <w:r>
              <w:t>46.66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3.57</w:t>
            </w:r>
          </w:p>
        </w:tc>
        <w:tc>
          <w:tcPr>
            <w:tcW w:w="1361" w:type="dxa"/>
            <w:vAlign w:val="center"/>
          </w:tcPr>
          <w:p>
            <w:pPr>
              <w:pStyle w:val="12"/>
            </w:pPr>
            <w:r>
              <w:t>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145.09</w:t>
            </w:r>
          </w:p>
        </w:tc>
        <w:tc>
          <w:tcPr>
            <w:tcW w:w="1361" w:type="dxa"/>
            <w:vAlign w:val="center"/>
          </w:tcPr>
          <w:p>
            <w:pPr>
              <w:pStyle w:val="12"/>
            </w:pPr>
            <w:r>
              <w:t>145.09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15.23</w:t>
            </w:r>
          </w:p>
        </w:tc>
        <w:tc>
          <w:tcPr>
            <w:tcW w:w="1361" w:type="dxa"/>
            <w:vAlign w:val="center"/>
          </w:tcPr>
          <w:p>
            <w:pPr>
              <w:pStyle w:val="12"/>
            </w:pPr>
            <w:r>
              <w:t>15.23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23.23</w:t>
            </w:r>
          </w:p>
        </w:tc>
        <w:tc>
          <w:tcPr>
            <w:tcW w:w="1361" w:type="dxa"/>
            <w:vAlign w:val="center"/>
          </w:tcPr>
          <w:p>
            <w:pPr>
              <w:pStyle w:val="12"/>
            </w:pPr>
            <w:r>
              <w:t>23.23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23.23</w:t>
            </w:r>
          </w:p>
        </w:tc>
        <w:tc>
          <w:tcPr>
            <w:tcW w:w="1361" w:type="dxa"/>
            <w:vAlign w:val="center"/>
          </w:tcPr>
          <w:p>
            <w:pPr>
              <w:pStyle w:val="12"/>
            </w:pPr>
            <w:r>
              <w:t>23.23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90.31</w:t>
            </w:r>
          </w:p>
        </w:tc>
        <w:tc>
          <w:tcPr>
            <w:tcW w:w="1361" w:type="dxa"/>
            <w:vAlign w:val="center"/>
          </w:tcPr>
          <w:p>
            <w:pPr>
              <w:pStyle w:val="12"/>
            </w:pPr>
            <w:r>
              <w:t>79.82</w:t>
            </w:r>
          </w:p>
        </w:tc>
        <w:tc>
          <w:tcPr>
            <w:tcW w:w="1361" w:type="dxa"/>
            <w:vAlign w:val="center"/>
          </w:tcPr>
          <w:p>
            <w:pPr>
              <w:pStyle w:val="12"/>
            </w:pPr>
            <w:r>
              <w:t>10.49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2.06</w:t>
            </w:r>
          </w:p>
        </w:tc>
        <w:tc>
          <w:tcPr>
            <w:tcW w:w="1361" w:type="dxa"/>
            <w:vAlign w:val="center"/>
          </w:tcPr>
          <w:p>
            <w:pPr>
              <w:pStyle w:val="12"/>
            </w:pPr>
          </w:p>
        </w:tc>
        <w:tc>
          <w:tcPr>
            <w:tcW w:w="1361" w:type="dxa"/>
            <w:vAlign w:val="center"/>
          </w:tcPr>
          <w:p>
            <w:pPr>
              <w:pStyle w:val="12"/>
            </w:pPr>
            <w:r>
              <w:t>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2.06</w:t>
            </w:r>
          </w:p>
        </w:tc>
        <w:tc>
          <w:tcPr>
            <w:tcW w:w="1361" w:type="dxa"/>
            <w:vAlign w:val="center"/>
          </w:tcPr>
          <w:p>
            <w:pPr>
              <w:pStyle w:val="12"/>
            </w:pPr>
          </w:p>
        </w:tc>
        <w:tc>
          <w:tcPr>
            <w:tcW w:w="1361" w:type="dxa"/>
            <w:vAlign w:val="center"/>
          </w:tcPr>
          <w:p>
            <w:pPr>
              <w:pStyle w:val="12"/>
            </w:pPr>
            <w:r>
              <w:t>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79.82</w:t>
            </w:r>
          </w:p>
        </w:tc>
        <w:tc>
          <w:tcPr>
            <w:tcW w:w="1361" w:type="dxa"/>
            <w:vAlign w:val="center"/>
          </w:tcPr>
          <w:p>
            <w:pPr>
              <w:pStyle w:val="12"/>
            </w:pPr>
            <w:r>
              <w:t>79.82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25.22</w:t>
            </w:r>
          </w:p>
        </w:tc>
        <w:tc>
          <w:tcPr>
            <w:tcW w:w="1361" w:type="dxa"/>
            <w:vAlign w:val="center"/>
          </w:tcPr>
          <w:p>
            <w:pPr>
              <w:pStyle w:val="12"/>
            </w:pPr>
            <w:r>
              <w:t>25.22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54.60</w:t>
            </w:r>
          </w:p>
        </w:tc>
        <w:tc>
          <w:tcPr>
            <w:tcW w:w="1361" w:type="dxa"/>
            <w:vAlign w:val="center"/>
          </w:tcPr>
          <w:p>
            <w:pPr>
              <w:pStyle w:val="12"/>
            </w:pPr>
            <w:r>
              <w:t>54.60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8.43</w:t>
            </w:r>
          </w:p>
        </w:tc>
        <w:tc>
          <w:tcPr>
            <w:tcW w:w="1361" w:type="dxa"/>
            <w:vAlign w:val="center"/>
          </w:tcPr>
          <w:p>
            <w:pPr>
              <w:pStyle w:val="12"/>
            </w:pPr>
          </w:p>
        </w:tc>
        <w:tc>
          <w:tcPr>
            <w:tcW w:w="1361" w:type="dxa"/>
            <w:vAlign w:val="center"/>
          </w:tcPr>
          <w:p>
            <w:pPr>
              <w:pStyle w:val="12"/>
            </w:pPr>
            <w:r>
              <w:t>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8.43</w:t>
            </w:r>
          </w:p>
        </w:tc>
        <w:tc>
          <w:tcPr>
            <w:tcW w:w="1361" w:type="dxa"/>
            <w:vAlign w:val="center"/>
          </w:tcPr>
          <w:p>
            <w:pPr>
              <w:pStyle w:val="12"/>
            </w:pPr>
          </w:p>
        </w:tc>
        <w:tc>
          <w:tcPr>
            <w:tcW w:w="1361" w:type="dxa"/>
            <w:vAlign w:val="center"/>
          </w:tcPr>
          <w:p>
            <w:pPr>
              <w:pStyle w:val="12"/>
            </w:pPr>
            <w:r>
              <w:t>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76.21</w:t>
            </w:r>
          </w:p>
        </w:tc>
        <w:tc>
          <w:tcPr>
            <w:tcW w:w="1361" w:type="dxa"/>
            <w:vAlign w:val="center"/>
          </w:tcPr>
          <w:p>
            <w:pPr>
              <w:pStyle w:val="12"/>
            </w:pPr>
          </w:p>
        </w:tc>
        <w:tc>
          <w:tcPr>
            <w:tcW w:w="1361" w:type="dxa"/>
            <w:vAlign w:val="center"/>
          </w:tcPr>
          <w:p>
            <w:pPr>
              <w:pStyle w:val="12"/>
            </w:pPr>
            <w:r>
              <w:t>76.21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2110499</w:t>
            </w:r>
          </w:p>
        </w:tc>
        <w:tc>
          <w:tcPr>
            <w:tcW w:w="4535" w:type="dxa"/>
            <w:vAlign w:val="center"/>
          </w:tcPr>
          <w:p>
            <w:pPr>
              <w:pStyle w:val="13"/>
            </w:pPr>
            <w:r>
              <w:t>其他自然生态保护支出</w:t>
            </w: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r>
              <w:t>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r>
              <w:t>167.04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75.20</w:t>
            </w:r>
          </w:p>
        </w:tc>
        <w:tc>
          <w:tcPr>
            <w:tcW w:w="1361" w:type="dxa"/>
            <w:vAlign w:val="center"/>
          </w:tcPr>
          <w:p>
            <w:pPr>
              <w:pStyle w:val="12"/>
            </w:pPr>
            <w:r>
              <w:t>75.20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75.20</w:t>
            </w:r>
          </w:p>
        </w:tc>
        <w:tc>
          <w:tcPr>
            <w:tcW w:w="1361" w:type="dxa"/>
            <w:vAlign w:val="center"/>
          </w:tcPr>
          <w:p>
            <w:pPr>
              <w:pStyle w:val="12"/>
            </w:pPr>
            <w:r>
              <w:t>75.20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75.20</w:t>
            </w:r>
          </w:p>
        </w:tc>
        <w:tc>
          <w:tcPr>
            <w:tcW w:w="1361" w:type="dxa"/>
            <w:vAlign w:val="center"/>
          </w:tcPr>
          <w:p>
            <w:pPr>
              <w:pStyle w:val="12"/>
            </w:pPr>
            <w:r>
              <w:t>75.20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1740.93</w:t>
            </w:r>
          </w:p>
        </w:tc>
        <w:tc>
          <w:tcPr>
            <w:tcW w:w="3402" w:type="dxa"/>
            <w:vAlign w:val="center"/>
          </w:tcPr>
          <w:p>
            <w:pPr>
              <w:pStyle w:val="13"/>
            </w:pPr>
            <w:r>
              <w:t>一、一般公共服务支出</w:t>
            </w:r>
          </w:p>
        </w:tc>
        <w:tc>
          <w:tcPr>
            <w:tcW w:w="1474" w:type="dxa"/>
            <w:vAlign w:val="center"/>
          </w:tcPr>
          <w:p>
            <w:pPr>
              <w:pStyle w:val="12"/>
            </w:pPr>
            <w:r>
              <w:t>1335.24</w:t>
            </w:r>
          </w:p>
        </w:tc>
        <w:tc>
          <w:tcPr>
            <w:tcW w:w="1474" w:type="dxa"/>
            <w:vAlign w:val="center"/>
          </w:tcPr>
          <w:p>
            <w:pPr>
              <w:pStyle w:val="12"/>
            </w:pPr>
            <w:r>
              <w:t>1335.24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65.00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233.79</w:t>
            </w:r>
          </w:p>
        </w:tc>
        <w:tc>
          <w:tcPr>
            <w:tcW w:w="1474" w:type="dxa"/>
            <w:vAlign w:val="center"/>
          </w:tcPr>
          <w:p>
            <w:pPr>
              <w:pStyle w:val="12"/>
            </w:pPr>
            <w:r>
              <w:t>233.79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90.31</w:t>
            </w:r>
          </w:p>
        </w:tc>
        <w:tc>
          <w:tcPr>
            <w:tcW w:w="1474" w:type="dxa"/>
            <w:vAlign w:val="center"/>
          </w:tcPr>
          <w:p>
            <w:pPr>
              <w:pStyle w:val="12"/>
            </w:pPr>
            <w:r>
              <w:t>90.31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76.21</w:t>
            </w:r>
          </w:p>
        </w:tc>
        <w:tc>
          <w:tcPr>
            <w:tcW w:w="1474" w:type="dxa"/>
            <w:vAlign w:val="center"/>
          </w:tcPr>
          <w:p>
            <w:pPr>
              <w:pStyle w:val="12"/>
            </w:pPr>
            <w:r>
              <w:t>76.21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65.00</w:t>
            </w:r>
          </w:p>
        </w:tc>
        <w:tc>
          <w:tcPr>
            <w:tcW w:w="1474" w:type="dxa"/>
            <w:vAlign w:val="center"/>
          </w:tcPr>
          <w:p>
            <w:pPr>
              <w:pStyle w:val="12"/>
            </w:pPr>
          </w:p>
        </w:tc>
        <w:tc>
          <w:tcPr>
            <w:tcW w:w="1474" w:type="dxa"/>
            <w:vAlign w:val="center"/>
          </w:tcPr>
          <w:p>
            <w:pPr>
              <w:pStyle w:val="12"/>
            </w:pPr>
            <w:r>
              <w:t>65.00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167.04</w:t>
            </w:r>
          </w:p>
        </w:tc>
        <w:tc>
          <w:tcPr>
            <w:tcW w:w="1474" w:type="dxa"/>
            <w:vAlign w:val="center"/>
          </w:tcPr>
          <w:p>
            <w:pPr>
              <w:pStyle w:val="12"/>
            </w:pPr>
            <w:r>
              <w:t>167.04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75.20</w:t>
            </w:r>
          </w:p>
        </w:tc>
        <w:tc>
          <w:tcPr>
            <w:tcW w:w="1474" w:type="dxa"/>
            <w:vAlign w:val="center"/>
          </w:tcPr>
          <w:p>
            <w:pPr>
              <w:pStyle w:val="12"/>
            </w:pPr>
            <w:r>
              <w:t>75.20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1805.93</w:t>
            </w:r>
          </w:p>
        </w:tc>
        <w:tc>
          <w:tcPr>
            <w:tcW w:w="3402" w:type="dxa"/>
            <w:vAlign w:val="center"/>
          </w:tcPr>
          <w:p>
            <w:pPr>
              <w:pStyle w:val="15"/>
            </w:pPr>
            <w:r>
              <w:t>本年支出合计</w:t>
            </w:r>
          </w:p>
        </w:tc>
        <w:tc>
          <w:tcPr>
            <w:tcW w:w="1474" w:type="dxa"/>
            <w:vAlign w:val="center"/>
          </w:tcPr>
          <w:p>
            <w:pPr>
              <w:pStyle w:val="16"/>
            </w:pPr>
            <w:r>
              <w:t>2042.78</w:t>
            </w:r>
          </w:p>
        </w:tc>
        <w:tc>
          <w:tcPr>
            <w:tcW w:w="1474" w:type="dxa"/>
            <w:vAlign w:val="center"/>
          </w:tcPr>
          <w:p>
            <w:pPr>
              <w:pStyle w:val="16"/>
            </w:pPr>
            <w:r>
              <w:t>1977.78</w:t>
            </w:r>
          </w:p>
        </w:tc>
        <w:tc>
          <w:tcPr>
            <w:tcW w:w="1474" w:type="dxa"/>
            <w:vAlign w:val="center"/>
          </w:tcPr>
          <w:p>
            <w:pPr>
              <w:pStyle w:val="16"/>
            </w:pPr>
            <w:r>
              <w:t>65.00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236.85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236.85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2042.78</w:t>
            </w:r>
          </w:p>
        </w:tc>
        <w:tc>
          <w:tcPr>
            <w:tcW w:w="3402" w:type="dxa"/>
            <w:vAlign w:val="center"/>
          </w:tcPr>
          <w:p>
            <w:pPr>
              <w:pStyle w:val="15"/>
            </w:pPr>
            <w:r>
              <w:t>支出总计</w:t>
            </w:r>
          </w:p>
        </w:tc>
        <w:tc>
          <w:tcPr>
            <w:tcW w:w="1474" w:type="dxa"/>
            <w:vAlign w:val="center"/>
          </w:tcPr>
          <w:p>
            <w:pPr>
              <w:pStyle w:val="16"/>
            </w:pPr>
            <w:r>
              <w:t>2042.78</w:t>
            </w:r>
          </w:p>
        </w:tc>
        <w:tc>
          <w:tcPr>
            <w:tcW w:w="1474" w:type="dxa"/>
            <w:vAlign w:val="center"/>
          </w:tcPr>
          <w:p>
            <w:pPr>
              <w:pStyle w:val="16"/>
            </w:pPr>
            <w:r>
              <w:t>1977.78</w:t>
            </w:r>
          </w:p>
        </w:tc>
        <w:tc>
          <w:tcPr>
            <w:tcW w:w="1474" w:type="dxa"/>
            <w:vAlign w:val="center"/>
          </w:tcPr>
          <w:p>
            <w:pPr>
              <w:pStyle w:val="16"/>
            </w:pPr>
            <w:r>
              <w:t>65.00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1977.78</w:t>
            </w:r>
          </w:p>
        </w:tc>
        <w:tc>
          <w:tcPr>
            <w:tcW w:w="2551" w:type="dxa"/>
            <w:vAlign w:val="center"/>
          </w:tcPr>
          <w:p>
            <w:pPr>
              <w:pStyle w:val="16"/>
            </w:pPr>
            <w:r>
              <w:t>1483.71</w:t>
            </w:r>
          </w:p>
        </w:tc>
        <w:tc>
          <w:tcPr>
            <w:tcW w:w="2551" w:type="dxa"/>
            <w:vAlign w:val="center"/>
          </w:tcPr>
          <w:p>
            <w:pPr>
              <w:pStyle w:val="16"/>
            </w:pPr>
            <w:r>
              <w:t>494.07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1335.24</w:t>
            </w:r>
          </w:p>
        </w:tc>
        <w:tc>
          <w:tcPr>
            <w:tcW w:w="2551" w:type="dxa"/>
            <w:vAlign w:val="center"/>
          </w:tcPr>
          <w:p>
            <w:pPr>
              <w:pStyle w:val="12"/>
            </w:pPr>
            <w:r>
              <w:t>1094.91</w:t>
            </w:r>
          </w:p>
        </w:tc>
        <w:tc>
          <w:tcPr>
            <w:tcW w:w="2551" w:type="dxa"/>
            <w:vAlign w:val="center"/>
          </w:tcPr>
          <w:p>
            <w:pPr>
              <w:pStyle w:val="12"/>
            </w:pPr>
            <w:r>
              <w:t>240.33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1297.91</w:t>
            </w:r>
          </w:p>
        </w:tc>
        <w:tc>
          <w:tcPr>
            <w:tcW w:w="2551" w:type="dxa"/>
            <w:vAlign w:val="center"/>
          </w:tcPr>
          <w:p>
            <w:pPr>
              <w:pStyle w:val="12"/>
            </w:pPr>
            <w:r>
              <w:t>1094.91</w:t>
            </w:r>
          </w:p>
        </w:tc>
        <w:tc>
          <w:tcPr>
            <w:tcW w:w="2551" w:type="dxa"/>
            <w:vAlign w:val="center"/>
          </w:tcPr>
          <w:p>
            <w:pPr>
              <w:pStyle w:val="12"/>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453.35</w:t>
            </w:r>
          </w:p>
        </w:tc>
        <w:tc>
          <w:tcPr>
            <w:tcW w:w="2551" w:type="dxa"/>
            <w:vAlign w:val="center"/>
          </w:tcPr>
          <w:p>
            <w:pPr>
              <w:pStyle w:val="12"/>
            </w:pPr>
            <w:r>
              <w:t>453.35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201.00</w:t>
            </w:r>
          </w:p>
        </w:tc>
        <w:tc>
          <w:tcPr>
            <w:tcW w:w="2551" w:type="dxa"/>
            <w:vAlign w:val="center"/>
          </w:tcPr>
          <w:p>
            <w:pPr>
              <w:pStyle w:val="12"/>
            </w:pPr>
          </w:p>
        </w:tc>
        <w:tc>
          <w:tcPr>
            <w:tcW w:w="2551" w:type="dxa"/>
            <w:vAlign w:val="center"/>
          </w:tcPr>
          <w:p>
            <w:pPr>
              <w:pStyle w:val="12"/>
            </w:pPr>
            <w:r>
              <w:t>201.00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641.57</w:t>
            </w:r>
          </w:p>
        </w:tc>
        <w:tc>
          <w:tcPr>
            <w:tcW w:w="2551" w:type="dxa"/>
            <w:vAlign w:val="center"/>
          </w:tcPr>
          <w:p>
            <w:pPr>
              <w:pStyle w:val="12"/>
            </w:pPr>
            <w:r>
              <w:t>641.57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1.54</w:t>
            </w:r>
          </w:p>
        </w:tc>
        <w:tc>
          <w:tcPr>
            <w:tcW w:w="2551" w:type="dxa"/>
            <w:vAlign w:val="center"/>
          </w:tcPr>
          <w:p>
            <w:pPr>
              <w:pStyle w:val="12"/>
            </w:pPr>
          </w:p>
        </w:tc>
        <w:tc>
          <w:tcPr>
            <w:tcW w:w="2551" w:type="dxa"/>
            <w:vAlign w:val="center"/>
          </w:tcPr>
          <w:p>
            <w:pPr>
              <w:pStyle w:val="12"/>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1.54</w:t>
            </w:r>
          </w:p>
        </w:tc>
        <w:tc>
          <w:tcPr>
            <w:tcW w:w="2551" w:type="dxa"/>
            <w:vAlign w:val="center"/>
          </w:tcPr>
          <w:p>
            <w:pPr>
              <w:pStyle w:val="12"/>
            </w:pPr>
          </w:p>
        </w:tc>
        <w:tc>
          <w:tcPr>
            <w:tcW w:w="2551" w:type="dxa"/>
            <w:vAlign w:val="center"/>
          </w:tcPr>
          <w:p>
            <w:pPr>
              <w:pStyle w:val="12"/>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32.29</w:t>
            </w:r>
          </w:p>
        </w:tc>
        <w:tc>
          <w:tcPr>
            <w:tcW w:w="2551" w:type="dxa"/>
            <w:vAlign w:val="center"/>
          </w:tcPr>
          <w:p>
            <w:pPr>
              <w:pStyle w:val="12"/>
            </w:pPr>
          </w:p>
        </w:tc>
        <w:tc>
          <w:tcPr>
            <w:tcW w:w="2551" w:type="dxa"/>
            <w:vAlign w:val="center"/>
          </w:tcPr>
          <w:p>
            <w:pPr>
              <w:pStyle w:val="12"/>
            </w:pPr>
            <w:r>
              <w:t>32.29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32.29</w:t>
            </w:r>
          </w:p>
        </w:tc>
        <w:tc>
          <w:tcPr>
            <w:tcW w:w="2551" w:type="dxa"/>
            <w:vAlign w:val="center"/>
          </w:tcPr>
          <w:p>
            <w:pPr>
              <w:pStyle w:val="12"/>
            </w:pPr>
          </w:p>
        </w:tc>
        <w:tc>
          <w:tcPr>
            <w:tcW w:w="2551" w:type="dxa"/>
            <w:vAlign w:val="center"/>
          </w:tcPr>
          <w:p>
            <w:pPr>
              <w:pStyle w:val="12"/>
            </w:pPr>
            <w:r>
              <w:t>32.29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233.79</w:t>
            </w:r>
          </w:p>
        </w:tc>
        <w:tc>
          <w:tcPr>
            <w:tcW w:w="2551" w:type="dxa"/>
            <w:vAlign w:val="center"/>
          </w:tcPr>
          <w:p>
            <w:pPr>
              <w:pStyle w:val="12"/>
            </w:pPr>
            <w:r>
              <w:t>233.79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210.56</w:t>
            </w:r>
          </w:p>
        </w:tc>
        <w:tc>
          <w:tcPr>
            <w:tcW w:w="2551" w:type="dxa"/>
            <w:vAlign w:val="center"/>
          </w:tcPr>
          <w:p>
            <w:pPr>
              <w:pStyle w:val="12"/>
            </w:pPr>
            <w:r>
              <w:t>210.56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46.66</w:t>
            </w:r>
          </w:p>
        </w:tc>
        <w:tc>
          <w:tcPr>
            <w:tcW w:w="2551" w:type="dxa"/>
            <w:vAlign w:val="center"/>
          </w:tcPr>
          <w:p>
            <w:pPr>
              <w:pStyle w:val="12"/>
            </w:pPr>
            <w:r>
              <w:t>46.66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3.57</w:t>
            </w:r>
          </w:p>
        </w:tc>
        <w:tc>
          <w:tcPr>
            <w:tcW w:w="2551" w:type="dxa"/>
            <w:vAlign w:val="center"/>
          </w:tcPr>
          <w:p>
            <w:pPr>
              <w:pStyle w:val="12"/>
            </w:pPr>
            <w:r>
              <w:t>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145.09</w:t>
            </w:r>
          </w:p>
        </w:tc>
        <w:tc>
          <w:tcPr>
            <w:tcW w:w="2551" w:type="dxa"/>
            <w:vAlign w:val="center"/>
          </w:tcPr>
          <w:p>
            <w:pPr>
              <w:pStyle w:val="12"/>
            </w:pPr>
            <w:r>
              <w:t>145.09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15.23</w:t>
            </w:r>
          </w:p>
        </w:tc>
        <w:tc>
          <w:tcPr>
            <w:tcW w:w="2551" w:type="dxa"/>
            <w:vAlign w:val="center"/>
          </w:tcPr>
          <w:p>
            <w:pPr>
              <w:pStyle w:val="12"/>
            </w:pPr>
            <w:r>
              <w:t>15.23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23.23</w:t>
            </w:r>
          </w:p>
        </w:tc>
        <w:tc>
          <w:tcPr>
            <w:tcW w:w="2551" w:type="dxa"/>
            <w:vAlign w:val="center"/>
          </w:tcPr>
          <w:p>
            <w:pPr>
              <w:pStyle w:val="12"/>
            </w:pPr>
            <w:r>
              <w:t>23.23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23.23</w:t>
            </w:r>
          </w:p>
        </w:tc>
        <w:tc>
          <w:tcPr>
            <w:tcW w:w="2551" w:type="dxa"/>
            <w:vAlign w:val="center"/>
          </w:tcPr>
          <w:p>
            <w:pPr>
              <w:pStyle w:val="12"/>
            </w:pPr>
            <w:r>
              <w:t>23.23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90.31</w:t>
            </w:r>
          </w:p>
        </w:tc>
        <w:tc>
          <w:tcPr>
            <w:tcW w:w="2551" w:type="dxa"/>
            <w:vAlign w:val="center"/>
          </w:tcPr>
          <w:p>
            <w:pPr>
              <w:pStyle w:val="12"/>
            </w:pPr>
            <w:r>
              <w:t>79.82</w:t>
            </w:r>
          </w:p>
        </w:tc>
        <w:tc>
          <w:tcPr>
            <w:tcW w:w="2551" w:type="dxa"/>
            <w:vAlign w:val="center"/>
          </w:tcPr>
          <w:p>
            <w:pPr>
              <w:pStyle w:val="12"/>
            </w:pPr>
            <w:r>
              <w:t>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2.06</w:t>
            </w:r>
          </w:p>
        </w:tc>
        <w:tc>
          <w:tcPr>
            <w:tcW w:w="2551" w:type="dxa"/>
            <w:vAlign w:val="center"/>
          </w:tcPr>
          <w:p>
            <w:pPr>
              <w:pStyle w:val="12"/>
            </w:pPr>
          </w:p>
        </w:tc>
        <w:tc>
          <w:tcPr>
            <w:tcW w:w="2551" w:type="dxa"/>
            <w:vAlign w:val="center"/>
          </w:tcPr>
          <w:p>
            <w:pPr>
              <w:pStyle w:val="12"/>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2.06</w:t>
            </w:r>
          </w:p>
        </w:tc>
        <w:tc>
          <w:tcPr>
            <w:tcW w:w="2551" w:type="dxa"/>
            <w:vAlign w:val="center"/>
          </w:tcPr>
          <w:p>
            <w:pPr>
              <w:pStyle w:val="12"/>
            </w:pPr>
          </w:p>
        </w:tc>
        <w:tc>
          <w:tcPr>
            <w:tcW w:w="2551" w:type="dxa"/>
            <w:vAlign w:val="center"/>
          </w:tcPr>
          <w:p>
            <w:pPr>
              <w:pStyle w:val="12"/>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79.82</w:t>
            </w:r>
          </w:p>
        </w:tc>
        <w:tc>
          <w:tcPr>
            <w:tcW w:w="2551" w:type="dxa"/>
            <w:vAlign w:val="center"/>
          </w:tcPr>
          <w:p>
            <w:pPr>
              <w:pStyle w:val="12"/>
            </w:pPr>
            <w:r>
              <w:t>79.82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25.22</w:t>
            </w:r>
          </w:p>
        </w:tc>
        <w:tc>
          <w:tcPr>
            <w:tcW w:w="2551" w:type="dxa"/>
            <w:vAlign w:val="center"/>
          </w:tcPr>
          <w:p>
            <w:pPr>
              <w:pStyle w:val="12"/>
            </w:pPr>
            <w:r>
              <w:t>25.22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54.60</w:t>
            </w:r>
          </w:p>
        </w:tc>
        <w:tc>
          <w:tcPr>
            <w:tcW w:w="2551" w:type="dxa"/>
            <w:vAlign w:val="center"/>
          </w:tcPr>
          <w:p>
            <w:pPr>
              <w:pStyle w:val="12"/>
            </w:pPr>
            <w:r>
              <w:t>54.60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8.43</w:t>
            </w:r>
          </w:p>
        </w:tc>
        <w:tc>
          <w:tcPr>
            <w:tcW w:w="2551" w:type="dxa"/>
            <w:vAlign w:val="center"/>
          </w:tcPr>
          <w:p>
            <w:pPr>
              <w:pStyle w:val="12"/>
            </w:pPr>
          </w:p>
        </w:tc>
        <w:tc>
          <w:tcPr>
            <w:tcW w:w="2551" w:type="dxa"/>
            <w:vAlign w:val="center"/>
          </w:tcPr>
          <w:p>
            <w:pPr>
              <w:pStyle w:val="12"/>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8.43</w:t>
            </w:r>
          </w:p>
        </w:tc>
        <w:tc>
          <w:tcPr>
            <w:tcW w:w="2551" w:type="dxa"/>
            <w:vAlign w:val="center"/>
          </w:tcPr>
          <w:p>
            <w:pPr>
              <w:pStyle w:val="12"/>
            </w:pPr>
          </w:p>
        </w:tc>
        <w:tc>
          <w:tcPr>
            <w:tcW w:w="2551" w:type="dxa"/>
            <w:vAlign w:val="center"/>
          </w:tcPr>
          <w:p>
            <w:pPr>
              <w:pStyle w:val="12"/>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76.21</w:t>
            </w:r>
          </w:p>
        </w:tc>
        <w:tc>
          <w:tcPr>
            <w:tcW w:w="2551" w:type="dxa"/>
            <w:vAlign w:val="center"/>
          </w:tcPr>
          <w:p>
            <w:pPr>
              <w:pStyle w:val="12"/>
            </w:pPr>
          </w:p>
        </w:tc>
        <w:tc>
          <w:tcPr>
            <w:tcW w:w="2551" w:type="dxa"/>
            <w:vAlign w:val="center"/>
          </w:tcPr>
          <w:p>
            <w:pPr>
              <w:pStyle w:val="12"/>
            </w:pPr>
            <w:r>
              <w:t>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63.00</w:t>
            </w:r>
          </w:p>
        </w:tc>
        <w:tc>
          <w:tcPr>
            <w:tcW w:w="2551" w:type="dxa"/>
            <w:vAlign w:val="center"/>
          </w:tcPr>
          <w:p>
            <w:pPr>
              <w:pStyle w:val="12"/>
            </w:pPr>
          </w:p>
        </w:tc>
        <w:tc>
          <w:tcPr>
            <w:tcW w:w="2551"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63.00</w:t>
            </w:r>
          </w:p>
        </w:tc>
        <w:tc>
          <w:tcPr>
            <w:tcW w:w="2551" w:type="dxa"/>
            <w:vAlign w:val="center"/>
          </w:tcPr>
          <w:p>
            <w:pPr>
              <w:pStyle w:val="12"/>
            </w:pPr>
          </w:p>
        </w:tc>
        <w:tc>
          <w:tcPr>
            <w:tcW w:w="2551"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13.21</w:t>
            </w:r>
          </w:p>
        </w:tc>
        <w:tc>
          <w:tcPr>
            <w:tcW w:w="2551" w:type="dxa"/>
            <w:vAlign w:val="center"/>
          </w:tcPr>
          <w:p>
            <w:pPr>
              <w:pStyle w:val="12"/>
            </w:pPr>
          </w:p>
        </w:tc>
        <w:tc>
          <w:tcPr>
            <w:tcW w:w="2551" w:type="dxa"/>
            <w:vAlign w:val="center"/>
          </w:tcPr>
          <w:p>
            <w:pPr>
              <w:pStyle w:val="12"/>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2110499</w:t>
            </w:r>
          </w:p>
        </w:tc>
        <w:tc>
          <w:tcPr>
            <w:tcW w:w="4535" w:type="dxa"/>
            <w:vAlign w:val="center"/>
          </w:tcPr>
          <w:p>
            <w:pPr>
              <w:pStyle w:val="13"/>
            </w:pPr>
            <w:r>
              <w:t>其他自然生态保护支出</w:t>
            </w:r>
          </w:p>
        </w:tc>
        <w:tc>
          <w:tcPr>
            <w:tcW w:w="2551" w:type="dxa"/>
            <w:vAlign w:val="center"/>
          </w:tcPr>
          <w:p>
            <w:pPr>
              <w:pStyle w:val="12"/>
            </w:pPr>
            <w:r>
              <w:t>13.21</w:t>
            </w:r>
          </w:p>
        </w:tc>
        <w:tc>
          <w:tcPr>
            <w:tcW w:w="2551" w:type="dxa"/>
            <w:vAlign w:val="center"/>
          </w:tcPr>
          <w:p>
            <w:pPr>
              <w:pStyle w:val="12"/>
            </w:pPr>
          </w:p>
        </w:tc>
        <w:tc>
          <w:tcPr>
            <w:tcW w:w="2551" w:type="dxa"/>
            <w:vAlign w:val="center"/>
          </w:tcPr>
          <w:p>
            <w:pPr>
              <w:pStyle w:val="12"/>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167.04</w:t>
            </w:r>
          </w:p>
        </w:tc>
        <w:tc>
          <w:tcPr>
            <w:tcW w:w="2551" w:type="dxa"/>
            <w:vAlign w:val="center"/>
          </w:tcPr>
          <w:p>
            <w:pPr>
              <w:pStyle w:val="12"/>
            </w:pPr>
          </w:p>
        </w:tc>
        <w:tc>
          <w:tcPr>
            <w:tcW w:w="2551"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167.04</w:t>
            </w:r>
          </w:p>
        </w:tc>
        <w:tc>
          <w:tcPr>
            <w:tcW w:w="2551" w:type="dxa"/>
            <w:vAlign w:val="center"/>
          </w:tcPr>
          <w:p>
            <w:pPr>
              <w:pStyle w:val="12"/>
            </w:pPr>
          </w:p>
        </w:tc>
        <w:tc>
          <w:tcPr>
            <w:tcW w:w="2551"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167.04</w:t>
            </w:r>
          </w:p>
        </w:tc>
        <w:tc>
          <w:tcPr>
            <w:tcW w:w="2551" w:type="dxa"/>
            <w:vAlign w:val="center"/>
          </w:tcPr>
          <w:p>
            <w:pPr>
              <w:pStyle w:val="12"/>
            </w:pPr>
          </w:p>
        </w:tc>
        <w:tc>
          <w:tcPr>
            <w:tcW w:w="2551" w:type="dxa"/>
            <w:vAlign w:val="center"/>
          </w:tcPr>
          <w:p>
            <w:pPr>
              <w:pStyle w:val="12"/>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75.20</w:t>
            </w:r>
          </w:p>
        </w:tc>
        <w:tc>
          <w:tcPr>
            <w:tcW w:w="2551" w:type="dxa"/>
            <w:vAlign w:val="center"/>
          </w:tcPr>
          <w:p>
            <w:pPr>
              <w:pStyle w:val="12"/>
            </w:pPr>
            <w:r>
              <w:t>75.20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75.20</w:t>
            </w:r>
          </w:p>
        </w:tc>
        <w:tc>
          <w:tcPr>
            <w:tcW w:w="2551" w:type="dxa"/>
            <w:vAlign w:val="center"/>
          </w:tcPr>
          <w:p>
            <w:pPr>
              <w:pStyle w:val="12"/>
            </w:pPr>
            <w:r>
              <w:t>75.20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75.20</w:t>
            </w:r>
          </w:p>
        </w:tc>
        <w:tc>
          <w:tcPr>
            <w:tcW w:w="2551" w:type="dxa"/>
            <w:vAlign w:val="center"/>
          </w:tcPr>
          <w:p>
            <w:pPr>
              <w:pStyle w:val="12"/>
            </w:pPr>
            <w:r>
              <w:t>75.20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1483.71</w:t>
            </w:r>
          </w:p>
        </w:tc>
        <w:tc>
          <w:tcPr>
            <w:tcW w:w="2551" w:type="dxa"/>
            <w:vAlign w:val="center"/>
          </w:tcPr>
          <w:p>
            <w:pPr>
              <w:pStyle w:val="16"/>
            </w:pPr>
            <w:r>
              <w:t>1344.05</w:t>
            </w:r>
          </w:p>
        </w:tc>
        <w:tc>
          <w:tcPr>
            <w:tcW w:w="2551" w:type="dxa"/>
            <w:vAlign w:val="center"/>
          </w:tcPr>
          <w:p>
            <w:pPr>
              <w:pStyle w:val="16"/>
            </w:pPr>
            <w:r>
              <w:t>139.66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1270.59</w:t>
            </w:r>
          </w:p>
        </w:tc>
        <w:tc>
          <w:tcPr>
            <w:tcW w:w="2551" w:type="dxa"/>
            <w:vAlign w:val="center"/>
          </w:tcPr>
          <w:p>
            <w:pPr>
              <w:pStyle w:val="12"/>
            </w:pPr>
            <w:r>
              <w:t>1270.59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478.46</w:t>
            </w:r>
          </w:p>
        </w:tc>
        <w:tc>
          <w:tcPr>
            <w:tcW w:w="2551" w:type="dxa"/>
            <w:vAlign w:val="center"/>
          </w:tcPr>
          <w:p>
            <w:pPr>
              <w:pStyle w:val="12"/>
            </w:pPr>
            <w:r>
              <w:t>478.46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206.37</w:t>
            </w:r>
          </w:p>
        </w:tc>
        <w:tc>
          <w:tcPr>
            <w:tcW w:w="2551" w:type="dxa"/>
            <w:vAlign w:val="center"/>
          </w:tcPr>
          <w:p>
            <w:pPr>
              <w:pStyle w:val="12"/>
            </w:pPr>
            <w:r>
              <w:t>206.37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39.74</w:t>
            </w:r>
          </w:p>
        </w:tc>
        <w:tc>
          <w:tcPr>
            <w:tcW w:w="2551" w:type="dxa"/>
            <w:vAlign w:val="center"/>
          </w:tcPr>
          <w:p>
            <w:pPr>
              <w:pStyle w:val="12"/>
            </w:pPr>
            <w:r>
              <w:t>39.74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225.34</w:t>
            </w:r>
          </w:p>
        </w:tc>
        <w:tc>
          <w:tcPr>
            <w:tcW w:w="2551" w:type="dxa"/>
            <w:vAlign w:val="center"/>
          </w:tcPr>
          <w:p>
            <w:pPr>
              <w:pStyle w:val="12"/>
            </w:pPr>
            <w:r>
              <w:t>225.34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145.09</w:t>
            </w:r>
          </w:p>
        </w:tc>
        <w:tc>
          <w:tcPr>
            <w:tcW w:w="2551" w:type="dxa"/>
            <w:vAlign w:val="center"/>
          </w:tcPr>
          <w:p>
            <w:pPr>
              <w:pStyle w:val="12"/>
            </w:pPr>
            <w:r>
              <w:t>145.09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15.23</w:t>
            </w:r>
          </w:p>
        </w:tc>
        <w:tc>
          <w:tcPr>
            <w:tcW w:w="2551" w:type="dxa"/>
            <w:vAlign w:val="center"/>
          </w:tcPr>
          <w:p>
            <w:pPr>
              <w:pStyle w:val="12"/>
            </w:pPr>
            <w:r>
              <w:t>15.23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79.82</w:t>
            </w:r>
          </w:p>
        </w:tc>
        <w:tc>
          <w:tcPr>
            <w:tcW w:w="2551" w:type="dxa"/>
            <w:vAlign w:val="center"/>
          </w:tcPr>
          <w:p>
            <w:pPr>
              <w:pStyle w:val="12"/>
            </w:pPr>
            <w:r>
              <w:t>79.82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75.20</w:t>
            </w:r>
          </w:p>
        </w:tc>
        <w:tc>
          <w:tcPr>
            <w:tcW w:w="2551" w:type="dxa"/>
            <w:vAlign w:val="center"/>
          </w:tcPr>
          <w:p>
            <w:pPr>
              <w:pStyle w:val="12"/>
            </w:pPr>
            <w:r>
              <w:t>75.20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135.07</w:t>
            </w:r>
          </w:p>
        </w:tc>
        <w:tc>
          <w:tcPr>
            <w:tcW w:w="2551" w:type="dxa"/>
            <w:vAlign w:val="center"/>
          </w:tcPr>
          <w:p>
            <w:pPr>
              <w:pStyle w:val="12"/>
            </w:pPr>
          </w:p>
        </w:tc>
        <w:tc>
          <w:tcPr>
            <w:tcW w:w="2551" w:type="dxa"/>
            <w:vAlign w:val="center"/>
          </w:tcPr>
          <w:p>
            <w:pPr>
              <w:pStyle w:val="12"/>
            </w:pPr>
            <w:r>
              <w:t>135.07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31.62</w:t>
            </w:r>
          </w:p>
        </w:tc>
        <w:tc>
          <w:tcPr>
            <w:tcW w:w="2551" w:type="dxa"/>
            <w:vAlign w:val="center"/>
          </w:tcPr>
          <w:p>
            <w:pPr>
              <w:pStyle w:val="12"/>
            </w:pPr>
          </w:p>
        </w:tc>
        <w:tc>
          <w:tcPr>
            <w:tcW w:w="2551" w:type="dxa"/>
            <w:vAlign w:val="center"/>
          </w:tcPr>
          <w:p>
            <w:pPr>
              <w:pStyle w:val="12"/>
            </w:pPr>
            <w:r>
              <w:t>31.62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15.26</w:t>
            </w:r>
          </w:p>
        </w:tc>
        <w:tc>
          <w:tcPr>
            <w:tcW w:w="2551" w:type="dxa"/>
            <w:vAlign w:val="center"/>
          </w:tcPr>
          <w:p>
            <w:pPr>
              <w:pStyle w:val="12"/>
            </w:pPr>
          </w:p>
        </w:tc>
        <w:tc>
          <w:tcPr>
            <w:tcW w:w="2551" w:type="dxa"/>
            <w:vAlign w:val="center"/>
          </w:tcPr>
          <w:p>
            <w:pPr>
              <w:pStyle w:val="12"/>
            </w:pPr>
            <w:r>
              <w:t>15.26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25.81</w:t>
            </w:r>
          </w:p>
        </w:tc>
        <w:tc>
          <w:tcPr>
            <w:tcW w:w="2551" w:type="dxa"/>
            <w:vAlign w:val="center"/>
          </w:tcPr>
          <w:p>
            <w:pPr>
              <w:pStyle w:val="12"/>
            </w:pPr>
          </w:p>
        </w:tc>
        <w:tc>
          <w:tcPr>
            <w:tcW w:w="2551" w:type="dxa"/>
            <w:vAlign w:val="center"/>
          </w:tcPr>
          <w:p>
            <w:pPr>
              <w:pStyle w:val="12"/>
            </w:pPr>
            <w:r>
              <w:t>25.81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7.59</w:t>
            </w:r>
          </w:p>
        </w:tc>
        <w:tc>
          <w:tcPr>
            <w:tcW w:w="2551" w:type="dxa"/>
            <w:vAlign w:val="center"/>
          </w:tcPr>
          <w:p>
            <w:pPr>
              <w:pStyle w:val="12"/>
            </w:pPr>
          </w:p>
        </w:tc>
        <w:tc>
          <w:tcPr>
            <w:tcW w:w="2551" w:type="dxa"/>
            <w:vAlign w:val="center"/>
          </w:tcPr>
          <w:p>
            <w:pPr>
              <w:pStyle w:val="12"/>
            </w:pPr>
            <w:r>
              <w:t>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31.07</w:t>
            </w:r>
          </w:p>
        </w:tc>
        <w:tc>
          <w:tcPr>
            <w:tcW w:w="2551" w:type="dxa"/>
            <w:vAlign w:val="center"/>
          </w:tcPr>
          <w:p>
            <w:pPr>
              <w:pStyle w:val="12"/>
            </w:pPr>
          </w:p>
        </w:tc>
        <w:tc>
          <w:tcPr>
            <w:tcW w:w="2551" w:type="dxa"/>
            <w:vAlign w:val="center"/>
          </w:tcPr>
          <w:p>
            <w:pPr>
              <w:pStyle w:val="12"/>
            </w:pPr>
            <w:r>
              <w:t>31.07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73.46</w:t>
            </w:r>
          </w:p>
        </w:tc>
        <w:tc>
          <w:tcPr>
            <w:tcW w:w="2551" w:type="dxa"/>
            <w:vAlign w:val="center"/>
          </w:tcPr>
          <w:p>
            <w:pPr>
              <w:pStyle w:val="12"/>
            </w:pPr>
            <w:r>
              <w:t>73.46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9.90</w:t>
            </w:r>
          </w:p>
        </w:tc>
        <w:tc>
          <w:tcPr>
            <w:tcW w:w="2551" w:type="dxa"/>
            <w:vAlign w:val="center"/>
          </w:tcPr>
          <w:p>
            <w:pPr>
              <w:pStyle w:val="12"/>
            </w:pPr>
            <w:r>
              <w:t>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40.33</w:t>
            </w:r>
          </w:p>
        </w:tc>
        <w:tc>
          <w:tcPr>
            <w:tcW w:w="2551" w:type="dxa"/>
            <w:vAlign w:val="center"/>
          </w:tcPr>
          <w:p>
            <w:pPr>
              <w:pStyle w:val="12"/>
            </w:pPr>
            <w:r>
              <w:t>40.33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23.23</w:t>
            </w:r>
          </w:p>
        </w:tc>
        <w:tc>
          <w:tcPr>
            <w:tcW w:w="2551" w:type="dxa"/>
            <w:vAlign w:val="center"/>
          </w:tcPr>
          <w:p>
            <w:pPr>
              <w:pStyle w:val="12"/>
            </w:pPr>
            <w:r>
              <w:t>23.23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4.59</w:t>
            </w:r>
          </w:p>
        </w:tc>
        <w:tc>
          <w:tcPr>
            <w:tcW w:w="2551" w:type="dxa"/>
            <w:vAlign w:val="center"/>
          </w:tcPr>
          <w:p>
            <w:pPr>
              <w:pStyle w:val="12"/>
            </w:pPr>
          </w:p>
        </w:tc>
        <w:tc>
          <w:tcPr>
            <w:tcW w:w="2551" w:type="dxa"/>
            <w:vAlign w:val="center"/>
          </w:tcPr>
          <w:p>
            <w:pPr>
              <w:pStyle w:val="12"/>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4.59</w:t>
            </w:r>
          </w:p>
        </w:tc>
        <w:tc>
          <w:tcPr>
            <w:tcW w:w="2551" w:type="dxa"/>
            <w:vAlign w:val="center"/>
          </w:tcPr>
          <w:p>
            <w:pPr>
              <w:pStyle w:val="12"/>
            </w:pPr>
          </w:p>
        </w:tc>
        <w:tc>
          <w:tcPr>
            <w:tcW w:w="2551" w:type="dxa"/>
            <w:vAlign w:val="center"/>
          </w:tcPr>
          <w:p>
            <w:pPr>
              <w:pStyle w:val="12"/>
            </w:pPr>
            <w:r>
              <w:t>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65.00</w:t>
            </w:r>
          </w:p>
        </w:tc>
        <w:tc>
          <w:tcPr>
            <w:tcW w:w="2551" w:type="dxa"/>
            <w:vAlign w:val="center"/>
          </w:tcPr>
          <w:p>
            <w:pPr>
              <w:pStyle w:val="16"/>
            </w:pPr>
          </w:p>
        </w:tc>
        <w:tc>
          <w:tcPr>
            <w:tcW w:w="2551" w:type="dxa"/>
            <w:vAlign w:val="center"/>
          </w:tcPr>
          <w:p>
            <w:pPr>
              <w:pStyle w:val="16"/>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65.00</w:t>
            </w:r>
          </w:p>
        </w:tc>
        <w:tc>
          <w:tcPr>
            <w:tcW w:w="2551" w:type="dxa"/>
            <w:vAlign w:val="center"/>
          </w:tcPr>
          <w:p>
            <w:pPr>
              <w:pStyle w:val="12"/>
            </w:pPr>
          </w:p>
        </w:tc>
        <w:tc>
          <w:tcPr>
            <w:tcW w:w="2551" w:type="dxa"/>
            <w:vAlign w:val="center"/>
          </w:tcPr>
          <w:p>
            <w:pPr>
              <w:pStyle w:val="12"/>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65.00</w:t>
            </w:r>
          </w:p>
        </w:tc>
        <w:tc>
          <w:tcPr>
            <w:tcW w:w="2551" w:type="dxa"/>
            <w:vAlign w:val="center"/>
          </w:tcPr>
          <w:p>
            <w:pPr>
              <w:pStyle w:val="12"/>
            </w:pPr>
          </w:p>
        </w:tc>
        <w:tc>
          <w:tcPr>
            <w:tcW w:w="2551" w:type="dxa"/>
            <w:vAlign w:val="center"/>
          </w:tcPr>
          <w:p>
            <w:pPr>
              <w:pStyle w:val="12"/>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65.00</w:t>
            </w:r>
          </w:p>
        </w:tc>
        <w:tc>
          <w:tcPr>
            <w:tcW w:w="2551" w:type="dxa"/>
            <w:vAlign w:val="center"/>
          </w:tcPr>
          <w:p>
            <w:pPr>
              <w:pStyle w:val="12"/>
            </w:pPr>
          </w:p>
        </w:tc>
        <w:tc>
          <w:tcPr>
            <w:tcW w:w="2551" w:type="dxa"/>
            <w:vAlign w:val="center"/>
          </w:tcPr>
          <w:p>
            <w:pPr>
              <w:pStyle w:val="12"/>
            </w:pPr>
            <w:r>
              <w:t>65.00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916肖营子镇</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jc w:val="center"/>
              <w:rPr>
                <w:rFonts w:hint="eastAsia" w:eastAsia="方正书宋_GBK"/>
                <w:lang w:eastAsia="zh-CN"/>
              </w:rPr>
            </w:pPr>
            <w:r>
              <w:rPr>
                <w:rFonts w:hint="eastAsia"/>
                <w:lang w:eastAsia="zh-CN"/>
              </w:rPr>
              <w:t>合计</w:t>
            </w:r>
          </w:p>
        </w:tc>
        <w:tc>
          <w:tcPr>
            <w:tcW w:w="2381" w:type="dxa"/>
            <w:vAlign w:val="center"/>
          </w:tcPr>
          <w:p>
            <w:pPr>
              <w:pStyle w:val="12"/>
              <w:jc w:val="center"/>
              <w:rPr>
                <w:rFonts w:hint="default" w:eastAsia="方正书宋_GBK"/>
                <w:lang w:val="en-US" w:eastAsia="zh-CN"/>
              </w:rPr>
            </w:pPr>
            <w:r>
              <w:rPr>
                <w:rFonts w:hint="eastAsia"/>
                <w:lang w:val="en-US" w:eastAsia="zh-CN"/>
              </w:rPr>
              <w:t>5.6</w:t>
            </w:r>
          </w:p>
        </w:tc>
        <w:tc>
          <w:tcPr>
            <w:tcW w:w="2381" w:type="dxa"/>
            <w:vAlign w:val="center"/>
          </w:tcPr>
          <w:p>
            <w:pPr>
              <w:pStyle w:val="12"/>
              <w:jc w:val="center"/>
              <w:rPr>
                <w:rFonts w:hint="default" w:eastAsia="方正书宋_GBK"/>
                <w:lang w:val="en-US" w:eastAsia="zh-CN"/>
              </w:rPr>
            </w:pPr>
            <w:r>
              <w:rPr>
                <w:rFonts w:hint="eastAsia"/>
                <w:lang w:val="en-US" w:eastAsia="zh-CN"/>
              </w:rPr>
              <w:t>5.6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798" w:type="dxa"/>
            <w:vAlign w:val="center"/>
          </w:tcPr>
          <w:p>
            <w:pPr>
              <w:pStyle w:val="13"/>
              <w:ind w:firstLine="0" w:firstLineChars="0"/>
              <w:rPr>
                <w:rFonts w:ascii="方正书宋_GBK" w:hAnsi="方正书宋_GBK" w:eastAsia="方正书宋_GBK" w:cs="方正书宋_GBK"/>
                <w:sz w:val="21"/>
                <w:szCs w:val="24"/>
                <w:lang w:val="en-US" w:eastAsia="uk-UA" w:bidi="ar-SA"/>
              </w:rPr>
            </w:pPr>
            <w:r>
              <w:t>公务用车购置及运维费</w:t>
            </w:r>
          </w:p>
        </w:tc>
        <w:tc>
          <w:tcPr>
            <w:tcW w:w="2381"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3.6</w:t>
            </w:r>
          </w:p>
        </w:tc>
        <w:tc>
          <w:tcPr>
            <w:tcW w:w="2381"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798" w:type="dxa"/>
            <w:vAlign w:val="center"/>
          </w:tcPr>
          <w:p>
            <w:pPr>
              <w:pStyle w:val="13"/>
              <w:ind w:firstLine="0" w:firstLineChars="0"/>
              <w:rPr>
                <w:rFonts w:ascii="方正书宋_GBK" w:hAnsi="方正书宋_GBK" w:eastAsia="方正书宋_GBK" w:cs="方正书宋_GBK"/>
                <w:sz w:val="21"/>
                <w:szCs w:val="24"/>
                <w:lang w:val="en-US" w:eastAsia="uk-UA" w:bidi="ar-SA"/>
              </w:rPr>
            </w:pPr>
            <w:r>
              <w:t>公务接待费</w:t>
            </w:r>
          </w:p>
        </w:tc>
        <w:tc>
          <w:tcPr>
            <w:tcW w:w="2381"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肖营子镇2025年部门预算信息公开情况说明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肖营子镇2025年部门预算信息公开情况说明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按照《中华人民共和国预算法》、《地方预决算公开操作规程》和《关于进一步推进预算公开工作的实施意见》规定，现将肖营子镇2025年部门预算公开如下：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宣传、贯彻执行党的路线、方针、政策和国家的法律法规，执行本级人民代表大会决议和上级国家行政机关的决定和命令，其主要职责是：</w:t>
      </w:r>
    </w:p>
    <w:p>
      <w:pPr>
        <w:pStyle w:val="18"/>
      </w:pPr>
      <w: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pStyle w:val="18"/>
      </w:pPr>
      <w:r>
        <w:t>（二）加强社会管理。组织、监督国家基本公共政策的实施，加强镇村财政资金监管，加强义务教育、公共卫生、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pStyle w:val="18"/>
      </w:pPr>
      <w: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提高人口素质和生殖健康提供各种优质服务。</w:t>
      </w:r>
    </w:p>
    <w:p>
      <w:pPr>
        <w:pStyle w:val="18"/>
      </w:pPr>
      <w: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肖营子镇人民政府本级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按照预算管理有关规定，目前部门预算的编制实行综合预算管理，即全部收入和支出都反映在预算中。肖营子镇机关及所属事业单位的收支包含在部门预算中。</w:t>
      </w:r>
    </w:p>
    <w:p>
      <w:pPr>
        <w:pStyle w:val="19"/>
      </w:pPr>
      <w:r>
        <w:t>1、收入说明</w:t>
      </w:r>
    </w:p>
    <w:p>
      <w:pPr>
        <w:pStyle w:val="19"/>
      </w:pPr>
      <w:r>
        <w:t>反映本部门当年全部收入。2025年预算收入2042.78万元，其中：一般公共预算收入1740.93万元，基金预算收入65.00万元，国有资本经营预算收入0.00万元，财政专户核拨收入0.00万元，单位资金收入0.00万元，上年结转结余236.85万元。</w:t>
      </w:r>
    </w:p>
    <w:p>
      <w:pPr>
        <w:pStyle w:val="19"/>
      </w:pPr>
      <w:r>
        <w:t>2、支出说明</w:t>
      </w:r>
    </w:p>
    <w:p>
      <w:pPr>
        <w:pStyle w:val="19"/>
      </w:pPr>
      <w:r>
        <w:t>收支预算总表支出栏、基本支出表、项目支出表按经济分类和支出功能分类科目编制，反映肖营子镇年度部门预算中支出预算的总体情况。2025年支出预算2042.78万元，其中基本支出1483.71万元，包括人员经费1344.05万元和日常公用经费139.66万元；项目支出559.07万元，主要为1、党建工作经费2万元；2、人大之家工作经费1万元；3、专项武装经费2万元；4、团委工作经费1万元；5、综治工作经费14万元；6、防火防汛工作经费10万元；7、燃煤锅炉改造项目33万元；8、矽肺病生活补助8.428万元；9、重症精神病患者监护人责任险2.06万元；10、荒山沟地租项目201万元；11、城镇化率达标建设65万元；15、上年结转项目219.58万元。</w:t>
      </w:r>
    </w:p>
    <w:p>
      <w:pPr>
        <w:pStyle w:val="19"/>
      </w:pPr>
      <w:r>
        <w:t>3、比上年增减情况</w:t>
      </w:r>
    </w:p>
    <w:p>
      <w:pPr>
        <w:pStyle w:val="19"/>
      </w:pPr>
      <w:r>
        <w:t>2025年预算收支安排2042.78万元，较2024年预算减少120.82万元，其中：基本支出减少53.64万元，主要为单位人员调出。项目支出减少67.17万元，主要为项目减少。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numPr>
          <w:ilvl w:val="0"/>
          <w:numId w:val="0"/>
        </w:numPr>
        <w:spacing w:before="10" w:after="10" w:line="240" w:lineRule="auto"/>
        <w:jc w:val="left"/>
        <w:outlineLvl w:val="5"/>
        <w:rPr>
          <w:rFonts w:hint="default"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 xml:space="preserve"> </w:t>
      </w:r>
      <w:r>
        <w:rPr>
          <w:rFonts w:hint="eastAsia" w:eastAsia="方正仿宋_GBK" w:cs="Times New Roman"/>
          <w:sz w:val="28"/>
          <w:szCs w:val="20"/>
          <w:lang w:val="en-US" w:eastAsia="zh-CN"/>
        </w:rPr>
        <w:t xml:space="preserve">      </w:t>
      </w:r>
      <w:r>
        <w:rPr>
          <w:rFonts w:hint="eastAsia" w:ascii="Times New Roman" w:hAnsi="Times New Roman" w:eastAsia="方正仿宋_GBK" w:cs="Times New Roman"/>
          <w:sz w:val="28"/>
          <w:szCs w:val="20"/>
          <w:lang w:val="en-US" w:eastAsia="zh-CN"/>
        </w:rPr>
        <w:t>2025年</w:t>
      </w:r>
      <w:r>
        <w:rPr>
          <w:rFonts w:hint="eastAsia" w:eastAsia="方正仿宋_GBK" w:cs="Times New Roman"/>
          <w:sz w:val="28"/>
          <w:szCs w:val="20"/>
          <w:lang w:val="en-US" w:eastAsia="zh-CN"/>
        </w:rPr>
        <w:t>我部门机关运行经费共安排139.66万元。</w:t>
      </w:r>
      <w:r>
        <w:rPr>
          <w:rFonts w:ascii="Times New Roman" w:hAnsi="Times New Roman" w:eastAsia="方正仿宋_GBK" w:cs="Times New Roman"/>
          <w:sz w:val="28"/>
          <w:szCs w:val="20"/>
        </w:rPr>
        <w:t>主要用于日常维修、办公用房水电费、办公用房取暖费、 办公用房物业管理费等日常运行支出。</w:t>
      </w:r>
      <w:r>
        <w:rPr>
          <w:rFonts w:hint="eastAsia" w:eastAsia="方正仿宋_GBK" w:cs="Times New Roman"/>
          <w:sz w:val="28"/>
          <w:szCs w:val="20"/>
          <w:lang w:eastAsia="zh-CN"/>
        </w:rPr>
        <w:t>其中：办公费</w:t>
      </w:r>
      <w:r>
        <w:rPr>
          <w:rFonts w:hint="eastAsia" w:eastAsia="方正仿宋_GBK" w:cs="Times New Roman"/>
          <w:sz w:val="28"/>
          <w:szCs w:val="20"/>
          <w:lang w:val="en-US" w:eastAsia="zh-CN"/>
        </w:rPr>
        <w:t>26万元；印刷费2万元；电费10万元；差旅费10万元；邮电费0.3万元；维修（护）费25.81万元；公车运行维护费3.6万元；公务接待2万元；其他商品和服务支出2万元；办公设备购置4万元；劳务费3万元；委托业务费2.92万元；其他交通费用31.07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bookmarkStart w:id="13" w:name="_Toc_3_3_0000000014"/>
      <w:r>
        <w:t>2025年，我</w:t>
      </w:r>
      <w:r>
        <w:rPr>
          <w:rFonts w:hint="eastAsia"/>
          <w:lang w:eastAsia="zh-CN"/>
        </w:rPr>
        <w:t>部门</w:t>
      </w:r>
      <w:r>
        <w:t>财政拨款“三公”经费预算安排</w:t>
      </w:r>
      <w:r>
        <w:rPr>
          <w:rFonts w:hint="eastAsia"/>
          <w:lang w:val="en-US" w:eastAsia="zh-CN"/>
        </w:rPr>
        <w:t>5.6</w:t>
      </w:r>
      <w:r>
        <w:t>万元，其中因公出国（境）费0.00万元；公务用车购置及运维费</w:t>
      </w:r>
      <w:r>
        <w:rPr>
          <w:rFonts w:hint="eastAsia"/>
          <w:lang w:val="en-US" w:eastAsia="zh-CN"/>
        </w:rPr>
        <w:t>3.6</w:t>
      </w:r>
      <w:r>
        <w:t>万元（其中：公务用车购置费为0.00万元，公务用车运维费</w:t>
      </w:r>
      <w:r>
        <w:rPr>
          <w:rFonts w:hint="eastAsia"/>
          <w:lang w:val="en-US" w:eastAsia="zh-CN"/>
        </w:rPr>
        <w:t>3.6</w:t>
      </w:r>
      <w:r>
        <w:t>万元)；公务接待费</w:t>
      </w:r>
      <w:r>
        <w:rPr>
          <w:rFonts w:hint="eastAsia"/>
          <w:lang w:val="en-US" w:eastAsia="zh-CN"/>
        </w:rPr>
        <w:t>2</w:t>
      </w:r>
      <w:r>
        <w:t>万元。与2024年相比减少</w:t>
      </w:r>
      <w:r>
        <w:rPr>
          <w:rFonts w:hint="eastAsia"/>
          <w:lang w:val="en-US" w:eastAsia="zh-CN"/>
        </w:rPr>
        <w:t>1</w:t>
      </w:r>
      <w:r>
        <w:t>万元，增减变化的主要原因是公务接待减少1万元，主要是压缩开支。</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2025年,我镇将认真贯彻落实</w:t>
      </w:r>
      <w:r>
        <w:rPr>
          <w:rFonts w:hint="eastAsia"/>
          <w:lang w:eastAsia="zh-CN"/>
        </w:rPr>
        <w:t>党的</w:t>
      </w:r>
      <w:r>
        <w:t>二十大精神及国家、省市县各项部署，坚持改革开放，坚持稳中求进，在全面做好精准扶贫工作、确保实现脱贫目标的基础上，坚持协同发展、转型升级、又好又快主基调，以提高发展质量和效益为中心，落实去产能、去库存、去杠杆、降成本、补短板五大任务，加强供给侧结构性改革，力促镇域经济社会健康发展。主要预期目标是：镇本级财政收入同比增长5%以上；固定资产投资同比增长10%；项目建设投资同比增长8%；引进市外资金、引进省外资金均同比增长8%以上，脱贫攻坚、节能减排、环境整治、改善民生等任务完成县定标准。</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2025年,我镇将认真贯彻落实</w:t>
      </w:r>
      <w:r>
        <w:rPr>
          <w:rFonts w:hint="eastAsia"/>
          <w:lang w:eastAsia="zh-CN"/>
        </w:rPr>
        <w:t>党的</w:t>
      </w:r>
      <w:r>
        <w:t>二十大</w:t>
      </w:r>
      <w:bookmarkStart w:id="20" w:name="_GoBack"/>
      <w:bookmarkEnd w:id="20"/>
      <w:r>
        <w:t>精神及国家、省市县各项部署，坚持改革开放，坚持稳中求进，在全面做好精准扶贫工作、确保实现脱贫目标的基础上，坚持协同发展、转型升级、又好又快主基调，以提高发展质量和效益为中心，落实去产能、去库存、去杠杆、降成本、补短板五大任务，加强供给侧结构性改革，力促镇域经济社会健康发展。主要预期目标是：镇本级财政收入同比增长5%以上；固定资产投资同比增长10%；项目建设投资同比增长8%；引进市外资金、引进省外资金均同比增长8%以上，脱贫攻坚、节能减排、环境整治、改善民生等任务完成县定标准。</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1、2025年发展规划目标在镇人民代表大会通过后实施，每年镇人大会须向代表报告规划实施情况。</w:t>
      </w:r>
    </w:p>
    <w:p>
      <w:pPr>
        <w:pStyle w:val="24"/>
      </w:pPr>
      <w:r>
        <w:t>2、每项规划目标确定一名镇领导专抓，建立专门工作机构，确保规划落到实处。</w:t>
      </w:r>
    </w:p>
    <w:p>
      <w:pPr>
        <w:pStyle w:val="24"/>
      </w:pPr>
      <w:r>
        <w:t>3、规划目标进展情况要列入镇党政工作议事日程，列入年终目标管理考核内容。定期检查，公布进展情况。</w:t>
      </w:r>
    </w:p>
    <w:p>
      <w:pPr>
        <w:pStyle w:val="24"/>
      </w:pPr>
      <w:r>
        <w:t>重点抓好以下几个方面：</w:t>
      </w:r>
    </w:p>
    <w:p>
      <w:pPr>
        <w:pStyle w:val="24"/>
      </w:pPr>
      <w:r>
        <w:t>（一）优化营商环境</w:t>
      </w:r>
    </w:p>
    <w:p>
      <w:pPr>
        <w:pStyle w:val="24"/>
      </w:pPr>
      <w:r>
        <w:t>1、努力抓好生态环境发展。在谋划项目上，全镇上下将坚持破坏生态环境的项目不能上，零散乱的以牺牲和污染环境为代价的项目不能上。</w:t>
      </w:r>
    </w:p>
    <w:p>
      <w:pPr>
        <w:pStyle w:val="24"/>
      </w:pPr>
      <w:r>
        <w:t>2、大力开展发展环境建设。2025年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pStyle w:val="24"/>
      </w:pPr>
      <w:r>
        <w:t>（二）项目建设富民工程</w:t>
      </w:r>
    </w:p>
    <w:p>
      <w:pPr>
        <w:pStyle w:val="24"/>
      </w:pPr>
      <w:r>
        <w:t>1、抓项目策划，在积极储备上下功夫。围绕县委、县政府“生态、和谐、民族特色”新青龙的发展战略，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w:t>
      </w:r>
    </w:p>
    <w:p>
      <w:pPr>
        <w:pStyle w:val="24"/>
      </w:pPr>
      <w:r>
        <w:t>2、抓项目报批，在争取政策上下功夫。抓住国家农业产业化扶持机遇，把已经形成规模的种植和养殖项目积极向上申报，尽量争取上级有关部门的扶持；实行“包村领导包项目，包项目领导包进度”机制，全程负责项目实施，全程负责项目跑办，及时解决企业在项目建设中遇到的难题，直到项目真正达产达效为止。</w:t>
      </w:r>
    </w:p>
    <w:p>
      <w:pPr>
        <w:pStyle w:val="24"/>
        <w:sectPr>
          <w:pgSz w:w="16840" w:h="11900" w:orient="landscape"/>
          <w:pgMar w:top="1361" w:right="1020" w:bottom="1361" w:left="1020" w:header="720" w:footer="720" w:gutter="0"/>
          <w:cols w:space="720" w:num="1"/>
        </w:sectPr>
      </w:pPr>
      <w:r>
        <w:t>3、抓招商引资，在做大做强上下功夫。要牢牢抓住“以商招商、以商会商、以商聚商”这条主线，创新招商举措，拓展引资门路，实现草碾镇以农业产业化为主导，农业转型为突破，工业企业为纽带，镇村旅游开发为依托的多种产业并进的经济发展方式，努力打造新的经济增长点，促进我镇经济又好又快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13032125P003349100449</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预算资金2万元，其中：财政资金2万元。主要用于基层党建工作经费支出。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1.践行“不忘初心、牢记使命”宗旨，充分发挥党的思想政治优势、组织优势和密切联系群众的优势。</w:t>
            </w:r>
          </w:p>
          <w:p>
            <w:pPr>
              <w:pStyle w:val="13"/>
            </w:pPr>
            <w:r>
              <w:t>2.通过开展组织、宣传等党建工作，加强干部队伍建设，发挥基层党组织的作用。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07"/>
        <w:gridCol w:w="1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07" w:type="dxa"/>
            <w:vAlign w:val="center"/>
          </w:tcPr>
          <w:p>
            <w:pPr>
              <w:pStyle w:val="11"/>
            </w:pPr>
            <w:r>
              <w:t>指标值</w:t>
            </w:r>
          </w:p>
        </w:tc>
        <w:tc>
          <w:tcPr>
            <w:tcW w:w="16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5386" w:type="dxa"/>
            <w:vAlign w:val="center"/>
          </w:tcPr>
          <w:p>
            <w:pPr>
              <w:pStyle w:val="13"/>
            </w:pPr>
            <w:r>
              <w:t>组织宣传活动次数</w:t>
            </w:r>
          </w:p>
        </w:tc>
        <w:tc>
          <w:tcPr>
            <w:tcW w:w="1907" w:type="dxa"/>
            <w:vAlign w:val="center"/>
          </w:tcPr>
          <w:p>
            <w:pPr>
              <w:pStyle w:val="13"/>
            </w:pPr>
            <w:r>
              <w:t>≥10次</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舆情信息数量（条）</w:t>
            </w:r>
          </w:p>
        </w:tc>
        <w:tc>
          <w:tcPr>
            <w:tcW w:w="5386" w:type="dxa"/>
            <w:vAlign w:val="center"/>
          </w:tcPr>
          <w:p>
            <w:pPr>
              <w:pStyle w:val="13"/>
            </w:pPr>
            <w:r>
              <w:t>收集、分析、上报舆情信息的数量</w:t>
            </w:r>
          </w:p>
        </w:tc>
        <w:tc>
          <w:tcPr>
            <w:tcW w:w="1907" w:type="dxa"/>
            <w:vAlign w:val="center"/>
          </w:tcPr>
          <w:p>
            <w:pPr>
              <w:pStyle w:val="13"/>
            </w:pPr>
            <w:r>
              <w:t>≥100条</w:t>
            </w:r>
          </w:p>
        </w:tc>
        <w:tc>
          <w:tcPr>
            <w:tcW w:w="1637"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党员培训覆盖率（%）</w:t>
            </w:r>
          </w:p>
        </w:tc>
        <w:tc>
          <w:tcPr>
            <w:tcW w:w="5386" w:type="dxa"/>
            <w:vAlign w:val="center"/>
          </w:tcPr>
          <w:p>
            <w:pPr>
              <w:pStyle w:val="13"/>
            </w:pPr>
            <w:r>
              <w:t>培训对象数量占应覆盖对象数量的比率</w:t>
            </w:r>
          </w:p>
        </w:tc>
        <w:tc>
          <w:tcPr>
            <w:tcW w:w="1907" w:type="dxa"/>
            <w:vAlign w:val="center"/>
          </w:tcPr>
          <w:p>
            <w:pPr>
              <w:pStyle w:val="13"/>
            </w:pPr>
            <w:r>
              <w:t>≥80%</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党建工作达标率</w:t>
            </w:r>
          </w:p>
        </w:tc>
        <w:tc>
          <w:tcPr>
            <w:tcW w:w="5386" w:type="dxa"/>
            <w:vAlign w:val="center"/>
          </w:tcPr>
          <w:p>
            <w:pPr>
              <w:pStyle w:val="13"/>
            </w:pPr>
            <w:r>
              <w:t>党建工作达到上级相关规范及要求</w:t>
            </w:r>
          </w:p>
        </w:tc>
        <w:tc>
          <w:tcPr>
            <w:tcW w:w="1907" w:type="dxa"/>
            <w:vAlign w:val="center"/>
          </w:tcPr>
          <w:p>
            <w:pPr>
              <w:pStyle w:val="13"/>
            </w:pPr>
            <w:r>
              <w:t>100%</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党建工作完成时效性</w:t>
            </w:r>
          </w:p>
        </w:tc>
        <w:tc>
          <w:tcPr>
            <w:tcW w:w="5386" w:type="dxa"/>
            <w:vAlign w:val="center"/>
          </w:tcPr>
          <w:p>
            <w:pPr>
              <w:pStyle w:val="13"/>
            </w:pPr>
            <w:r>
              <w:t>全年按计划完成各项工作</w:t>
            </w:r>
          </w:p>
        </w:tc>
        <w:tc>
          <w:tcPr>
            <w:tcW w:w="1907" w:type="dxa"/>
            <w:vAlign w:val="center"/>
          </w:tcPr>
          <w:p>
            <w:pPr>
              <w:pStyle w:val="13"/>
            </w:pPr>
            <w:r>
              <w:t>12月31日前</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党建费用支出控制情况</w:t>
            </w:r>
          </w:p>
        </w:tc>
        <w:tc>
          <w:tcPr>
            <w:tcW w:w="5386" w:type="dxa"/>
            <w:vAlign w:val="center"/>
          </w:tcPr>
          <w:p>
            <w:pPr>
              <w:pStyle w:val="13"/>
            </w:pPr>
            <w:r>
              <w:t>党建费用支出情况控制在年度预算额度内</w:t>
            </w:r>
          </w:p>
        </w:tc>
        <w:tc>
          <w:tcPr>
            <w:tcW w:w="1907" w:type="dxa"/>
            <w:vAlign w:val="center"/>
          </w:tcPr>
          <w:p>
            <w:pPr>
              <w:pStyle w:val="13"/>
            </w:pPr>
            <w:r>
              <w:t>≤2万元</w:t>
            </w:r>
          </w:p>
        </w:tc>
        <w:tc>
          <w:tcPr>
            <w:tcW w:w="1637" w:type="dxa"/>
            <w:vAlign w:val="center"/>
          </w:tcPr>
          <w:p>
            <w:pPr>
              <w:pStyle w:val="13"/>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基层党组织带动示范作用</w:t>
            </w:r>
          </w:p>
        </w:tc>
        <w:tc>
          <w:tcPr>
            <w:tcW w:w="5386" w:type="dxa"/>
            <w:vAlign w:val="center"/>
          </w:tcPr>
          <w:p>
            <w:pPr>
              <w:pStyle w:val="13"/>
            </w:pPr>
            <w:r>
              <w:t>通过党建工作促进党员队伍能力提升，在经济建设中发挥带动示范作用</w:t>
            </w:r>
          </w:p>
        </w:tc>
        <w:tc>
          <w:tcPr>
            <w:tcW w:w="1907" w:type="dxa"/>
            <w:vAlign w:val="center"/>
          </w:tcPr>
          <w:p>
            <w:pPr>
              <w:pStyle w:val="13"/>
            </w:pPr>
            <w:r>
              <w:t>≥80%</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党员带头发展经济</w:t>
            </w:r>
          </w:p>
        </w:tc>
        <w:tc>
          <w:tcPr>
            <w:tcW w:w="5386" w:type="dxa"/>
            <w:vAlign w:val="center"/>
          </w:tcPr>
          <w:p>
            <w:pPr>
              <w:pStyle w:val="13"/>
            </w:pPr>
            <w:r>
              <w:t>通过党员带动发展经济，增加村民收入</w:t>
            </w:r>
          </w:p>
        </w:tc>
        <w:tc>
          <w:tcPr>
            <w:tcW w:w="1907" w:type="dxa"/>
            <w:vAlign w:val="center"/>
          </w:tcPr>
          <w:p>
            <w:pPr>
              <w:pStyle w:val="13"/>
            </w:pPr>
            <w:r>
              <w:t>≥2000元</w:t>
            </w:r>
          </w:p>
        </w:tc>
        <w:tc>
          <w:tcPr>
            <w:tcW w:w="16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群众对全镇党建满意度</w:t>
            </w:r>
          </w:p>
        </w:tc>
        <w:tc>
          <w:tcPr>
            <w:tcW w:w="5386" w:type="dxa"/>
            <w:vAlign w:val="center"/>
          </w:tcPr>
          <w:p>
            <w:pPr>
              <w:pStyle w:val="13"/>
            </w:pPr>
            <w:r>
              <w:t>全镇群众对党建工作的满意度</w:t>
            </w:r>
          </w:p>
        </w:tc>
        <w:tc>
          <w:tcPr>
            <w:tcW w:w="1907" w:type="dxa"/>
            <w:vAlign w:val="center"/>
          </w:tcPr>
          <w:p>
            <w:pPr>
              <w:pStyle w:val="13"/>
            </w:pPr>
            <w:r>
              <w:t>≥95%</w:t>
            </w:r>
          </w:p>
        </w:tc>
        <w:tc>
          <w:tcPr>
            <w:tcW w:w="1637"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13032123P00329310025J</w:t>
            </w:r>
          </w:p>
        </w:tc>
        <w:tc>
          <w:tcPr>
            <w:tcW w:w="2835" w:type="dxa"/>
            <w:vAlign w:val="center"/>
          </w:tcPr>
          <w:p>
            <w:pPr>
              <w:pStyle w:val="11"/>
            </w:pPr>
            <w:r>
              <w:t>项目名称</w:t>
            </w:r>
          </w:p>
        </w:tc>
        <w:tc>
          <w:tcPr>
            <w:tcW w:w="6095" w:type="dxa"/>
            <w:gridSpan w:val="3"/>
            <w:vAlign w:val="center"/>
          </w:tcPr>
          <w:p>
            <w:pPr>
              <w:pStyle w:val="13"/>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3.21</w:t>
            </w:r>
          </w:p>
        </w:tc>
        <w:tc>
          <w:tcPr>
            <w:tcW w:w="2835" w:type="dxa"/>
            <w:vAlign w:val="center"/>
          </w:tcPr>
          <w:p>
            <w:pPr>
              <w:pStyle w:val="11"/>
            </w:pPr>
            <w:r>
              <w:t>其中：财政    资金</w:t>
            </w:r>
          </w:p>
        </w:tc>
        <w:tc>
          <w:tcPr>
            <w:tcW w:w="2551" w:type="dxa"/>
            <w:vAlign w:val="center"/>
          </w:tcPr>
          <w:p>
            <w:pPr>
              <w:pStyle w:val="13"/>
            </w:pPr>
            <w:r>
              <w:t>3.21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预算资金3.20829万元，其中财政资金3.20829万元。主要用于日常防火、防汛宣传和巡查整治支出。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3.21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1.通过扎实开展日常防火工作，广泛宣传，全天候巡查，加强防火扑救物资的储备，有效防范和遏制森林火灾的发生。</w:t>
            </w:r>
          </w:p>
          <w:p>
            <w:pPr>
              <w:pStyle w:val="13"/>
            </w:pPr>
            <w:r>
              <w:t>2.通过开展巡视巡查整治工作，及时消除防汛安全隐患，确保辖区内河道行洪通畅。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1"/>
        <w:gridCol w:w="1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11" w:type="dxa"/>
            <w:vAlign w:val="center"/>
          </w:tcPr>
          <w:p>
            <w:pPr>
              <w:pStyle w:val="11"/>
            </w:pPr>
            <w:r>
              <w:t>指标值</w:t>
            </w:r>
          </w:p>
        </w:tc>
        <w:tc>
          <w:tcPr>
            <w:tcW w:w="183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日常巡查次数(次)</w:t>
            </w:r>
          </w:p>
        </w:tc>
        <w:tc>
          <w:tcPr>
            <w:tcW w:w="5386" w:type="dxa"/>
            <w:vAlign w:val="center"/>
          </w:tcPr>
          <w:p>
            <w:pPr>
              <w:pStyle w:val="13"/>
            </w:pPr>
            <w:r>
              <w:t>当年实际日常巡查次数</w:t>
            </w:r>
          </w:p>
        </w:tc>
        <w:tc>
          <w:tcPr>
            <w:tcW w:w="1711" w:type="dxa"/>
            <w:vAlign w:val="center"/>
          </w:tcPr>
          <w:p>
            <w:pPr>
              <w:pStyle w:val="13"/>
            </w:pPr>
            <w:r>
              <w:t>≥200次</w:t>
            </w:r>
          </w:p>
        </w:tc>
        <w:tc>
          <w:tcPr>
            <w:tcW w:w="1833"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日常巡查覆盖率</w:t>
            </w:r>
          </w:p>
        </w:tc>
        <w:tc>
          <w:tcPr>
            <w:tcW w:w="5386" w:type="dxa"/>
            <w:vAlign w:val="center"/>
          </w:tcPr>
          <w:p>
            <w:pPr>
              <w:pStyle w:val="13"/>
            </w:pPr>
            <w:r>
              <w:t>反应巡查范围为整个镇区。</w:t>
            </w:r>
          </w:p>
        </w:tc>
        <w:tc>
          <w:tcPr>
            <w:tcW w:w="1711" w:type="dxa"/>
            <w:vAlign w:val="center"/>
          </w:tcPr>
          <w:p>
            <w:pPr>
              <w:pStyle w:val="13"/>
            </w:pPr>
            <w:r>
              <w:t>≥95%</w:t>
            </w:r>
          </w:p>
        </w:tc>
        <w:tc>
          <w:tcPr>
            <w:tcW w:w="1833"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确保河道畅通</w:t>
            </w:r>
          </w:p>
        </w:tc>
        <w:tc>
          <w:tcPr>
            <w:tcW w:w="5386" w:type="dxa"/>
            <w:vAlign w:val="center"/>
          </w:tcPr>
          <w:p>
            <w:pPr>
              <w:pStyle w:val="13"/>
            </w:pPr>
            <w:r>
              <w:t>反映汛期河道通畅率</w:t>
            </w:r>
          </w:p>
        </w:tc>
        <w:tc>
          <w:tcPr>
            <w:tcW w:w="1711" w:type="dxa"/>
            <w:vAlign w:val="center"/>
          </w:tcPr>
          <w:p>
            <w:pPr>
              <w:pStyle w:val="13"/>
            </w:pPr>
            <w:r>
              <w:t>100%</w:t>
            </w:r>
          </w:p>
        </w:tc>
        <w:tc>
          <w:tcPr>
            <w:tcW w:w="1833"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巡查完成时间</w:t>
            </w:r>
          </w:p>
        </w:tc>
        <w:tc>
          <w:tcPr>
            <w:tcW w:w="5386" w:type="dxa"/>
            <w:vAlign w:val="center"/>
          </w:tcPr>
          <w:p>
            <w:pPr>
              <w:pStyle w:val="13"/>
            </w:pPr>
            <w:r>
              <w:t>反应防火防汛完成时间</w:t>
            </w:r>
          </w:p>
        </w:tc>
        <w:tc>
          <w:tcPr>
            <w:tcW w:w="1711" w:type="dxa"/>
            <w:vAlign w:val="center"/>
          </w:tcPr>
          <w:p>
            <w:pPr>
              <w:pStyle w:val="13"/>
            </w:pPr>
            <w:r>
              <w:t>全年持续</w:t>
            </w:r>
          </w:p>
        </w:tc>
        <w:tc>
          <w:tcPr>
            <w:tcW w:w="183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抢险物资支出</w:t>
            </w:r>
          </w:p>
        </w:tc>
        <w:tc>
          <w:tcPr>
            <w:tcW w:w="5386" w:type="dxa"/>
            <w:vAlign w:val="center"/>
          </w:tcPr>
          <w:p>
            <w:pPr>
              <w:pStyle w:val="13"/>
            </w:pPr>
            <w:r>
              <w:t>反应防火防汛储备的抢险物资</w:t>
            </w:r>
          </w:p>
        </w:tc>
        <w:tc>
          <w:tcPr>
            <w:tcW w:w="1711" w:type="dxa"/>
            <w:vAlign w:val="center"/>
          </w:tcPr>
          <w:p>
            <w:pPr>
              <w:pStyle w:val="13"/>
            </w:pPr>
            <w:r>
              <w:t>≤2万元</w:t>
            </w:r>
          </w:p>
        </w:tc>
        <w:tc>
          <w:tcPr>
            <w:tcW w:w="183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办公费用支出</w:t>
            </w:r>
          </w:p>
        </w:tc>
        <w:tc>
          <w:tcPr>
            <w:tcW w:w="5386" w:type="dxa"/>
            <w:vAlign w:val="center"/>
          </w:tcPr>
          <w:p>
            <w:pPr>
              <w:pStyle w:val="13"/>
            </w:pPr>
            <w:r>
              <w:t>反应用于防火防汛的宣传单等办公费</w:t>
            </w:r>
          </w:p>
        </w:tc>
        <w:tc>
          <w:tcPr>
            <w:tcW w:w="1711" w:type="dxa"/>
            <w:vAlign w:val="center"/>
          </w:tcPr>
          <w:p>
            <w:pPr>
              <w:pStyle w:val="13"/>
            </w:pPr>
            <w:r>
              <w:t>≤1.2万元</w:t>
            </w:r>
          </w:p>
        </w:tc>
        <w:tc>
          <w:tcPr>
            <w:tcW w:w="183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降低火灾对环境的破坏</w:t>
            </w:r>
          </w:p>
        </w:tc>
        <w:tc>
          <w:tcPr>
            <w:tcW w:w="5386" w:type="dxa"/>
            <w:vAlign w:val="center"/>
          </w:tcPr>
          <w:p>
            <w:pPr>
              <w:pStyle w:val="13"/>
            </w:pPr>
            <w:r>
              <w:t>反映降低火灾对环境破坏的比率</w:t>
            </w:r>
          </w:p>
        </w:tc>
        <w:tc>
          <w:tcPr>
            <w:tcW w:w="1711" w:type="dxa"/>
            <w:vAlign w:val="center"/>
          </w:tcPr>
          <w:p>
            <w:pPr>
              <w:pStyle w:val="13"/>
            </w:pPr>
            <w:r>
              <w:t>≥30%</w:t>
            </w:r>
          </w:p>
        </w:tc>
        <w:tc>
          <w:tcPr>
            <w:tcW w:w="183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森林火灾受害率(％)</w:t>
            </w:r>
          </w:p>
        </w:tc>
        <w:tc>
          <w:tcPr>
            <w:tcW w:w="5386" w:type="dxa"/>
            <w:vAlign w:val="center"/>
          </w:tcPr>
          <w:p>
            <w:pPr>
              <w:pStyle w:val="13"/>
            </w:pPr>
            <w:r>
              <w:t>全镇森林火灾发生面积占森林总面积的比例</w:t>
            </w:r>
          </w:p>
        </w:tc>
        <w:tc>
          <w:tcPr>
            <w:tcW w:w="1711" w:type="dxa"/>
            <w:vAlign w:val="center"/>
          </w:tcPr>
          <w:p>
            <w:pPr>
              <w:pStyle w:val="13"/>
            </w:pPr>
            <w:r>
              <w:t>≤0.01%</w:t>
            </w:r>
          </w:p>
        </w:tc>
        <w:tc>
          <w:tcPr>
            <w:tcW w:w="183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群众对防火防汛工作满意度</w:t>
            </w:r>
          </w:p>
        </w:tc>
        <w:tc>
          <w:tcPr>
            <w:tcW w:w="1711" w:type="dxa"/>
            <w:vAlign w:val="center"/>
          </w:tcPr>
          <w:p>
            <w:pPr>
              <w:pStyle w:val="13"/>
            </w:pPr>
            <w:r>
              <w:t>≥95%</w:t>
            </w:r>
          </w:p>
        </w:tc>
        <w:tc>
          <w:tcPr>
            <w:tcW w:w="1833"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13032123P00329310020G</w:t>
            </w:r>
          </w:p>
        </w:tc>
        <w:tc>
          <w:tcPr>
            <w:tcW w:w="2835" w:type="dxa"/>
            <w:vAlign w:val="center"/>
          </w:tcPr>
          <w:p>
            <w:pPr>
              <w:pStyle w:val="11"/>
            </w:pPr>
            <w:r>
              <w:t>项目名称</w:t>
            </w:r>
          </w:p>
        </w:tc>
        <w:tc>
          <w:tcPr>
            <w:tcW w:w="6095" w:type="dxa"/>
            <w:gridSpan w:val="3"/>
            <w:vAlign w:val="center"/>
          </w:tcPr>
          <w:p>
            <w:pPr>
              <w:pStyle w:val="13"/>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预算资金0.503万元，其中财政资金0.503万元。主要人大代表开展活动办公经费。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0.15</w:t>
            </w:r>
          </w:p>
        </w:tc>
        <w:tc>
          <w:tcPr>
            <w:tcW w:w="2835" w:type="dxa"/>
            <w:vAlign w:val="center"/>
          </w:tcPr>
          <w:p>
            <w:pPr>
              <w:pStyle w:val="14"/>
            </w:pPr>
            <w:r>
              <w:t>0.30</w:t>
            </w:r>
          </w:p>
        </w:tc>
        <w:tc>
          <w:tcPr>
            <w:tcW w:w="2551" w:type="dxa"/>
            <w:vAlign w:val="center"/>
          </w:tcPr>
          <w:p>
            <w:pPr>
              <w:pStyle w:val="14"/>
            </w:pPr>
            <w:r>
              <w:t>0.45</w:t>
            </w:r>
          </w:p>
        </w:tc>
        <w:tc>
          <w:tcPr>
            <w:tcW w:w="3544" w:type="dxa"/>
            <w:gridSpan w:val="2"/>
            <w:vAlign w:val="center"/>
          </w:tcPr>
          <w:p>
            <w:pPr>
              <w:pStyle w:val="14"/>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1.通过学习宣传培训，开展代表活动，使得人大机关团体密切联系群众，能够定期开展人大代表接访、走访、约访、回访等工作，接受群众监督，提出议案建议。</w:t>
            </w:r>
            <w:r>
              <w:tab/>
            </w:r>
            <w:r>
              <w:tab/>
            </w:r>
            <w:r>
              <w:tab/>
            </w:r>
          </w:p>
          <w:p>
            <w:pPr>
              <w:pStyle w:val="13"/>
            </w:pPr>
            <w:r>
              <w:t>2.通过开展人大代表之家工作，提供场地和经费，有利于学习宣传宪法法律和党的路线方针政策及各级党委政府重大决策部署，定期开展代表活动。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23"/>
        <w:gridCol w:w="21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423" w:type="dxa"/>
            <w:vAlign w:val="center"/>
          </w:tcPr>
          <w:p>
            <w:pPr>
              <w:pStyle w:val="11"/>
            </w:pPr>
            <w:r>
              <w:t>指标值</w:t>
            </w:r>
          </w:p>
        </w:tc>
        <w:tc>
          <w:tcPr>
            <w:tcW w:w="21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计划召开学习宣传培训活动次数</w:t>
            </w:r>
          </w:p>
        </w:tc>
        <w:tc>
          <w:tcPr>
            <w:tcW w:w="1423" w:type="dxa"/>
            <w:vAlign w:val="center"/>
          </w:tcPr>
          <w:p>
            <w:pPr>
              <w:pStyle w:val="13"/>
            </w:pPr>
            <w:r>
              <w:t>≥2次</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开展调研的次数</w:t>
            </w:r>
          </w:p>
        </w:tc>
        <w:tc>
          <w:tcPr>
            <w:tcW w:w="5386" w:type="dxa"/>
            <w:vAlign w:val="center"/>
          </w:tcPr>
          <w:p>
            <w:pPr>
              <w:pStyle w:val="13"/>
            </w:pPr>
            <w:r>
              <w:t>计划开展调研的次数</w:t>
            </w:r>
          </w:p>
        </w:tc>
        <w:tc>
          <w:tcPr>
            <w:tcW w:w="1423" w:type="dxa"/>
            <w:vAlign w:val="center"/>
          </w:tcPr>
          <w:p>
            <w:pPr>
              <w:pStyle w:val="13"/>
            </w:pPr>
            <w:r>
              <w:t>≥5次</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人大代表数量</w:t>
            </w:r>
          </w:p>
        </w:tc>
        <w:tc>
          <w:tcPr>
            <w:tcW w:w="5386" w:type="dxa"/>
            <w:vAlign w:val="center"/>
          </w:tcPr>
          <w:p>
            <w:pPr>
              <w:pStyle w:val="13"/>
            </w:pPr>
            <w:r>
              <w:t>反映乡级人大代表数量</w:t>
            </w:r>
          </w:p>
        </w:tc>
        <w:tc>
          <w:tcPr>
            <w:tcW w:w="1423" w:type="dxa"/>
            <w:vAlign w:val="center"/>
          </w:tcPr>
          <w:p>
            <w:pPr>
              <w:pStyle w:val="13"/>
            </w:pPr>
            <w:r>
              <w:t>＝50人</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完成调研报告数量</w:t>
            </w:r>
          </w:p>
        </w:tc>
        <w:tc>
          <w:tcPr>
            <w:tcW w:w="5386" w:type="dxa"/>
            <w:vAlign w:val="center"/>
          </w:tcPr>
          <w:p>
            <w:pPr>
              <w:pStyle w:val="13"/>
            </w:pPr>
            <w:r>
              <w:t>当年完成调研报告的数量</w:t>
            </w:r>
          </w:p>
        </w:tc>
        <w:tc>
          <w:tcPr>
            <w:tcW w:w="1423" w:type="dxa"/>
            <w:vAlign w:val="center"/>
          </w:tcPr>
          <w:p>
            <w:pPr>
              <w:pStyle w:val="13"/>
            </w:pPr>
            <w:r>
              <w:t>≥2篇</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做好协调组织工作，为代表依法履职提供服务</w:t>
            </w:r>
          </w:p>
        </w:tc>
        <w:tc>
          <w:tcPr>
            <w:tcW w:w="1423" w:type="dxa"/>
            <w:vAlign w:val="center"/>
          </w:tcPr>
          <w:p>
            <w:pPr>
              <w:pStyle w:val="13"/>
            </w:pPr>
            <w:r>
              <w:t>＝100%</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学习宣传培训，开展代表活动</w:t>
            </w:r>
          </w:p>
        </w:tc>
        <w:tc>
          <w:tcPr>
            <w:tcW w:w="5386" w:type="dxa"/>
            <w:vAlign w:val="center"/>
          </w:tcPr>
          <w:p>
            <w:pPr>
              <w:pStyle w:val="13"/>
            </w:pPr>
            <w:r>
              <w:t>做好协调组织工作,为代表依法履责提供服务</w:t>
            </w:r>
          </w:p>
        </w:tc>
        <w:tc>
          <w:tcPr>
            <w:tcW w:w="1423" w:type="dxa"/>
            <w:vAlign w:val="center"/>
          </w:tcPr>
          <w:p>
            <w:pPr>
              <w:pStyle w:val="13"/>
            </w:pPr>
            <w:r>
              <w:t>100%</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总体控制在年度预算额度内</w:t>
            </w:r>
          </w:p>
        </w:tc>
        <w:tc>
          <w:tcPr>
            <w:tcW w:w="1423" w:type="dxa"/>
            <w:vAlign w:val="center"/>
          </w:tcPr>
          <w:p>
            <w:pPr>
              <w:pStyle w:val="13"/>
            </w:pPr>
            <w:r>
              <w:t>≤0.5万元</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人大代表提出建议,被采纳率</w:t>
            </w:r>
          </w:p>
        </w:tc>
        <w:tc>
          <w:tcPr>
            <w:tcW w:w="1423" w:type="dxa"/>
            <w:vAlign w:val="center"/>
          </w:tcPr>
          <w:p>
            <w:pPr>
              <w:pStyle w:val="13"/>
            </w:pPr>
            <w:r>
              <w:t>≥50%</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履职质量和水平</w:t>
            </w:r>
          </w:p>
        </w:tc>
        <w:tc>
          <w:tcPr>
            <w:tcW w:w="5386" w:type="dxa"/>
            <w:vAlign w:val="center"/>
          </w:tcPr>
          <w:p>
            <w:pPr>
              <w:pStyle w:val="13"/>
            </w:pPr>
            <w:r>
              <w:t>加强对乡镇人大工作的联系和指导，规范化、制度化水平显著提升</w:t>
            </w:r>
          </w:p>
        </w:tc>
        <w:tc>
          <w:tcPr>
            <w:tcW w:w="1423" w:type="dxa"/>
            <w:vAlign w:val="center"/>
          </w:tcPr>
          <w:p>
            <w:pPr>
              <w:pStyle w:val="13"/>
            </w:pPr>
            <w:r>
              <w:t>≥95%</w:t>
            </w:r>
          </w:p>
        </w:tc>
        <w:tc>
          <w:tcPr>
            <w:tcW w:w="2121"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乡人大代表和常委对代表工作的满意程度</w:t>
            </w:r>
          </w:p>
        </w:tc>
        <w:tc>
          <w:tcPr>
            <w:tcW w:w="1423" w:type="dxa"/>
            <w:vAlign w:val="center"/>
          </w:tcPr>
          <w:p>
            <w:pPr>
              <w:pStyle w:val="13"/>
            </w:pPr>
            <w:r>
              <w:t>≥95%</w:t>
            </w:r>
          </w:p>
        </w:tc>
        <w:tc>
          <w:tcPr>
            <w:tcW w:w="2121" w:type="dxa"/>
            <w:vAlign w:val="center"/>
          </w:tcPr>
          <w:p>
            <w:pPr>
              <w:pStyle w:val="13"/>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13032125P00334910045W</w:t>
            </w:r>
          </w:p>
        </w:tc>
        <w:tc>
          <w:tcPr>
            <w:tcW w:w="2835" w:type="dxa"/>
            <w:vAlign w:val="center"/>
          </w:tcPr>
          <w:p>
            <w:pPr>
              <w:pStyle w:val="11"/>
            </w:pPr>
            <w:r>
              <w:t>项目名称</w:t>
            </w:r>
          </w:p>
        </w:tc>
        <w:tc>
          <w:tcPr>
            <w:tcW w:w="6095" w:type="dxa"/>
            <w:gridSpan w:val="3"/>
            <w:vAlign w:val="center"/>
          </w:tcPr>
          <w:p>
            <w:pPr>
              <w:pStyle w:val="13"/>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预算资金1万元，其中：财政资金1万元。主要用于人大代表有序开展调研等活动工作经费支出。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1.通过开展人大代表之家工作，提供场地和经费，有利于学习宣传宪法法律和党的路线方针政策及各级党委政府重大决策部署，定期开展代表活动。</w:t>
            </w:r>
            <w:r>
              <w:tab/>
            </w:r>
          </w:p>
          <w:p>
            <w:pPr>
              <w:pStyle w:val="13"/>
            </w:pPr>
            <w:r>
              <w:t>2.通过学习宣传培训，开展代表活动，使得人大机关团体密切联系群众，能够定期开展人大代表接访、走访、约访、回访等工作，接受群众监督，提出议案建议。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04"/>
        <w:gridCol w:w="20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04" w:type="dxa"/>
            <w:vAlign w:val="center"/>
          </w:tcPr>
          <w:p>
            <w:pPr>
              <w:pStyle w:val="11"/>
            </w:pPr>
            <w:r>
              <w:t>指标值</w:t>
            </w:r>
          </w:p>
        </w:tc>
        <w:tc>
          <w:tcPr>
            <w:tcW w:w="204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计划召开学习宣传培训活动次数</w:t>
            </w:r>
          </w:p>
        </w:tc>
        <w:tc>
          <w:tcPr>
            <w:tcW w:w="1504" w:type="dxa"/>
            <w:vAlign w:val="center"/>
          </w:tcPr>
          <w:p>
            <w:pPr>
              <w:pStyle w:val="13"/>
            </w:pPr>
            <w:r>
              <w:t>≥2次</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开展调研的次数</w:t>
            </w:r>
          </w:p>
        </w:tc>
        <w:tc>
          <w:tcPr>
            <w:tcW w:w="5386" w:type="dxa"/>
            <w:vAlign w:val="center"/>
          </w:tcPr>
          <w:p>
            <w:pPr>
              <w:pStyle w:val="13"/>
            </w:pPr>
            <w:r>
              <w:t>计划开展调研的次数</w:t>
            </w:r>
          </w:p>
        </w:tc>
        <w:tc>
          <w:tcPr>
            <w:tcW w:w="1504" w:type="dxa"/>
            <w:vAlign w:val="center"/>
          </w:tcPr>
          <w:p>
            <w:pPr>
              <w:pStyle w:val="13"/>
            </w:pPr>
            <w:r>
              <w:t>≥5次</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人大代表数量</w:t>
            </w:r>
          </w:p>
        </w:tc>
        <w:tc>
          <w:tcPr>
            <w:tcW w:w="5386" w:type="dxa"/>
            <w:vAlign w:val="center"/>
          </w:tcPr>
          <w:p>
            <w:pPr>
              <w:pStyle w:val="13"/>
            </w:pPr>
            <w:r>
              <w:t>反映乡级人大代表数量</w:t>
            </w:r>
          </w:p>
        </w:tc>
        <w:tc>
          <w:tcPr>
            <w:tcW w:w="1504" w:type="dxa"/>
            <w:vAlign w:val="center"/>
          </w:tcPr>
          <w:p>
            <w:pPr>
              <w:pStyle w:val="13"/>
            </w:pPr>
            <w:r>
              <w:t>＝50人</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完成调研报告数量</w:t>
            </w:r>
          </w:p>
        </w:tc>
        <w:tc>
          <w:tcPr>
            <w:tcW w:w="5386" w:type="dxa"/>
            <w:vAlign w:val="center"/>
          </w:tcPr>
          <w:p>
            <w:pPr>
              <w:pStyle w:val="13"/>
            </w:pPr>
            <w:r>
              <w:t>当年完成调研报告的数量</w:t>
            </w:r>
          </w:p>
        </w:tc>
        <w:tc>
          <w:tcPr>
            <w:tcW w:w="1504" w:type="dxa"/>
            <w:vAlign w:val="center"/>
          </w:tcPr>
          <w:p>
            <w:pPr>
              <w:pStyle w:val="13"/>
            </w:pPr>
            <w:r>
              <w:t>≥2篇</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做好协调组织工作，为代表依法履职提供服务</w:t>
            </w:r>
          </w:p>
        </w:tc>
        <w:tc>
          <w:tcPr>
            <w:tcW w:w="1504" w:type="dxa"/>
            <w:vAlign w:val="center"/>
          </w:tcPr>
          <w:p>
            <w:pPr>
              <w:pStyle w:val="13"/>
            </w:pPr>
            <w:r>
              <w:t>＝100%</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学习宣传培训，开展代表活动</w:t>
            </w:r>
          </w:p>
        </w:tc>
        <w:tc>
          <w:tcPr>
            <w:tcW w:w="5386" w:type="dxa"/>
            <w:vAlign w:val="center"/>
          </w:tcPr>
          <w:p>
            <w:pPr>
              <w:pStyle w:val="13"/>
            </w:pPr>
            <w:r>
              <w:t>做好协调组织工作,为代表依法履责提供服务</w:t>
            </w:r>
          </w:p>
        </w:tc>
        <w:tc>
          <w:tcPr>
            <w:tcW w:w="1504" w:type="dxa"/>
            <w:vAlign w:val="center"/>
          </w:tcPr>
          <w:p>
            <w:pPr>
              <w:pStyle w:val="13"/>
            </w:pPr>
            <w:r>
              <w:t>100%</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总体控制在年度预算额度内</w:t>
            </w:r>
          </w:p>
        </w:tc>
        <w:tc>
          <w:tcPr>
            <w:tcW w:w="1504" w:type="dxa"/>
            <w:vAlign w:val="center"/>
          </w:tcPr>
          <w:p>
            <w:pPr>
              <w:pStyle w:val="13"/>
            </w:pPr>
            <w:r>
              <w:t>≤1万元</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人大代表提出建议,被采纳率</w:t>
            </w:r>
          </w:p>
        </w:tc>
        <w:tc>
          <w:tcPr>
            <w:tcW w:w="1504" w:type="dxa"/>
            <w:vAlign w:val="center"/>
          </w:tcPr>
          <w:p>
            <w:pPr>
              <w:pStyle w:val="13"/>
            </w:pPr>
            <w:r>
              <w:t>≥50%</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履职质量和水平</w:t>
            </w:r>
          </w:p>
        </w:tc>
        <w:tc>
          <w:tcPr>
            <w:tcW w:w="5386" w:type="dxa"/>
            <w:vAlign w:val="center"/>
          </w:tcPr>
          <w:p>
            <w:pPr>
              <w:pStyle w:val="13"/>
            </w:pPr>
            <w:r>
              <w:t>加强对乡镇人大工作的联系和指导，规范化、制度化水平显著提升</w:t>
            </w:r>
          </w:p>
        </w:tc>
        <w:tc>
          <w:tcPr>
            <w:tcW w:w="1504" w:type="dxa"/>
            <w:vAlign w:val="center"/>
          </w:tcPr>
          <w:p>
            <w:pPr>
              <w:pStyle w:val="13"/>
            </w:pPr>
            <w:r>
              <w:t>≥95%</w:t>
            </w:r>
          </w:p>
        </w:tc>
        <w:tc>
          <w:tcPr>
            <w:tcW w:w="2040" w:type="dxa"/>
            <w:vAlign w:val="center"/>
          </w:tcPr>
          <w:p>
            <w:pPr>
              <w:pStyle w:val="13"/>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乡人大代表和常委对代表工作的满意程度</w:t>
            </w:r>
          </w:p>
        </w:tc>
        <w:tc>
          <w:tcPr>
            <w:tcW w:w="1504" w:type="dxa"/>
            <w:vAlign w:val="center"/>
          </w:tcPr>
          <w:p>
            <w:pPr>
              <w:pStyle w:val="13"/>
            </w:pPr>
            <w:r>
              <w:t>≥95%</w:t>
            </w:r>
          </w:p>
        </w:tc>
        <w:tc>
          <w:tcPr>
            <w:tcW w:w="2040" w:type="dxa"/>
            <w:vAlign w:val="center"/>
          </w:tcPr>
          <w:p>
            <w:pPr>
              <w:pStyle w:val="13"/>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13032123P00329310022P</w:t>
            </w:r>
          </w:p>
        </w:tc>
        <w:tc>
          <w:tcPr>
            <w:tcW w:w="2835" w:type="dxa"/>
            <w:vAlign w:val="center"/>
          </w:tcPr>
          <w:p>
            <w:pPr>
              <w:pStyle w:val="11"/>
            </w:pPr>
            <w:r>
              <w:t>项目名称</w:t>
            </w:r>
          </w:p>
        </w:tc>
        <w:tc>
          <w:tcPr>
            <w:tcW w:w="6095" w:type="dxa"/>
            <w:gridSpan w:val="3"/>
            <w:vAlign w:val="center"/>
          </w:tcPr>
          <w:p>
            <w:pPr>
              <w:pStyle w:val="13"/>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0.54</w:t>
            </w:r>
          </w:p>
        </w:tc>
        <w:tc>
          <w:tcPr>
            <w:tcW w:w="2835" w:type="dxa"/>
            <w:vAlign w:val="center"/>
          </w:tcPr>
          <w:p>
            <w:pPr>
              <w:pStyle w:val="11"/>
            </w:pPr>
            <w:r>
              <w:t>其中：财政    资金</w:t>
            </w:r>
          </w:p>
        </w:tc>
        <w:tc>
          <w:tcPr>
            <w:tcW w:w="2551" w:type="dxa"/>
            <w:vAlign w:val="center"/>
          </w:tcPr>
          <w:p>
            <w:pPr>
              <w:pStyle w:val="13"/>
            </w:pPr>
            <w:r>
              <w:t>0.54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预算资金0.538万元，其中财政资金0.538万元。主要用于开展群团组织工作办公支出。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0.15</w:t>
            </w:r>
          </w:p>
        </w:tc>
        <w:tc>
          <w:tcPr>
            <w:tcW w:w="2835" w:type="dxa"/>
            <w:vAlign w:val="center"/>
          </w:tcPr>
          <w:p>
            <w:pPr>
              <w:pStyle w:val="14"/>
            </w:pPr>
            <w:r>
              <w:t>0.30</w:t>
            </w:r>
          </w:p>
        </w:tc>
        <w:tc>
          <w:tcPr>
            <w:tcW w:w="2551" w:type="dxa"/>
            <w:vAlign w:val="center"/>
          </w:tcPr>
          <w:p>
            <w:pPr>
              <w:pStyle w:val="14"/>
            </w:pPr>
            <w:r>
              <w:t>0.45</w:t>
            </w:r>
          </w:p>
        </w:tc>
        <w:tc>
          <w:tcPr>
            <w:tcW w:w="3544" w:type="dxa"/>
            <w:gridSpan w:val="2"/>
            <w:vAlign w:val="center"/>
          </w:tcPr>
          <w:p>
            <w:pPr>
              <w:pStyle w:val="14"/>
            </w:pPr>
            <w:r>
              <w:t>0.54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1.通过团委工作有序开展，积极发挥团委作用。</w:t>
            </w:r>
          </w:p>
          <w:p>
            <w:pPr>
              <w:pStyle w:val="13"/>
            </w:pPr>
            <w:r>
              <w:t>2.开展好群团组织工作，为党的建设储备好后备力量。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0"/>
        <w:gridCol w:w="16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50" w:type="dxa"/>
            <w:vAlign w:val="center"/>
          </w:tcPr>
          <w:p>
            <w:pPr>
              <w:pStyle w:val="11"/>
            </w:pPr>
            <w:r>
              <w:t>指标值</w:t>
            </w:r>
          </w:p>
        </w:tc>
        <w:tc>
          <w:tcPr>
            <w:tcW w:w="169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组织活动的次数</w:t>
            </w:r>
          </w:p>
        </w:tc>
        <w:tc>
          <w:tcPr>
            <w:tcW w:w="5386" w:type="dxa"/>
            <w:vAlign w:val="center"/>
          </w:tcPr>
          <w:p>
            <w:pPr>
              <w:pStyle w:val="13"/>
            </w:pPr>
            <w:r>
              <w:t>组织镇青年慰问留守儿童活动的次数</w:t>
            </w:r>
          </w:p>
        </w:tc>
        <w:tc>
          <w:tcPr>
            <w:tcW w:w="1850" w:type="dxa"/>
            <w:vAlign w:val="center"/>
          </w:tcPr>
          <w:p>
            <w:pPr>
              <w:pStyle w:val="13"/>
            </w:pPr>
            <w:r>
              <w:t>≥3次</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“圆梦大学”走访的次数</w:t>
            </w:r>
          </w:p>
        </w:tc>
        <w:tc>
          <w:tcPr>
            <w:tcW w:w="5386" w:type="dxa"/>
            <w:vAlign w:val="center"/>
          </w:tcPr>
          <w:p>
            <w:pPr>
              <w:pStyle w:val="13"/>
            </w:pPr>
            <w:r>
              <w:t>反映“圆梦大学”走访的次数</w:t>
            </w:r>
          </w:p>
        </w:tc>
        <w:tc>
          <w:tcPr>
            <w:tcW w:w="1850" w:type="dxa"/>
            <w:vAlign w:val="center"/>
          </w:tcPr>
          <w:p>
            <w:pPr>
              <w:pStyle w:val="13"/>
            </w:pPr>
            <w:r>
              <w:t>≥3次</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反映用于青少年法治宣传教育印刷的宣传单数量</w:t>
            </w:r>
          </w:p>
        </w:tc>
        <w:tc>
          <w:tcPr>
            <w:tcW w:w="1850" w:type="dxa"/>
            <w:vAlign w:val="center"/>
          </w:tcPr>
          <w:p>
            <w:pPr>
              <w:pStyle w:val="13"/>
            </w:pPr>
            <w:r>
              <w:t>≥3000张</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活动完成次数占预计次数的比例</w:t>
            </w:r>
          </w:p>
        </w:tc>
        <w:tc>
          <w:tcPr>
            <w:tcW w:w="1850" w:type="dxa"/>
            <w:vAlign w:val="center"/>
          </w:tcPr>
          <w:p>
            <w:pPr>
              <w:pStyle w:val="13"/>
            </w:pPr>
            <w:r>
              <w:t>≥95%</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反映各项活动完成时间</w:t>
            </w:r>
          </w:p>
        </w:tc>
        <w:tc>
          <w:tcPr>
            <w:tcW w:w="1850" w:type="dxa"/>
            <w:vAlign w:val="center"/>
          </w:tcPr>
          <w:p>
            <w:pPr>
              <w:pStyle w:val="13"/>
            </w:pPr>
            <w:r>
              <w:t>12月31日前</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经费支出控制数</w:t>
            </w:r>
          </w:p>
        </w:tc>
        <w:tc>
          <w:tcPr>
            <w:tcW w:w="5386" w:type="dxa"/>
            <w:vAlign w:val="center"/>
          </w:tcPr>
          <w:p>
            <w:pPr>
              <w:pStyle w:val="13"/>
            </w:pPr>
            <w:r>
              <w:t>团委活动经费支出控制在预算额度内</w:t>
            </w:r>
          </w:p>
        </w:tc>
        <w:tc>
          <w:tcPr>
            <w:tcW w:w="1850" w:type="dxa"/>
            <w:vAlign w:val="center"/>
          </w:tcPr>
          <w:p>
            <w:pPr>
              <w:pStyle w:val="13"/>
            </w:pPr>
            <w:r>
              <w:t>≤0.54万元</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未成年思想道德建设宣传情况</w:t>
            </w:r>
          </w:p>
        </w:tc>
        <w:tc>
          <w:tcPr>
            <w:tcW w:w="5386" w:type="dxa"/>
            <w:vAlign w:val="center"/>
          </w:tcPr>
          <w:p>
            <w:pPr>
              <w:pStyle w:val="13"/>
            </w:pPr>
            <w:r>
              <w:t>反映全乡未成年人思想道德建设宣传覆盖率</w:t>
            </w:r>
          </w:p>
        </w:tc>
        <w:tc>
          <w:tcPr>
            <w:tcW w:w="1850" w:type="dxa"/>
            <w:vAlign w:val="center"/>
          </w:tcPr>
          <w:p>
            <w:pPr>
              <w:pStyle w:val="13"/>
            </w:pPr>
            <w:r>
              <w:t>≥90%</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团费收缴完成率</w:t>
            </w:r>
          </w:p>
        </w:tc>
        <w:tc>
          <w:tcPr>
            <w:tcW w:w="5386" w:type="dxa"/>
            <w:vAlign w:val="center"/>
          </w:tcPr>
          <w:p>
            <w:pPr>
              <w:pStyle w:val="13"/>
            </w:pPr>
            <w:r>
              <w:t>反映全乡团费收缴和上缴工作完成比率</w:t>
            </w:r>
          </w:p>
        </w:tc>
        <w:tc>
          <w:tcPr>
            <w:tcW w:w="1850" w:type="dxa"/>
            <w:vAlign w:val="center"/>
          </w:tcPr>
          <w:p>
            <w:pPr>
              <w:pStyle w:val="13"/>
            </w:pPr>
            <w:r>
              <w:t>≥90%</w:t>
            </w:r>
          </w:p>
        </w:tc>
        <w:tc>
          <w:tcPr>
            <w:tcW w:w="169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群众对全镇党建满意度</w:t>
            </w:r>
          </w:p>
        </w:tc>
        <w:tc>
          <w:tcPr>
            <w:tcW w:w="5386" w:type="dxa"/>
            <w:vAlign w:val="center"/>
          </w:tcPr>
          <w:p>
            <w:pPr>
              <w:pStyle w:val="13"/>
            </w:pPr>
            <w:r>
              <w:t>全镇群众对团工作的满意度</w:t>
            </w:r>
          </w:p>
        </w:tc>
        <w:tc>
          <w:tcPr>
            <w:tcW w:w="1850" w:type="dxa"/>
            <w:vAlign w:val="center"/>
          </w:tcPr>
          <w:p>
            <w:pPr>
              <w:pStyle w:val="13"/>
            </w:pPr>
            <w:r>
              <w:t>≥90%</w:t>
            </w:r>
          </w:p>
        </w:tc>
        <w:tc>
          <w:tcPr>
            <w:tcW w:w="169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13032125P00334910048P</w:t>
            </w:r>
          </w:p>
        </w:tc>
        <w:tc>
          <w:tcPr>
            <w:tcW w:w="2835" w:type="dxa"/>
            <w:vAlign w:val="center"/>
          </w:tcPr>
          <w:p>
            <w:pPr>
              <w:pStyle w:val="11"/>
            </w:pPr>
            <w:r>
              <w:t>项目名称</w:t>
            </w:r>
          </w:p>
        </w:tc>
        <w:tc>
          <w:tcPr>
            <w:tcW w:w="6095" w:type="dxa"/>
            <w:gridSpan w:val="3"/>
            <w:vAlign w:val="center"/>
          </w:tcPr>
          <w:p>
            <w:pPr>
              <w:pStyle w:val="13"/>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预算资金1万元，其中：财政资金1万元。主要用于团委日常开展活动办公支出。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1.开展好群团组织工作，为党的建设储备好后备力量。</w:t>
            </w:r>
          </w:p>
          <w:p>
            <w:pPr>
              <w:pStyle w:val="13"/>
            </w:pPr>
            <w:r>
              <w:t>2.通过团委工作有序开展，积极发挥团委作用。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15" w:type="dxa"/>
            <w:vAlign w:val="center"/>
          </w:tcPr>
          <w:p>
            <w:pPr>
              <w:pStyle w:val="11"/>
            </w:pPr>
            <w:r>
              <w:t>指标值</w:t>
            </w:r>
          </w:p>
        </w:tc>
        <w:tc>
          <w:tcPr>
            <w:tcW w:w="172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组织活动的次数</w:t>
            </w:r>
          </w:p>
        </w:tc>
        <w:tc>
          <w:tcPr>
            <w:tcW w:w="5386" w:type="dxa"/>
            <w:vAlign w:val="center"/>
          </w:tcPr>
          <w:p>
            <w:pPr>
              <w:pStyle w:val="13"/>
            </w:pPr>
            <w:r>
              <w:t>组织镇青年慰问留守儿童活动的次数</w:t>
            </w:r>
          </w:p>
        </w:tc>
        <w:tc>
          <w:tcPr>
            <w:tcW w:w="1815" w:type="dxa"/>
            <w:vAlign w:val="center"/>
          </w:tcPr>
          <w:p>
            <w:pPr>
              <w:pStyle w:val="13"/>
            </w:pPr>
            <w:r>
              <w:t>≥3次</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“圆梦大学”走访的次数</w:t>
            </w:r>
          </w:p>
        </w:tc>
        <w:tc>
          <w:tcPr>
            <w:tcW w:w="5386" w:type="dxa"/>
            <w:vAlign w:val="center"/>
          </w:tcPr>
          <w:p>
            <w:pPr>
              <w:pStyle w:val="13"/>
            </w:pPr>
            <w:r>
              <w:t>反映“圆梦大学”走访的次数</w:t>
            </w:r>
          </w:p>
        </w:tc>
        <w:tc>
          <w:tcPr>
            <w:tcW w:w="1815" w:type="dxa"/>
            <w:vAlign w:val="center"/>
          </w:tcPr>
          <w:p>
            <w:pPr>
              <w:pStyle w:val="13"/>
            </w:pPr>
            <w:r>
              <w:t>≥3次</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反映用于青少年法治宣传教育印刷的宣传单数量</w:t>
            </w:r>
          </w:p>
        </w:tc>
        <w:tc>
          <w:tcPr>
            <w:tcW w:w="1815" w:type="dxa"/>
            <w:vAlign w:val="center"/>
          </w:tcPr>
          <w:p>
            <w:pPr>
              <w:pStyle w:val="13"/>
            </w:pPr>
            <w:r>
              <w:t>≥3000张</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活动完成率</w:t>
            </w:r>
          </w:p>
        </w:tc>
        <w:tc>
          <w:tcPr>
            <w:tcW w:w="5386" w:type="dxa"/>
            <w:vAlign w:val="center"/>
          </w:tcPr>
          <w:p>
            <w:pPr>
              <w:pStyle w:val="13"/>
            </w:pPr>
            <w:r>
              <w:t>活动完成次数占预计次数的比例</w:t>
            </w:r>
          </w:p>
        </w:tc>
        <w:tc>
          <w:tcPr>
            <w:tcW w:w="1815" w:type="dxa"/>
            <w:vAlign w:val="center"/>
          </w:tcPr>
          <w:p>
            <w:pPr>
              <w:pStyle w:val="13"/>
            </w:pPr>
            <w:r>
              <w:t>≥95%</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活动完成时间</w:t>
            </w:r>
          </w:p>
        </w:tc>
        <w:tc>
          <w:tcPr>
            <w:tcW w:w="5386" w:type="dxa"/>
            <w:vAlign w:val="center"/>
          </w:tcPr>
          <w:p>
            <w:pPr>
              <w:pStyle w:val="13"/>
            </w:pPr>
            <w:r>
              <w:t>反映各项活动完成时间</w:t>
            </w:r>
          </w:p>
        </w:tc>
        <w:tc>
          <w:tcPr>
            <w:tcW w:w="1815" w:type="dxa"/>
            <w:vAlign w:val="center"/>
          </w:tcPr>
          <w:p>
            <w:pPr>
              <w:pStyle w:val="13"/>
            </w:pPr>
            <w:r>
              <w:t>12月31日前</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经费支出控制数</w:t>
            </w:r>
          </w:p>
        </w:tc>
        <w:tc>
          <w:tcPr>
            <w:tcW w:w="5386" w:type="dxa"/>
            <w:vAlign w:val="center"/>
          </w:tcPr>
          <w:p>
            <w:pPr>
              <w:pStyle w:val="13"/>
            </w:pPr>
            <w:r>
              <w:t>团委活动经费支出控制在预算额度内</w:t>
            </w:r>
          </w:p>
        </w:tc>
        <w:tc>
          <w:tcPr>
            <w:tcW w:w="1815" w:type="dxa"/>
            <w:vAlign w:val="center"/>
          </w:tcPr>
          <w:p>
            <w:pPr>
              <w:pStyle w:val="13"/>
            </w:pPr>
            <w:r>
              <w:t>≤1万元</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未成年思想道德建设宣传情况</w:t>
            </w:r>
          </w:p>
        </w:tc>
        <w:tc>
          <w:tcPr>
            <w:tcW w:w="5386" w:type="dxa"/>
            <w:vAlign w:val="center"/>
          </w:tcPr>
          <w:p>
            <w:pPr>
              <w:pStyle w:val="13"/>
            </w:pPr>
            <w:r>
              <w:t>反映全乡未成年人思想道德建设宣传覆盖率</w:t>
            </w:r>
          </w:p>
        </w:tc>
        <w:tc>
          <w:tcPr>
            <w:tcW w:w="1815" w:type="dxa"/>
            <w:vAlign w:val="center"/>
          </w:tcPr>
          <w:p>
            <w:pPr>
              <w:pStyle w:val="13"/>
            </w:pPr>
            <w:r>
              <w:t>≥90%</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团费收缴完成率</w:t>
            </w:r>
          </w:p>
        </w:tc>
        <w:tc>
          <w:tcPr>
            <w:tcW w:w="5386" w:type="dxa"/>
            <w:vAlign w:val="center"/>
          </w:tcPr>
          <w:p>
            <w:pPr>
              <w:pStyle w:val="13"/>
            </w:pPr>
            <w:r>
              <w:t>反映全乡团费收缴和上缴工作完成比率</w:t>
            </w:r>
          </w:p>
        </w:tc>
        <w:tc>
          <w:tcPr>
            <w:tcW w:w="1815" w:type="dxa"/>
            <w:vAlign w:val="center"/>
          </w:tcPr>
          <w:p>
            <w:pPr>
              <w:pStyle w:val="13"/>
            </w:pPr>
            <w:r>
              <w:t>≥90%</w:t>
            </w:r>
          </w:p>
        </w:tc>
        <w:tc>
          <w:tcPr>
            <w:tcW w:w="1729"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群众对全镇党建满意度</w:t>
            </w:r>
          </w:p>
        </w:tc>
        <w:tc>
          <w:tcPr>
            <w:tcW w:w="5386" w:type="dxa"/>
            <w:vAlign w:val="center"/>
          </w:tcPr>
          <w:p>
            <w:pPr>
              <w:pStyle w:val="13"/>
            </w:pPr>
            <w:r>
              <w:t>全镇群众对团工作的满意度</w:t>
            </w:r>
          </w:p>
        </w:tc>
        <w:tc>
          <w:tcPr>
            <w:tcW w:w="1815" w:type="dxa"/>
            <w:vAlign w:val="center"/>
          </w:tcPr>
          <w:p>
            <w:pPr>
              <w:pStyle w:val="13"/>
            </w:pPr>
            <w:r>
              <w:t>≥90%</w:t>
            </w:r>
          </w:p>
        </w:tc>
        <w:tc>
          <w:tcPr>
            <w:tcW w:w="1729"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13032125P00334910046G</w:t>
            </w:r>
          </w:p>
        </w:tc>
        <w:tc>
          <w:tcPr>
            <w:tcW w:w="2835" w:type="dxa"/>
            <w:vAlign w:val="center"/>
          </w:tcPr>
          <w:p>
            <w:pPr>
              <w:pStyle w:val="11"/>
            </w:pPr>
            <w:r>
              <w:t>项目名称</w:t>
            </w:r>
          </w:p>
        </w:tc>
        <w:tc>
          <w:tcPr>
            <w:tcW w:w="6095" w:type="dxa"/>
            <w:gridSpan w:val="3"/>
            <w:vAlign w:val="center"/>
          </w:tcPr>
          <w:p>
            <w:pPr>
              <w:pStyle w:val="13"/>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预算资金2万元，其中：财政资金2万元。主要用于民兵日常训练、征兵宣传、上站体检等经费支出。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1.通过开展民兵训练工作，确保人民武装力量得到保障。</w:t>
            </w:r>
          </w:p>
          <w:p>
            <w:pPr>
              <w:pStyle w:val="13"/>
            </w:pPr>
            <w:r>
              <w:t>2.通过开展兵役登记、征兵工作，为国家提供高素质兵源。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00"/>
        <w:gridCol w:w="1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00" w:type="dxa"/>
            <w:vAlign w:val="center"/>
          </w:tcPr>
          <w:p>
            <w:pPr>
              <w:pStyle w:val="11"/>
            </w:pPr>
            <w:r>
              <w:t>指标值</w:t>
            </w:r>
          </w:p>
        </w:tc>
        <w:tc>
          <w:tcPr>
            <w:tcW w:w="184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区域内服兵役人员数量</w:t>
            </w:r>
          </w:p>
        </w:tc>
        <w:tc>
          <w:tcPr>
            <w:tcW w:w="5386" w:type="dxa"/>
            <w:vAlign w:val="center"/>
          </w:tcPr>
          <w:p>
            <w:pPr>
              <w:pStyle w:val="13"/>
            </w:pPr>
            <w:r>
              <w:t>年度内依法服兵役数量</w:t>
            </w:r>
          </w:p>
        </w:tc>
        <w:tc>
          <w:tcPr>
            <w:tcW w:w="1700" w:type="dxa"/>
            <w:vAlign w:val="center"/>
          </w:tcPr>
          <w:p>
            <w:pPr>
              <w:pStyle w:val="13"/>
            </w:pPr>
            <w:r>
              <w:t>≥6人</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参加民兵训练人数</w:t>
            </w:r>
          </w:p>
        </w:tc>
        <w:tc>
          <w:tcPr>
            <w:tcW w:w="5386" w:type="dxa"/>
            <w:vAlign w:val="center"/>
          </w:tcPr>
          <w:p>
            <w:pPr>
              <w:pStyle w:val="13"/>
            </w:pPr>
            <w:r>
              <w:t>年度内参加民兵训练的人数</w:t>
            </w:r>
          </w:p>
        </w:tc>
        <w:tc>
          <w:tcPr>
            <w:tcW w:w="1700" w:type="dxa"/>
            <w:vAlign w:val="center"/>
          </w:tcPr>
          <w:p>
            <w:pPr>
              <w:pStyle w:val="13"/>
            </w:pPr>
            <w:r>
              <w:t>≥30人</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大学生兵数量</w:t>
            </w:r>
          </w:p>
        </w:tc>
        <w:tc>
          <w:tcPr>
            <w:tcW w:w="5386" w:type="dxa"/>
            <w:vAlign w:val="center"/>
          </w:tcPr>
          <w:p>
            <w:pPr>
              <w:pStyle w:val="13"/>
            </w:pPr>
            <w:r>
              <w:t>年度内新入伍大学生兵数量</w:t>
            </w:r>
          </w:p>
        </w:tc>
        <w:tc>
          <w:tcPr>
            <w:tcW w:w="1700" w:type="dxa"/>
            <w:vAlign w:val="center"/>
          </w:tcPr>
          <w:p>
            <w:pPr>
              <w:pStyle w:val="13"/>
            </w:pPr>
            <w:r>
              <w:t>≥5人</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年度内开展民兵训练次数</w:t>
            </w:r>
          </w:p>
        </w:tc>
        <w:tc>
          <w:tcPr>
            <w:tcW w:w="1700" w:type="dxa"/>
            <w:vAlign w:val="center"/>
          </w:tcPr>
          <w:p>
            <w:pPr>
              <w:pStyle w:val="13"/>
            </w:pPr>
            <w:r>
              <w:t>≥1次</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大学生兵比率</w:t>
            </w:r>
          </w:p>
        </w:tc>
        <w:tc>
          <w:tcPr>
            <w:tcW w:w="5386" w:type="dxa"/>
            <w:vAlign w:val="center"/>
          </w:tcPr>
          <w:p>
            <w:pPr>
              <w:pStyle w:val="13"/>
            </w:pPr>
            <w:r>
              <w:t>年度内新入伍大学生兵所占比率</w:t>
            </w:r>
          </w:p>
        </w:tc>
        <w:tc>
          <w:tcPr>
            <w:tcW w:w="1700" w:type="dxa"/>
            <w:vAlign w:val="center"/>
          </w:tcPr>
          <w:p>
            <w:pPr>
              <w:pStyle w:val="13"/>
            </w:pPr>
            <w:r>
              <w:t>100%</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开展兵源普查登记时限</w:t>
            </w:r>
          </w:p>
        </w:tc>
        <w:tc>
          <w:tcPr>
            <w:tcW w:w="5386" w:type="dxa"/>
            <w:vAlign w:val="center"/>
          </w:tcPr>
          <w:p>
            <w:pPr>
              <w:pStyle w:val="13"/>
            </w:pPr>
            <w:r>
              <w:t>提前做好兵源普查登记工作的时间</w:t>
            </w:r>
          </w:p>
        </w:tc>
        <w:tc>
          <w:tcPr>
            <w:tcW w:w="1700" w:type="dxa"/>
            <w:vAlign w:val="center"/>
          </w:tcPr>
          <w:p>
            <w:pPr>
              <w:pStyle w:val="13"/>
            </w:pPr>
            <w:r>
              <w:t>≤6月</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武装工作支出费用</w:t>
            </w:r>
          </w:p>
        </w:tc>
        <w:tc>
          <w:tcPr>
            <w:tcW w:w="5386" w:type="dxa"/>
            <w:vAlign w:val="center"/>
          </w:tcPr>
          <w:p>
            <w:pPr>
              <w:pStyle w:val="13"/>
            </w:pPr>
            <w:r>
              <w:t>武装部在开展工作中发生的差旅、办公等支出的成本</w:t>
            </w:r>
          </w:p>
        </w:tc>
        <w:tc>
          <w:tcPr>
            <w:tcW w:w="1700" w:type="dxa"/>
            <w:vAlign w:val="center"/>
          </w:tcPr>
          <w:p>
            <w:pPr>
              <w:pStyle w:val="13"/>
            </w:pPr>
            <w:r>
              <w:t>≤2万元</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兵源普查登记覆盖率</w:t>
            </w:r>
          </w:p>
        </w:tc>
        <w:tc>
          <w:tcPr>
            <w:tcW w:w="5386" w:type="dxa"/>
            <w:vAlign w:val="center"/>
          </w:tcPr>
          <w:p>
            <w:pPr>
              <w:pStyle w:val="13"/>
            </w:pPr>
            <w:r>
              <w:t>普查登记的兵源占实有兵源的比率</w:t>
            </w:r>
          </w:p>
        </w:tc>
        <w:tc>
          <w:tcPr>
            <w:tcW w:w="1700" w:type="dxa"/>
            <w:vAlign w:val="center"/>
          </w:tcPr>
          <w:p>
            <w:pPr>
              <w:pStyle w:val="13"/>
            </w:pPr>
            <w:r>
              <w:t>≥90%</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持续为部队输送优秀兵源</w:t>
            </w:r>
          </w:p>
        </w:tc>
        <w:tc>
          <w:tcPr>
            <w:tcW w:w="5386" w:type="dxa"/>
            <w:vAlign w:val="center"/>
          </w:tcPr>
          <w:p>
            <w:pPr>
              <w:pStyle w:val="13"/>
            </w:pPr>
            <w:r>
              <w:t>持续为部队输送优秀兵源</w:t>
            </w:r>
          </w:p>
        </w:tc>
        <w:tc>
          <w:tcPr>
            <w:tcW w:w="1700" w:type="dxa"/>
            <w:vAlign w:val="center"/>
          </w:tcPr>
          <w:p>
            <w:pPr>
              <w:pStyle w:val="13"/>
            </w:pPr>
            <w:r>
              <w:t>100%</w:t>
            </w:r>
          </w:p>
        </w:tc>
        <w:tc>
          <w:tcPr>
            <w:tcW w:w="1844"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新入伍兵满意度</w:t>
            </w:r>
          </w:p>
        </w:tc>
        <w:tc>
          <w:tcPr>
            <w:tcW w:w="5386" w:type="dxa"/>
            <w:vAlign w:val="center"/>
          </w:tcPr>
          <w:p>
            <w:pPr>
              <w:pStyle w:val="13"/>
            </w:pPr>
            <w:r>
              <w:t>新入伍兵役及其家属对武装工作的满意度</w:t>
            </w:r>
          </w:p>
        </w:tc>
        <w:tc>
          <w:tcPr>
            <w:tcW w:w="1700" w:type="dxa"/>
            <w:vAlign w:val="center"/>
          </w:tcPr>
          <w:p>
            <w:pPr>
              <w:pStyle w:val="13"/>
            </w:pPr>
            <w:r>
              <w:t>≥95%</w:t>
            </w:r>
          </w:p>
        </w:tc>
        <w:tc>
          <w:tcPr>
            <w:tcW w:w="184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13032123P00329310024Y</w:t>
            </w:r>
          </w:p>
        </w:tc>
        <w:tc>
          <w:tcPr>
            <w:tcW w:w="2835" w:type="dxa"/>
            <w:vAlign w:val="center"/>
          </w:tcPr>
          <w:p>
            <w:pPr>
              <w:pStyle w:val="11"/>
            </w:pPr>
            <w:r>
              <w:t>项目名称</w:t>
            </w:r>
          </w:p>
        </w:tc>
        <w:tc>
          <w:tcPr>
            <w:tcW w:w="6095" w:type="dxa"/>
            <w:gridSpan w:val="3"/>
            <w:vAlign w:val="center"/>
          </w:tcPr>
          <w:p>
            <w:pPr>
              <w:pStyle w:val="13"/>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w:t>
            </w:r>
          </w:p>
        </w:tc>
        <w:tc>
          <w:tcPr>
            <w:tcW w:w="2835" w:type="dxa"/>
            <w:vAlign w:val="center"/>
          </w:tcPr>
          <w:p>
            <w:pPr>
              <w:pStyle w:val="11"/>
            </w:pPr>
            <w:r>
              <w:t>其中：财政    资金</w:t>
            </w:r>
          </w:p>
        </w:tc>
        <w:tc>
          <w:tcPr>
            <w:tcW w:w="2551" w:type="dxa"/>
            <w:vAlign w:val="center"/>
          </w:tcPr>
          <w:p>
            <w:pPr>
              <w:pStyle w:val="13"/>
            </w:pPr>
            <w:r>
              <w:t>1.62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预算资金1.6172万元，其中财政资金1.6172万元。主要用于维护辖区稳定、深化平安建设经费支出。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0.40</w:t>
            </w:r>
          </w:p>
        </w:tc>
        <w:tc>
          <w:tcPr>
            <w:tcW w:w="2835" w:type="dxa"/>
            <w:vAlign w:val="center"/>
          </w:tcPr>
          <w:p>
            <w:pPr>
              <w:pStyle w:val="14"/>
            </w:pPr>
            <w:r>
              <w:t>0.80</w:t>
            </w:r>
          </w:p>
        </w:tc>
        <w:tc>
          <w:tcPr>
            <w:tcW w:w="2551" w:type="dxa"/>
            <w:vAlign w:val="center"/>
          </w:tcPr>
          <w:p>
            <w:pPr>
              <w:pStyle w:val="14"/>
            </w:pPr>
            <w:r>
              <w:t>1.20</w:t>
            </w:r>
          </w:p>
        </w:tc>
        <w:tc>
          <w:tcPr>
            <w:tcW w:w="3544" w:type="dxa"/>
            <w:gridSpan w:val="2"/>
            <w:vAlign w:val="center"/>
          </w:tcPr>
          <w:p>
            <w:pPr>
              <w:pStyle w:val="14"/>
            </w:pPr>
            <w:r>
              <w:t>1.62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1.通过加强法制宣传教育、提高公民的法律意识和素质，教育群众知法、懂法和守法。</w:t>
            </w:r>
          </w:p>
          <w:p>
            <w:pPr>
              <w:pStyle w:val="13"/>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677" w:type="dxa"/>
            <w:vAlign w:val="center"/>
          </w:tcPr>
          <w:p>
            <w:pPr>
              <w:pStyle w:val="11"/>
            </w:pPr>
            <w:r>
              <w:t>指标值</w:t>
            </w:r>
          </w:p>
        </w:tc>
        <w:tc>
          <w:tcPr>
            <w:tcW w:w="186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印刷宣传单</w:t>
            </w:r>
          </w:p>
        </w:tc>
        <w:tc>
          <w:tcPr>
            <w:tcW w:w="5386" w:type="dxa"/>
            <w:vAlign w:val="center"/>
          </w:tcPr>
          <w:p>
            <w:pPr>
              <w:pStyle w:val="13"/>
            </w:pPr>
            <w:r>
              <w:t>反映印刷宣传单数量</w:t>
            </w:r>
          </w:p>
        </w:tc>
        <w:tc>
          <w:tcPr>
            <w:tcW w:w="1677" w:type="dxa"/>
            <w:vAlign w:val="center"/>
          </w:tcPr>
          <w:p>
            <w:pPr>
              <w:pStyle w:val="13"/>
            </w:pPr>
            <w:r>
              <w:t>≥2500份</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反映下乡维稳的次数</w:t>
            </w:r>
          </w:p>
        </w:tc>
        <w:tc>
          <w:tcPr>
            <w:tcW w:w="1677" w:type="dxa"/>
            <w:vAlign w:val="center"/>
          </w:tcPr>
          <w:p>
            <w:pPr>
              <w:pStyle w:val="13"/>
            </w:pPr>
            <w:r>
              <w:t>≥50次</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1677" w:type="dxa"/>
            <w:vAlign w:val="center"/>
          </w:tcPr>
          <w:p>
            <w:pPr>
              <w:pStyle w:val="13"/>
            </w:pPr>
            <w:r>
              <w:t>＝100%</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各项工作按年度计划完成</w:t>
            </w:r>
          </w:p>
        </w:tc>
        <w:tc>
          <w:tcPr>
            <w:tcW w:w="1677" w:type="dxa"/>
            <w:vAlign w:val="center"/>
          </w:tcPr>
          <w:p>
            <w:pPr>
              <w:pStyle w:val="13"/>
            </w:pPr>
            <w:r>
              <w:t>≤12月</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宣传费支出</w:t>
            </w:r>
          </w:p>
        </w:tc>
        <w:tc>
          <w:tcPr>
            <w:tcW w:w="5386" w:type="dxa"/>
            <w:vAlign w:val="center"/>
          </w:tcPr>
          <w:p>
            <w:pPr>
              <w:pStyle w:val="13"/>
            </w:pPr>
            <w:r>
              <w:t>印刷宣传单支出的费用</w:t>
            </w:r>
          </w:p>
        </w:tc>
        <w:tc>
          <w:tcPr>
            <w:tcW w:w="1677" w:type="dxa"/>
            <w:vAlign w:val="center"/>
          </w:tcPr>
          <w:p>
            <w:pPr>
              <w:pStyle w:val="13"/>
            </w:pPr>
            <w:r>
              <w:t>≤0.5万元</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支付救济费</w:t>
            </w:r>
          </w:p>
        </w:tc>
        <w:tc>
          <w:tcPr>
            <w:tcW w:w="5386" w:type="dxa"/>
            <w:vAlign w:val="center"/>
          </w:tcPr>
          <w:p>
            <w:pPr>
              <w:pStyle w:val="13"/>
            </w:pPr>
            <w:r>
              <w:t>用于生活困难的信访人员支出</w:t>
            </w:r>
          </w:p>
        </w:tc>
        <w:tc>
          <w:tcPr>
            <w:tcW w:w="1677" w:type="dxa"/>
            <w:vAlign w:val="center"/>
          </w:tcPr>
          <w:p>
            <w:pPr>
              <w:pStyle w:val="13"/>
            </w:pPr>
            <w:r>
              <w:t>≤0.5万元</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租车费</w:t>
            </w:r>
          </w:p>
        </w:tc>
        <w:tc>
          <w:tcPr>
            <w:tcW w:w="5386" w:type="dxa"/>
            <w:vAlign w:val="center"/>
          </w:tcPr>
          <w:p>
            <w:pPr>
              <w:pStyle w:val="13"/>
            </w:pPr>
            <w:r>
              <w:t>租车接信访人返青的费用</w:t>
            </w:r>
          </w:p>
        </w:tc>
        <w:tc>
          <w:tcPr>
            <w:tcW w:w="1677" w:type="dxa"/>
            <w:vAlign w:val="center"/>
          </w:tcPr>
          <w:p>
            <w:pPr>
              <w:pStyle w:val="13"/>
            </w:pPr>
            <w:r>
              <w:t>≤0.6万元</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“民转刑”命案减少率(%)</w:t>
            </w:r>
          </w:p>
        </w:tc>
        <w:tc>
          <w:tcPr>
            <w:tcW w:w="5386" w:type="dxa"/>
            <w:vAlign w:val="center"/>
          </w:tcPr>
          <w:p>
            <w:pPr>
              <w:pStyle w:val="13"/>
            </w:pPr>
            <w:r>
              <w:t>“民转刑”命案发生数量的减少比率</w:t>
            </w:r>
          </w:p>
        </w:tc>
        <w:tc>
          <w:tcPr>
            <w:tcW w:w="1677" w:type="dxa"/>
            <w:vAlign w:val="center"/>
          </w:tcPr>
          <w:p>
            <w:pPr>
              <w:pStyle w:val="13"/>
            </w:pPr>
            <w:r>
              <w:t>≥90%</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立体化社会治安防控体系在镇村两级的覆盖情况</w:t>
            </w:r>
          </w:p>
        </w:tc>
        <w:tc>
          <w:tcPr>
            <w:tcW w:w="1677" w:type="dxa"/>
            <w:vAlign w:val="center"/>
          </w:tcPr>
          <w:p>
            <w:pPr>
              <w:pStyle w:val="13"/>
            </w:pPr>
            <w:r>
              <w:t>≥90%</w:t>
            </w:r>
          </w:p>
        </w:tc>
        <w:tc>
          <w:tcPr>
            <w:tcW w:w="186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群众对综治工作满意率</w:t>
            </w:r>
          </w:p>
        </w:tc>
        <w:tc>
          <w:tcPr>
            <w:tcW w:w="1677" w:type="dxa"/>
            <w:vAlign w:val="center"/>
          </w:tcPr>
          <w:p>
            <w:pPr>
              <w:pStyle w:val="13"/>
            </w:pPr>
            <w:r>
              <w:t>≥95%</w:t>
            </w:r>
          </w:p>
        </w:tc>
        <w:tc>
          <w:tcPr>
            <w:tcW w:w="1867"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9、城镇化率达标建设项目绩效目标表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13032125P00011610040W</w:t>
            </w:r>
          </w:p>
        </w:tc>
        <w:tc>
          <w:tcPr>
            <w:tcW w:w="2835" w:type="dxa"/>
            <w:vAlign w:val="center"/>
          </w:tcPr>
          <w:p>
            <w:pPr>
              <w:pStyle w:val="11"/>
            </w:pPr>
            <w:r>
              <w:t>项目名称</w:t>
            </w:r>
          </w:p>
        </w:tc>
        <w:tc>
          <w:tcPr>
            <w:tcW w:w="6095" w:type="dxa"/>
            <w:gridSpan w:val="3"/>
            <w:vAlign w:val="center"/>
          </w:tcPr>
          <w:p>
            <w:pPr>
              <w:pStyle w:val="13"/>
            </w:pPr>
            <w:r>
              <w:t>城镇化率达标建设项目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预算资金65万元，其中：财政资金65万元。主要用于提高城市化率达标建设支出。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4" w:type="dxa"/>
            <w:gridSpan w:val="2"/>
            <w:vAlign w:val="center"/>
          </w:tcPr>
          <w:p>
            <w:pPr>
              <w:pStyle w:val="14"/>
            </w:pPr>
            <w:r>
              <w:t>65.00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1.通过建设板栗公园、凉亭、田间作业路等，提升城镇化率。</w:t>
            </w:r>
          </w:p>
          <w:p>
            <w:pPr>
              <w:pStyle w:val="13"/>
            </w:pPr>
            <w:r>
              <w:t>2.通过建设临时看护房、仓库等建筑，实现城乡片区连接。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4"/>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04" w:type="dxa"/>
            <w:vAlign w:val="center"/>
          </w:tcPr>
          <w:p>
            <w:pPr>
              <w:pStyle w:val="11"/>
            </w:pPr>
            <w:r>
              <w:t>指标值</w:t>
            </w:r>
          </w:p>
        </w:tc>
        <w:tc>
          <w:tcPr>
            <w:tcW w:w="174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建设活动板房数量</w:t>
            </w:r>
          </w:p>
        </w:tc>
        <w:tc>
          <w:tcPr>
            <w:tcW w:w="5386" w:type="dxa"/>
            <w:vAlign w:val="center"/>
          </w:tcPr>
          <w:p>
            <w:pPr>
              <w:pStyle w:val="13"/>
            </w:pPr>
            <w:r>
              <w:t>临时看护房、仓库数量</w:t>
            </w:r>
          </w:p>
        </w:tc>
        <w:tc>
          <w:tcPr>
            <w:tcW w:w="1804" w:type="dxa"/>
            <w:vAlign w:val="center"/>
          </w:tcPr>
          <w:p>
            <w:pPr>
              <w:pStyle w:val="13"/>
            </w:pPr>
            <w:r>
              <w:t>19座</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建设板栗公园数量</w:t>
            </w:r>
          </w:p>
        </w:tc>
        <w:tc>
          <w:tcPr>
            <w:tcW w:w="5386" w:type="dxa"/>
            <w:vAlign w:val="center"/>
          </w:tcPr>
          <w:p>
            <w:pPr>
              <w:pStyle w:val="13"/>
            </w:pPr>
            <w:r>
              <w:t>建设板栗公园和公园围挡数量</w:t>
            </w:r>
          </w:p>
        </w:tc>
        <w:tc>
          <w:tcPr>
            <w:tcW w:w="1804" w:type="dxa"/>
            <w:vAlign w:val="center"/>
          </w:tcPr>
          <w:p>
            <w:pPr>
              <w:pStyle w:val="13"/>
            </w:pPr>
            <w:r>
              <w:t>1处</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建设板栗公园和围挡质量合格率</w:t>
            </w:r>
          </w:p>
        </w:tc>
        <w:tc>
          <w:tcPr>
            <w:tcW w:w="1804" w:type="dxa"/>
            <w:vAlign w:val="center"/>
          </w:tcPr>
          <w:p>
            <w:pPr>
              <w:pStyle w:val="13"/>
            </w:pPr>
            <w:r>
              <w:t>100%</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建设活动板房合格率</w:t>
            </w:r>
          </w:p>
        </w:tc>
        <w:tc>
          <w:tcPr>
            <w:tcW w:w="1804" w:type="dxa"/>
            <w:vAlign w:val="center"/>
          </w:tcPr>
          <w:p>
            <w:pPr>
              <w:pStyle w:val="13"/>
            </w:pPr>
            <w:r>
              <w:t>100%</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工程计划完成及时率</w:t>
            </w:r>
          </w:p>
        </w:tc>
        <w:tc>
          <w:tcPr>
            <w:tcW w:w="1804" w:type="dxa"/>
            <w:vAlign w:val="center"/>
          </w:tcPr>
          <w:p>
            <w:pPr>
              <w:pStyle w:val="13"/>
            </w:pPr>
            <w:r>
              <w:t>10月底前</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活动板房费用支出</w:t>
            </w:r>
          </w:p>
        </w:tc>
        <w:tc>
          <w:tcPr>
            <w:tcW w:w="5386" w:type="dxa"/>
            <w:vAlign w:val="center"/>
          </w:tcPr>
          <w:p>
            <w:pPr>
              <w:pStyle w:val="13"/>
            </w:pPr>
            <w:r>
              <w:t>建设活动板房费用支出</w:t>
            </w:r>
          </w:p>
        </w:tc>
        <w:tc>
          <w:tcPr>
            <w:tcW w:w="1804" w:type="dxa"/>
            <w:vAlign w:val="center"/>
          </w:tcPr>
          <w:p>
            <w:pPr>
              <w:pStyle w:val="13"/>
            </w:pPr>
            <w:r>
              <w:t>≤30万元</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建设板栗公园和围挡费用</w:t>
            </w:r>
          </w:p>
        </w:tc>
        <w:tc>
          <w:tcPr>
            <w:tcW w:w="5386" w:type="dxa"/>
            <w:vAlign w:val="center"/>
          </w:tcPr>
          <w:p>
            <w:pPr>
              <w:pStyle w:val="13"/>
            </w:pPr>
            <w:r>
              <w:t>建设板栗公园和围挡费用支出</w:t>
            </w:r>
          </w:p>
        </w:tc>
        <w:tc>
          <w:tcPr>
            <w:tcW w:w="1804" w:type="dxa"/>
            <w:vAlign w:val="center"/>
          </w:tcPr>
          <w:p>
            <w:pPr>
              <w:pStyle w:val="13"/>
            </w:pPr>
            <w:r>
              <w:t>≤35万元</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提升城镇化率</w:t>
            </w:r>
          </w:p>
        </w:tc>
        <w:tc>
          <w:tcPr>
            <w:tcW w:w="5386" w:type="dxa"/>
            <w:vAlign w:val="center"/>
          </w:tcPr>
          <w:p>
            <w:pPr>
              <w:pStyle w:val="13"/>
            </w:pPr>
            <w:r>
              <w:t>通过项目实施，提升城镇化率</w:t>
            </w:r>
          </w:p>
        </w:tc>
        <w:tc>
          <w:tcPr>
            <w:tcW w:w="1804" w:type="dxa"/>
            <w:vAlign w:val="center"/>
          </w:tcPr>
          <w:p>
            <w:pPr>
              <w:pStyle w:val="13"/>
            </w:pPr>
            <w:r>
              <w:t>≥7个村</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成果应用效果</w:t>
            </w:r>
          </w:p>
        </w:tc>
        <w:tc>
          <w:tcPr>
            <w:tcW w:w="5386" w:type="dxa"/>
            <w:vAlign w:val="center"/>
          </w:tcPr>
          <w:p>
            <w:pPr>
              <w:pStyle w:val="13"/>
            </w:pPr>
            <w:r>
              <w:t>成果应用效果</w:t>
            </w:r>
          </w:p>
        </w:tc>
        <w:tc>
          <w:tcPr>
            <w:tcW w:w="1804" w:type="dxa"/>
            <w:vAlign w:val="center"/>
          </w:tcPr>
          <w:p>
            <w:pPr>
              <w:pStyle w:val="13"/>
            </w:pPr>
            <w:r>
              <w:t>≥90%</w:t>
            </w:r>
          </w:p>
        </w:tc>
        <w:tc>
          <w:tcPr>
            <w:tcW w:w="1740"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调查中满意和较满意的公众人数占全部调查人数的比率</w:t>
            </w:r>
          </w:p>
        </w:tc>
        <w:tc>
          <w:tcPr>
            <w:tcW w:w="1804" w:type="dxa"/>
            <w:vAlign w:val="center"/>
          </w:tcPr>
          <w:p>
            <w:pPr>
              <w:pStyle w:val="13"/>
            </w:pPr>
            <w:r>
              <w:t>≥90%</w:t>
            </w:r>
          </w:p>
        </w:tc>
        <w:tc>
          <w:tcPr>
            <w:tcW w:w="1740"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13032124P00000210031G</w:t>
            </w:r>
          </w:p>
        </w:tc>
        <w:tc>
          <w:tcPr>
            <w:tcW w:w="2835" w:type="dxa"/>
            <w:vAlign w:val="center"/>
          </w:tcPr>
          <w:p>
            <w:pPr>
              <w:pStyle w:val="11"/>
            </w:pPr>
            <w:r>
              <w:t>项目名称</w:t>
            </w:r>
          </w:p>
        </w:tc>
        <w:tc>
          <w:tcPr>
            <w:tcW w:w="6095" w:type="dxa"/>
            <w:gridSpan w:val="3"/>
            <w:vAlign w:val="center"/>
          </w:tcPr>
          <w:p>
            <w:pPr>
              <w:pStyle w:val="13"/>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132.04</w:t>
            </w:r>
          </w:p>
        </w:tc>
        <w:tc>
          <w:tcPr>
            <w:tcW w:w="2835" w:type="dxa"/>
            <w:vAlign w:val="center"/>
          </w:tcPr>
          <w:p>
            <w:pPr>
              <w:pStyle w:val="11"/>
            </w:pPr>
            <w:r>
              <w:t>其中：财政    资金</w:t>
            </w:r>
          </w:p>
        </w:tc>
        <w:tc>
          <w:tcPr>
            <w:tcW w:w="2551" w:type="dxa"/>
            <w:vAlign w:val="center"/>
          </w:tcPr>
          <w:p>
            <w:pPr>
              <w:pStyle w:val="13"/>
            </w:pPr>
            <w:r>
              <w:t>132.04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预算资金132.039万元，其中：财政资金132.039万元。主要用于村干部基础职务补贴。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35.00</w:t>
            </w:r>
          </w:p>
        </w:tc>
        <w:tc>
          <w:tcPr>
            <w:tcW w:w="2835" w:type="dxa"/>
            <w:vAlign w:val="center"/>
          </w:tcPr>
          <w:p>
            <w:pPr>
              <w:pStyle w:val="14"/>
            </w:pPr>
            <w:r>
              <w:t>70.00</w:t>
            </w:r>
          </w:p>
        </w:tc>
        <w:tc>
          <w:tcPr>
            <w:tcW w:w="2551" w:type="dxa"/>
            <w:vAlign w:val="center"/>
          </w:tcPr>
          <w:p>
            <w:pPr>
              <w:pStyle w:val="14"/>
            </w:pPr>
            <w:r>
              <w:t>105.00</w:t>
            </w:r>
          </w:p>
        </w:tc>
        <w:tc>
          <w:tcPr>
            <w:tcW w:w="3544" w:type="dxa"/>
            <w:gridSpan w:val="2"/>
            <w:vAlign w:val="center"/>
          </w:tcPr>
          <w:p>
            <w:pPr>
              <w:pStyle w:val="14"/>
            </w:pPr>
            <w:r>
              <w:t>132.04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1.通过及时发放村干部基础职务补贴，为农村干部工作生活提供保障。</w:t>
            </w:r>
          </w:p>
          <w:p>
            <w:pPr>
              <w:pStyle w:val="13"/>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27" w:type="dxa"/>
            <w:vAlign w:val="center"/>
          </w:tcPr>
          <w:p>
            <w:pPr>
              <w:pStyle w:val="11"/>
            </w:pPr>
            <w:r>
              <w:t>指标值</w:t>
            </w:r>
          </w:p>
        </w:tc>
        <w:tc>
          <w:tcPr>
            <w:tcW w:w="171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w:t>
            </w:r>
          </w:p>
        </w:tc>
        <w:tc>
          <w:tcPr>
            <w:tcW w:w="5386" w:type="dxa"/>
            <w:vAlign w:val="center"/>
          </w:tcPr>
          <w:p>
            <w:pPr>
              <w:pStyle w:val="13"/>
            </w:pPr>
            <w:r>
              <w:t>反映发放村干部基础职务补贴的村数</w:t>
            </w:r>
          </w:p>
        </w:tc>
        <w:tc>
          <w:tcPr>
            <w:tcW w:w="1827" w:type="dxa"/>
            <w:vAlign w:val="center"/>
          </w:tcPr>
          <w:p>
            <w:pPr>
              <w:pStyle w:val="13"/>
            </w:pPr>
            <w:r>
              <w:t>35个</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反映村干部考核次数</w:t>
            </w:r>
          </w:p>
        </w:tc>
        <w:tc>
          <w:tcPr>
            <w:tcW w:w="1827" w:type="dxa"/>
            <w:vAlign w:val="center"/>
          </w:tcPr>
          <w:p>
            <w:pPr>
              <w:pStyle w:val="13"/>
            </w:pPr>
            <w:r>
              <w:t>≥1次</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村干部人数</w:t>
            </w:r>
          </w:p>
        </w:tc>
        <w:tc>
          <w:tcPr>
            <w:tcW w:w="5386" w:type="dxa"/>
            <w:vAlign w:val="center"/>
          </w:tcPr>
          <w:p>
            <w:pPr>
              <w:pStyle w:val="13"/>
            </w:pPr>
            <w:r>
              <w:t>反映村干部人数</w:t>
            </w:r>
          </w:p>
        </w:tc>
        <w:tc>
          <w:tcPr>
            <w:tcW w:w="1827" w:type="dxa"/>
            <w:vAlign w:val="center"/>
          </w:tcPr>
          <w:p>
            <w:pPr>
              <w:pStyle w:val="13"/>
            </w:pPr>
            <w:r>
              <w:t>194人</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按村干部职务分工发放工资比率</w:t>
            </w:r>
          </w:p>
        </w:tc>
        <w:tc>
          <w:tcPr>
            <w:tcW w:w="5386" w:type="dxa"/>
            <w:vAlign w:val="center"/>
          </w:tcPr>
          <w:p>
            <w:pPr>
              <w:pStyle w:val="13"/>
            </w:pPr>
            <w:r>
              <w:t>反映村干部岗位分工情况</w:t>
            </w:r>
          </w:p>
        </w:tc>
        <w:tc>
          <w:tcPr>
            <w:tcW w:w="1827" w:type="dxa"/>
            <w:vAlign w:val="center"/>
          </w:tcPr>
          <w:p>
            <w:pPr>
              <w:pStyle w:val="13"/>
            </w:pPr>
            <w:r>
              <w:t>≥95%</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村干部考核合格率</w:t>
            </w:r>
          </w:p>
        </w:tc>
        <w:tc>
          <w:tcPr>
            <w:tcW w:w="5386" w:type="dxa"/>
            <w:vAlign w:val="center"/>
          </w:tcPr>
          <w:p>
            <w:pPr>
              <w:pStyle w:val="13"/>
            </w:pPr>
            <w:r>
              <w:t>合格村干部占总村干部比例</w:t>
            </w:r>
          </w:p>
        </w:tc>
        <w:tc>
          <w:tcPr>
            <w:tcW w:w="1827" w:type="dxa"/>
            <w:vAlign w:val="center"/>
          </w:tcPr>
          <w:p>
            <w:pPr>
              <w:pStyle w:val="13"/>
            </w:pPr>
            <w:r>
              <w:t>≥90%</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按月发放村干部工资比率</w:t>
            </w:r>
          </w:p>
        </w:tc>
        <w:tc>
          <w:tcPr>
            <w:tcW w:w="5386" w:type="dxa"/>
            <w:vAlign w:val="center"/>
          </w:tcPr>
          <w:p>
            <w:pPr>
              <w:pStyle w:val="13"/>
            </w:pPr>
            <w:r>
              <w:t>反映村干部工资发放情况</w:t>
            </w:r>
          </w:p>
        </w:tc>
        <w:tc>
          <w:tcPr>
            <w:tcW w:w="1827" w:type="dxa"/>
            <w:vAlign w:val="center"/>
          </w:tcPr>
          <w:p>
            <w:pPr>
              <w:pStyle w:val="13"/>
            </w:pPr>
            <w:r>
              <w:t>100%</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村书记主任补贴标准</w:t>
            </w:r>
          </w:p>
        </w:tc>
        <w:tc>
          <w:tcPr>
            <w:tcW w:w="5386" w:type="dxa"/>
            <w:vAlign w:val="center"/>
          </w:tcPr>
          <w:p>
            <w:pPr>
              <w:pStyle w:val="13"/>
            </w:pPr>
            <w:r>
              <w:t>反映村书记主任一肩挑人均补贴标准</w:t>
            </w:r>
          </w:p>
        </w:tc>
        <w:tc>
          <w:tcPr>
            <w:tcW w:w="1827" w:type="dxa"/>
            <w:vAlign w:val="center"/>
          </w:tcPr>
          <w:p>
            <w:pPr>
              <w:pStyle w:val="13"/>
            </w:pPr>
            <w:r>
              <w:t>36000元</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其他人员补贴标准</w:t>
            </w:r>
          </w:p>
        </w:tc>
        <w:tc>
          <w:tcPr>
            <w:tcW w:w="5386" w:type="dxa"/>
            <w:vAlign w:val="center"/>
          </w:tcPr>
          <w:p>
            <w:pPr>
              <w:pStyle w:val="13"/>
            </w:pPr>
            <w:r>
              <w:t>反映其他村两委干部人均补贴标准</w:t>
            </w:r>
          </w:p>
        </w:tc>
        <w:tc>
          <w:tcPr>
            <w:tcW w:w="1827" w:type="dxa"/>
            <w:vAlign w:val="center"/>
          </w:tcPr>
          <w:p>
            <w:pPr>
              <w:pStyle w:val="13"/>
            </w:pPr>
            <w:r>
              <w:t>≥12000元</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促进村干部队伍稳定</w:t>
            </w:r>
          </w:p>
        </w:tc>
        <w:tc>
          <w:tcPr>
            <w:tcW w:w="5386" w:type="dxa"/>
            <w:vAlign w:val="center"/>
          </w:tcPr>
          <w:p>
            <w:pPr>
              <w:pStyle w:val="13"/>
            </w:pPr>
            <w:r>
              <w:t>为村干部生活工作提供保障，确保村干部队伍稳定</w:t>
            </w:r>
          </w:p>
        </w:tc>
        <w:tc>
          <w:tcPr>
            <w:tcW w:w="1827" w:type="dxa"/>
            <w:vAlign w:val="center"/>
          </w:tcPr>
          <w:p>
            <w:pPr>
              <w:pStyle w:val="13"/>
            </w:pPr>
            <w:r>
              <w:t>≥95%</w:t>
            </w:r>
          </w:p>
        </w:tc>
        <w:tc>
          <w:tcPr>
            <w:tcW w:w="171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调查中村干部满意和较满意的数量占调查总人数的比率</w:t>
            </w:r>
          </w:p>
        </w:tc>
        <w:tc>
          <w:tcPr>
            <w:tcW w:w="1827" w:type="dxa"/>
            <w:vAlign w:val="center"/>
          </w:tcPr>
          <w:p>
            <w:pPr>
              <w:pStyle w:val="13"/>
            </w:pPr>
            <w:r>
              <w:t>≥90%</w:t>
            </w:r>
          </w:p>
        </w:tc>
        <w:tc>
          <w:tcPr>
            <w:tcW w:w="1717"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13032124P000006100317</w:t>
            </w:r>
          </w:p>
        </w:tc>
        <w:tc>
          <w:tcPr>
            <w:tcW w:w="2835" w:type="dxa"/>
            <w:vAlign w:val="center"/>
          </w:tcPr>
          <w:p>
            <w:pPr>
              <w:pStyle w:val="11"/>
            </w:pPr>
            <w:r>
              <w:t>项目名称</w:t>
            </w:r>
          </w:p>
        </w:tc>
        <w:tc>
          <w:tcPr>
            <w:tcW w:w="6095" w:type="dxa"/>
            <w:gridSpan w:val="3"/>
            <w:vAlign w:val="center"/>
          </w:tcPr>
          <w:p>
            <w:pPr>
              <w:pStyle w:val="13"/>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预算资金35万元，其中：财政资金35万元。主要用于村级组织服务群众专项支出。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25.00</w:t>
            </w:r>
          </w:p>
        </w:tc>
        <w:tc>
          <w:tcPr>
            <w:tcW w:w="3544" w:type="dxa"/>
            <w:gridSpan w:val="2"/>
            <w:vAlign w:val="center"/>
          </w:tcPr>
          <w:p>
            <w:pPr>
              <w:pStyle w:val="14"/>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1.通过开展服务群众工作，为村综合服务站日常运转、公共设施维护等提供保障，为群众提供便捷优质生产生活条件。</w:t>
            </w:r>
          </w:p>
          <w:p>
            <w:pPr>
              <w:pStyle w:val="13"/>
            </w:pPr>
            <w:r>
              <w:t>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2"/>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92" w:type="dxa"/>
            <w:vAlign w:val="center"/>
          </w:tcPr>
          <w:p>
            <w:pPr>
              <w:pStyle w:val="11"/>
            </w:pPr>
            <w:r>
              <w:t>指标值</w:t>
            </w:r>
          </w:p>
        </w:tc>
        <w:tc>
          <w:tcPr>
            <w:tcW w:w="175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村综合服务站数量</w:t>
            </w:r>
          </w:p>
        </w:tc>
        <w:tc>
          <w:tcPr>
            <w:tcW w:w="5386" w:type="dxa"/>
            <w:vAlign w:val="center"/>
          </w:tcPr>
          <w:p>
            <w:pPr>
              <w:pStyle w:val="13"/>
            </w:pPr>
            <w:r>
              <w:t>反映服务群众的村综合服务站的数量</w:t>
            </w:r>
          </w:p>
        </w:tc>
        <w:tc>
          <w:tcPr>
            <w:tcW w:w="1792" w:type="dxa"/>
            <w:vAlign w:val="center"/>
          </w:tcPr>
          <w:p>
            <w:pPr>
              <w:pStyle w:val="13"/>
            </w:pPr>
            <w:r>
              <w:t>35个</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村级组织工作完成率</w:t>
            </w:r>
          </w:p>
        </w:tc>
        <w:tc>
          <w:tcPr>
            <w:tcW w:w="5386" w:type="dxa"/>
            <w:vAlign w:val="center"/>
          </w:tcPr>
          <w:p>
            <w:pPr>
              <w:pStyle w:val="13"/>
            </w:pPr>
            <w:r>
              <w:t>反映村级组织工作建设及服务完成情况</w:t>
            </w:r>
          </w:p>
        </w:tc>
        <w:tc>
          <w:tcPr>
            <w:tcW w:w="1792" w:type="dxa"/>
            <w:vAlign w:val="center"/>
          </w:tcPr>
          <w:p>
            <w:pPr>
              <w:pStyle w:val="13"/>
            </w:pPr>
            <w:r>
              <w:t>≥95%</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拨付服务群众专项经费率</w:t>
            </w:r>
          </w:p>
        </w:tc>
        <w:tc>
          <w:tcPr>
            <w:tcW w:w="5386" w:type="dxa"/>
            <w:vAlign w:val="center"/>
          </w:tcPr>
          <w:p>
            <w:pPr>
              <w:pStyle w:val="13"/>
            </w:pPr>
            <w:r>
              <w:t>反映拨付服务群众专项经费村数占总数比例</w:t>
            </w:r>
          </w:p>
        </w:tc>
        <w:tc>
          <w:tcPr>
            <w:tcW w:w="1792" w:type="dxa"/>
            <w:vAlign w:val="center"/>
          </w:tcPr>
          <w:p>
            <w:pPr>
              <w:pStyle w:val="13"/>
            </w:pPr>
            <w:r>
              <w:t>100%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服务群众经费使用率</w:t>
            </w:r>
          </w:p>
        </w:tc>
        <w:tc>
          <w:tcPr>
            <w:tcW w:w="5386" w:type="dxa"/>
            <w:vAlign w:val="center"/>
          </w:tcPr>
          <w:p>
            <w:pPr>
              <w:pStyle w:val="13"/>
            </w:pPr>
            <w:r>
              <w:t>反映服务群众经费使用得当，农村群众生产生活条件改善提高，社会环境安全稳定</w:t>
            </w:r>
          </w:p>
        </w:tc>
        <w:tc>
          <w:tcPr>
            <w:tcW w:w="1792" w:type="dxa"/>
            <w:vAlign w:val="center"/>
          </w:tcPr>
          <w:p>
            <w:pPr>
              <w:pStyle w:val="13"/>
            </w:pPr>
            <w:r>
              <w:t>≥90%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村级组织开展服务群众完成率</w:t>
            </w:r>
          </w:p>
        </w:tc>
        <w:tc>
          <w:tcPr>
            <w:tcW w:w="5386" w:type="dxa"/>
            <w:vAlign w:val="center"/>
          </w:tcPr>
          <w:p>
            <w:pPr>
              <w:pStyle w:val="13"/>
            </w:pPr>
            <w:r>
              <w:t>反映村级组织开展服务群众具体情况如：村内清运垃圾、公共卫生防疫等等</w:t>
            </w:r>
          </w:p>
        </w:tc>
        <w:tc>
          <w:tcPr>
            <w:tcW w:w="1792" w:type="dxa"/>
            <w:vAlign w:val="center"/>
          </w:tcPr>
          <w:p>
            <w:pPr>
              <w:pStyle w:val="13"/>
            </w:pPr>
            <w:r>
              <w:t>≥90%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村民服务提供及时率</w:t>
            </w:r>
          </w:p>
        </w:tc>
        <w:tc>
          <w:tcPr>
            <w:tcW w:w="5386" w:type="dxa"/>
            <w:vAlign w:val="center"/>
          </w:tcPr>
          <w:p>
            <w:pPr>
              <w:pStyle w:val="13"/>
            </w:pPr>
            <w:r>
              <w:t>反映为村民群众提供各项服务的及时性</w:t>
            </w:r>
          </w:p>
        </w:tc>
        <w:tc>
          <w:tcPr>
            <w:tcW w:w="1792" w:type="dxa"/>
            <w:vAlign w:val="center"/>
          </w:tcPr>
          <w:p>
            <w:pPr>
              <w:pStyle w:val="13"/>
            </w:pPr>
            <w:r>
              <w:t>≥95%</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服务群众专项经费拨付标准</w:t>
            </w:r>
          </w:p>
        </w:tc>
        <w:tc>
          <w:tcPr>
            <w:tcW w:w="5386" w:type="dxa"/>
            <w:vAlign w:val="center"/>
          </w:tcPr>
          <w:p>
            <w:pPr>
              <w:pStyle w:val="13"/>
            </w:pPr>
            <w:r>
              <w:t>反映每个村服务群众专项经费支出成本</w:t>
            </w:r>
          </w:p>
        </w:tc>
        <w:tc>
          <w:tcPr>
            <w:tcW w:w="1792" w:type="dxa"/>
            <w:vAlign w:val="center"/>
          </w:tcPr>
          <w:p>
            <w:pPr>
              <w:pStyle w:val="13"/>
            </w:pPr>
            <w:r>
              <w:t>≤2万元</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垃圾清运成本</w:t>
            </w:r>
          </w:p>
        </w:tc>
        <w:tc>
          <w:tcPr>
            <w:tcW w:w="5386" w:type="dxa"/>
            <w:vAlign w:val="center"/>
          </w:tcPr>
          <w:p>
            <w:pPr>
              <w:pStyle w:val="13"/>
            </w:pPr>
            <w:r>
              <w:t>反映每个村垃圾清运支出成本</w:t>
            </w:r>
          </w:p>
        </w:tc>
        <w:tc>
          <w:tcPr>
            <w:tcW w:w="1792" w:type="dxa"/>
            <w:vAlign w:val="center"/>
          </w:tcPr>
          <w:p>
            <w:pPr>
              <w:pStyle w:val="13"/>
            </w:pPr>
            <w:r>
              <w:t>≤3万元</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村民生活环境改善率</w:t>
            </w:r>
          </w:p>
        </w:tc>
        <w:tc>
          <w:tcPr>
            <w:tcW w:w="5386" w:type="dxa"/>
            <w:vAlign w:val="center"/>
          </w:tcPr>
          <w:p>
            <w:pPr>
              <w:pStyle w:val="13"/>
            </w:pPr>
            <w:r>
              <w:t>反映各村垃圾清运改善生活环境</w:t>
            </w:r>
          </w:p>
        </w:tc>
        <w:tc>
          <w:tcPr>
            <w:tcW w:w="1792" w:type="dxa"/>
            <w:vAlign w:val="center"/>
          </w:tcPr>
          <w:p>
            <w:pPr>
              <w:pStyle w:val="13"/>
            </w:pPr>
            <w:r>
              <w:t>≥90%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1792" w:type="dxa"/>
            <w:vAlign w:val="center"/>
          </w:tcPr>
          <w:p>
            <w:pPr>
              <w:pStyle w:val="13"/>
            </w:pPr>
            <w:r>
              <w:t>≥95</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农村群众对村级组织开展工作、服务群众满意率</w:t>
            </w:r>
          </w:p>
        </w:tc>
        <w:tc>
          <w:tcPr>
            <w:tcW w:w="1792" w:type="dxa"/>
            <w:vAlign w:val="center"/>
          </w:tcPr>
          <w:p>
            <w:pPr>
              <w:pStyle w:val="13"/>
            </w:pPr>
            <w:r>
              <w:t>≥90%</w:t>
            </w:r>
          </w:p>
        </w:tc>
        <w:tc>
          <w:tcPr>
            <w:tcW w:w="1752"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13032125P00330610022C</w:t>
            </w:r>
          </w:p>
        </w:tc>
        <w:tc>
          <w:tcPr>
            <w:tcW w:w="2835" w:type="dxa"/>
            <w:vAlign w:val="center"/>
          </w:tcPr>
          <w:p>
            <w:pPr>
              <w:pStyle w:val="11"/>
            </w:pPr>
            <w:r>
              <w:t>项目名称</w:t>
            </w:r>
          </w:p>
        </w:tc>
        <w:tc>
          <w:tcPr>
            <w:tcW w:w="6095" w:type="dxa"/>
            <w:gridSpan w:val="3"/>
            <w:vAlign w:val="center"/>
          </w:tcPr>
          <w:p>
            <w:pPr>
              <w:pStyle w:val="13"/>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预算资金10万元，其中：财政资金10万元。主要用于防火防汛宣传，防火期野外巡查，汛期河道治理等支出。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1.通过开展巡视巡查整治工作，及时消除防汛安全隐患，确保辖区内河道行洪通畅。</w:t>
            </w:r>
          </w:p>
          <w:p>
            <w:pPr>
              <w:pStyle w:val="13"/>
            </w:pPr>
            <w:r>
              <w:t>2.通过扎实开展日常防火工作，广泛宣传，全天候巡查，加强防火扑救物资的储备，有效防范和遏制森林火灾的发生。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73"/>
        <w:gridCol w:w="1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73" w:type="dxa"/>
            <w:vAlign w:val="center"/>
          </w:tcPr>
          <w:p>
            <w:pPr>
              <w:pStyle w:val="11"/>
            </w:pPr>
            <w:r>
              <w:t>指标值</w:t>
            </w:r>
          </w:p>
        </w:tc>
        <w:tc>
          <w:tcPr>
            <w:tcW w:w="167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日常巡查次数(次)</w:t>
            </w:r>
          </w:p>
        </w:tc>
        <w:tc>
          <w:tcPr>
            <w:tcW w:w="5386" w:type="dxa"/>
            <w:vAlign w:val="center"/>
          </w:tcPr>
          <w:p>
            <w:pPr>
              <w:pStyle w:val="13"/>
            </w:pPr>
            <w:r>
              <w:t>当年实际日常巡查次数</w:t>
            </w:r>
          </w:p>
        </w:tc>
        <w:tc>
          <w:tcPr>
            <w:tcW w:w="1873" w:type="dxa"/>
            <w:vAlign w:val="center"/>
          </w:tcPr>
          <w:p>
            <w:pPr>
              <w:pStyle w:val="13"/>
            </w:pPr>
            <w:r>
              <w:t>≥200次</w:t>
            </w:r>
          </w:p>
        </w:tc>
        <w:tc>
          <w:tcPr>
            <w:tcW w:w="1671"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日常巡查覆盖率</w:t>
            </w:r>
          </w:p>
        </w:tc>
        <w:tc>
          <w:tcPr>
            <w:tcW w:w="5386" w:type="dxa"/>
            <w:vAlign w:val="center"/>
          </w:tcPr>
          <w:p>
            <w:pPr>
              <w:pStyle w:val="13"/>
            </w:pPr>
            <w:r>
              <w:t>反应巡查范围为整个镇区。</w:t>
            </w:r>
          </w:p>
        </w:tc>
        <w:tc>
          <w:tcPr>
            <w:tcW w:w="1873" w:type="dxa"/>
            <w:vAlign w:val="center"/>
          </w:tcPr>
          <w:p>
            <w:pPr>
              <w:pStyle w:val="13"/>
            </w:pPr>
            <w:r>
              <w:t>≥95%</w:t>
            </w:r>
          </w:p>
        </w:tc>
        <w:tc>
          <w:tcPr>
            <w:tcW w:w="1671"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确保河道畅通</w:t>
            </w:r>
          </w:p>
        </w:tc>
        <w:tc>
          <w:tcPr>
            <w:tcW w:w="5386" w:type="dxa"/>
            <w:vAlign w:val="center"/>
          </w:tcPr>
          <w:p>
            <w:pPr>
              <w:pStyle w:val="13"/>
            </w:pPr>
            <w:r>
              <w:t>反映汛期河道通畅率</w:t>
            </w:r>
          </w:p>
        </w:tc>
        <w:tc>
          <w:tcPr>
            <w:tcW w:w="1873" w:type="dxa"/>
            <w:vAlign w:val="center"/>
          </w:tcPr>
          <w:p>
            <w:pPr>
              <w:pStyle w:val="13"/>
            </w:pPr>
            <w:r>
              <w:t>100%</w:t>
            </w:r>
          </w:p>
        </w:tc>
        <w:tc>
          <w:tcPr>
            <w:tcW w:w="1671" w:type="dxa"/>
            <w:vAlign w:val="center"/>
          </w:tcPr>
          <w:p>
            <w:pPr>
              <w:pStyle w:val="13"/>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巡查完成时间</w:t>
            </w:r>
          </w:p>
        </w:tc>
        <w:tc>
          <w:tcPr>
            <w:tcW w:w="5386" w:type="dxa"/>
            <w:vAlign w:val="center"/>
          </w:tcPr>
          <w:p>
            <w:pPr>
              <w:pStyle w:val="13"/>
            </w:pPr>
            <w:r>
              <w:t>反应防火防汛完成时间</w:t>
            </w:r>
          </w:p>
        </w:tc>
        <w:tc>
          <w:tcPr>
            <w:tcW w:w="1873" w:type="dxa"/>
            <w:vAlign w:val="center"/>
          </w:tcPr>
          <w:p>
            <w:pPr>
              <w:pStyle w:val="13"/>
            </w:pPr>
            <w:r>
              <w:t>全年持续</w:t>
            </w:r>
          </w:p>
        </w:tc>
        <w:tc>
          <w:tcPr>
            <w:tcW w:w="167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抢险物资支出</w:t>
            </w:r>
          </w:p>
        </w:tc>
        <w:tc>
          <w:tcPr>
            <w:tcW w:w="5386" w:type="dxa"/>
            <w:vAlign w:val="center"/>
          </w:tcPr>
          <w:p>
            <w:pPr>
              <w:pStyle w:val="13"/>
            </w:pPr>
            <w:r>
              <w:t>反应防火防汛储备的抢险物资</w:t>
            </w:r>
          </w:p>
        </w:tc>
        <w:tc>
          <w:tcPr>
            <w:tcW w:w="1873" w:type="dxa"/>
            <w:vAlign w:val="center"/>
          </w:tcPr>
          <w:p>
            <w:pPr>
              <w:pStyle w:val="13"/>
            </w:pPr>
            <w:r>
              <w:t>≤4万元</w:t>
            </w:r>
          </w:p>
        </w:tc>
        <w:tc>
          <w:tcPr>
            <w:tcW w:w="167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办公费用支出</w:t>
            </w:r>
          </w:p>
        </w:tc>
        <w:tc>
          <w:tcPr>
            <w:tcW w:w="5386" w:type="dxa"/>
            <w:vAlign w:val="center"/>
          </w:tcPr>
          <w:p>
            <w:pPr>
              <w:pStyle w:val="13"/>
            </w:pPr>
            <w:r>
              <w:t>反应用于防火防汛的宣传单等办公费</w:t>
            </w:r>
          </w:p>
        </w:tc>
        <w:tc>
          <w:tcPr>
            <w:tcW w:w="1873" w:type="dxa"/>
            <w:vAlign w:val="center"/>
          </w:tcPr>
          <w:p>
            <w:pPr>
              <w:pStyle w:val="13"/>
            </w:pPr>
            <w:r>
              <w:t>≤6万元</w:t>
            </w:r>
          </w:p>
        </w:tc>
        <w:tc>
          <w:tcPr>
            <w:tcW w:w="167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降低火灾对环境的破坏</w:t>
            </w:r>
          </w:p>
        </w:tc>
        <w:tc>
          <w:tcPr>
            <w:tcW w:w="5386" w:type="dxa"/>
            <w:vAlign w:val="center"/>
          </w:tcPr>
          <w:p>
            <w:pPr>
              <w:pStyle w:val="13"/>
            </w:pPr>
            <w:r>
              <w:t>反映降低火灾对环境破坏的比率</w:t>
            </w:r>
          </w:p>
        </w:tc>
        <w:tc>
          <w:tcPr>
            <w:tcW w:w="1873" w:type="dxa"/>
            <w:vAlign w:val="center"/>
          </w:tcPr>
          <w:p>
            <w:pPr>
              <w:pStyle w:val="13"/>
            </w:pPr>
            <w:r>
              <w:t>≥30%</w:t>
            </w:r>
          </w:p>
        </w:tc>
        <w:tc>
          <w:tcPr>
            <w:tcW w:w="167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森林火灾受害率(％)</w:t>
            </w:r>
          </w:p>
        </w:tc>
        <w:tc>
          <w:tcPr>
            <w:tcW w:w="5386" w:type="dxa"/>
            <w:vAlign w:val="center"/>
          </w:tcPr>
          <w:p>
            <w:pPr>
              <w:pStyle w:val="13"/>
            </w:pPr>
            <w:r>
              <w:t>全镇森林火灾发生面积占森林总面积的比例</w:t>
            </w:r>
          </w:p>
        </w:tc>
        <w:tc>
          <w:tcPr>
            <w:tcW w:w="1873" w:type="dxa"/>
            <w:vAlign w:val="center"/>
          </w:tcPr>
          <w:p>
            <w:pPr>
              <w:pStyle w:val="13"/>
            </w:pPr>
            <w:r>
              <w:t>≤0.01%</w:t>
            </w:r>
          </w:p>
        </w:tc>
        <w:tc>
          <w:tcPr>
            <w:tcW w:w="167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群众对防火防汛工作满意度</w:t>
            </w:r>
          </w:p>
        </w:tc>
        <w:tc>
          <w:tcPr>
            <w:tcW w:w="1873" w:type="dxa"/>
            <w:vAlign w:val="center"/>
          </w:tcPr>
          <w:p>
            <w:pPr>
              <w:pStyle w:val="13"/>
            </w:pPr>
            <w:r>
              <w:t>≥95%</w:t>
            </w:r>
          </w:p>
        </w:tc>
        <w:tc>
          <w:tcPr>
            <w:tcW w:w="1671"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13、荒山沟地租绩效目标表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13032125P00011510031Y</w:t>
            </w:r>
          </w:p>
        </w:tc>
        <w:tc>
          <w:tcPr>
            <w:tcW w:w="2835" w:type="dxa"/>
            <w:vAlign w:val="center"/>
          </w:tcPr>
          <w:p>
            <w:pPr>
              <w:pStyle w:val="11"/>
            </w:pPr>
            <w:r>
              <w:t>项目名称</w:t>
            </w:r>
          </w:p>
        </w:tc>
        <w:tc>
          <w:tcPr>
            <w:tcW w:w="6095" w:type="dxa"/>
            <w:gridSpan w:val="3"/>
            <w:vAlign w:val="center"/>
          </w:tcPr>
          <w:p>
            <w:pPr>
              <w:pStyle w:val="13"/>
            </w:pPr>
            <w:r>
              <w:t>荒山沟地租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201.00</w:t>
            </w:r>
          </w:p>
        </w:tc>
        <w:tc>
          <w:tcPr>
            <w:tcW w:w="2835" w:type="dxa"/>
            <w:vAlign w:val="center"/>
          </w:tcPr>
          <w:p>
            <w:pPr>
              <w:pStyle w:val="11"/>
            </w:pPr>
            <w:r>
              <w:t>其中：财政    资金</w:t>
            </w:r>
          </w:p>
        </w:tc>
        <w:tc>
          <w:tcPr>
            <w:tcW w:w="2551" w:type="dxa"/>
            <w:vAlign w:val="center"/>
          </w:tcPr>
          <w:p>
            <w:pPr>
              <w:pStyle w:val="13"/>
            </w:pPr>
            <w:r>
              <w:t>201.00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预算资金201万元，其中：财政资金201万元。主要用于补偿农民土地租金支出。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1.通过支付地租，集中用地，改变农业生产经营方式。</w:t>
            </w:r>
          </w:p>
          <w:p>
            <w:pPr>
              <w:pStyle w:val="13"/>
            </w:pPr>
            <w:r>
              <w:t>2.推动农业发展，改善农村条件，增加农民收入。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67"/>
        <w:gridCol w:w="5342"/>
        <w:gridCol w:w="2435"/>
        <w:gridCol w:w="1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467" w:type="dxa"/>
            <w:vAlign w:val="center"/>
          </w:tcPr>
          <w:p>
            <w:pPr>
              <w:pStyle w:val="11"/>
            </w:pPr>
            <w:r>
              <w:t>三级指标</w:t>
            </w:r>
          </w:p>
        </w:tc>
        <w:tc>
          <w:tcPr>
            <w:tcW w:w="5342" w:type="dxa"/>
            <w:vAlign w:val="center"/>
          </w:tcPr>
          <w:p>
            <w:pPr>
              <w:pStyle w:val="11"/>
            </w:pPr>
            <w:r>
              <w:t>绩效指标描述</w:t>
            </w:r>
          </w:p>
        </w:tc>
        <w:tc>
          <w:tcPr>
            <w:tcW w:w="2435" w:type="dxa"/>
            <w:vAlign w:val="center"/>
          </w:tcPr>
          <w:p>
            <w:pPr>
              <w:pStyle w:val="11"/>
            </w:pPr>
            <w:r>
              <w:t>指标值</w:t>
            </w:r>
          </w:p>
        </w:tc>
        <w:tc>
          <w:tcPr>
            <w:tcW w:w="15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467" w:type="dxa"/>
            <w:vAlign w:val="center"/>
          </w:tcPr>
          <w:p>
            <w:pPr>
              <w:pStyle w:val="13"/>
            </w:pPr>
            <w:r>
              <w:t>支付租金面积数</w:t>
            </w:r>
          </w:p>
        </w:tc>
        <w:tc>
          <w:tcPr>
            <w:tcW w:w="5342" w:type="dxa"/>
            <w:vAlign w:val="center"/>
          </w:tcPr>
          <w:p>
            <w:pPr>
              <w:pStyle w:val="13"/>
            </w:pPr>
            <w:r>
              <w:t>支出中宏三融及北部土地租金面积数量</w:t>
            </w:r>
          </w:p>
        </w:tc>
        <w:tc>
          <w:tcPr>
            <w:tcW w:w="2435" w:type="dxa"/>
            <w:vAlign w:val="center"/>
          </w:tcPr>
          <w:p>
            <w:pPr>
              <w:pStyle w:val="13"/>
            </w:pPr>
            <w:r>
              <w:t>≥1000亩</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467" w:type="dxa"/>
            <w:vAlign w:val="center"/>
          </w:tcPr>
          <w:p>
            <w:pPr>
              <w:pStyle w:val="13"/>
            </w:pPr>
            <w:r>
              <w:t>租用土地有效利用率</w:t>
            </w:r>
          </w:p>
        </w:tc>
        <w:tc>
          <w:tcPr>
            <w:tcW w:w="5342" w:type="dxa"/>
            <w:vAlign w:val="center"/>
          </w:tcPr>
          <w:p>
            <w:pPr>
              <w:pStyle w:val="13"/>
            </w:pPr>
            <w:r>
              <w:t>中宏三融及北部租用土地利用有效性</w:t>
            </w:r>
          </w:p>
        </w:tc>
        <w:tc>
          <w:tcPr>
            <w:tcW w:w="2435" w:type="dxa"/>
            <w:vAlign w:val="center"/>
          </w:tcPr>
          <w:p>
            <w:pPr>
              <w:pStyle w:val="13"/>
            </w:pPr>
            <w:r>
              <w:t>≥60%</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467" w:type="dxa"/>
            <w:vAlign w:val="center"/>
          </w:tcPr>
          <w:p>
            <w:pPr>
              <w:pStyle w:val="13"/>
            </w:pPr>
            <w:r>
              <w:t>资金拨付及时性</w:t>
            </w:r>
          </w:p>
        </w:tc>
        <w:tc>
          <w:tcPr>
            <w:tcW w:w="5342" w:type="dxa"/>
            <w:vAlign w:val="center"/>
          </w:tcPr>
          <w:p>
            <w:pPr>
              <w:pStyle w:val="13"/>
            </w:pPr>
            <w:r>
              <w:t>土地租金按合同约定时间及时拨付</w:t>
            </w:r>
          </w:p>
        </w:tc>
        <w:tc>
          <w:tcPr>
            <w:tcW w:w="2435" w:type="dxa"/>
            <w:vAlign w:val="center"/>
          </w:tcPr>
          <w:p>
            <w:pPr>
              <w:pStyle w:val="13"/>
            </w:pPr>
            <w:r>
              <w:t>5月1日前</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67" w:type="dxa"/>
            <w:vAlign w:val="center"/>
          </w:tcPr>
          <w:p>
            <w:pPr>
              <w:pStyle w:val="13"/>
            </w:pPr>
            <w:r>
              <w:t>一类地租金价格</w:t>
            </w:r>
          </w:p>
        </w:tc>
        <w:tc>
          <w:tcPr>
            <w:tcW w:w="5342" w:type="dxa"/>
            <w:vAlign w:val="center"/>
          </w:tcPr>
          <w:p>
            <w:pPr>
              <w:pStyle w:val="13"/>
            </w:pPr>
            <w:r>
              <w:t>土地租金价格根据土地类别及当年大米市场价格折算</w:t>
            </w:r>
          </w:p>
        </w:tc>
        <w:tc>
          <w:tcPr>
            <w:tcW w:w="2435" w:type="dxa"/>
            <w:vAlign w:val="center"/>
          </w:tcPr>
          <w:p>
            <w:pPr>
              <w:pStyle w:val="13"/>
            </w:pPr>
            <w:r>
              <w:t>600斤大米当年市场价</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67" w:type="dxa"/>
            <w:vAlign w:val="center"/>
          </w:tcPr>
          <w:p>
            <w:pPr>
              <w:pStyle w:val="13"/>
            </w:pPr>
            <w:r>
              <w:t>二类地租金价格</w:t>
            </w:r>
          </w:p>
        </w:tc>
        <w:tc>
          <w:tcPr>
            <w:tcW w:w="5342" w:type="dxa"/>
            <w:vAlign w:val="center"/>
          </w:tcPr>
          <w:p>
            <w:pPr>
              <w:pStyle w:val="13"/>
            </w:pPr>
            <w:r>
              <w:t>土地租金价格根据土地类别及当年大米市场价格折算</w:t>
            </w:r>
          </w:p>
        </w:tc>
        <w:tc>
          <w:tcPr>
            <w:tcW w:w="2435" w:type="dxa"/>
            <w:vAlign w:val="center"/>
          </w:tcPr>
          <w:p>
            <w:pPr>
              <w:pStyle w:val="13"/>
            </w:pPr>
            <w:r>
              <w:t>530斤大米当年市场价</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67" w:type="dxa"/>
            <w:vAlign w:val="center"/>
          </w:tcPr>
          <w:p>
            <w:pPr>
              <w:pStyle w:val="13"/>
            </w:pPr>
            <w:r>
              <w:t>三类地租金价格</w:t>
            </w:r>
          </w:p>
        </w:tc>
        <w:tc>
          <w:tcPr>
            <w:tcW w:w="5342" w:type="dxa"/>
            <w:vAlign w:val="center"/>
          </w:tcPr>
          <w:p>
            <w:pPr>
              <w:pStyle w:val="13"/>
            </w:pPr>
            <w:r>
              <w:t>土地租金价格根据土地类别及当年大米市场价格折算</w:t>
            </w:r>
          </w:p>
        </w:tc>
        <w:tc>
          <w:tcPr>
            <w:tcW w:w="2435" w:type="dxa"/>
            <w:vAlign w:val="center"/>
          </w:tcPr>
          <w:p>
            <w:pPr>
              <w:pStyle w:val="13"/>
            </w:pPr>
            <w:r>
              <w:t>460斤大米当年市场价</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467" w:type="dxa"/>
            <w:vAlign w:val="center"/>
          </w:tcPr>
          <w:p>
            <w:pPr>
              <w:pStyle w:val="13"/>
            </w:pPr>
            <w:r>
              <w:t>处理遗留问题办公费用支出</w:t>
            </w:r>
          </w:p>
        </w:tc>
        <w:tc>
          <w:tcPr>
            <w:tcW w:w="5342" w:type="dxa"/>
            <w:vAlign w:val="center"/>
          </w:tcPr>
          <w:p>
            <w:pPr>
              <w:pStyle w:val="13"/>
            </w:pPr>
            <w:r>
              <w:t>用于处理土地出租相关遗留问题及办公用车等费用支出</w:t>
            </w:r>
          </w:p>
        </w:tc>
        <w:tc>
          <w:tcPr>
            <w:tcW w:w="2435" w:type="dxa"/>
            <w:vAlign w:val="center"/>
          </w:tcPr>
          <w:p>
            <w:pPr>
              <w:pStyle w:val="13"/>
            </w:pPr>
            <w:r>
              <w:t>≤5万元</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467" w:type="dxa"/>
            <w:vAlign w:val="center"/>
          </w:tcPr>
          <w:p>
            <w:pPr>
              <w:pStyle w:val="13"/>
            </w:pPr>
            <w:r>
              <w:t>受益总人数（人）</w:t>
            </w:r>
          </w:p>
        </w:tc>
        <w:tc>
          <w:tcPr>
            <w:tcW w:w="5342" w:type="dxa"/>
            <w:vAlign w:val="center"/>
          </w:tcPr>
          <w:p>
            <w:pPr>
              <w:pStyle w:val="13"/>
            </w:pPr>
            <w:r>
              <w:t>项目建设后项目区内直接受益人口总数</w:t>
            </w:r>
          </w:p>
        </w:tc>
        <w:tc>
          <w:tcPr>
            <w:tcW w:w="2435" w:type="dxa"/>
            <w:vAlign w:val="center"/>
          </w:tcPr>
          <w:p>
            <w:pPr>
              <w:pStyle w:val="13"/>
            </w:pPr>
            <w:r>
              <w:t>≥500人</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467" w:type="dxa"/>
            <w:vAlign w:val="center"/>
          </w:tcPr>
          <w:p>
            <w:pPr>
              <w:pStyle w:val="13"/>
            </w:pPr>
            <w:r>
              <w:t>农户收入增长率(％)</w:t>
            </w:r>
          </w:p>
        </w:tc>
        <w:tc>
          <w:tcPr>
            <w:tcW w:w="5342" w:type="dxa"/>
            <w:vAlign w:val="center"/>
          </w:tcPr>
          <w:p>
            <w:pPr>
              <w:pStyle w:val="13"/>
            </w:pPr>
            <w:r>
              <w:t>(项目实施后的项目区内农户收入－项目实施前的项目区内农户收入)÷项目实施前的项目区内农户收入×100％</w:t>
            </w:r>
          </w:p>
        </w:tc>
        <w:tc>
          <w:tcPr>
            <w:tcW w:w="2435" w:type="dxa"/>
            <w:vAlign w:val="center"/>
          </w:tcPr>
          <w:p>
            <w:pPr>
              <w:pStyle w:val="13"/>
            </w:pPr>
            <w:r>
              <w:t>≥15%</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467" w:type="dxa"/>
            <w:vAlign w:val="center"/>
          </w:tcPr>
          <w:p>
            <w:pPr>
              <w:pStyle w:val="13"/>
            </w:pPr>
            <w:r>
              <w:t>直接带动养殖产业农户</w:t>
            </w:r>
          </w:p>
        </w:tc>
        <w:tc>
          <w:tcPr>
            <w:tcW w:w="5342" w:type="dxa"/>
            <w:vAlign w:val="center"/>
          </w:tcPr>
          <w:p>
            <w:pPr>
              <w:pStyle w:val="13"/>
            </w:pPr>
            <w:r>
              <w:t>通过项目实施，新增加直接受益农户数量</w:t>
            </w:r>
          </w:p>
        </w:tc>
        <w:tc>
          <w:tcPr>
            <w:tcW w:w="2435" w:type="dxa"/>
            <w:vAlign w:val="center"/>
          </w:tcPr>
          <w:p>
            <w:pPr>
              <w:pStyle w:val="13"/>
            </w:pPr>
            <w:r>
              <w:t>≥7户</w:t>
            </w:r>
          </w:p>
        </w:tc>
        <w:tc>
          <w:tcPr>
            <w:tcW w:w="1521"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467" w:type="dxa"/>
            <w:vAlign w:val="center"/>
          </w:tcPr>
          <w:p>
            <w:pPr>
              <w:pStyle w:val="13"/>
            </w:pPr>
            <w:r>
              <w:t>受益群众满意度</w:t>
            </w:r>
          </w:p>
        </w:tc>
        <w:tc>
          <w:tcPr>
            <w:tcW w:w="5342" w:type="dxa"/>
            <w:vAlign w:val="center"/>
          </w:tcPr>
          <w:p>
            <w:pPr>
              <w:pStyle w:val="13"/>
            </w:pPr>
            <w:r>
              <w:t>相关人员调查中，满意和较满意的人数占全部调查人数的比率</w:t>
            </w:r>
          </w:p>
        </w:tc>
        <w:tc>
          <w:tcPr>
            <w:tcW w:w="2435" w:type="dxa"/>
            <w:vAlign w:val="center"/>
          </w:tcPr>
          <w:p>
            <w:pPr>
              <w:pStyle w:val="13"/>
            </w:pPr>
            <w:r>
              <w:t>≥90%</w:t>
            </w:r>
          </w:p>
        </w:tc>
        <w:tc>
          <w:tcPr>
            <w:tcW w:w="1521"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14、燃煤锅炉改造项目绩效目标表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13032123P003295100100</w:t>
            </w:r>
          </w:p>
        </w:tc>
        <w:tc>
          <w:tcPr>
            <w:tcW w:w="2835" w:type="dxa"/>
            <w:vAlign w:val="center"/>
          </w:tcPr>
          <w:p>
            <w:pPr>
              <w:pStyle w:val="11"/>
            </w:pPr>
            <w:r>
              <w:t>项目名称</w:t>
            </w:r>
          </w:p>
        </w:tc>
        <w:tc>
          <w:tcPr>
            <w:tcW w:w="6095" w:type="dxa"/>
            <w:gridSpan w:val="3"/>
            <w:vAlign w:val="center"/>
          </w:tcPr>
          <w:p>
            <w:pPr>
              <w:pStyle w:val="13"/>
            </w:pPr>
            <w:r>
              <w:t>燃煤锅炉改造项目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预算资金30万元，其中财政资金30万元。主要用于机关冬季取暖支出。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1.通开展燃煤锅炉改造工作，确保机关正常办公，为机关工作人员和群众提供良好的工作办事环境。</w:t>
            </w:r>
          </w:p>
          <w:p>
            <w:pPr>
              <w:pStyle w:val="13"/>
            </w:pPr>
            <w:r>
              <w:t>2.通过改变取暖方式，加大大气治理力度，提升大气质量。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2"/>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92" w:type="dxa"/>
            <w:vAlign w:val="center"/>
          </w:tcPr>
          <w:p>
            <w:pPr>
              <w:pStyle w:val="11"/>
            </w:pPr>
            <w:r>
              <w:t>指标值</w:t>
            </w:r>
          </w:p>
        </w:tc>
        <w:tc>
          <w:tcPr>
            <w:tcW w:w="175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冬季采暖保障面积</w:t>
            </w:r>
          </w:p>
        </w:tc>
        <w:tc>
          <w:tcPr>
            <w:tcW w:w="5386" w:type="dxa"/>
            <w:vAlign w:val="center"/>
          </w:tcPr>
          <w:p>
            <w:pPr>
              <w:pStyle w:val="13"/>
            </w:pPr>
            <w:r>
              <w:t>用于冬季采暖的办公场所面积数量</w:t>
            </w:r>
          </w:p>
        </w:tc>
        <w:tc>
          <w:tcPr>
            <w:tcW w:w="1792" w:type="dxa"/>
            <w:vAlign w:val="center"/>
          </w:tcPr>
          <w:p>
            <w:pPr>
              <w:pStyle w:val="13"/>
            </w:pPr>
            <w:r>
              <w:t>3870㎡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二氧化硫削排放减率</w:t>
            </w:r>
          </w:p>
        </w:tc>
        <w:tc>
          <w:tcPr>
            <w:tcW w:w="5386" w:type="dxa"/>
            <w:vAlign w:val="center"/>
          </w:tcPr>
          <w:p>
            <w:pPr>
              <w:pStyle w:val="13"/>
            </w:pPr>
            <w:r>
              <w:t>当年实际二氧化硫排放削减率</w:t>
            </w:r>
          </w:p>
        </w:tc>
        <w:tc>
          <w:tcPr>
            <w:tcW w:w="1792" w:type="dxa"/>
            <w:vAlign w:val="center"/>
          </w:tcPr>
          <w:p>
            <w:pPr>
              <w:pStyle w:val="13"/>
            </w:pPr>
            <w:r>
              <w:t>≥5%</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细颗粒物排放削减率</w:t>
            </w:r>
          </w:p>
        </w:tc>
        <w:tc>
          <w:tcPr>
            <w:tcW w:w="5386" w:type="dxa"/>
            <w:vAlign w:val="center"/>
          </w:tcPr>
          <w:p>
            <w:pPr>
              <w:pStyle w:val="13"/>
            </w:pPr>
            <w:r>
              <w:t>当年实际细颗粒物排放削减率</w:t>
            </w:r>
          </w:p>
        </w:tc>
        <w:tc>
          <w:tcPr>
            <w:tcW w:w="1792" w:type="dxa"/>
            <w:vAlign w:val="center"/>
          </w:tcPr>
          <w:p>
            <w:pPr>
              <w:pStyle w:val="13"/>
            </w:pPr>
            <w:r>
              <w:t>≥8%</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资金支付时效性</w:t>
            </w:r>
          </w:p>
        </w:tc>
        <w:tc>
          <w:tcPr>
            <w:tcW w:w="5386" w:type="dxa"/>
            <w:vAlign w:val="center"/>
          </w:tcPr>
          <w:p>
            <w:pPr>
              <w:pStyle w:val="13"/>
            </w:pPr>
            <w:r>
              <w:t>燃煤锅炉改造及清洁能源补贴在采暖期内及时拨付</w:t>
            </w:r>
          </w:p>
        </w:tc>
        <w:tc>
          <w:tcPr>
            <w:tcW w:w="1792" w:type="dxa"/>
            <w:vAlign w:val="center"/>
          </w:tcPr>
          <w:p>
            <w:pPr>
              <w:pStyle w:val="13"/>
            </w:pPr>
            <w:r>
              <w:t>12月31日前</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供暖设施维修支出</w:t>
            </w:r>
          </w:p>
        </w:tc>
        <w:tc>
          <w:tcPr>
            <w:tcW w:w="5386" w:type="dxa"/>
            <w:vAlign w:val="center"/>
          </w:tcPr>
          <w:p>
            <w:pPr>
              <w:pStyle w:val="13"/>
            </w:pPr>
            <w:r>
              <w:t>供暖管道设施维修费用支出</w:t>
            </w:r>
          </w:p>
        </w:tc>
        <w:tc>
          <w:tcPr>
            <w:tcW w:w="1792" w:type="dxa"/>
            <w:vAlign w:val="center"/>
          </w:tcPr>
          <w:p>
            <w:pPr>
              <w:pStyle w:val="13"/>
            </w:pPr>
            <w:r>
              <w:t>≤3万元</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采暖费用支出</w:t>
            </w:r>
          </w:p>
        </w:tc>
        <w:tc>
          <w:tcPr>
            <w:tcW w:w="5386" w:type="dxa"/>
            <w:vAlign w:val="center"/>
          </w:tcPr>
          <w:p>
            <w:pPr>
              <w:pStyle w:val="13"/>
            </w:pPr>
            <w:r>
              <w:t>办公场所取暖费用支出</w:t>
            </w:r>
          </w:p>
        </w:tc>
        <w:tc>
          <w:tcPr>
            <w:tcW w:w="1792" w:type="dxa"/>
            <w:vAlign w:val="center"/>
          </w:tcPr>
          <w:p>
            <w:pPr>
              <w:pStyle w:val="13"/>
            </w:pPr>
            <w:r>
              <w:t>≤27万元</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全年空气优良天数增长率（%）</w:t>
            </w:r>
          </w:p>
        </w:tc>
        <w:tc>
          <w:tcPr>
            <w:tcW w:w="5386" w:type="dxa"/>
            <w:vAlign w:val="center"/>
          </w:tcPr>
          <w:p>
            <w:pPr>
              <w:pStyle w:val="13"/>
            </w:pPr>
            <w:r>
              <w:t>全年空气优良天数同比增长率</w:t>
            </w:r>
          </w:p>
        </w:tc>
        <w:tc>
          <w:tcPr>
            <w:tcW w:w="1792" w:type="dxa"/>
            <w:vAlign w:val="center"/>
          </w:tcPr>
          <w:p>
            <w:pPr>
              <w:pStyle w:val="13"/>
            </w:pPr>
            <w:r>
              <w:t>≥5%</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大气环境质量改善率</w:t>
            </w:r>
          </w:p>
        </w:tc>
        <w:tc>
          <w:tcPr>
            <w:tcW w:w="5386" w:type="dxa"/>
            <w:vAlign w:val="center"/>
          </w:tcPr>
          <w:p>
            <w:pPr>
              <w:pStyle w:val="13"/>
            </w:pPr>
            <w:r>
              <w:t>大气环境质量改善同比增长率</w:t>
            </w:r>
          </w:p>
        </w:tc>
        <w:tc>
          <w:tcPr>
            <w:tcW w:w="1792" w:type="dxa"/>
            <w:vAlign w:val="center"/>
          </w:tcPr>
          <w:p>
            <w:pPr>
              <w:pStyle w:val="13"/>
            </w:pPr>
            <w:r>
              <w:t>≥50%</w:t>
            </w:r>
          </w:p>
        </w:tc>
        <w:tc>
          <w:tcPr>
            <w:tcW w:w="1752"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调查中满意和较满意的公众人数占全部调查人数的比率</w:t>
            </w:r>
          </w:p>
        </w:tc>
        <w:tc>
          <w:tcPr>
            <w:tcW w:w="1792" w:type="dxa"/>
            <w:vAlign w:val="center"/>
          </w:tcPr>
          <w:p>
            <w:pPr>
              <w:pStyle w:val="13"/>
            </w:pPr>
            <w:r>
              <w:t>≥90%</w:t>
            </w:r>
          </w:p>
        </w:tc>
        <w:tc>
          <w:tcPr>
            <w:tcW w:w="1752"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15、燃煤锅炉改造项目绩效目标表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13032125P00011610033U</w:t>
            </w:r>
          </w:p>
        </w:tc>
        <w:tc>
          <w:tcPr>
            <w:tcW w:w="2835" w:type="dxa"/>
            <w:vAlign w:val="center"/>
          </w:tcPr>
          <w:p>
            <w:pPr>
              <w:pStyle w:val="11"/>
            </w:pPr>
            <w:r>
              <w:t>项目名称</w:t>
            </w:r>
          </w:p>
        </w:tc>
        <w:tc>
          <w:tcPr>
            <w:tcW w:w="6095" w:type="dxa"/>
            <w:gridSpan w:val="3"/>
            <w:vAlign w:val="center"/>
          </w:tcPr>
          <w:p>
            <w:pPr>
              <w:pStyle w:val="13"/>
            </w:pPr>
            <w:r>
              <w:t>燃煤锅炉改造项目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pPr>
            <w:r>
              <w:t>其中：财政    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预算资金33万元，其中：财政资金33万元。主要用于燃煤锅炉改造，冬季办公场所取暖支出。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1.通过改变取暖方式，加大大气治理力度，提升大气质量。</w:t>
            </w:r>
          </w:p>
          <w:p>
            <w:pPr>
              <w:pStyle w:val="13"/>
            </w:pPr>
            <w:r>
              <w:t>2.通开展燃煤锅炉改造工作，确保机关正常办公，为机关工作人员和群众提供良好的工作办事环境。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7"/>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57" w:type="dxa"/>
            <w:vAlign w:val="center"/>
          </w:tcPr>
          <w:p>
            <w:pPr>
              <w:pStyle w:val="11"/>
            </w:pPr>
            <w:r>
              <w:t>指标值</w:t>
            </w:r>
          </w:p>
        </w:tc>
        <w:tc>
          <w:tcPr>
            <w:tcW w:w="17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冬季采暖保障面积</w:t>
            </w:r>
          </w:p>
        </w:tc>
        <w:tc>
          <w:tcPr>
            <w:tcW w:w="5386" w:type="dxa"/>
            <w:vAlign w:val="center"/>
          </w:tcPr>
          <w:p>
            <w:pPr>
              <w:pStyle w:val="13"/>
            </w:pPr>
            <w:r>
              <w:t>用于冬季采暖的办公场所面积数量</w:t>
            </w:r>
          </w:p>
        </w:tc>
        <w:tc>
          <w:tcPr>
            <w:tcW w:w="1757" w:type="dxa"/>
            <w:vAlign w:val="center"/>
          </w:tcPr>
          <w:p>
            <w:pPr>
              <w:pStyle w:val="13"/>
            </w:pPr>
            <w:r>
              <w:t>3870㎡</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二氧化硫削排放减率</w:t>
            </w:r>
          </w:p>
        </w:tc>
        <w:tc>
          <w:tcPr>
            <w:tcW w:w="5386" w:type="dxa"/>
            <w:vAlign w:val="center"/>
          </w:tcPr>
          <w:p>
            <w:pPr>
              <w:pStyle w:val="13"/>
            </w:pPr>
            <w:r>
              <w:t>当年实际二氧化硫排放削减率</w:t>
            </w:r>
          </w:p>
        </w:tc>
        <w:tc>
          <w:tcPr>
            <w:tcW w:w="1757" w:type="dxa"/>
            <w:vAlign w:val="center"/>
          </w:tcPr>
          <w:p>
            <w:pPr>
              <w:pStyle w:val="13"/>
            </w:pPr>
            <w:r>
              <w:t>≥5%</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细颗粒物排放削减率</w:t>
            </w:r>
          </w:p>
        </w:tc>
        <w:tc>
          <w:tcPr>
            <w:tcW w:w="5386" w:type="dxa"/>
            <w:vAlign w:val="center"/>
          </w:tcPr>
          <w:p>
            <w:pPr>
              <w:pStyle w:val="13"/>
            </w:pPr>
            <w:r>
              <w:t>当年实际细颗粒物排放削减率</w:t>
            </w:r>
          </w:p>
        </w:tc>
        <w:tc>
          <w:tcPr>
            <w:tcW w:w="1757" w:type="dxa"/>
            <w:vAlign w:val="center"/>
          </w:tcPr>
          <w:p>
            <w:pPr>
              <w:pStyle w:val="13"/>
            </w:pPr>
            <w:r>
              <w:t>≥8%</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资金支付时效性</w:t>
            </w:r>
          </w:p>
        </w:tc>
        <w:tc>
          <w:tcPr>
            <w:tcW w:w="5386" w:type="dxa"/>
            <w:vAlign w:val="center"/>
          </w:tcPr>
          <w:p>
            <w:pPr>
              <w:pStyle w:val="13"/>
            </w:pPr>
            <w:r>
              <w:t>燃煤锅炉改造及清洁能源补贴在采暖期内及时拨付</w:t>
            </w:r>
          </w:p>
        </w:tc>
        <w:tc>
          <w:tcPr>
            <w:tcW w:w="1757" w:type="dxa"/>
            <w:vAlign w:val="center"/>
          </w:tcPr>
          <w:p>
            <w:pPr>
              <w:pStyle w:val="13"/>
            </w:pPr>
            <w:r>
              <w:t>12月31日前</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供暖设施维修支出</w:t>
            </w:r>
          </w:p>
        </w:tc>
        <w:tc>
          <w:tcPr>
            <w:tcW w:w="5386" w:type="dxa"/>
            <w:vAlign w:val="center"/>
          </w:tcPr>
          <w:p>
            <w:pPr>
              <w:pStyle w:val="13"/>
            </w:pPr>
            <w:r>
              <w:t>供暖管道设施维修费用支出</w:t>
            </w:r>
          </w:p>
        </w:tc>
        <w:tc>
          <w:tcPr>
            <w:tcW w:w="1757" w:type="dxa"/>
            <w:vAlign w:val="center"/>
          </w:tcPr>
          <w:p>
            <w:pPr>
              <w:pStyle w:val="13"/>
            </w:pPr>
            <w:r>
              <w:t>≤3万元</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采暖费用支出</w:t>
            </w:r>
          </w:p>
        </w:tc>
        <w:tc>
          <w:tcPr>
            <w:tcW w:w="5386" w:type="dxa"/>
            <w:vAlign w:val="center"/>
          </w:tcPr>
          <w:p>
            <w:pPr>
              <w:pStyle w:val="13"/>
            </w:pPr>
            <w:r>
              <w:t>办公场所采购费用支出</w:t>
            </w:r>
          </w:p>
        </w:tc>
        <w:tc>
          <w:tcPr>
            <w:tcW w:w="1757" w:type="dxa"/>
            <w:vAlign w:val="center"/>
          </w:tcPr>
          <w:p>
            <w:pPr>
              <w:pStyle w:val="13"/>
            </w:pPr>
            <w:r>
              <w:t>≤30万元</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全年空气优良天数增长率（%）</w:t>
            </w:r>
          </w:p>
        </w:tc>
        <w:tc>
          <w:tcPr>
            <w:tcW w:w="5386" w:type="dxa"/>
            <w:vAlign w:val="center"/>
          </w:tcPr>
          <w:p>
            <w:pPr>
              <w:pStyle w:val="13"/>
            </w:pPr>
            <w:r>
              <w:t>全年空气优良天数同比增长率</w:t>
            </w:r>
          </w:p>
        </w:tc>
        <w:tc>
          <w:tcPr>
            <w:tcW w:w="1757" w:type="dxa"/>
            <w:vAlign w:val="center"/>
          </w:tcPr>
          <w:p>
            <w:pPr>
              <w:pStyle w:val="13"/>
            </w:pPr>
            <w:r>
              <w:t>≥5%</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大气环境质量改善率</w:t>
            </w:r>
          </w:p>
        </w:tc>
        <w:tc>
          <w:tcPr>
            <w:tcW w:w="5386" w:type="dxa"/>
            <w:vAlign w:val="center"/>
          </w:tcPr>
          <w:p>
            <w:pPr>
              <w:pStyle w:val="13"/>
            </w:pPr>
            <w:r>
              <w:t>大气环境质量改善同比增长率</w:t>
            </w:r>
          </w:p>
        </w:tc>
        <w:tc>
          <w:tcPr>
            <w:tcW w:w="1757" w:type="dxa"/>
            <w:vAlign w:val="center"/>
          </w:tcPr>
          <w:p>
            <w:pPr>
              <w:pStyle w:val="13"/>
            </w:pPr>
            <w:r>
              <w:t>≥50%</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调查中满意和较满意的公众人数占全部调查人数的比率</w:t>
            </w:r>
          </w:p>
        </w:tc>
        <w:tc>
          <w:tcPr>
            <w:tcW w:w="1757" w:type="dxa"/>
            <w:vAlign w:val="center"/>
          </w:tcPr>
          <w:p>
            <w:pPr>
              <w:pStyle w:val="13"/>
            </w:pPr>
            <w:r>
              <w:t>≥90%</w:t>
            </w:r>
          </w:p>
        </w:tc>
        <w:tc>
          <w:tcPr>
            <w:tcW w:w="1787"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16、矽肺病人员生活困难补助绩效目标表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13032125P000115100265</w:t>
            </w:r>
          </w:p>
        </w:tc>
        <w:tc>
          <w:tcPr>
            <w:tcW w:w="2835" w:type="dxa"/>
            <w:vAlign w:val="center"/>
          </w:tcPr>
          <w:p>
            <w:pPr>
              <w:pStyle w:val="11"/>
            </w:pPr>
            <w:r>
              <w:t>项目名称</w:t>
            </w:r>
          </w:p>
        </w:tc>
        <w:tc>
          <w:tcPr>
            <w:tcW w:w="6095" w:type="dxa"/>
            <w:gridSpan w:val="3"/>
            <w:vAlign w:val="center"/>
          </w:tcPr>
          <w:p>
            <w:pPr>
              <w:pStyle w:val="13"/>
            </w:pPr>
            <w:r>
              <w:t>矽肺病人员生活困难补助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8.43</w:t>
            </w:r>
          </w:p>
        </w:tc>
        <w:tc>
          <w:tcPr>
            <w:tcW w:w="2835" w:type="dxa"/>
            <w:vAlign w:val="center"/>
          </w:tcPr>
          <w:p>
            <w:pPr>
              <w:pStyle w:val="11"/>
            </w:pPr>
            <w:r>
              <w:t>其中：财政    资金</w:t>
            </w:r>
          </w:p>
        </w:tc>
        <w:tc>
          <w:tcPr>
            <w:tcW w:w="2551" w:type="dxa"/>
            <w:vAlign w:val="center"/>
          </w:tcPr>
          <w:p>
            <w:pPr>
              <w:pStyle w:val="13"/>
            </w:pPr>
            <w:r>
              <w:t>8.43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预算资金8.428万元，其中：财政资金8.428万元。主要用于原国有企业矽肺职工生活困难补助支出。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1.通过对矽肺病人发放生活补助，保障病人基本生活。</w:t>
            </w:r>
          </w:p>
          <w:p>
            <w:pPr>
              <w:pStyle w:val="13"/>
            </w:pPr>
            <w:r>
              <w:t>2.稳控不稳定群体，确保基层社会稳定。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已认定伤残等级待遇矽肺病人数</w:t>
            </w:r>
          </w:p>
        </w:tc>
        <w:tc>
          <w:tcPr>
            <w:tcW w:w="2268" w:type="dxa"/>
            <w:vAlign w:val="center"/>
          </w:tcPr>
          <w:p>
            <w:pPr>
              <w:pStyle w:val="13"/>
            </w:pPr>
            <w:r>
              <w:t>4人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核实次数</w:t>
            </w:r>
          </w:p>
        </w:tc>
        <w:tc>
          <w:tcPr>
            <w:tcW w:w="5386" w:type="dxa"/>
            <w:vAlign w:val="center"/>
          </w:tcPr>
          <w:p>
            <w:pPr>
              <w:pStyle w:val="13"/>
            </w:pPr>
            <w:r>
              <w:t>已认定伤残等级待遇矽肺病人数核实次数</w:t>
            </w:r>
          </w:p>
        </w:tc>
        <w:tc>
          <w:tcPr>
            <w:tcW w:w="2268" w:type="dxa"/>
            <w:vAlign w:val="center"/>
          </w:tcPr>
          <w:p>
            <w:pPr>
              <w:pStyle w:val="13"/>
            </w:pPr>
            <w:r>
              <w:t>≥1次/年</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资金待遇按时足额发放人数占应发放人数的比率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认定准确率</w:t>
            </w:r>
          </w:p>
        </w:tc>
        <w:tc>
          <w:tcPr>
            <w:tcW w:w="5386" w:type="dxa"/>
            <w:vAlign w:val="center"/>
          </w:tcPr>
          <w:p>
            <w:pPr>
              <w:pStyle w:val="13"/>
            </w:pPr>
            <w:r>
              <w:t>认定伤残待遇矽肺病人员准确率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按照相关文件标准发放标准准确率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资金发放及时性</w:t>
            </w:r>
          </w:p>
        </w:tc>
        <w:tc>
          <w:tcPr>
            <w:tcW w:w="5386" w:type="dxa"/>
            <w:vAlign w:val="center"/>
          </w:tcPr>
          <w:p>
            <w:pPr>
              <w:pStyle w:val="13"/>
            </w:pPr>
            <w:r>
              <w:t>收到专项资金后拨付到救助对象手中的时效</w:t>
            </w:r>
          </w:p>
        </w:tc>
        <w:tc>
          <w:tcPr>
            <w:tcW w:w="2268" w:type="dxa"/>
            <w:vAlign w:val="center"/>
          </w:tcPr>
          <w:p>
            <w:pPr>
              <w:pStyle w:val="13"/>
            </w:pPr>
            <w:r>
              <w:t>≤30天</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每人每年发放标准</w:t>
            </w:r>
          </w:p>
        </w:tc>
        <w:tc>
          <w:tcPr>
            <w:tcW w:w="5386" w:type="dxa"/>
            <w:vAlign w:val="center"/>
          </w:tcPr>
          <w:p>
            <w:pPr>
              <w:pStyle w:val="13"/>
            </w:pPr>
            <w:r>
              <w:t>支付已认定伤残等级待遇矽肺病的生活补助</w:t>
            </w:r>
          </w:p>
        </w:tc>
        <w:tc>
          <w:tcPr>
            <w:tcW w:w="2268" w:type="dxa"/>
            <w:vAlign w:val="center"/>
          </w:tcPr>
          <w:p>
            <w:pPr>
              <w:pStyle w:val="13"/>
            </w:pPr>
            <w:r>
              <w:t>≤0.43万元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提升生活质量提升，维护社会稳定</w:t>
            </w:r>
          </w:p>
        </w:tc>
        <w:tc>
          <w:tcPr>
            <w:tcW w:w="5386" w:type="dxa"/>
            <w:vAlign w:val="center"/>
          </w:tcPr>
          <w:p>
            <w:pPr>
              <w:pStyle w:val="13"/>
            </w:pPr>
            <w:r>
              <w:t>保障、提升矽肺病人家庭生活水平，维护社会稳定</w:t>
            </w:r>
          </w:p>
        </w:tc>
        <w:tc>
          <w:tcPr>
            <w:tcW w:w="2268" w:type="dxa"/>
            <w:vAlign w:val="center"/>
          </w:tcPr>
          <w:p>
            <w:pPr>
              <w:pStyle w:val="13"/>
            </w:pPr>
            <w:r>
              <w:t>≥9人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有较好的社会影响</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问卷调查中，满意和较满意的救助对象数量占调研对象总数的比率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13032125P00000610012H</w:t>
            </w:r>
          </w:p>
        </w:tc>
        <w:tc>
          <w:tcPr>
            <w:tcW w:w="2835" w:type="dxa"/>
            <w:vAlign w:val="center"/>
          </w:tcPr>
          <w:p>
            <w:pPr>
              <w:pStyle w:val="11"/>
            </w:pPr>
            <w:r>
              <w:t>项目名称</w:t>
            </w:r>
          </w:p>
        </w:tc>
        <w:tc>
          <w:tcPr>
            <w:tcW w:w="6095" w:type="dxa"/>
            <w:gridSpan w:val="3"/>
            <w:vAlign w:val="center"/>
          </w:tcPr>
          <w:p>
            <w:pPr>
              <w:pStyle w:val="13"/>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w:t>
            </w:r>
          </w:p>
        </w:tc>
        <w:tc>
          <w:tcPr>
            <w:tcW w:w="2835" w:type="dxa"/>
            <w:vAlign w:val="center"/>
          </w:tcPr>
          <w:p>
            <w:pPr>
              <w:pStyle w:val="11"/>
            </w:pPr>
            <w:r>
              <w:t>其中：财政    资金</w:t>
            </w:r>
          </w:p>
        </w:tc>
        <w:tc>
          <w:tcPr>
            <w:tcW w:w="2551" w:type="dxa"/>
            <w:vAlign w:val="center"/>
          </w:tcPr>
          <w:p>
            <w:pPr>
              <w:pStyle w:val="13"/>
            </w:pPr>
            <w:r>
              <w:t>2.06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预算资金2.06万元，其中：财政资金2.06万元。主要用于重症精神障碍患者监护人责任险支出。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1.通过为严重精神障碍患者监护人办理相关保险业，预防严重精神障碍患者伤及人身、损坏财物事件发生。</w:t>
            </w:r>
          </w:p>
          <w:p>
            <w:pPr>
              <w:pStyle w:val="13"/>
            </w:pPr>
            <w:r>
              <w:t>2.通过以政府出资投保的方式，减少监护人损失、增强监护人、当事人社会保障，从而化解事后风险。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享受保险人数(人)</w:t>
            </w:r>
          </w:p>
        </w:tc>
        <w:tc>
          <w:tcPr>
            <w:tcW w:w="5386" w:type="dxa"/>
            <w:vAlign w:val="center"/>
          </w:tcPr>
          <w:p>
            <w:pPr>
              <w:pStyle w:val="13"/>
            </w:pPr>
            <w:r>
              <w:t>享受严重精神障碍患者监护人责任险的人数</w:t>
            </w:r>
          </w:p>
        </w:tc>
        <w:tc>
          <w:tcPr>
            <w:tcW w:w="2268" w:type="dxa"/>
            <w:vAlign w:val="center"/>
          </w:tcPr>
          <w:p>
            <w:pPr>
              <w:pStyle w:val="13"/>
            </w:pPr>
            <w:r>
              <w:t>206人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w:t>
            </w:r>
          </w:p>
        </w:tc>
        <w:tc>
          <w:tcPr>
            <w:tcW w:w="5386" w:type="dxa"/>
            <w:vAlign w:val="center"/>
          </w:tcPr>
          <w:p>
            <w:pPr>
              <w:pStyle w:val="13"/>
            </w:pPr>
            <w:r>
              <w:t>反映严重精神障碍患者人数</w:t>
            </w:r>
          </w:p>
        </w:tc>
        <w:tc>
          <w:tcPr>
            <w:tcW w:w="2268" w:type="dxa"/>
            <w:vAlign w:val="center"/>
          </w:tcPr>
          <w:p>
            <w:pPr>
              <w:pStyle w:val="13"/>
            </w:pPr>
            <w:r>
              <w:t>206人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参保率</w:t>
            </w:r>
          </w:p>
        </w:tc>
        <w:tc>
          <w:tcPr>
            <w:tcW w:w="5386" w:type="dxa"/>
            <w:vAlign w:val="center"/>
          </w:tcPr>
          <w:p>
            <w:pPr>
              <w:pStyle w:val="13"/>
            </w:pPr>
            <w:r>
              <w:t>已参保人数占应参保人数的比率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审核准确率</w:t>
            </w:r>
          </w:p>
        </w:tc>
        <w:tc>
          <w:tcPr>
            <w:tcW w:w="5386" w:type="dxa"/>
            <w:vAlign w:val="center"/>
          </w:tcPr>
          <w:p>
            <w:pPr>
              <w:pStyle w:val="13"/>
            </w:pPr>
            <w:r>
              <w:t>责任险报销事项审核准确率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办结率</w:t>
            </w:r>
          </w:p>
        </w:tc>
        <w:tc>
          <w:tcPr>
            <w:tcW w:w="5386" w:type="dxa"/>
            <w:vAlign w:val="center"/>
          </w:tcPr>
          <w:p>
            <w:pPr>
              <w:pStyle w:val="13"/>
            </w:pPr>
            <w:r>
              <w:t>责任险报销事项实际在规定时间内及时办结的件数占应在规定时间内及时办结的件数的比率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缴纳保险及时率</w:t>
            </w:r>
          </w:p>
        </w:tc>
        <w:tc>
          <w:tcPr>
            <w:tcW w:w="5386" w:type="dxa"/>
            <w:vAlign w:val="center"/>
          </w:tcPr>
          <w:p>
            <w:pPr>
              <w:pStyle w:val="13"/>
            </w:pPr>
            <w:r>
              <w:t>反映及时足额缴纳保险时间</w:t>
            </w:r>
          </w:p>
        </w:tc>
        <w:tc>
          <w:tcPr>
            <w:tcW w:w="2268" w:type="dxa"/>
            <w:vAlign w:val="center"/>
          </w:tcPr>
          <w:p>
            <w:pPr>
              <w:pStyle w:val="13"/>
            </w:pPr>
            <w:r>
              <w:t>10月前</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给予严重精神障碍患者监护人每人每年支付保险的费用</w:t>
            </w:r>
          </w:p>
        </w:tc>
        <w:tc>
          <w:tcPr>
            <w:tcW w:w="2268" w:type="dxa"/>
            <w:vAlign w:val="center"/>
          </w:tcPr>
          <w:p>
            <w:pPr>
              <w:pStyle w:val="13"/>
            </w:pPr>
            <w:r>
              <w:t>100元</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提高监护人保障</w:t>
            </w:r>
          </w:p>
        </w:tc>
        <w:tc>
          <w:tcPr>
            <w:tcW w:w="5386" w:type="dxa"/>
            <w:vAlign w:val="center"/>
          </w:tcPr>
          <w:p>
            <w:pPr>
              <w:pStyle w:val="13"/>
            </w:pPr>
            <w:r>
              <w:t>减少监护人损失、增强监护人、当事人社会保障，从而化解事后风险</w:t>
            </w:r>
          </w:p>
        </w:tc>
        <w:tc>
          <w:tcPr>
            <w:tcW w:w="2268" w:type="dxa"/>
            <w:vAlign w:val="center"/>
          </w:tcPr>
          <w:p>
            <w:pPr>
              <w:pStyle w:val="13"/>
            </w:pPr>
            <w:r>
              <w:t>206人</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有较好的社会影响</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被保险人满意度（%）</w:t>
            </w:r>
          </w:p>
        </w:tc>
        <w:tc>
          <w:tcPr>
            <w:tcW w:w="5386" w:type="dxa"/>
            <w:vAlign w:val="center"/>
          </w:tcPr>
          <w:p>
            <w:pPr>
              <w:pStyle w:val="13"/>
            </w:pPr>
            <w:r>
              <w:t>被保险监护人对保险服务的满意程度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13032124P00329910079W</w:t>
            </w:r>
          </w:p>
        </w:tc>
        <w:tc>
          <w:tcPr>
            <w:tcW w:w="2835" w:type="dxa"/>
            <w:vAlign w:val="center"/>
          </w:tcPr>
          <w:p>
            <w:pPr>
              <w:pStyle w:val="11"/>
            </w:pPr>
            <w:r>
              <w:t>项目名称</w:t>
            </w:r>
          </w:p>
        </w:tc>
        <w:tc>
          <w:tcPr>
            <w:tcW w:w="6095" w:type="dxa"/>
            <w:gridSpan w:val="3"/>
            <w:vAlign w:val="center"/>
          </w:tcPr>
          <w:p>
            <w:pPr>
              <w:pStyle w:val="13"/>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16.67</w:t>
            </w:r>
          </w:p>
        </w:tc>
        <w:tc>
          <w:tcPr>
            <w:tcW w:w="2835" w:type="dxa"/>
            <w:vAlign w:val="center"/>
          </w:tcPr>
          <w:p>
            <w:pPr>
              <w:pStyle w:val="11"/>
            </w:pPr>
            <w:r>
              <w:t>其中：财政    资金</w:t>
            </w:r>
          </w:p>
        </w:tc>
        <w:tc>
          <w:tcPr>
            <w:tcW w:w="2551" w:type="dxa"/>
            <w:vAlign w:val="center"/>
          </w:tcPr>
          <w:p>
            <w:pPr>
              <w:pStyle w:val="13"/>
            </w:pPr>
            <w:r>
              <w:t>16.67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预算资金16.6717万元，其中财政资金16.6717万元。主要用于信访矛盾化解、信访维稳、农村平安建设支出。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1.通过加强法制宣传教育、提高公民的法律意识和素质，教育群众知法、懂法和守法。</w:t>
            </w:r>
          </w:p>
          <w:p>
            <w:pPr>
              <w:pStyle w:val="13"/>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7"/>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57" w:type="dxa"/>
            <w:vAlign w:val="center"/>
          </w:tcPr>
          <w:p>
            <w:pPr>
              <w:pStyle w:val="11"/>
            </w:pPr>
            <w:r>
              <w:t>指标值</w:t>
            </w:r>
          </w:p>
        </w:tc>
        <w:tc>
          <w:tcPr>
            <w:tcW w:w="17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印刷宣传单</w:t>
            </w:r>
          </w:p>
        </w:tc>
        <w:tc>
          <w:tcPr>
            <w:tcW w:w="5386" w:type="dxa"/>
            <w:vAlign w:val="center"/>
          </w:tcPr>
          <w:p>
            <w:pPr>
              <w:pStyle w:val="13"/>
            </w:pPr>
            <w:r>
              <w:t>反映印刷宣传单数量</w:t>
            </w:r>
          </w:p>
        </w:tc>
        <w:tc>
          <w:tcPr>
            <w:tcW w:w="1757" w:type="dxa"/>
            <w:vAlign w:val="center"/>
          </w:tcPr>
          <w:p>
            <w:pPr>
              <w:pStyle w:val="13"/>
            </w:pPr>
            <w:r>
              <w:t>≥2500份</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反映下乡维稳的次数</w:t>
            </w:r>
          </w:p>
        </w:tc>
        <w:tc>
          <w:tcPr>
            <w:tcW w:w="1757" w:type="dxa"/>
            <w:vAlign w:val="center"/>
          </w:tcPr>
          <w:p>
            <w:pPr>
              <w:pStyle w:val="13"/>
            </w:pPr>
            <w:r>
              <w:t>≥50次</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1757" w:type="dxa"/>
            <w:vAlign w:val="center"/>
          </w:tcPr>
          <w:p>
            <w:pPr>
              <w:pStyle w:val="13"/>
            </w:pPr>
            <w:r>
              <w:t>＝100%</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各项工作按年度计划完成</w:t>
            </w:r>
          </w:p>
        </w:tc>
        <w:tc>
          <w:tcPr>
            <w:tcW w:w="1757" w:type="dxa"/>
            <w:vAlign w:val="center"/>
          </w:tcPr>
          <w:p>
            <w:pPr>
              <w:pStyle w:val="13"/>
            </w:pPr>
            <w:r>
              <w:t>≤12月</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差旅费支出</w:t>
            </w:r>
          </w:p>
        </w:tc>
        <w:tc>
          <w:tcPr>
            <w:tcW w:w="5386" w:type="dxa"/>
            <w:vAlign w:val="center"/>
          </w:tcPr>
          <w:p>
            <w:pPr>
              <w:pStyle w:val="13"/>
            </w:pPr>
            <w:r>
              <w:t>信访维稳差旅费支出</w:t>
            </w:r>
          </w:p>
        </w:tc>
        <w:tc>
          <w:tcPr>
            <w:tcW w:w="1757" w:type="dxa"/>
            <w:vAlign w:val="center"/>
          </w:tcPr>
          <w:p>
            <w:pPr>
              <w:pStyle w:val="13"/>
            </w:pPr>
            <w:r>
              <w:t>≤17万元</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支付救济费</w:t>
            </w:r>
          </w:p>
        </w:tc>
        <w:tc>
          <w:tcPr>
            <w:tcW w:w="5386" w:type="dxa"/>
            <w:vAlign w:val="center"/>
          </w:tcPr>
          <w:p>
            <w:pPr>
              <w:pStyle w:val="13"/>
            </w:pPr>
            <w:r>
              <w:t>用于生活困难的信访人员支出</w:t>
            </w:r>
          </w:p>
        </w:tc>
        <w:tc>
          <w:tcPr>
            <w:tcW w:w="1757" w:type="dxa"/>
            <w:vAlign w:val="center"/>
          </w:tcPr>
          <w:p>
            <w:pPr>
              <w:pStyle w:val="13"/>
            </w:pPr>
            <w:r>
              <w:t>≤10万元</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租车费</w:t>
            </w:r>
          </w:p>
        </w:tc>
        <w:tc>
          <w:tcPr>
            <w:tcW w:w="5386" w:type="dxa"/>
            <w:vAlign w:val="center"/>
          </w:tcPr>
          <w:p>
            <w:pPr>
              <w:pStyle w:val="13"/>
            </w:pPr>
            <w:r>
              <w:t>租车接信访人返青的费用</w:t>
            </w:r>
          </w:p>
        </w:tc>
        <w:tc>
          <w:tcPr>
            <w:tcW w:w="1757" w:type="dxa"/>
            <w:vAlign w:val="center"/>
          </w:tcPr>
          <w:p>
            <w:pPr>
              <w:pStyle w:val="13"/>
            </w:pPr>
            <w:r>
              <w:t>≤3万元</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“民转刑”命案减少率(%)</w:t>
            </w:r>
          </w:p>
        </w:tc>
        <w:tc>
          <w:tcPr>
            <w:tcW w:w="5386" w:type="dxa"/>
            <w:vAlign w:val="center"/>
          </w:tcPr>
          <w:p>
            <w:pPr>
              <w:pStyle w:val="13"/>
            </w:pPr>
            <w:r>
              <w:t>“民转刑”命案发生数量的减少比率</w:t>
            </w:r>
          </w:p>
        </w:tc>
        <w:tc>
          <w:tcPr>
            <w:tcW w:w="1757" w:type="dxa"/>
            <w:vAlign w:val="center"/>
          </w:tcPr>
          <w:p>
            <w:pPr>
              <w:pStyle w:val="13"/>
            </w:pPr>
            <w:r>
              <w:t>≥90%</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立体化社会治安防控体系在镇村两级的覆盖情况</w:t>
            </w:r>
          </w:p>
        </w:tc>
        <w:tc>
          <w:tcPr>
            <w:tcW w:w="1757" w:type="dxa"/>
            <w:vAlign w:val="center"/>
          </w:tcPr>
          <w:p>
            <w:pPr>
              <w:pStyle w:val="13"/>
            </w:pPr>
            <w:r>
              <w:t>≥90%</w:t>
            </w:r>
          </w:p>
        </w:tc>
        <w:tc>
          <w:tcPr>
            <w:tcW w:w="178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群众对综治工作满意率</w:t>
            </w:r>
          </w:p>
        </w:tc>
        <w:tc>
          <w:tcPr>
            <w:tcW w:w="1757" w:type="dxa"/>
            <w:vAlign w:val="center"/>
          </w:tcPr>
          <w:p>
            <w:pPr>
              <w:pStyle w:val="13"/>
            </w:pPr>
            <w:r>
              <w:t>≥95%</w:t>
            </w:r>
          </w:p>
        </w:tc>
        <w:tc>
          <w:tcPr>
            <w:tcW w:w="1787"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13032125P000004100178</w:t>
            </w:r>
          </w:p>
        </w:tc>
        <w:tc>
          <w:tcPr>
            <w:tcW w:w="2835" w:type="dxa"/>
            <w:vAlign w:val="center"/>
          </w:tcPr>
          <w:p>
            <w:pPr>
              <w:pStyle w:val="11"/>
            </w:pPr>
            <w:r>
              <w:t>项目名称</w:t>
            </w:r>
          </w:p>
        </w:tc>
        <w:tc>
          <w:tcPr>
            <w:tcW w:w="6095" w:type="dxa"/>
            <w:gridSpan w:val="3"/>
            <w:vAlign w:val="center"/>
          </w:tcPr>
          <w:p>
            <w:pPr>
              <w:pStyle w:val="13"/>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预算资金14万元，其中：财政资金14万元。主要用于信访维稳经费支出。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10.50</w:t>
            </w:r>
          </w:p>
        </w:tc>
        <w:tc>
          <w:tcPr>
            <w:tcW w:w="3544" w:type="dxa"/>
            <w:gridSpan w:val="2"/>
            <w:vAlign w:val="center"/>
          </w:tcPr>
          <w:p>
            <w:pPr>
              <w:pStyle w:val="14"/>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1.通过加强法制宣传教育、提高公民的法律意识和素质，教育群众知法、懂法和守法。</w:t>
            </w:r>
          </w:p>
          <w:p>
            <w:pPr>
              <w:pStyle w:val="13"/>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46" w:type="dxa"/>
            <w:vAlign w:val="center"/>
          </w:tcPr>
          <w:p>
            <w:pPr>
              <w:pStyle w:val="11"/>
            </w:pPr>
            <w:r>
              <w:t>指标值</w:t>
            </w:r>
          </w:p>
        </w:tc>
        <w:tc>
          <w:tcPr>
            <w:tcW w:w="179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印刷宣传单</w:t>
            </w:r>
          </w:p>
        </w:tc>
        <w:tc>
          <w:tcPr>
            <w:tcW w:w="5386" w:type="dxa"/>
            <w:vAlign w:val="center"/>
          </w:tcPr>
          <w:p>
            <w:pPr>
              <w:pStyle w:val="13"/>
            </w:pPr>
            <w:r>
              <w:t>反映印刷宣传单数量</w:t>
            </w:r>
          </w:p>
        </w:tc>
        <w:tc>
          <w:tcPr>
            <w:tcW w:w="1746" w:type="dxa"/>
            <w:vAlign w:val="center"/>
          </w:tcPr>
          <w:p>
            <w:pPr>
              <w:pStyle w:val="13"/>
            </w:pPr>
            <w:r>
              <w:t>≥2500份</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维稳次数</w:t>
            </w:r>
          </w:p>
        </w:tc>
        <w:tc>
          <w:tcPr>
            <w:tcW w:w="5386" w:type="dxa"/>
            <w:vAlign w:val="center"/>
          </w:tcPr>
          <w:p>
            <w:pPr>
              <w:pStyle w:val="13"/>
            </w:pPr>
            <w:r>
              <w:t>反映下乡维稳的次数</w:t>
            </w:r>
          </w:p>
        </w:tc>
        <w:tc>
          <w:tcPr>
            <w:tcW w:w="1746" w:type="dxa"/>
            <w:vAlign w:val="center"/>
          </w:tcPr>
          <w:p>
            <w:pPr>
              <w:pStyle w:val="13"/>
            </w:pPr>
            <w:r>
              <w:t>≥50次</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协调督导事项化解率</w:t>
            </w:r>
          </w:p>
        </w:tc>
        <w:tc>
          <w:tcPr>
            <w:tcW w:w="5386" w:type="dxa"/>
            <w:vAlign w:val="center"/>
          </w:tcPr>
          <w:p>
            <w:pPr>
              <w:pStyle w:val="13"/>
            </w:pPr>
            <w:r>
              <w:t>化解事项占督导事项总数的比率</w:t>
            </w:r>
          </w:p>
        </w:tc>
        <w:tc>
          <w:tcPr>
            <w:tcW w:w="1746" w:type="dxa"/>
            <w:vAlign w:val="center"/>
          </w:tcPr>
          <w:p>
            <w:pPr>
              <w:pStyle w:val="13"/>
            </w:pPr>
            <w:r>
              <w:t>＝100%</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各项工作按年度计划完成</w:t>
            </w:r>
          </w:p>
        </w:tc>
        <w:tc>
          <w:tcPr>
            <w:tcW w:w="1746" w:type="dxa"/>
            <w:vAlign w:val="center"/>
          </w:tcPr>
          <w:p>
            <w:pPr>
              <w:pStyle w:val="13"/>
            </w:pPr>
            <w:r>
              <w:t>≤12月</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宣传费支出</w:t>
            </w:r>
          </w:p>
        </w:tc>
        <w:tc>
          <w:tcPr>
            <w:tcW w:w="5386" w:type="dxa"/>
            <w:vAlign w:val="center"/>
          </w:tcPr>
          <w:p>
            <w:pPr>
              <w:pStyle w:val="13"/>
            </w:pPr>
            <w:r>
              <w:t>印刷宣传单支出的费用</w:t>
            </w:r>
          </w:p>
        </w:tc>
        <w:tc>
          <w:tcPr>
            <w:tcW w:w="1746" w:type="dxa"/>
            <w:vAlign w:val="center"/>
          </w:tcPr>
          <w:p>
            <w:pPr>
              <w:pStyle w:val="13"/>
            </w:pPr>
            <w:r>
              <w:t>≤2万元</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支付救济费</w:t>
            </w:r>
          </w:p>
        </w:tc>
        <w:tc>
          <w:tcPr>
            <w:tcW w:w="5386" w:type="dxa"/>
            <w:vAlign w:val="center"/>
          </w:tcPr>
          <w:p>
            <w:pPr>
              <w:pStyle w:val="13"/>
            </w:pPr>
            <w:r>
              <w:t>用于生活困难的信访人员支出</w:t>
            </w:r>
          </w:p>
        </w:tc>
        <w:tc>
          <w:tcPr>
            <w:tcW w:w="1746" w:type="dxa"/>
            <w:vAlign w:val="center"/>
          </w:tcPr>
          <w:p>
            <w:pPr>
              <w:pStyle w:val="13"/>
            </w:pPr>
            <w:r>
              <w:t>≤5万元</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接信访人返青的费用</w:t>
            </w:r>
          </w:p>
        </w:tc>
        <w:tc>
          <w:tcPr>
            <w:tcW w:w="1746" w:type="dxa"/>
            <w:vAlign w:val="center"/>
          </w:tcPr>
          <w:p>
            <w:pPr>
              <w:pStyle w:val="13"/>
            </w:pPr>
            <w:r>
              <w:t>≤7万元</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“民转刑”命案减少率(%)</w:t>
            </w:r>
          </w:p>
        </w:tc>
        <w:tc>
          <w:tcPr>
            <w:tcW w:w="5386" w:type="dxa"/>
            <w:vAlign w:val="center"/>
          </w:tcPr>
          <w:p>
            <w:pPr>
              <w:pStyle w:val="13"/>
            </w:pPr>
            <w:r>
              <w:t>“民转刑”命案发生数量的减少比率</w:t>
            </w:r>
          </w:p>
        </w:tc>
        <w:tc>
          <w:tcPr>
            <w:tcW w:w="1746" w:type="dxa"/>
            <w:vAlign w:val="center"/>
          </w:tcPr>
          <w:p>
            <w:pPr>
              <w:pStyle w:val="13"/>
            </w:pPr>
            <w:r>
              <w:t>≥90%</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立体化社会治安防控体系覆盖率(%)</w:t>
            </w:r>
          </w:p>
        </w:tc>
        <w:tc>
          <w:tcPr>
            <w:tcW w:w="5386" w:type="dxa"/>
            <w:vAlign w:val="center"/>
          </w:tcPr>
          <w:p>
            <w:pPr>
              <w:pStyle w:val="13"/>
            </w:pPr>
            <w:r>
              <w:t>立体化社会治安防控体系在镇村两级的覆盖情况</w:t>
            </w:r>
          </w:p>
        </w:tc>
        <w:tc>
          <w:tcPr>
            <w:tcW w:w="1746" w:type="dxa"/>
            <w:vAlign w:val="center"/>
          </w:tcPr>
          <w:p>
            <w:pPr>
              <w:pStyle w:val="13"/>
            </w:pPr>
            <w:r>
              <w:t>≥90%</w:t>
            </w:r>
          </w:p>
        </w:tc>
        <w:tc>
          <w:tcPr>
            <w:tcW w:w="1798"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群众对综治工作满意率</w:t>
            </w:r>
          </w:p>
        </w:tc>
        <w:tc>
          <w:tcPr>
            <w:tcW w:w="1746" w:type="dxa"/>
            <w:vAlign w:val="center"/>
          </w:tcPr>
          <w:p>
            <w:pPr>
              <w:pStyle w:val="13"/>
            </w:pPr>
            <w:r>
              <w:t>≥95%</w:t>
            </w:r>
          </w:p>
        </w:tc>
        <w:tc>
          <w:tcPr>
            <w:tcW w:w="179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626"/>
        <w:gridCol w:w="1500"/>
        <w:gridCol w:w="807"/>
        <w:gridCol w:w="739"/>
        <w:gridCol w:w="819"/>
        <w:gridCol w:w="981"/>
        <w:gridCol w:w="1015"/>
        <w:gridCol w:w="739"/>
        <w:gridCol w:w="1107"/>
        <w:gridCol w:w="727"/>
        <w:gridCol w:w="646"/>
        <w:gridCol w:w="719"/>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8156" w:type="dxa"/>
            <w:gridSpan w:val="7"/>
            <w:tcBorders>
              <w:top w:val="single" w:color="FFFFFF" w:sz="6" w:space="0"/>
              <w:left w:val="single" w:color="FFFFFF" w:sz="6" w:space="0"/>
              <w:right w:val="single" w:color="FFFFFF" w:sz="6" w:space="0"/>
            </w:tcBorders>
            <w:vAlign w:val="center"/>
          </w:tcPr>
          <w:p>
            <w:pPr>
              <w:pStyle w:val="10"/>
            </w:pPr>
            <w:r>
              <w:t>916肖营子镇</w:t>
            </w:r>
          </w:p>
        </w:tc>
        <w:tc>
          <w:tcPr>
            <w:tcW w:w="689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626" w:type="dxa"/>
            <w:vMerge w:val="restart"/>
            <w:vAlign w:val="center"/>
          </w:tcPr>
          <w:p>
            <w:pPr>
              <w:pStyle w:val="11"/>
            </w:pPr>
            <w:r>
              <w:t>采购物品名称</w:t>
            </w:r>
          </w:p>
        </w:tc>
        <w:tc>
          <w:tcPr>
            <w:tcW w:w="1500" w:type="dxa"/>
            <w:vMerge w:val="restart"/>
            <w:vAlign w:val="center"/>
          </w:tcPr>
          <w:p>
            <w:pPr>
              <w:pStyle w:val="11"/>
            </w:pPr>
            <w:r>
              <w:t>政府采购目录序号</w:t>
            </w:r>
          </w:p>
        </w:tc>
        <w:tc>
          <w:tcPr>
            <w:tcW w:w="807" w:type="dxa"/>
            <w:vMerge w:val="restart"/>
            <w:vAlign w:val="center"/>
          </w:tcPr>
          <w:p>
            <w:pPr>
              <w:pStyle w:val="11"/>
            </w:pPr>
            <w:r>
              <w:t>计量  单位</w:t>
            </w:r>
          </w:p>
        </w:tc>
        <w:tc>
          <w:tcPr>
            <w:tcW w:w="739" w:type="dxa"/>
            <w:vMerge w:val="restart"/>
            <w:vAlign w:val="center"/>
          </w:tcPr>
          <w:p>
            <w:pPr>
              <w:pStyle w:val="11"/>
            </w:pPr>
            <w:r>
              <w:t>数量</w:t>
            </w:r>
          </w:p>
        </w:tc>
        <w:tc>
          <w:tcPr>
            <w:tcW w:w="819" w:type="dxa"/>
            <w:vMerge w:val="restart"/>
            <w:vAlign w:val="center"/>
          </w:tcPr>
          <w:p>
            <w:pPr>
              <w:pStyle w:val="11"/>
            </w:pPr>
            <w:r>
              <w:t>单价</w:t>
            </w:r>
          </w:p>
        </w:tc>
        <w:tc>
          <w:tcPr>
            <w:tcW w:w="5934"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626" w:type="dxa"/>
            <w:vMerge w:val="continue"/>
          </w:tcPr>
          <w:p/>
        </w:tc>
        <w:tc>
          <w:tcPr>
            <w:tcW w:w="1500" w:type="dxa"/>
            <w:vMerge w:val="continue"/>
          </w:tcPr>
          <w:p/>
        </w:tc>
        <w:tc>
          <w:tcPr>
            <w:tcW w:w="807" w:type="dxa"/>
            <w:vMerge w:val="continue"/>
          </w:tcPr>
          <w:p/>
        </w:tc>
        <w:tc>
          <w:tcPr>
            <w:tcW w:w="739" w:type="dxa"/>
            <w:vMerge w:val="continue"/>
          </w:tcPr>
          <w:p/>
        </w:tc>
        <w:tc>
          <w:tcPr>
            <w:tcW w:w="819" w:type="dxa"/>
            <w:vMerge w:val="continue"/>
          </w:tcPr>
          <w:p/>
        </w:tc>
        <w:tc>
          <w:tcPr>
            <w:tcW w:w="981" w:type="dxa"/>
            <w:vAlign w:val="center"/>
          </w:tcPr>
          <w:p>
            <w:pPr>
              <w:pStyle w:val="11"/>
            </w:pPr>
            <w:r>
              <w:t>合计</w:t>
            </w:r>
          </w:p>
        </w:tc>
        <w:tc>
          <w:tcPr>
            <w:tcW w:w="1015" w:type="dxa"/>
            <w:vAlign w:val="center"/>
          </w:tcPr>
          <w:p>
            <w:pPr>
              <w:pStyle w:val="11"/>
            </w:pPr>
            <w:r>
              <w:t>一般公共预算拨款</w:t>
            </w:r>
          </w:p>
        </w:tc>
        <w:tc>
          <w:tcPr>
            <w:tcW w:w="739" w:type="dxa"/>
            <w:vAlign w:val="center"/>
          </w:tcPr>
          <w:p>
            <w:pPr>
              <w:pStyle w:val="11"/>
            </w:pPr>
            <w:r>
              <w:t>基金预算拨款</w:t>
            </w:r>
          </w:p>
        </w:tc>
        <w:tc>
          <w:tcPr>
            <w:tcW w:w="1107" w:type="dxa"/>
            <w:vAlign w:val="center"/>
          </w:tcPr>
          <w:p>
            <w:pPr>
              <w:pStyle w:val="11"/>
            </w:pPr>
            <w:r>
              <w:t>国有资本经营预算拨款</w:t>
            </w:r>
          </w:p>
        </w:tc>
        <w:tc>
          <w:tcPr>
            <w:tcW w:w="727" w:type="dxa"/>
            <w:vAlign w:val="center"/>
          </w:tcPr>
          <w:p>
            <w:pPr>
              <w:pStyle w:val="11"/>
            </w:pPr>
            <w:r>
              <w:t>财政专户核拨</w:t>
            </w:r>
          </w:p>
        </w:tc>
        <w:tc>
          <w:tcPr>
            <w:tcW w:w="646" w:type="dxa"/>
            <w:vAlign w:val="center"/>
          </w:tcPr>
          <w:p>
            <w:pPr>
              <w:pStyle w:val="11"/>
            </w:pPr>
            <w:r>
              <w:t>单位    资金</w:t>
            </w:r>
          </w:p>
        </w:tc>
        <w:tc>
          <w:tcPr>
            <w:tcW w:w="719"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626" w:type="dxa"/>
            <w:vAlign w:val="center"/>
          </w:tcPr>
          <w:p>
            <w:pPr>
              <w:pStyle w:val="17"/>
            </w:pPr>
          </w:p>
        </w:tc>
        <w:tc>
          <w:tcPr>
            <w:tcW w:w="1500" w:type="dxa"/>
            <w:vAlign w:val="center"/>
          </w:tcPr>
          <w:p>
            <w:pPr>
              <w:pStyle w:val="17"/>
            </w:pPr>
          </w:p>
        </w:tc>
        <w:tc>
          <w:tcPr>
            <w:tcW w:w="807" w:type="dxa"/>
            <w:vAlign w:val="center"/>
          </w:tcPr>
          <w:p>
            <w:pPr>
              <w:pStyle w:val="15"/>
            </w:pPr>
          </w:p>
        </w:tc>
        <w:tc>
          <w:tcPr>
            <w:tcW w:w="739" w:type="dxa"/>
            <w:vAlign w:val="center"/>
          </w:tcPr>
          <w:p>
            <w:pPr>
              <w:pStyle w:val="16"/>
            </w:pPr>
          </w:p>
        </w:tc>
        <w:tc>
          <w:tcPr>
            <w:tcW w:w="819" w:type="dxa"/>
            <w:vAlign w:val="center"/>
          </w:tcPr>
          <w:p>
            <w:pPr>
              <w:pStyle w:val="16"/>
            </w:pPr>
          </w:p>
        </w:tc>
        <w:tc>
          <w:tcPr>
            <w:tcW w:w="981" w:type="dxa"/>
            <w:vAlign w:val="center"/>
          </w:tcPr>
          <w:p>
            <w:pPr>
              <w:pStyle w:val="16"/>
            </w:pPr>
            <w:r>
              <w:t>37.51</w:t>
            </w:r>
          </w:p>
        </w:tc>
        <w:tc>
          <w:tcPr>
            <w:tcW w:w="1015" w:type="dxa"/>
            <w:vAlign w:val="center"/>
          </w:tcPr>
          <w:p>
            <w:pPr>
              <w:pStyle w:val="16"/>
            </w:pPr>
            <w:r>
              <w:t>37.51</w:t>
            </w:r>
          </w:p>
        </w:tc>
        <w:tc>
          <w:tcPr>
            <w:tcW w:w="739" w:type="dxa"/>
            <w:vAlign w:val="center"/>
          </w:tcPr>
          <w:p>
            <w:pPr>
              <w:pStyle w:val="16"/>
            </w:pPr>
          </w:p>
        </w:tc>
        <w:tc>
          <w:tcPr>
            <w:tcW w:w="1107" w:type="dxa"/>
            <w:vAlign w:val="center"/>
          </w:tcPr>
          <w:p>
            <w:pPr>
              <w:pStyle w:val="16"/>
            </w:pPr>
          </w:p>
        </w:tc>
        <w:tc>
          <w:tcPr>
            <w:tcW w:w="727" w:type="dxa"/>
            <w:vAlign w:val="center"/>
          </w:tcPr>
          <w:p>
            <w:pPr>
              <w:pStyle w:val="16"/>
            </w:pPr>
          </w:p>
        </w:tc>
        <w:tc>
          <w:tcPr>
            <w:tcW w:w="646" w:type="dxa"/>
            <w:vAlign w:val="center"/>
          </w:tcPr>
          <w:p>
            <w:pPr>
              <w:pStyle w:val="16"/>
            </w:pPr>
          </w:p>
        </w:tc>
        <w:tc>
          <w:tcPr>
            <w:tcW w:w="719" w:type="dxa"/>
            <w:vAlign w:val="center"/>
          </w:tcPr>
          <w:p>
            <w:pPr>
              <w:pStyle w:val="16"/>
            </w:pPr>
          </w:p>
        </w:tc>
        <w:tc>
          <w:tcPr>
            <w:tcW w:w="964" w:type="dxa"/>
            <w:vAlign w:val="center"/>
          </w:tcPr>
          <w:p>
            <w:pPr>
              <w:pStyle w:val="16"/>
            </w:pPr>
            <w:r>
              <w:t>37.51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肖营子镇人民政府本级小计</w:t>
            </w:r>
          </w:p>
        </w:tc>
        <w:tc>
          <w:tcPr>
            <w:tcW w:w="964" w:type="dxa"/>
            <w:vAlign w:val="center"/>
          </w:tcPr>
          <w:p>
            <w:pPr>
              <w:pStyle w:val="16"/>
            </w:pPr>
          </w:p>
        </w:tc>
        <w:tc>
          <w:tcPr>
            <w:tcW w:w="1626" w:type="dxa"/>
            <w:vAlign w:val="center"/>
          </w:tcPr>
          <w:p>
            <w:pPr>
              <w:pStyle w:val="17"/>
            </w:pPr>
          </w:p>
        </w:tc>
        <w:tc>
          <w:tcPr>
            <w:tcW w:w="1500" w:type="dxa"/>
            <w:vAlign w:val="center"/>
          </w:tcPr>
          <w:p>
            <w:pPr>
              <w:pStyle w:val="17"/>
            </w:pPr>
          </w:p>
        </w:tc>
        <w:tc>
          <w:tcPr>
            <w:tcW w:w="807" w:type="dxa"/>
            <w:vAlign w:val="center"/>
          </w:tcPr>
          <w:p>
            <w:pPr>
              <w:pStyle w:val="15"/>
            </w:pPr>
          </w:p>
        </w:tc>
        <w:tc>
          <w:tcPr>
            <w:tcW w:w="739" w:type="dxa"/>
            <w:vAlign w:val="center"/>
          </w:tcPr>
          <w:p>
            <w:pPr>
              <w:pStyle w:val="16"/>
            </w:pPr>
          </w:p>
        </w:tc>
        <w:tc>
          <w:tcPr>
            <w:tcW w:w="819" w:type="dxa"/>
            <w:vAlign w:val="center"/>
          </w:tcPr>
          <w:p>
            <w:pPr>
              <w:pStyle w:val="16"/>
            </w:pPr>
          </w:p>
        </w:tc>
        <w:tc>
          <w:tcPr>
            <w:tcW w:w="981" w:type="dxa"/>
            <w:vAlign w:val="center"/>
          </w:tcPr>
          <w:p>
            <w:pPr>
              <w:pStyle w:val="16"/>
            </w:pPr>
            <w:r>
              <w:t>37.51</w:t>
            </w:r>
          </w:p>
        </w:tc>
        <w:tc>
          <w:tcPr>
            <w:tcW w:w="1015" w:type="dxa"/>
            <w:vAlign w:val="center"/>
          </w:tcPr>
          <w:p>
            <w:pPr>
              <w:pStyle w:val="16"/>
            </w:pPr>
            <w:r>
              <w:t>37.51</w:t>
            </w:r>
          </w:p>
        </w:tc>
        <w:tc>
          <w:tcPr>
            <w:tcW w:w="739" w:type="dxa"/>
            <w:vAlign w:val="center"/>
          </w:tcPr>
          <w:p>
            <w:pPr>
              <w:pStyle w:val="16"/>
            </w:pPr>
          </w:p>
        </w:tc>
        <w:tc>
          <w:tcPr>
            <w:tcW w:w="1107" w:type="dxa"/>
            <w:vAlign w:val="center"/>
          </w:tcPr>
          <w:p>
            <w:pPr>
              <w:pStyle w:val="16"/>
            </w:pPr>
          </w:p>
        </w:tc>
        <w:tc>
          <w:tcPr>
            <w:tcW w:w="727" w:type="dxa"/>
            <w:vAlign w:val="center"/>
          </w:tcPr>
          <w:p>
            <w:pPr>
              <w:pStyle w:val="16"/>
            </w:pPr>
          </w:p>
        </w:tc>
        <w:tc>
          <w:tcPr>
            <w:tcW w:w="646" w:type="dxa"/>
            <w:vAlign w:val="center"/>
          </w:tcPr>
          <w:p>
            <w:pPr>
              <w:pStyle w:val="16"/>
            </w:pPr>
          </w:p>
        </w:tc>
        <w:tc>
          <w:tcPr>
            <w:tcW w:w="719" w:type="dxa"/>
            <w:vAlign w:val="center"/>
          </w:tcPr>
          <w:p>
            <w:pPr>
              <w:pStyle w:val="16"/>
            </w:pPr>
          </w:p>
        </w:tc>
        <w:tc>
          <w:tcPr>
            <w:tcW w:w="964" w:type="dxa"/>
            <w:vAlign w:val="center"/>
          </w:tcPr>
          <w:p>
            <w:pPr>
              <w:pStyle w:val="16"/>
            </w:pPr>
            <w:r>
              <w:t>37.51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其他计算机</w:t>
            </w:r>
          </w:p>
        </w:tc>
        <w:tc>
          <w:tcPr>
            <w:tcW w:w="1500" w:type="dxa"/>
            <w:vAlign w:val="center"/>
          </w:tcPr>
          <w:p>
            <w:pPr>
              <w:pStyle w:val="13"/>
            </w:pPr>
            <w:r>
              <w:t>A02010199</w:t>
            </w:r>
          </w:p>
        </w:tc>
        <w:tc>
          <w:tcPr>
            <w:tcW w:w="807" w:type="dxa"/>
            <w:vAlign w:val="center"/>
          </w:tcPr>
          <w:p>
            <w:pPr>
              <w:pStyle w:val="14"/>
            </w:pPr>
            <w:r>
              <w:t>台</w:t>
            </w:r>
          </w:p>
        </w:tc>
        <w:tc>
          <w:tcPr>
            <w:tcW w:w="739" w:type="dxa"/>
            <w:vAlign w:val="center"/>
          </w:tcPr>
          <w:p>
            <w:pPr>
              <w:pStyle w:val="12"/>
            </w:pPr>
            <w:r>
              <w:t>8</w:t>
            </w:r>
          </w:p>
        </w:tc>
        <w:tc>
          <w:tcPr>
            <w:tcW w:w="819" w:type="dxa"/>
            <w:vAlign w:val="center"/>
          </w:tcPr>
          <w:p>
            <w:pPr>
              <w:pStyle w:val="12"/>
            </w:pPr>
            <w:r>
              <w:t>0.45</w:t>
            </w:r>
          </w:p>
        </w:tc>
        <w:tc>
          <w:tcPr>
            <w:tcW w:w="981" w:type="dxa"/>
            <w:vAlign w:val="center"/>
          </w:tcPr>
          <w:p>
            <w:pPr>
              <w:pStyle w:val="12"/>
            </w:pPr>
            <w:r>
              <w:t>3.60</w:t>
            </w:r>
          </w:p>
        </w:tc>
        <w:tc>
          <w:tcPr>
            <w:tcW w:w="1015" w:type="dxa"/>
            <w:vAlign w:val="center"/>
          </w:tcPr>
          <w:p>
            <w:pPr>
              <w:pStyle w:val="12"/>
            </w:pPr>
            <w:r>
              <w:t>3.60</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其他打印机</w:t>
            </w:r>
          </w:p>
        </w:tc>
        <w:tc>
          <w:tcPr>
            <w:tcW w:w="1500" w:type="dxa"/>
            <w:vAlign w:val="center"/>
          </w:tcPr>
          <w:p>
            <w:pPr>
              <w:pStyle w:val="13"/>
            </w:pPr>
            <w:r>
              <w:t>A02021099</w:t>
            </w:r>
          </w:p>
        </w:tc>
        <w:tc>
          <w:tcPr>
            <w:tcW w:w="807" w:type="dxa"/>
            <w:vAlign w:val="center"/>
          </w:tcPr>
          <w:p>
            <w:pPr>
              <w:pStyle w:val="14"/>
            </w:pPr>
            <w:r>
              <w:t>台</w:t>
            </w:r>
          </w:p>
        </w:tc>
        <w:tc>
          <w:tcPr>
            <w:tcW w:w="739" w:type="dxa"/>
            <w:vAlign w:val="center"/>
          </w:tcPr>
          <w:p>
            <w:pPr>
              <w:pStyle w:val="12"/>
            </w:pPr>
            <w:r>
              <w:t>2</w:t>
            </w:r>
          </w:p>
        </w:tc>
        <w:tc>
          <w:tcPr>
            <w:tcW w:w="819" w:type="dxa"/>
            <w:vAlign w:val="center"/>
          </w:tcPr>
          <w:p>
            <w:pPr>
              <w:pStyle w:val="12"/>
            </w:pPr>
            <w:r>
              <w:t>0.20</w:t>
            </w:r>
          </w:p>
        </w:tc>
        <w:tc>
          <w:tcPr>
            <w:tcW w:w="981" w:type="dxa"/>
            <w:vAlign w:val="center"/>
          </w:tcPr>
          <w:p>
            <w:pPr>
              <w:pStyle w:val="12"/>
            </w:pPr>
            <w:r>
              <w:t>0.40</w:t>
            </w:r>
          </w:p>
        </w:tc>
        <w:tc>
          <w:tcPr>
            <w:tcW w:w="1015" w:type="dxa"/>
            <w:vAlign w:val="center"/>
          </w:tcPr>
          <w:p>
            <w:pPr>
              <w:pStyle w:val="12"/>
            </w:pPr>
            <w:r>
              <w:t>0.40</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复印纸</w:t>
            </w:r>
          </w:p>
        </w:tc>
        <w:tc>
          <w:tcPr>
            <w:tcW w:w="1500" w:type="dxa"/>
            <w:vAlign w:val="center"/>
          </w:tcPr>
          <w:p>
            <w:pPr>
              <w:pStyle w:val="13"/>
            </w:pPr>
            <w:r>
              <w:t>A05040101</w:t>
            </w:r>
          </w:p>
        </w:tc>
        <w:tc>
          <w:tcPr>
            <w:tcW w:w="807" w:type="dxa"/>
            <w:vAlign w:val="center"/>
          </w:tcPr>
          <w:p>
            <w:pPr>
              <w:pStyle w:val="14"/>
            </w:pPr>
            <w:r>
              <w:t>包</w:t>
            </w:r>
          </w:p>
        </w:tc>
        <w:tc>
          <w:tcPr>
            <w:tcW w:w="739" w:type="dxa"/>
            <w:vAlign w:val="center"/>
          </w:tcPr>
          <w:p>
            <w:pPr>
              <w:pStyle w:val="12"/>
            </w:pPr>
            <w:r>
              <w:t>3000</w:t>
            </w:r>
          </w:p>
        </w:tc>
        <w:tc>
          <w:tcPr>
            <w:tcW w:w="819" w:type="dxa"/>
            <w:vAlign w:val="center"/>
          </w:tcPr>
          <w:p>
            <w:pPr>
              <w:pStyle w:val="12"/>
            </w:pPr>
            <w:r>
              <w:t>0.00</w:t>
            </w:r>
          </w:p>
        </w:tc>
        <w:tc>
          <w:tcPr>
            <w:tcW w:w="981" w:type="dxa"/>
            <w:vAlign w:val="center"/>
          </w:tcPr>
          <w:p>
            <w:pPr>
              <w:pStyle w:val="12"/>
            </w:pPr>
            <w:r>
              <w:t>5.10</w:t>
            </w:r>
          </w:p>
        </w:tc>
        <w:tc>
          <w:tcPr>
            <w:tcW w:w="1015" w:type="dxa"/>
            <w:vAlign w:val="center"/>
          </w:tcPr>
          <w:p>
            <w:pPr>
              <w:pStyle w:val="12"/>
            </w:pPr>
            <w:r>
              <w:t>5.10</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网络接入服务</w:t>
            </w:r>
          </w:p>
        </w:tc>
        <w:tc>
          <w:tcPr>
            <w:tcW w:w="1500" w:type="dxa"/>
            <w:vAlign w:val="center"/>
          </w:tcPr>
          <w:p>
            <w:pPr>
              <w:pStyle w:val="13"/>
            </w:pPr>
            <w:r>
              <w:t>C17010200</w:t>
            </w:r>
          </w:p>
        </w:tc>
        <w:tc>
          <w:tcPr>
            <w:tcW w:w="807" w:type="dxa"/>
            <w:vAlign w:val="center"/>
          </w:tcPr>
          <w:p>
            <w:pPr>
              <w:pStyle w:val="14"/>
            </w:pPr>
            <w:r>
              <w:t>年</w:t>
            </w:r>
          </w:p>
        </w:tc>
        <w:tc>
          <w:tcPr>
            <w:tcW w:w="739" w:type="dxa"/>
            <w:vAlign w:val="center"/>
          </w:tcPr>
          <w:p>
            <w:pPr>
              <w:pStyle w:val="12"/>
            </w:pPr>
            <w:r>
              <w:t>1</w:t>
            </w:r>
          </w:p>
        </w:tc>
        <w:tc>
          <w:tcPr>
            <w:tcW w:w="819" w:type="dxa"/>
            <w:vAlign w:val="center"/>
          </w:tcPr>
          <w:p>
            <w:pPr>
              <w:pStyle w:val="12"/>
            </w:pPr>
            <w:r>
              <w:t>24.81</w:t>
            </w:r>
          </w:p>
        </w:tc>
        <w:tc>
          <w:tcPr>
            <w:tcW w:w="981" w:type="dxa"/>
            <w:vAlign w:val="center"/>
          </w:tcPr>
          <w:p>
            <w:pPr>
              <w:pStyle w:val="12"/>
            </w:pPr>
            <w:r>
              <w:t>24.81</w:t>
            </w:r>
          </w:p>
        </w:tc>
        <w:tc>
          <w:tcPr>
            <w:tcW w:w="1015" w:type="dxa"/>
            <w:vAlign w:val="center"/>
          </w:tcPr>
          <w:p>
            <w:pPr>
              <w:pStyle w:val="12"/>
            </w:pPr>
            <w:r>
              <w:t>24.81</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24.81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财产保险服务</w:t>
            </w:r>
          </w:p>
        </w:tc>
        <w:tc>
          <w:tcPr>
            <w:tcW w:w="1500" w:type="dxa"/>
            <w:vAlign w:val="center"/>
          </w:tcPr>
          <w:p>
            <w:pPr>
              <w:pStyle w:val="13"/>
            </w:pPr>
            <w:r>
              <w:t>C18040102</w:t>
            </w:r>
          </w:p>
        </w:tc>
        <w:tc>
          <w:tcPr>
            <w:tcW w:w="807" w:type="dxa"/>
            <w:vAlign w:val="center"/>
          </w:tcPr>
          <w:p>
            <w:pPr>
              <w:pStyle w:val="14"/>
            </w:pPr>
            <w:r>
              <w:t>车/年</w:t>
            </w:r>
          </w:p>
        </w:tc>
        <w:tc>
          <w:tcPr>
            <w:tcW w:w="739" w:type="dxa"/>
            <w:vAlign w:val="center"/>
          </w:tcPr>
          <w:p>
            <w:pPr>
              <w:pStyle w:val="12"/>
            </w:pPr>
            <w:r>
              <w:t>1</w:t>
            </w:r>
          </w:p>
        </w:tc>
        <w:tc>
          <w:tcPr>
            <w:tcW w:w="819" w:type="dxa"/>
            <w:vAlign w:val="center"/>
          </w:tcPr>
          <w:p>
            <w:pPr>
              <w:pStyle w:val="12"/>
            </w:pPr>
            <w:r>
              <w:t>0.25</w:t>
            </w:r>
          </w:p>
        </w:tc>
        <w:tc>
          <w:tcPr>
            <w:tcW w:w="981" w:type="dxa"/>
            <w:vAlign w:val="center"/>
          </w:tcPr>
          <w:p>
            <w:pPr>
              <w:pStyle w:val="12"/>
            </w:pPr>
            <w:r>
              <w:t>0.25</w:t>
            </w:r>
          </w:p>
        </w:tc>
        <w:tc>
          <w:tcPr>
            <w:tcW w:w="1015" w:type="dxa"/>
            <w:vAlign w:val="center"/>
          </w:tcPr>
          <w:p>
            <w:pPr>
              <w:pStyle w:val="12"/>
            </w:pPr>
            <w:r>
              <w:t>0.25</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车辆维修和保养服务</w:t>
            </w:r>
          </w:p>
        </w:tc>
        <w:tc>
          <w:tcPr>
            <w:tcW w:w="1500" w:type="dxa"/>
            <w:vAlign w:val="center"/>
          </w:tcPr>
          <w:p>
            <w:pPr>
              <w:pStyle w:val="13"/>
            </w:pPr>
            <w:r>
              <w:t>C23120301</w:t>
            </w:r>
          </w:p>
        </w:tc>
        <w:tc>
          <w:tcPr>
            <w:tcW w:w="807" w:type="dxa"/>
            <w:vAlign w:val="center"/>
          </w:tcPr>
          <w:p>
            <w:pPr>
              <w:pStyle w:val="14"/>
            </w:pPr>
            <w:r>
              <w:t>车/年</w:t>
            </w:r>
          </w:p>
        </w:tc>
        <w:tc>
          <w:tcPr>
            <w:tcW w:w="739" w:type="dxa"/>
            <w:vAlign w:val="center"/>
          </w:tcPr>
          <w:p>
            <w:pPr>
              <w:pStyle w:val="12"/>
            </w:pPr>
            <w:r>
              <w:t>1</w:t>
            </w:r>
          </w:p>
        </w:tc>
        <w:tc>
          <w:tcPr>
            <w:tcW w:w="819" w:type="dxa"/>
            <w:vAlign w:val="center"/>
          </w:tcPr>
          <w:p>
            <w:pPr>
              <w:pStyle w:val="12"/>
            </w:pPr>
            <w:r>
              <w:t>1.50</w:t>
            </w:r>
          </w:p>
        </w:tc>
        <w:tc>
          <w:tcPr>
            <w:tcW w:w="981" w:type="dxa"/>
            <w:vAlign w:val="center"/>
          </w:tcPr>
          <w:p>
            <w:pPr>
              <w:pStyle w:val="12"/>
            </w:pPr>
            <w:r>
              <w:t>1.50</w:t>
            </w:r>
          </w:p>
        </w:tc>
        <w:tc>
          <w:tcPr>
            <w:tcW w:w="1015" w:type="dxa"/>
            <w:vAlign w:val="center"/>
          </w:tcPr>
          <w:p>
            <w:pPr>
              <w:pStyle w:val="12"/>
            </w:pPr>
            <w:r>
              <w:t>1.50</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85.71</w:t>
            </w:r>
          </w:p>
        </w:tc>
        <w:tc>
          <w:tcPr>
            <w:tcW w:w="1626" w:type="dxa"/>
            <w:vAlign w:val="center"/>
          </w:tcPr>
          <w:p>
            <w:pPr>
              <w:pStyle w:val="13"/>
            </w:pPr>
            <w:r>
              <w:t>车辆加油、添加燃料服务</w:t>
            </w:r>
          </w:p>
        </w:tc>
        <w:tc>
          <w:tcPr>
            <w:tcW w:w="1500" w:type="dxa"/>
            <w:vAlign w:val="center"/>
          </w:tcPr>
          <w:p>
            <w:pPr>
              <w:pStyle w:val="13"/>
            </w:pPr>
            <w:r>
              <w:t>C23120302</w:t>
            </w:r>
          </w:p>
        </w:tc>
        <w:tc>
          <w:tcPr>
            <w:tcW w:w="807" w:type="dxa"/>
            <w:vAlign w:val="center"/>
          </w:tcPr>
          <w:p>
            <w:pPr>
              <w:pStyle w:val="14"/>
            </w:pPr>
            <w:r>
              <w:t>车/年</w:t>
            </w:r>
          </w:p>
        </w:tc>
        <w:tc>
          <w:tcPr>
            <w:tcW w:w="739" w:type="dxa"/>
            <w:vAlign w:val="center"/>
          </w:tcPr>
          <w:p>
            <w:pPr>
              <w:pStyle w:val="12"/>
            </w:pPr>
            <w:r>
              <w:t>1</w:t>
            </w:r>
          </w:p>
        </w:tc>
        <w:tc>
          <w:tcPr>
            <w:tcW w:w="819" w:type="dxa"/>
            <w:vAlign w:val="center"/>
          </w:tcPr>
          <w:p>
            <w:pPr>
              <w:pStyle w:val="12"/>
            </w:pPr>
            <w:r>
              <w:t>1.85</w:t>
            </w:r>
          </w:p>
        </w:tc>
        <w:tc>
          <w:tcPr>
            <w:tcW w:w="981" w:type="dxa"/>
            <w:vAlign w:val="center"/>
          </w:tcPr>
          <w:p>
            <w:pPr>
              <w:pStyle w:val="12"/>
            </w:pPr>
            <w:r>
              <w:t>1.85</w:t>
            </w:r>
          </w:p>
        </w:tc>
        <w:tc>
          <w:tcPr>
            <w:tcW w:w="1015" w:type="dxa"/>
            <w:vAlign w:val="center"/>
          </w:tcPr>
          <w:p>
            <w:pPr>
              <w:pStyle w:val="12"/>
            </w:pPr>
            <w:r>
              <w:t>1.85</w:t>
            </w:r>
          </w:p>
        </w:tc>
        <w:tc>
          <w:tcPr>
            <w:tcW w:w="739" w:type="dxa"/>
            <w:vAlign w:val="center"/>
          </w:tcPr>
          <w:p>
            <w:pPr>
              <w:pStyle w:val="12"/>
            </w:pPr>
          </w:p>
        </w:tc>
        <w:tc>
          <w:tcPr>
            <w:tcW w:w="1107" w:type="dxa"/>
            <w:vAlign w:val="center"/>
          </w:tcPr>
          <w:p>
            <w:pPr>
              <w:pStyle w:val="12"/>
            </w:pPr>
          </w:p>
        </w:tc>
        <w:tc>
          <w:tcPr>
            <w:tcW w:w="727" w:type="dxa"/>
            <w:vAlign w:val="center"/>
          </w:tcPr>
          <w:p>
            <w:pPr>
              <w:pStyle w:val="12"/>
            </w:pPr>
          </w:p>
        </w:tc>
        <w:tc>
          <w:tcPr>
            <w:tcW w:w="646" w:type="dxa"/>
            <w:vAlign w:val="center"/>
          </w:tcPr>
          <w:p>
            <w:pPr>
              <w:pStyle w:val="12"/>
            </w:pPr>
          </w:p>
        </w:tc>
        <w:tc>
          <w:tcPr>
            <w:tcW w:w="719" w:type="dxa"/>
            <w:vAlign w:val="center"/>
          </w:tcPr>
          <w:p>
            <w:pPr>
              <w:pStyle w:val="12"/>
            </w:pPr>
          </w:p>
        </w:tc>
        <w:tc>
          <w:tcPr>
            <w:tcW w:w="964" w:type="dxa"/>
            <w:vAlign w:val="center"/>
          </w:tcPr>
          <w:p>
            <w:pPr>
              <w:pStyle w:val="12"/>
            </w:pPr>
            <w:r>
              <w:t>1.85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肖营子镇（含所属单位）上年末固定资产金额为469.40万元（详见下表）。本年度拟购置固定资产总额为4.00万元，已按要求列入政府采购预算，详见政府采购预算表。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916肖营子镇</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469.40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17137.48</w:t>
            </w:r>
          </w:p>
        </w:tc>
        <w:tc>
          <w:tcPr>
            <w:tcW w:w="2835" w:type="dxa"/>
            <w:vAlign w:val="center"/>
          </w:tcPr>
          <w:p>
            <w:pPr>
              <w:pStyle w:val="12"/>
            </w:pPr>
            <w:r>
              <w:t>383.26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2337.35</w:t>
            </w:r>
          </w:p>
        </w:tc>
        <w:tc>
          <w:tcPr>
            <w:tcW w:w="2835" w:type="dxa"/>
            <w:vAlign w:val="center"/>
          </w:tcPr>
          <w:p>
            <w:pPr>
              <w:pStyle w:val="12"/>
            </w:pPr>
            <w:r>
              <w:t>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179</w:t>
            </w:r>
          </w:p>
        </w:tc>
        <w:tc>
          <w:tcPr>
            <w:tcW w:w="2835" w:type="dxa"/>
            <w:vAlign w:val="center"/>
          </w:tcPr>
          <w:p>
            <w:pPr>
              <w:pStyle w:val="12"/>
            </w:pPr>
            <w:r>
              <w:t>75.66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29019E"/>
    <w:rsid w:val="1009740F"/>
    <w:rsid w:val="113839D4"/>
    <w:rsid w:val="22066DA7"/>
    <w:rsid w:val="272F7AD6"/>
    <w:rsid w:val="2AD230DF"/>
    <w:rsid w:val="2F8224FF"/>
    <w:rsid w:val="31321CCF"/>
    <w:rsid w:val="37D70436"/>
    <w:rsid w:val="4A3316C9"/>
    <w:rsid w:val="4D817AF1"/>
    <w:rsid w:val="4F460556"/>
    <w:rsid w:val="53793A60"/>
    <w:rsid w:val="53965914"/>
    <w:rsid w:val="65BB247C"/>
    <w:rsid w:val="67F702BE"/>
    <w:rsid w:val="68367986"/>
    <w:rsid w:val="6F5C4E0A"/>
    <w:rsid w:val="772037FC"/>
    <w:rsid w:val="77CE5F1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TotalTime>5</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2025-01-27T17:13:00Z</dcterms:created>
  <dc:creator>Administrator</dc:creator>
  <cp:lastModifiedBy>Administrator</cp:lastModifiedBy>
  <dcterms:modified xsi:type="dcterms:W3CDTF">2025-07-01T03:08:47Z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7904C429D0214A4883A30FF8A1E0F0CE</vt:lpwstr>
  </property>
</Properties>
</file>