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val="en-US" w:eastAsia="zh-CN"/>
        </w:rPr>
        <w:t>单位</w:t>
      </w:r>
      <w:r>
        <w:rPr>
          <w:rFonts w:ascii="方正小标宋_GBK" w:hAnsi="方正小标宋_GBK" w:eastAsia="方正小标宋_GBK" w:cs="方正小标宋_GBK"/>
          <w:color w:val="000000"/>
          <w:sz w:val="72"/>
        </w:rPr>
        <w:t>预算</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1587.17</w:t>
            </w:r>
          </w:p>
        </w:tc>
        <w:tc>
          <w:tcPr>
            <w:tcW w:w="4535" w:type="dxa"/>
            <w:vAlign w:val="center"/>
          </w:tcPr>
          <w:p>
            <w:pPr>
              <w:pStyle w:val="14"/>
            </w:pPr>
            <w:r>
              <w:t>一、一般公共服务支出</w:t>
            </w:r>
          </w:p>
        </w:tc>
        <w:tc>
          <w:tcPr>
            <w:tcW w:w="2126" w:type="dxa"/>
            <w:vAlign w:val="center"/>
          </w:tcPr>
          <w:p>
            <w:pPr>
              <w:pStyle w:val="13"/>
            </w:pPr>
            <w:r>
              <w:t>1360.20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63.18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1587.17</w:t>
            </w:r>
          </w:p>
        </w:tc>
        <w:tc>
          <w:tcPr>
            <w:tcW w:w="4535" w:type="dxa"/>
            <w:vAlign w:val="center"/>
          </w:tcPr>
          <w:p>
            <w:pPr>
              <w:pStyle w:val="16"/>
            </w:pPr>
            <w:r>
              <w:t>本年支出合计</w:t>
            </w:r>
          </w:p>
        </w:tc>
        <w:tc>
          <w:tcPr>
            <w:tcW w:w="2126" w:type="dxa"/>
            <w:vAlign w:val="center"/>
          </w:tcPr>
          <w:p>
            <w:pPr>
              <w:pStyle w:val="17"/>
            </w:pPr>
            <w:r>
              <w:t>1643.69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56.52</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1643.69</w:t>
            </w:r>
          </w:p>
        </w:tc>
        <w:tc>
          <w:tcPr>
            <w:tcW w:w="4535" w:type="dxa"/>
            <w:vAlign w:val="center"/>
          </w:tcPr>
          <w:p>
            <w:pPr>
              <w:pStyle w:val="16"/>
            </w:pPr>
            <w:r>
              <w:t>支出总计</w:t>
            </w:r>
          </w:p>
        </w:tc>
        <w:tc>
          <w:tcPr>
            <w:tcW w:w="2126" w:type="dxa"/>
            <w:vAlign w:val="center"/>
          </w:tcPr>
          <w:p>
            <w:pPr>
              <w:pStyle w:val="17"/>
            </w:pPr>
            <w:r>
              <w:t>1643.69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1643.69</w:t>
            </w:r>
          </w:p>
        </w:tc>
        <w:tc>
          <w:tcPr>
            <w:tcW w:w="1134" w:type="dxa"/>
            <w:vAlign w:val="center"/>
          </w:tcPr>
          <w:p>
            <w:pPr>
              <w:pStyle w:val="17"/>
            </w:pPr>
            <w:r>
              <w:t>1587.17</w:t>
            </w:r>
          </w:p>
        </w:tc>
        <w:tc>
          <w:tcPr>
            <w:tcW w:w="1134" w:type="dxa"/>
            <w:vAlign w:val="center"/>
          </w:tcPr>
          <w:p>
            <w:pPr>
              <w:pStyle w:val="17"/>
            </w:pPr>
            <w:r>
              <w:t>1587.17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1360.20</w:t>
            </w:r>
          </w:p>
        </w:tc>
        <w:tc>
          <w:tcPr>
            <w:tcW w:w="1134" w:type="dxa"/>
            <w:vAlign w:val="center"/>
          </w:tcPr>
          <w:p>
            <w:pPr>
              <w:pStyle w:val="13"/>
            </w:pPr>
            <w:r>
              <w:t>1303.90</w:t>
            </w:r>
          </w:p>
        </w:tc>
        <w:tc>
          <w:tcPr>
            <w:tcW w:w="1134" w:type="dxa"/>
            <w:vAlign w:val="center"/>
          </w:tcPr>
          <w:p>
            <w:pPr>
              <w:pStyle w:val="13"/>
            </w:pPr>
            <w:r>
              <w:t>1303.90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1360.20</w:t>
            </w:r>
          </w:p>
        </w:tc>
        <w:tc>
          <w:tcPr>
            <w:tcW w:w="1134" w:type="dxa"/>
            <w:vAlign w:val="center"/>
          </w:tcPr>
          <w:p>
            <w:pPr>
              <w:pStyle w:val="13"/>
            </w:pPr>
            <w:r>
              <w:t>1303.90</w:t>
            </w:r>
          </w:p>
        </w:tc>
        <w:tc>
          <w:tcPr>
            <w:tcW w:w="1134" w:type="dxa"/>
            <w:vAlign w:val="center"/>
          </w:tcPr>
          <w:p>
            <w:pPr>
              <w:pStyle w:val="13"/>
            </w:pPr>
            <w:r>
              <w:t>1303.90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2011101</w:t>
            </w:r>
          </w:p>
        </w:tc>
        <w:tc>
          <w:tcPr>
            <w:tcW w:w="1559" w:type="dxa"/>
            <w:vAlign w:val="center"/>
          </w:tcPr>
          <w:p>
            <w:pPr>
              <w:pStyle w:val="14"/>
            </w:pPr>
            <w:r>
              <w:t>行政运行</w:t>
            </w:r>
          </w:p>
        </w:tc>
        <w:tc>
          <w:tcPr>
            <w:tcW w:w="1134" w:type="dxa"/>
            <w:vAlign w:val="center"/>
          </w:tcPr>
          <w:p>
            <w:pPr>
              <w:pStyle w:val="13"/>
            </w:pPr>
            <w:r>
              <w:t>1076.63</w:t>
            </w:r>
          </w:p>
        </w:tc>
        <w:tc>
          <w:tcPr>
            <w:tcW w:w="1134" w:type="dxa"/>
            <w:vAlign w:val="center"/>
          </w:tcPr>
          <w:p>
            <w:pPr>
              <w:pStyle w:val="13"/>
            </w:pPr>
            <w:r>
              <w:t>1039.31</w:t>
            </w:r>
          </w:p>
        </w:tc>
        <w:tc>
          <w:tcPr>
            <w:tcW w:w="1134" w:type="dxa"/>
            <w:vAlign w:val="center"/>
          </w:tcPr>
          <w:p>
            <w:pPr>
              <w:pStyle w:val="13"/>
            </w:pPr>
            <w:r>
              <w:t>1039.31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2011104</w:t>
            </w:r>
          </w:p>
        </w:tc>
        <w:tc>
          <w:tcPr>
            <w:tcW w:w="1559" w:type="dxa"/>
            <w:vAlign w:val="center"/>
          </w:tcPr>
          <w:p>
            <w:pPr>
              <w:pStyle w:val="14"/>
            </w:pPr>
            <w:r>
              <w:t>大案要案查处</w:t>
            </w:r>
          </w:p>
        </w:tc>
        <w:tc>
          <w:tcPr>
            <w:tcW w:w="1134" w:type="dxa"/>
            <w:vAlign w:val="center"/>
          </w:tcPr>
          <w:p>
            <w:pPr>
              <w:pStyle w:val="13"/>
            </w:pPr>
            <w:r>
              <w:t>34.83</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2011106</w:t>
            </w:r>
          </w:p>
        </w:tc>
        <w:tc>
          <w:tcPr>
            <w:tcW w:w="1559" w:type="dxa"/>
            <w:vAlign w:val="center"/>
          </w:tcPr>
          <w:p>
            <w:pPr>
              <w:pStyle w:val="14"/>
            </w:pPr>
            <w:r>
              <w:t>巡视工作</w:t>
            </w:r>
          </w:p>
        </w:tc>
        <w:tc>
          <w:tcPr>
            <w:tcW w:w="1134" w:type="dxa"/>
            <w:vAlign w:val="center"/>
          </w:tcPr>
          <w:p>
            <w:pPr>
              <w:pStyle w:val="13"/>
            </w:pPr>
            <w:r>
              <w:t>18.15</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2011150</w:t>
            </w:r>
          </w:p>
        </w:tc>
        <w:tc>
          <w:tcPr>
            <w:tcW w:w="1559" w:type="dxa"/>
            <w:vAlign w:val="center"/>
          </w:tcPr>
          <w:p>
            <w:pPr>
              <w:pStyle w:val="14"/>
            </w:pPr>
            <w:r>
              <w:t>事业运行</w:t>
            </w:r>
          </w:p>
        </w:tc>
        <w:tc>
          <w:tcPr>
            <w:tcW w:w="1134" w:type="dxa"/>
            <w:vAlign w:val="center"/>
          </w:tcPr>
          <w:p>
            <w:pPr>
              <w:pStyle w:val="13"/>
            </w:pPr>
            <w:r>
              <w:t>49.19</w:t>
            </w:r>
          </w:p>
        </w:tc>
        <w:tc>
          <w:tcPr>
            <w:tcW w:w="1134" w:type="dxa"/>
            <w:vAlign w:val="center"/>
          </w:tcPr>
          <w:p>
            <w:pPr>
              <w:pStyle w:val="13"/>
            </w:pPr>
            <w:r>
              <w:t>49.19</w:t>
            </w:r>
          </w:p>
        </w:tc>
        <w:tc>
          <w:tcPr>
            <w:tcW w:w="1134" w:type="dxa"/>
            <w:vAlign w:val="center"/>
          </w:tcPr>
          <w:p>
            <w:pPr>
              <w:pStyle w:val="13"/>
            </w:pPr>
            <w:r>
              <w:t>49.19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2011199</w:t>
            </w:r>
          </w:p>
        </w:tc>
        <w:tc>
          <w:tcPr>
            <w:tcW w:w="1559" w:type="dxa"/>
            <w:vAlign w:val="center"/>
          </w:tcPr>
          <w:p>
            <w:pPr>
              <w:pStyle w:val="14"/>
            </w:pPr>
            <w:r>
              <w:t>其他纪检监察事务支出</w:t>
            </w:r>
          </w:p>
        </w:tc>
        <w:tc>
          <w:tcPr>
            <w:tcW w:w="1134" w:type="dxa"/>
            <w:vAlign w:val="center"/>
          </w:tcPr>
          <w:p>
            <w:pPr>
              <w:pStyle w:val="13"/>
            </w:pPr>
            <w:r>
              <w:t>181.40</w:t>
            </w:r>
          </w:p>
        </w:tc>
        <w:tc>
          <w:tcPr>
            <w:tcW w:w="1134" w:type="dxa"/>
            <w:vAlign w:val="center"/>
          </w:tcPr>
          <w:p>
            <w:pPr>
              <w:pStyle w:val="13"/>
            </w:pPr>
            <w:r>
              <w:t>176.40</w:t>
            </w:r>
          </w:p>
        </w:tc>
        <w:tc>
          <w:tcPr>
            <w:tcW w:w="1134" w:type="dxa"/>
            <w:vAlign w:val="center"/>
          </w:tcPr>
          <w:p>
            <w:pPr>
              <w:pStyle w:val="13"/>
            </w:pPr>
            <w:r>
              <w:t>176.40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153.48</w:t>
            </w:r>
          </w:p>
        </w:tc>
        <w:tc>
          <w:tcPr>
            <w:tcW w:w="1134" w:type="dxa"/>
            <w:vAlign w:val="center"/>
          </w:tcPr>
          <w:p>
            <w:pPr>
              <w:pStyle w:val="13"/>
            </w:pPr>
            <w:r>
              <w:t>153.26</w:t>
            </w:r>
          </w:p>
        </w:tc>
        <w:tc>
          <w:tcPr>
            <w:tcW w:w="1134" w:type="dxa"/>
            <w:vAlign w:val="center"/>
          </w:tcPr>
          <w:p>
            <w:pPr>
              <w:pStyle w:val="13"/>
            </w:pPr>
            <w:r>
              <w:t>153.26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151.47</w:t>
            </w:r>
          </w:p>
        </w:tc>
        <w:tc>
          <w:tcPr>
            <w:tcW w:w="1134" w:type="dxa"/>
            <w:vAlign w:val="center"/>
          </w:tcPr>
          <w:p>
            <w:pPr>
              <w:pStyle w:val="13"/>
            </w:pPr>
            <w:r>
              <w:t>151.47</w:t>
            </w:r>
          </w:p>
        </w:tc>
        <w:tc>
          <w:tcPr>
            <w:tcW w:w="1134" w:type="dxa"/>
            <w:vAlign w:val="center"/>
          </w:tcPr>
          <w:p>
            <w:pPr>
              <w:pStyle w:val="13"/>
            </w:pPr>
            <w:r>
              <w:t>151.47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21.36</w:t>
            </w:r>
          </w:p>
        </w:tc>
        <w:tc>
          <w:tcPr>
            <w:tcW w:w="1134" w:type="dxa"/>
            <w:vAlign w:val="center"/>
          </w:tcPr>
          <w:p>
            <w:pPr>
              <w:pStyle w:val="13"/>
            </w:pPr>
            <w:r>
              <w:t>21.36</w:t>
            </w:r>
          </w:p>
        </w:tc>
        <w:tc>
          <w:tcPr>
            <w:tcW w:w="1134" w:type="dxa"/>
            <w:vAlign w:val="center"/>
          </w:tcPr>
          <w:p>
            <w:pPr>
              <w:pStyle w:val="13"/>
            </w:pPr>
            <w:r>
              <w:t>21.36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130.11</w:t>
            </w:r>
          </w:p>
        </w:tc>
        <w:tc>
          <w:tcPr>
            <w:tcW w:w="1134" w:type="dxa"/>
            <w:vAlign w:val="center"/>
          </w:tcPr>
          <w:p>
            <w:pPr>
              <w:pStyle w:val="13"/>
            </w:pPr>
            <w:r>
              <w:t>130.11</w:t>
            </w:r>
          </w:p>
        </w:tc>
        <w:tc>
          <w:tcPr>
            <w:tcW w:w="1134" w:type="dxa"/>
            <w:vAlign w:val="center"/>
          </w:tcPr>
          <w:p>
            <w:pPr>
              <w:pStyle w:val="13"/>
            </w:pPr>
            <w:r>
              <w:t>130.11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2.01</w:t>
            </w:r>
          </w:p>
        </w:tc>
        <w:tc>
          <w:tcPr>
            <w:tcW w:w="1134" w:type="dxa"/>
            <w:vAlign w:val="center"/>
          </w:tcPr>
          <w:p>
            <w:pPr>
              <w:pStyle w:val="13"/>
            </w:pPr>
            <w:r>
              <w:t>1.79</w:t>
            </w:r>
          </w:p>
        </w:tc>
        <w:tc>
          <w:tcPr>
            <w:tcW w:w="1134" w:type="dxa"/>
            <w:vAlign w:val="center"/>
          </w:tcPr>
          <w:p>
            <w:pPr>
              <w:pStyle w:val="13"/>
            </w:pPr>
            <w:r>
              <w:t>1.79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2.01</w:t>
            </w:r>
          </w:p>
        </w:tc>
        <w:tc>
          <w:tcPr>
            <w:tcW w:w="1134" w:type="dxa"/>
            <w:vAlign w:val="center"/>
          </w:tcPr>
          <w:p>
            <w:pPr>
              <w:pStyle w:val="13"/>
            </w:pPr>
            <w:r>
              <w:t>1.79</w:t>
            </w:r>
          </w:p>
        </w:tc>
        <w:tc>
          <w:tcPr>
            <w:tcW w:w="1134" w:type="dxa"/>
            <w:vAlign w:val="center"/>
          </w:tcPr>
          <w:p>
            <w:pPr>
              <w:pStyle w:val="13"/>
            </w:pPr>
            <w:r>
              <w:t>1.79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63.18</w:t>
            </w:r>
          </w:p>
        </w:tc>
        <w:tc>
          <w:tcPr>
            <w:tcW w:w="1134" w:type="dxa"/>
            <w:vAlign w:val="center"/>
          </w:tcPr>
          <w:p>
            <w:pPr>
              <w:pStyle w:val="13"/>
            </w:pPr>
            <w:r>
              <w:t>63.18</w:t>
            </w:r>
          </w:p>
        </w:tc>
        <w:tc>
          <w:tcPr>
            <w:tcW w:w="1134" w:type="dxa"/>
            <w:vAlign w:val="center"/>
          </w:tcPr>
          <w:p>
            <w:pPr>
              <w:pStyle w:val="13"/>
            </w:pPr>
            <w:r>
              <w:t>63.18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63.18</w:t>
            </w:r>
          </w:p>
        </w:tc>
        <w:tc>
          <w:tcPr>
            <w:tcW w:w="1134" w:type="dxa"/>
            <w:vAlign w:val="center"/>
          </w:tcPr>
          <w:p>
            <w:pPr>
              <w:pStyle w:val="13"/>
            </w:pPr>
            <w:r>
              <w:t>63.18</w:t>
            </w:r>
          </w:p>
        </w:tc>
        <w:tc>
          <w:tcPr>
            <w:tcW w:w="1134" w:type="dxa"/>
            <w:vAlign w:val="center"/>
          </w:tcPr>
          <w:p>
            <w:pPr>
              <w:pStyle w:val="13"/>
            </w:pPr>
            <w:r>
              <w:t>63.18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59.09</w:t>
            </w:r>
          </w:p>
        </w:tc>
        <w:tc>
          <w:tcPr>
            <w:tcW w:w="1134" w:type="dxa"/>
            <w:vAlign w:val="center"/>
          </w:tcPr>
          <w:p>
            <w:pPr>
              <w:pStyle w:val="13"/>
            </w:pPr>
            <w:r>
              <w:t>59.09</w:t>
            </w:r>
          </w:p>
        </w:tc>
        <w:tc>
          <w:tcPr>
            <w:tcW w:w="1134" w:type="dxa"/>
            <w:vAlign w:val="center"/>
          </w:tcPr>
          <w:p>
            <w:pPr>
              <w:pStyle w:val="13"/>
            </w:pPr>
            <w:r>
              <w:t>59.09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4.09</w:t>
            </w:r>
          </w:p>
        </w:tc>
        <w:tc>
          <w:tcPr>
            <w:tcW w:w="1134" w:type="dxa"/>
            <w:vAlign w:val="center"/>
          </w:tcPr>
          <w:p>
            <w:pPr>
              <w:pStyle w:val="13"/>
            </w:pPr>
            <w:r>
              <w:t>4.09</w:t>
            </w:r>
          </w:p>
        </w:tc>
        <w:tc>
          <w:tcPr>
            <w:tcW w:w="1134" w:type="dxa"/>
            <w:vAlign w:val="center"/>
          </w:tcPr>
          <w:p>
            <w:pPr>
              <w:pStyle w:val="13"/>
            </w:pPr>
            <w:r>
              <w:t>4.09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66.83</w:t>
            </w:r>
          </w:p>
        </w:tc>
        <w:tc>
          <w:tcPr>
            <w:tcW w:w="1134" w:type="dxa"/>
            <w:vAlign w:val="center"/>
          </w:tcPr>
          <w:p>
            <w:pPr>
              <w:pStyle w:val="13"/>
            </w:pPr>
            <w:r>
              <w:t>66.83</w:t>
            </w:r>
          </w:p>
        </w:tc>
        <w:tc>
          <w:tcPr>
            <w:tcW w:w="1134" w:type="dxa"/>
            <w:vAlign w:val="center"/>
          </w:tcPr>
          <w:p>
            <w:pPr>
              <w:pStyle w:val="13"/>
            </w:pPr>
            <w:r>
              <w:t>66.83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66.83</w:t>
            </w:r>
          </w:p>
        </w:tc>
        <w:tc>
          <w:tcPr>
            <w:tcW w:w="1134" w:type="dxa"/>
            <w:vAlign w:val="center"/>
          </w:tcPr>
          <w:p>
            <w:pPr>
              <w:pStyle w:val="13"/>
            </w:pPr>
            <w:r>
              <w:t>66.83</w:t>
            </w:r>
          </w:p>
        </w:tc>
        <w:tc>
          <w:tcPr>
            <w:tcW w:w="1134" w:type="dxa"/>
            <w:vAlign w:val="center"/>
          </w:tcPr>
          <w:p>
            <w:pPr>
              <w:pStyle w:val="13"/>
            </w:pPr>
            <w:r>
              <w:t>66.83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66.83</w:t>
            </w:r>
          </w:p>
        </w:tc>
        <w:tc>
          <w:tcPr>
            <w:tcW w:w="1134" w:type="dxa"/>
            <w:vAlign w:val="center"/>
          </w:tcPr>
          <w:p>
            <w:pPr>
              <w:pStyle w:val="13"/>
            </w:pPr>
            <w:r>
              <w:t>66.83</w:t>
            </w:r>
          </w:p>
        </w:tc>
        <w:tc>
          <w:tcPr>
            <w:tcW w:w="1134" w:type="dxa"/>
            <w:vAlign w:val="center"/>
          </w:tcPr>
          <w:p>
            <w:pPr>
              <w:pStyle w:val="13"/>
            </w:pPr>
            <w:r>
              <w:t>66.83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1643.69</w:t>
            </w:r>
          </w:p>
        </w:tc>
        <w:tc>
          <w:tcPr>
            <w:tcW w:w="1361" w:type="dxa"/>
            <w:vAlign w:val="center"/>
          </w:tcPr>
          <w:p>
            <w:pPr>
              <w:pStyle w:val="17"/>
            </w:pPr>
            <w:r>
              <w:t>1409.31</w:t>
            </w:r>
          </w:p>
        </w:tc>
        <w:tc>
          <w:tcPr>
            <w:tcW w:w="1361" w:type="dxa"/>
            <w:vAlign w:val="center"/>
          </w:tcPr>
          <w:p>
            <w:pPr>
              <w:pStyle w:val="17"/>
            </w:pPr>
            <w:r>
              <w:t>234.38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1360.20</w:t>
            </w:r>
          </w:p>
        </w:tc>
        <w:tc>
          <w:tcPr>
            <w:tcW w:w="1361" w:type="dxa"/>
            <w:vAlign w:val="center"/>
          </w:tcPr>
          <w:p>
            <w:pPr>
              <w:pStyle w:val="13"/>
            </w:pPr>
            <w:r>
              <w:t>1125.82</w:t>
            </w:r>
          </w:p>
        </w:tc>
        <w:tc>
          <w:tcPr>
            <w:tcW w:w="1361" w:type="dxa"/>
            <w:vAlign w:val="center"/>
          </w:tcPr>
          <w:p>
            <w:pPr>
              <w:pStyle w:val="13"/>
            </w:pPr>
            <w:r>
              <w:t>234.38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1360.20</w:t>
            </w:r>
          </w:p>
        </w:tc>
        <w:tc>
          <w:tcPr>
            <w:tcW w:w="1361" w:type="dxa"/>
            <w:vAlign w:val="center"/>
          </w:tcPr>
          <w:p>
            <w:pPr>
              <w:pStyle w:val="13"/>
            </w:pPr>
            <w:r>
              <w:t>1125.82</w:t>
            </w:r>
          </w:p>
        </w:tc>
        <w:tc>
          <w:tcPr>
            <w:tcW w:w="1361" w:type="dxa"/>
            <w:vAlign w:val="center"/>
          </w:tcPr>
          <w:p>
            <w:pPr>
              <w:pStyle w:val="13"/>
            </w:pPr>
            <w:r>
              <w:t>234.38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2011101</w:t>
            </w:r>
          </w:p>
        </w:tc>
        <w:tc>
          <w:tcPr>
            <w:tcW w:w="4535" w:type="dxa"/>
            <w:vAlign w:val="center"/>
          </w:tcPr>
          <w:p>
            <w:pPr>
              <w:pStyle w:val="14"/>
            </w:pPr>
            <w:r>
              <w:t>行政运行</w:t>
            </w:r>
          </w:p>
        </w:tc>
        <w:tc>
          <w:tcPr>
            <w:tcW w:w="1361" w:type="dxa"/>
            <w:vAlign w:val="center"/>
          </w:tcPr>
          <w:p>
            <w:pPr>
              <w:pStyle w:val="13"/>
            </w:pPr>
            <w:r>
              <w:t>1076.63</w:t>
            </w:r>
          </w:p>
        </w:tc>
        <w:tc>
          <w:tcPr>
            <w:tcW w:w="1361" w:type="dxa"/>
            <w:vAlign w:val="center"/>
          </w:tcPr>
          <w:p>
            <w:pPr>
              <w:pStyle w:val="13"/>
            </w:pPr>
            <w:r>
              <w:t>1076.63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2011104</w:t>
            </w:r>
          </w:p>
        </w:tc>
        <w:tc>
          <w:tcPr>
            <w:tcW w:w="4535" w:type="dxa"/>
            <w:vAlign w:val="center"/>
          </w:tcPr>
          <w:p>
            <w:pPr>
              <w:pStyle w:val="14"/>
            </w:pPr>
            <w:r>
              <w:t>大案要案查处</w:t>
            </w:r>
          </w:p>
        </w:tc>
        <w:tc>
          <w:tcPr>
            <w:tcW w:w="1361" w:type="dxa"/>
            <w:vAlign w:val="center"/>
          </w:tcPr>
          <w:p>
            <w:pPr>
              <w:pStyle w:val="13"/>
            </w:pPr>
            <w:r>
              <w:t>34.83</w:t>
            </w:r>
          </w:p>
        </w:tc>
        <w:tc>
          <w:tcPr>
            <w:tcW w:w="1361" w:type="dxa"/>
            <w:vAlign w:val="center"/>
          </w:tcPr>
          <w:p>
            <w:pPr>
              <w:pStyle w:val="13"/>
            </w:pPr>
          </w:p>
        </w:tc>
        <w:tc>
          <w:tcPr>
            <w:tcW w:w="1361" w:type="dxa"/>
            <w:vAlign w:val="center"/>
          </w:tcPr>
          <w:p>
            <w:pPr>
              <w:pStyle w:val="13"/>
            </w:pPr>
            <w:r>
              <w:t>34.83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2011106</w:t>
            </w:r>
          </w:p>
        </w:tc>
        <w:tc>
          <w:tcPr>
            <w:tcW w:w="4535" w:type="dxa"/>
            <w:vAlign w:val="center"/>
          </w:tcPr>
          <w:p>
            <w:pPr>
              <w:pStyle w:val="14"/>
            </w:pPr>
            <w:r>
              <w:t>巡视工作</w:t>
            </w:r>
          </w:p>
        </w:tc>
        <w:tc>
          <w:tcPr>
            <w:tcW w:w="1361" w:type="dxa"/>
            <w:vAlign w:val="center"/>
          </w:tcPr>
          <w:p>
            <w:pPr>
              <w:pStyle w:val="13"/>
            </w:pPr>
            <w:r>
              <w:t>18.15</w:t>
            </w:r>
          </w:p>
        </w:tc>
        <w:tc>
          <w:tcPr>
            <w:tcW w:w="1361" w:type="dxa"/>
            <w:vAlign w:val="center"/>
          </w:tcPr>
          <w:p>
            <w:pPr>
              <w:pStyle w:val="13"/>
            </w:pPr>
          </w:p>
        </w:tc>
        <w:tc>
          <w:tcPr>
            <w:tcW w:w="1361" w:type="dxa"/>
            <w:vAlign w:val="center"/>
          </w:tcPr>
          <w:p>
            <w:pPr>
              <w:pStyle w:val="13"/>
            </w:pPr>
            <w:r>
              <w:t>18.15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2011150</w:t>
            </w:r>
          </w:p>
        </w:tc>
        <w:tc>
          <w:tcPr>
            <w:tcW w:w="4535" w:type="dxa"/>
            <w:vAlign w:val="center"/>
          </w:tcPr>
          <w:p>
            <w:pPr>
              <w:pStyle w:val="14"/>
            </w:pPr>
            <w:r>
              <w:t>事业运行</w:t>
            </w:r>
          </w:p>
        </w:tc>
        <w:tc>
          <w:tcPr>
            <w:tcW w:w="1361" w:type="dxa"/>
            <w:vAlign w:val="center"/>
          </w:tcPr>
          <w:p>
            <w:pPr>
              <w:pStyle w:val="13"/>
            </w:pPr>
            <w:r>
              <w:t>49.19</w:t>
            </w:r>
          </w:p>
        </w:tc>
        <w:tc>
          <w:tcPr>
            <w:tcW w:w="1361" w:type="dxa"/>
            <w:vAlign w:val="center"/>
          </w:tcPr>
          <w:p>
            <w:pPr>
              <w:pStyle w:val="13"/>
            </w:pPr>
            <w:r>
              <w:t>49.19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2011199</w:t>
            </w:r>
          </w:p>
        </w:tc>
        <w:tc>
          <w:tcPr>
            <w:tcW w:w="4535" w:type="dxa"/>
            <w:vAlign w:val="center"/>
          </w:tcPr>
          <w:p>
            <w:pPr>
              <w:pStyle w:val="14"/>
            </w:pPr>
            <w:r>
              <w:t>其他纪检监察事务支出</w:t>
            </w:r>
          </w:p>
        </w:tc>
        <w:tc>
          <w:tcPr>
            <w:tcW w:w="1361" w:type="dxa"/>
            <w:vAlign w:val="center"/>
          </w:tcPr>
          <w:p>
            <w:pPr>
              <w:pStyle w:val="13"/>
            </w:pPr>
            <w:r>
              <w:t>181.40</w:t>
            </w:r>
          </w:p>
        </w:tc>
        <w:tc>
          <w:tcPr>
            <w:tcW w:w="1361" w:type="dxa"/>
            <w:vAlign w:val="center"/>
          </w:tcPr>
          <w:p>
            <w:pPr>
              <w:pStyle w:val="13"/>
            </w:pPr>
          </w:p>
        </w:tc>
        <w:tc>
          <w:tcPr>
            <w:tcW w:w="1361" w:type="dxa"/>
            <w:vAlign w:val="center"/>
          </w:tcPr>
          <w:p>
            <w:pPr>
              <w:pStyle w:val="13"/>
            </w:pPr>
            <w:r>
              <w:t>181.40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153.48</w:t>
            </w:r>
          </w:p>
        </w:tc>
        <w:tc>
          <w:tcPr>
            <w:tcW w:w="1361" w:type="dxa"/>
            <w:vAlign w:val="center"/>
          </w:tcPr>
          <w:p>
            <w:pPr>
              <w:pStyle w:val="13"/>
            </w:pPr>
            <w:r>
              <w:t>153.48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151.47</w:t>
            </w:r>
          </w:p>
        </w:tc>
        <w:tc>
          <w:tcPr>
            <w:tcW w:w="1361" w:type="dxa"/>
            <w:vAlign w:val="center"/>
          </w:tcPr>
          <w:p>
            <w:pPr>
              <w:pStyle w:val="13"/>
            </w:pPr>
            <w:r>
              <w:t>151.47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21.36</w:t>
            </w:r>
          </w:p>
        </w:tc>
        <w:tc>
          <w:tcPr>
            <w:tcW w:w="1361" w:type="dxa"/>
            <w:vAlign w:val="center"/>
          </w:tcPr>
          <w:p>
            <w:pPr>
              <w:pStyle w:val="13"/>
            </w:pPr>
            <w:r>
              <w:t>21.36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130.11</w:t>
            </w:r>
          </w:p>
        </w:tc>
        <w:tc>
          <w:tcPr>
            <w:tcW w:w="1361" w:type="dxa"/>
            <w:vAlign w:val="center"/>
          </w:tcPr>
          <w:p>
            <w:pPr>
              <w:pStyle w:val="13"/>
            </w:pPr>
            <w:r>
              <w:t>130.11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2.01</w:t>
            </w:r>
          </w:p>
        </w:tc>
        <w:tc>
          <w:tcPr>
            <w:tcW w:w="1361" w:type="dxa"/>
            <w:vAlign w:val="center"/>
          </w:tcPr>
          <w:p>
            <w:pPr>
              <w:pStyle w:val="13"/>
            </w:pPr>
            <w:r>
              <w:t>2.01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2.01</w:t>
            </w:r>
          </w:p>
        </w:tc>
        <w:tc>
          <w:tcPr>
            <w:tcW w:w="1361" w:type="dxa"/>
            <w:vAlign w:val="center"/>
          </w:tcPr>
          <w:p>
            <w:pPr>
              <w:pStyle w:val="13"/>
            </w:pPr>
            <w:r>
              <w:t>2.01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63.18</w:t>
            </w:r>
          </w:p>
        </w:tc>
        <w:tc>
          <w:tcPr>
            <w:tcW w:w="1361" w:type="dxa"/>
            <w:vAlign w:val="center"/>
          </w:tcPr>
          <w:p>
            <w:pPr>
              <w:pStyle w:val="13"/>
            </w:pPr>
            <w:r>
              <w:t>63.18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63.18</w:t>
            </w:r>
          </w:p>
        </w:tc>
        <w:tc>
          <w:tcPr>
            <w:tcW w:w="1361" w:type="dxa"/>
            <w:vAlign w:val="center"/>
          </w:tcPr>
          <w:p>
            <w:pPr>
              <w:pStyle w:val="13"/>
            </w:pPr>
            <w:r>
              <w:t>63.18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59.09</w:t>
            </w:r>
          </w:p>
        </w:tc>
        <w:tc>
          <w:tcPr>
            <w:tcW w:w="1361" w:type="dxa"/>
            <w:vAlign w:val="center"/>
          </w:tcPr>
          <w:p>
            <w:pPr>
              <w:pStyle w:val="13"/>
            </w:pPr>
            <w:r>
              <w:t>59.09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4.09</w:t>
            </w:r>
          </w:p>
        </w:tc>
        <w:tc>
          <w:tcPr>
            <w:tcW w:w="1361" w:type="dxa"/>
            <w:vAlign w:val="center"/>
          </w:tcPr>
          <w:p>
            <w:pPr>
              <w:pStyle w:val="13"/>
            </w:pPr>
            <w:r>
              <w:t>4.09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66.83</w:t>
            </w:r>
          </w:p>
        </w:tc>
        <w:tc>
          <w:tcPr>
            <w:tcW w:w="1361" w:type="dxa"/>
            <w:vAlign w:val="center"/>
          </w:tcPr>
          <w:p>
            <w:pPr>
              <w:pStyle w:val="13"/>
            </w:pPr>
            <w:r>
              <w:t>66.83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66.83</w:t>
            </w:r>
          </w:p>
        </w:tc>
        <w:tc>
          <w:tcPr>
            <w:tcW w:w="1361" w:type="dxa"/>
            <w:vAlign w:val="center"/>
          </w:tcPr>
          <w:p>
            <w:pPr>
              <w:pStyle w:val="13"/>
            </w:pPr>
            <w:r>
              <w:t>66.83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66.83</w:t>
            </w:r>
          </w:p>
        </w:tc>
        <w:tc>
          <w:tcPr>
            <w:tcW w:w="1361" w:type="dxa"/>
            <w:vAlign w:val="center"/>
          </w:tcPr>
          <w:p>
            <w:pPr>
              <w:pStyle w:val="13"/>
            </w:pPr>
            <w:r>
              <w:t>66.83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1587.17</w:t>
            </w:r>
          </w:p>
        </w:tc>
        <w:tc>
          <w:tcPr>
            <w:tcW w:w="3402" w:type="dxa"/>
            <w:vAlign w:val="center"/>
          </w:tcPr>
          <w:p>
            <w:pPr>
              <w:pStyle w:val="14"/>
            </w:pPr>
            <w:r>
              <w:t>一、一般公共服务支出</w:t>
            </w:r>
          </w:p>
        </w:tc>
        <w:tc>
          <w:tcPr>
            <w:tcW w:w="1474" w:type="dxa"/>
            <w:vAlign w:val="center"/>
          </w:tcPr>
          <w:p>
            <w:pPr>
              <w:pStyle w:val="13"/>
            </w:pPr>
            <w:r>
              <w:t>1360.20</w:t>
            </w:r>
          </w:p>
        </w:tc>
        <w:tc>
          <w:tcPr>
            <w:tcW w:w="1474" w:type="dxa"/>
            <w:vAlign w:val="center"/>
          </w:tcPr>
          <w:p>
            <w:pPr>
              <w:pStyle w:val="13"/>
            </w:pPr>
            <w:r>
              <w:t>1360.20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153.48</w:t>
            </w:r>
          </w:p>
        </w:tc>
        <w:tc>
          <w:tcPr>
            <w:tcW w:w="1474" w:type="dxa"/>
            <w:vAlign w:val="center"/>
          </w:tcPr>
          <w:p>
            <w:pPr>
              <w:pStyle w:val="13"/>
            </w:pPr>
            <w:r>
              <w:t>153.48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63.18</w:t>
            </w:r>
          </w:p>
        </w:tc>
        <w:tc>
          <w:tcPr>
            <w:tcW w:w="1474" w:type="dxa"/>
            <w:vAlign w:val="center"/>
          </w:tcPr>
          <w:p>
            <w:pPr>
              <w:pStyle w:val="13"/>
            </w:pPr>
            <w:r>
              <w:t>63.18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66.83</w:t>
            </w:r>
          </w:p>
        </w:tc>
        <w:tc>
          <w:tcPr>
            <w:tcW w:w="1474" w:type="dxa"/>
            <w:vAlign w:val="center"/>
          </w:tcPr>
          <w:p>
            <w:pPr>
              <w:pStyle w:val="13"/>
            </w:pPr>
            <w:r>
              <w:t>66.83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1587.17</w:t>
            </w:r>
          </w:p>
        </w:tc>
        <w:tc>
          <w:tcPr>
            <w:tcW w:w="3402" w:type="dxa"/>
            <w:vAlign w:val="center"/>
          </w:tcPr>
          <w:p>
            <w:pPr>
              <w:pStyle w:val="16"/>
            </w:pPr>
            <w:r>
              <w:t>本年支出合计</w:t>
            </w:r>
          </w:p>
        </w:tc>
        <w:tc>
          <w:tcPr>
            <w:tcW w:w="1474" w:type="dxa"/>
            <w:vAlign w:val="center"/>
          </w:tcPr>
          <w:p>
            <w:pPr>
              <w:pStyle w:val="17"/>
            </w:pPr>
            <w:r>
              <w:t>1643.69</w:t>
            </w:r>
          </w:p>
        </w:tc>
        <w:tc>
          <w:tcPr>
            <w:tcW w:w="1474" w:type="dxa"/>
            <w:vAlign w:val="center"/>
          </w:tcPr>
          <w:p>
            <w:pPr>
              <w:pStyle w:val="17"/>
            </w:pPr>
            <w:r>
              <w:t>1643.69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56.52</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56.52</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1643.69</w:t>
            </w:r>
          </w:p>
        </w:tc>
        <w:tc>
          <w:tcPr>
            <w:tcW w:w="3402" w:type="dxa"/>
            <w:vAlign w:val="center"/>
          </w:tcPr>
          <w:p>
            <w:pPr>
              <w:pStyle w:val="16"/>
            </w:pPr>
            <w:r>
              <w:t>支出总计</w:t>
            </w:r>
          </w:p>
        </w:tc>
        <w:tc>
          <w:tcPr>
            <w:tcW w:w="1474" w:type="dxa"/>
            <w:vAlign w:val="center"/>
          </w:tcPr>
          <w:p>
            <w:pPr>
              <w:pStyle w:val="17"/>
            </w:pPr>
            <w:r>
              <w:t>1643.69</w:t>
            </w:r>
          </w:p>
        </w:tc>
        <w:tc>
          <w:tcPr>
            <w:tcW w:w="1474" w:type="dxa"/>
            <w:vAlign w:val="center"/>
          </w:tcPr>
          <w:p>
            <w:pPr>
              <w:pStyle w:val="17"/>
            </w:pPr>
            <w:r>
              <w:t>1643.69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1643.69</w:t>
            </w:r>
          </w:p>
        </w:tc>
        <w:tc>
          <w:tcPr>
            <w:tcW w:w="2551" w:type="dxa"/>
            <w:vAlign w:val="center"/>
          </w:tcPr>
          <w:p>
            <w:pPr>
              <w:pStyle w:val="17"/>
            </w:pPr>
            <w:r>
              <w:t>1409.31</w:t>
            </w:r>
          </w:p>
        </w:tc>
        <w:tc>
          <w:tcPr>
            <w:tcW w:w="2551" w:type="dxa"/>
            <w:vAlign w:val="center"/>
          </w:tcPr>
          <w:p>
            <w:pPr>
              <w:pStyle w:val="17"/>
            </w:pPr>
            <w:r>
              <w:t>234.38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1360.20</w:t>
            </w:r>
          </w:p>
        </w:tc>
        <w:tc>
          <w:tcPr>
            <w:tcW w:w="2551" w:type="dxa"/>
            <w:vAlign w:val="center"/>
          </w:tcPr>
          <w:p>
            <w:pPr>
              <w:pStyle w:val="13"/>
            </w:pPr>
            <w:r>
              <w:t>1125.82</w:t>
            </w:r>
          </w:p>
        </w:tc>
        <w:tc>
          <w:tcPr>
            <w:tcW w:w="2551" w:type="dxa"/>
            <w:vAlign w:val="center"/>
          </w:tcPr>
          <w:p>
            <w:pPr>
              <w:pStyle w:val="13"/>
            </w:pPr>
            <w:r>
              <w:t>234.38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1360.20</w:t>
            </w:r>
          </w:p>
        </w:tc>
        <w:tc>
          <w:tcPr>
            <w:tcW w:w="2551" w:type="dxa"/>
            <w:vAlign w:val="center"/>
          </w:tcPr>
          <w:p>
            <w:pPr>
              <w:pStyle w:val="13"/>
            </w:pPr>
            <w:r>
              <w:t>1125.82</w:t>
            </w:r>
          </w:p>
        </w:tc>
        <w:tc>
          <w:tcPr>
            <w:tcW w:w="2551" w:type="dxa"/>
            <w:vAlign w:val="center"/>
          </w:tcPr>
          <w:p>
            <w:pPr>
              <w:pStyle w:val="13"/>
            </w:pPr>
            <w:r>
              <w:t>234.38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2011101</w:t>
            </w:r>
          </w:p>
        </w:tc>
        <w:tc>
          <w:tcPr>
            <w:tcW w:w="4535" w:type="dxa"/>
            <w:vAlign w:val="center"/>
          </w:tcPr>
          <w:p>
            <w:pPr>
              <w:pStyle w:val="14"/>
            </w:pPr>
            <w:r>
              <w:t>行政运行</w:t>
            </w:r>
          </w:p>
        </w:tc>
        <w:tc>
          <w:tcPr>
            <w:tcW w:w="2551" w:type="dxa"/>
            <w:vAlign w:val="center"/>
          </w:tcPr>
          <w:p>
            <w:pPr>
              <w:pStyle w:val="13"/>
            </w:pPr>
            <w:r>
              <w:t>1076.63</w:t>
            </w:r>
          </w:p>
        </w:tc>
        <w:tc>
          <w:tcPr>
            <w:tcW w:w="2551" w:type="dxa"/>
            <w:vAlign w:val="center"/>
          </w:tcPr>
          <w:p>
            <w:pPr>
              <w:pStyle w:val="13"/>
            </w:pPr>
            <w:r>
              <w:t>1076.63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2011104</w:t>
            </w:r>
          </w:p>
        </w:tc>
        <w:tc>
          <w:tcPr>
            <w:tcW w:w="4535" w:type="dxa"/>
            <w:vAlign w:val="center"/>
          </w:tcPr>
          <w:p>
            <w:pPr>
              <w:pStyle w:val="14"/>
            </w:pPr>
            <w:r>
              <w:t>大案要案查处</w:t>
            </w:r>
          </w:p>
        </w:tc>
        <w:tc>
          <w:tcPr>
            <w:tcW w:w="2551" w:type="dxa"/>
            <w:vAlign w:val="center"/>
          </w:tcPr>
          <w:p>
            <w:pPr>
              <w:pStyle w:val="13"/>
            </w:pPr>
            <w:r>
              <w:t>34.83</w:t>
            </w:r>
          </w:p>
        </w:tc>
        <w:tc>
          <w:tcPr>
            <w:tcW w:w="2551" w:type="dxa"/>
            <w:vAlign w:val="center"/>
          </w:tcPr>
          <w:p>
            <w:pPr>
              <w:pStyle w:val="13"/>
            </w:pPr>
          </w:p>
        </w:tc>
        <w:tc>
          <w:tcPr>
            <w:tcW w:w="2551" w:type="dxa"/>
            <w:vAlign w:val="center"/>
          </w:tcPr>
          <w:p>
            <w:pPr>
              <w:pStyle w:val="13"/>
            </w:pPr>
            <w:r>
              <w:t>34.83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2011106</w:t>
            </w:r>
          </w:p>
        </w:tc>
        <w:tc>
          <w:tcPr>
            <w:tcW w:w="4535" w:type="dxa"/>
            <w:vAlign w:val="center"/>
          </w:tcPr>
          <w:p>
            <w:pPr>
              <w:pStyle w:val="14"/>
            </w:pPr>
            <w:r>
              <w:t>巡视工作</w:t>
            </w:r>
          </w:p>
        </w:tc>
        <w:tc>
          <w:tcPr>
            <w:tcW w:w="2551" w:type="dxa"/>
            <w:vAlign w:val="center"/>
          </w:tcPr>
          <w:p>
            <w:pPr>
              <w:pStyle w:val="13"/>
            </w:pPr>
            <w:r>
              <w:t>18.15</w:t>
            </w:r>
          </w:p>
        </w:tc>
        <w:tc>
          <w:tcPr>
            <w:tcW w:w="2551" w:type="dxa"/>
            <w:vAlign w:val="center"/>
          </w:tcPr>
          <w:p>
            <w:pPr>
              <w:pStyle w:val="13"/>
            </w:pPr>
          </w:p>
        </w:tc>
        <w:tc>
          <w:tcPr>
            <w:tcW w:w="2551" w:type="dxa"/>
            <w:vAlign w:val="center"/>
          </w:tcPr>
          <w:p>
            <w:pPr>
              <w:pStyle w:val="13"/>
            </w:pPr>
            <w:r>
              <w:t>18.15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2011150</w:t>
            </w:r>
          </w:p>
        </w:tc>
        <w:tc>
          <w:tcPr>
            <w:tcW w:w="4535" w:type="dxa"/>
            <w:vAlign w:val="center"/>
          </w:tcPr>
          <w:p>
            <w:pPr>
              <w:pStyle w:val="14"/>
            </w:pPr>
            <w:r>
              <w:t>事业运行</w:t>
            </w:r>
          </w:p>
        </w:tc>
        <w:tc>
          <w:tcPr>
            <w:tcW w:w="2551" w:type="dxa"/>
            <w:vAlign w:val="center"/>
          </w:tcPr>
          <w:p>
            <w:pPr>
              <w:pStyle w:val="13"/>
            </w:pPr>
            <w:r>
              <w:t>49.19</w:t>
            </w:r>
          </w:p>
        </w:tc>
        <w:tc>
          <w:tcPr>
            <w:tcW w:w="2551" w:type="dxa"/>
            <w:vAlign w:val="center"/>
          </w:tcPr>
          <w:p>
            <w:pPr>
              <w:pStyle w:val="13"/>
            </w:pPr>
            <w:r>
              <w:t>49.19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2011199</w:t>
            </w:r>
          </w:p>
        </w:tc>
        <w:tc>
          <w:tcPr>
            <w:tcW w:w="4535" w:type="dxa"/>
            <w:vAlign w:val="center"/>
          </w:tcPr>
          <w:p>
            <w:pPr>
              <w:pStyle w:val="14"/>
            </w:pPr>
            <w:r>
              <w:t>其他纪检监察事务支出</w:t>
            </w:r>
          </w:p>
        </w:tc>
        <w:tc>
          <w:tcPr>
            <w:tcW w:w="2551" w:type="dxa"/>
            <w:vAlign w:val="center"/>
          </w:tcPr>
          <w:p>
            <w:pPr>
              <w:pStyle w:val="13"/>
            </w:pPr>
            <w:r>
              <w:t>181.40</w:t>
            </w:r>
          </w:p>
        </w:tc>
        <w:tc>
          <w:tcPr>
            <w:tcW w:w="2551" w:type="dxa"/>
            <w:vAlign w:val="center"/>
          </w:tcPr>
          <w:p>
            <w:pPr>
              <w:pStyle w:val="13"/>
            </w:pPr>
          </w:p>
        </w:tc>
        <w:tc>
          <w:tcPr>
            <w:tcW w:w="2551" w:type="dxa"/>
            <w:vAlign w:val="center"/>
          </w:tcPr>
          <w:p>
            <w:pPr>
              <w:pStyle w:val="13"/>
            </w:pPr>
            <w:r>
              <w:t>181.40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153.48</w:t>
            </w:r>
          </w:p>
        </w:tc>
        <w:tc>
          <w:tcPr>
            <w:tcW w:w="2551" w:type="dxa"/>
            <w:vAlign w:val="center"/>
          </w:tcPr>
          <w:p>
            <w:pPr>
              <w:pStyle w:val="13"/>
            </w:pPr>
            <w:r>
              <w:t>153.48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151.47</w:t>
            </w:r>
          </w:p>
        </w:tc>
        <w:tc>
          <w:tcPr>
            <w:tcW w:w="2551" w:type="dxa"/>
            <w:vAlign w:val="center"/>
          </w:tcPr>
          <w:p>
            <w:pPr>
              <w:pStyle w:val="13"/>
            </w:pPr>
            <w:r>
              <w:t>151.47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21.36</w:t>
            </w:r>
          </w:p>
        </w:tc>
        <w:tc>
          <w:tcPr>
            <w:tcW w:w="2551" w:type="dxa"/>
            <w:vAlign w:val="center"/>
          </w:tcPr>
          <w:p>
            <w:pPr>
              <w:pStyle w:val="13"/>
            </w:pPr>
            <w:r>
              <w:t>21.36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130.11</w:t>
            </w:r>
          </w:p>
        </w:tc>
        <w:tc>
          <w:tcPr>
            <w:tcW w:w="2551" w:type="dxa"/>
            <w:vAlign w:val="center"/>
          </w:tcPr>
          <w:p>
            <w:pPr>
              <w:pStyle w:val="13"/>
            </w:pPr>
            <w:r>
              <w:t>130.11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2.01</w:t>
            </w:r>
          </w:p>
        </w:tc>
        <w:tc>
          <w:tcPr>
            <w:tcW w:w="2551" w:type="dxa"/>
            <w:vAlign w:val="center"/>
          </w:tcPr>
          <w:p>
            <w:pPr>
              <w:pStyle w:val="13"/>
            </w:pPr>
            <w:r>
              <w:t>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2.01</w:t>
            </w:r>
          </w:p>
        </w:tc>
        <w:tc>
          <w:tcPr>
            <w:tcW w:w="2551" w:type="dxa"/>
            <w:vAlign w:val="center"/>
          </w:tcPr>
          <w:p>
            <w:pPr>
              <w:pStyle w:val="13"/>
            </w:pPr>
            <w:r>
              <w:t>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63.18</w:t>
            </w:r>
          </w:p>
        </w:tc>
        <w:tc>
          <w:tcPr>
            <w:tcW w:w="2551" w:type="dxa"/>
            <w:vAlign w:val="center"/>
          </w:tcPr>
          <w:p>
            <w:pPr>
              <w:pStyle w:val="13"/>
            </w:pPr>
            <w:r>
              <w:t>63.18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63.18</w:t>
            </w:r>
          </w:p>
        </w:tc>
        <w:tc>
          <w:tcPr>
            <w:tcW w:w="2551" w:type="dxa"/>
            <w:vAlign w:val="center"/>
          </w:tcPr>
          <w:p>
            <w:pPr>
              <w:pStyle w:val="13"/>
            </w:pPr>
            <w:r>
              <w:t>63.18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59.09</w:t>
            </w:r>
          </w:p>
        </w:tc>
        <w:tc>
          <w:tcPr>
            <w:tcW w:w="2551" w:type="dxa"/>
            <w:vAlign w:val="center"/>
          </w:tcPr>
          <w:p>
            <w:pPr>
              <w:pStyle w:val="13"/>
            </w:pPr>
            <w:r>
              <w:t>59.09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4.09</w:t>
            </w:r>
          </w:p>
        </w:tc>
        <w:tc>
          <w:tcPr>
            <w:tcW w:w="2551" w:type="dxa"/>
            <w:vAlign w:val="center"/>
          </w:tcPr>
          <w:p>
            <w:pPr>
              <w:pStyle w:val="13"/>
            </w:pPr>
            <w:r>
              <w:t>4.09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66.83</w:t>
            </w:r>
          </w:p>
        </w:tc>
        <w:tc>
          <w:tcPr>
            <w:tcW w:w="2551" w:type="dxa"/>
            <w:vAlign w:val="center"/>
          </w:tcPr>
          <w:p>
            <w:pPr>
              <w:pStyle w:val="13"/>
            </w:pPr>
            <w:r>
              <w:t>66.83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66.83</w:t>
            </w:r>
          </w:p>
        </w:tc>
        <w:tc>
          <w:tcPr>
            <w:tcW w:w="2551" w:type="dxa"/>
            <w:vAlign w:val="center"/>
          </w:tcPr>
          <w:p>
            <w:pPr>
              <w:pStyle w:val="13"/>
            </w:pPr>
            <w:r>
              <w:t>66.83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66.83</w:t>
            </w:r>
          </w:p>
        </w:tc>
        <w:tc>
          <w:tcPr>
            <w:tcW w:w="2551" w:type="dxa"/>
            <w:vAlign w:val="center"/>
          </w:tcPr>
          <w:p>
            <w:pPr>
              <w:pStyle w:val="13"/>
            </w:pPr>
            <w:r>
              <w:t>66.83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1409.31</w:t>
            </w:r>
          </w:p>
        </w:tc>
        <w:tc>
          <w:tcPr>
            <w:tcW w:w="2551" w:type="dxa"/>
            <w:vAlign w:val="center"/>
          </w:tcPr>
          <w:p>
            <w:pPr>
              <w:pStyle w:val="17"/>
            </w:pPr>
            <w:r>
              <w:t>1137.79</w:t>
            </w:r>
          </w:p>
        </w:tc>
        <w:tc>
          <w:tcPr>
            <w:tcW w:w="2551" w:type="dxa"/>
            <w:vAlign w:val="center"/>
          </w:tcPr>
          <w:p>
            <w:pPr>
              <w:pStyle w:val="17"/>
            </w:pPr>
            <w:r>
              <w:t>271.52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1114.42</w:t>
            </w:r>
          </w:p>
        </w:tc>
        <w:tc>
          <w:tcPr>
            <w:tcW w:w="2551" w:type="dxa"/>
            <w:vAlign w:val="center"/>
          </w:tcPr>
          <w:p>
            <w:pPr>
              <w:pStyle w:val="13"/>
            </w:pPr>
            <w:r>
              <w:t>1114.42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469.49</w:t>
            </w:r>
          </w:p>
        </w:tc>
        <w:tc>
          <w:tcPr>
            <w:tcW w:w="2551" w:type="dxa"/>
            <w:vAlign w:val="center"/>
          </w:tcPr>
          <w:p>
            <w:pPr>
              <w:pStyle w:val="13"/>
            </w:pPr>
            <w:r>
              <w:t>469.49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258.36</w:t>
            </w:r>
          </w:p>
        </w:tc>
        <w:tc>
          <w:tcPr>
            <w:tcW w:w="2551" w:type="dxa"/>
            <w:vAlign w:val="center"/>
          </w:tcPr>
          <w:p>
            <w:pPr>
              <w:pStyle w:val="13"/>
            </w:pPr>
            <w:r>
              <w:t>258.36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105.71</w:t>
            </w:r>
          </w:p>
        </w:tc>
        <w:tc>
          <w:tcPr>
            <w:tcW w:w="2551" w:type="dxa"/>
            <w:vAlign w:val="center"/>
          </w:tcPr>
          <w:p>
            <w:pPr>
              <w:pStyle w:val="13"/>
            </w:pPr>
            <w:r>
              <w:t>105.71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16.67</w:t>
            </w:r>
          </w:p>
        </w:tc>
        <w:tc>
          <w:tcPr>
            <w:tcW w:w="2551" w:type="dxa"/>
            <w:vAlign w:val="center"/>
          </w:tcPr>
          <w:p>
            <w:pPr>
              <w:pStyle w:val="13"/>
            </w:pPr>
            <w:r>
              <w:t>16.67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130.11</w:t>
            </w:r>
          </w:p>
        </w:tc>
        <w:tc>
          <w:tcPr>
            <w:tcW w:w="2551" w:type="dxa"/>
            <w:vAlign w:val="center"/>
          </w:tcPr>
          <w:p>
            <w:pPr>
              <w:pStyle w:val="13"/>
            </w:pPr>
            <w:r>
              <w:t>130.11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61.23</w:t>
            </w:r>
          </w:p>
        </w:tc>
        <w:tc>
          <w:tcPr>
            <w:tcW w:w="2551" w:type="dxa"/>
            <w:vAlign w:val="center"/>
          </w:tcPr>
          <w:p>
            <w:pPr>
              <w:pStyle w:val="13"/>
            </w:pPr>
            <w:r>
              <w:t>61.23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6.02</w:t>
            </w:r>
          </w:p>
        </w:tc>
        <w:tc>
          <w:tcPr>
            <w:tcW w:w="2551" w:type="dxa"/>
            <w:vAlign w:val="center"/>
          </w:tcPr>
          <w:p>
            <w:pPr>
              <w:pStyle w:val="13"/>
            </w:pPr>
            <w:r>
              <w:t>6.02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66.83</w:t>
            </w:r>
          </w:p>
        </w:tc>
        <w:tc>
          <w:tcPr>
            <w:tcW w:w="2551" w:type="dxa"/>
            <w:vAlign w:val="center"/>
          </w:tcPr>
          <w:p>
            <w:pPr>
              <w:pStyle w:val="13"/>
            </w:pPr>
            <w:r>
              <w:t>66.83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251.92</w:t>
            </w:r>
          </w:p>
        </w:tc>
        <w:tc>
          <w:tcPr>
            <w:tcW w:w="2551" w:type="dxa"/>
            <w:vAlign w:val="center"/>
          </w:tcPr>
          <w:p>
            <w:pPr>
              <w:pStyle w:val="13"/>
            </w:pPr>
          </w:p>
        </w:tc>
        <w:tc>
          <w:tcPr>
            <w:tcW w:w="2551" w:type="dxa"/>
            <w:vAlign w:val="center"/>
          </w:tcPr>
          <w:p>
            <w:pPr>
              <w:pStyle w:val="13"/>
            </w:pPr>
            <w:r>
              <w:t>251.92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63.56</w:t>
            </w:r>
          </w:p>
        </w:tc>
        <w:tc>
          <w:tcPr>
            <w:tcW w:w="2551" w:type="dxa"/>
            <w:vAlign w:val="center"/>
          </w:tcPr>
          <w:p>
            <w:pPr>
              <w:pStyle w:val="13"/>
            </w:pPr>
          </w:p>
        </w:tc>
        <w:tc>
          <w:tcPr>
            <w:tcW w:w="2551" w:type="dxa"/>
            <w:vAlign w:val="center"/>
          </w:tcPr>
          <w:p>
            <w:pPr>
              <w:pStyle w:val="13"/>
            </w:pPr>
            <w:r>
              <w:t>63.56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5.12</w:t>
            </w:r>
          </w:p>
        </w:tc>
        <w:tc>
          <w:tcPr>
            <w:tcW w:w="2551" w:type="dxa"/>
            <w:vAlign w:val="center"/>
          </w:tcPr>
          <w:p>
            <w:pPr>
              <w:pStyle w:val="13"/>
            </w:pPr>
          </w:p>
        </w:tc>
        <w:tc>
          <w:tcPr>
            <w:tcW w:w="2551" w:type="dxa"/>
            <w:vAlign w:val="center"/>
          </w:tcPr>
          <w:p>
            <w:pPr>
              <w:pStyle w:val="13"/>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13.00</w:t>
            </w:r>
          </w:p>
        </w:tc>
        <w:tc>
          <w:tcPr>
            <w:tcW w:w="2551" w:type="dxa"/>
            <w:vAlign w:val="center"/>
          </w:tcPr>
          <w:p>
            <w:pPr>
              <w:pStyle w:val="13"/>
            </w:pP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26.80</w:t>
            </w:r>
          </w:p>
        </w:tc>
        <w:tc>
          <w:tcPr>
            <w:tcW w:w="2551" w:type="dxa"/>
            <w:vAlign w:val="center"/>
          </w:tcPr>
          <w:p>
            <w:pPr>
              <w:pStyle w:val="13"/>
            </w:pPr>
          </w:p>
        </w:tc>
        <w:tc>
          <w:tcPr>
            <w:tcW w:w="2551" w:type="dxa"/>
            <w:vAlign w:val="center"/>
          </w:tcPr>
          <w:p>
            <w:pPr>
              <w:pStyle w:val="13"/>
            </w:pPr>
            <w:r>
              <w:t>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2.82</w:t>
            </w:r>
          </w:p>
        </w:tc>
        <w:tc>
          <w:tcPr>
            <w:tcW w:w="2551" w:type="dxa"/>
            <w:vAlign w:val="center"/>
          </w:tcPr>
          <w:p>
            <w:pPr>
              <w:pStyle w:val="13"/>
            </w:pPr>
          </w:p>
        </w:tc>
        <w:tc>
          <w:tcPr>
            <w:tcW w:w="2551" w:type="dxa"/>
            <w:vAlign w:val="center"/>
          </w:tcPr>
          <w:p>
            <w:pPr>
              <w:pStyle w:val="13"/>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9.90</w:t>
            </w:r>
          </w:p>
        </w:tc>
        <w:tc>
          <w:tcPr>
            <w:tcW w:w="2551" w:type="dxa"/>
            <w:vAlign w:val="center"/>
          </w:tcPr>
          <w:p>
            <w:pPr>
              <w:pStyle w:val="13"/>
            </w:pPr>
          </w:p>
        </w:tc>
        <w:tc>
          <w:tcPr>
            <w:tcW w:w="2551" w:type="dxa"/>
            <w:vAlign w:val="center"/>
          </w:tcPr>
          <w:p>
            <w:pPr>
              <w:pStyle w:val="13"/>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1.30</w:t>
            </w:r>
          </w:p>
        </w:tc>
        <w:tc>
          <w:tcPr>
            <w:tcW w:w="2551" w:type="dxa"/>
            <w:vAlign w:val="center"/>
          </w:tcPr>
          <w:p>
            <w:pPr>
              <w:pStyle w:val="13"/>
            </w:pPr>
          </w:p>
        </w:tc>
        <w:tc>
          <w:tcPr>
            <w:tcW w:w="2551" w:type="dxa"/>
            <w:vAlign w:val="center"/>
          </w:tcPr>
          <w:p>
            <w:pPr>
              <w:pStyle w:val="13"/>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26.50</w:t>
            </w:r>
          </w:p>
        </w:tc>
        <w:tc>
          <w:tcPr>
            <w:tcW w:w="2551" w:type="dxa"/>
            <w:vAlign w:val="center"/>
          </w:tcPr>
          <w:p>
            <w:pPr>
              <w:pStyle w:val="13"/>
            </w:pPr>
          </w:p>
        </w:tc>
        <w:tc>
          <w:tcPr>
            <w:tcW w:w="2551" w:type="dxa"/>
            <w:vAlign w:val="center"/>
          </w:tcPr>
          <w:p>
            <w:pPr>
              <w:pStyle w:val="13"/>
            </w:pPr>
            <w:r>
              <w:t>26.50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66.36</w:t>
            </w:r>
          </w:p>
        </w:tc>
        <w:tc>
          <w:tcPr>
            <w:tcW w:w="2551" w:type="dxa"/>
            <w:vAlign w:val="center"/>
          </w:tcPr>
          <w:p>
            <w:pPr>
              <w:pStyle w:val="13"/>
            </w:pPr>
          </w:p>
        </w:tc>
        <w:tc>
          <w:tcPr>
            <w:tcW w:w="2551" w:type="dxa"/>
            <w:vAlign w:val="center"/>
          </w:tcPr>
          <w:p>
            <w:pPr>
              <w:pStyle w:val="13"/>
            </w:pPr>
            <w:r>
              <w:t>66.36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10.56</w:t>
            </w:r>
          </w:p>
        </w:tc>
        <w:tc>
          <w:tcPr>
            <w:tcW w:w="2551" w:type="dxa"/>
            <w:vAlign w:val="center"/>
          </w:tcPr>
          <w:p>
            <w:pPr>
              <w:pStyle w:val="13"/>
            </w:pPr>
          </w:p>
        </w:tc>
        <w:tc>
          <w:tcPr>
            <w:tcW w:w="2551" w:type="dxa"/>
            <w:vAlign w:val="center"/>
          </w:tcPr>
          <w:p>
            <w:pPr>
              <w:pStyle w:val="13"/>
            </w:pPr>
            <w:r>
              <w:t>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23.37</w:t>
            </w:r>
          </w:p>
        </w:tc>
        <w:tc>
          <w:tcPr>
            <w:tcW w:w="2551" w:type="dxa"/>
            <w:vAlign w:val="center"/>
          </w:tcPr>
          <w:p>
            <w:pPr>
              <w:pStyle w:val="13"/>
            </w:pPr>
            <w:r>
              <w:t>23.37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21.36</w:t>
            </w:r>
          </w:p>
        </w:tc>
        <w:tc>
          <w:tcPr>
            <w:tcW w:w="2551" w:type="dxa"/>
            <w:vAlign w:val="center"/>
          </w:tcPr>
          <w:p>
            <w:pPr>
              <w:pStyle w:val="13"/>
            </w:pPr>
            <w:r>
              <w:t>21.36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2.01</w:t>
            </w:r>
          </w:p>
        </w:tc>
        <w:tc>
          <w:tcPr>
            <w:tcW w:w="2551" w:type="dxa"/>
            <w:vAlign w:val="center"/>
          </w:tcPr>
          <w:p>
            <w:pPr>
              <w:pStyle w:val="13"/>
            </w:pPr>
            <w:r>
              <w:t>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19.60</w:t>
            </w:r>
          </w:p>
        </w:tc>
        <w:tc>
          <w:tcPr>
            <w:tcW w:w="2551" w:type="dxa"/>
            <w:vAlign w:val="center"/>
          </w:tcPr>
          <w:p>
            <w:pPr>
              <w:pStyle w:val="13"/>
            </w:pPr>
          </w:p>
        </w:tc>
        <w:tc>
          <w:tcPr>
            <w:tcW w:w="2551" w:type="dxa"/>
            <w:vAlign w:val="center"/>
          </w:tcPr>
          <w:p>
            <w:pPr>
              <w:pStyle w:val="13"/>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19.60</w:t>
            </w:r>
          </w:p>
        </w:tc>
        <w:tc>
          <w:tcPr>
            <w:tcW w:w="2551" w:type="dxa"/>
            <w:vAlign w:val="center"/>
          </w:tcPr>
          <w:p>
            <w:pPr>
              <w:pStyle w:val="13"/>
            </w:pPr>
          </w:p>
        </w:tc>
        <w:tc>
          <w:tcPr>
            <w:tcW w:w="2551" w:type="dxa"/>
            <w:vAlign w:val="center"/>
          </w:tcPr>
          <w:p>
            <w:pPr>
              <w:pStyle w:val="13"/>
            </w:pPr>
            <w:r>
              <w:t>19.60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“三公”经费小计</w:t>
            </w:r>
          </w:p>
        </w:tc>
        <w:tc>
          <w:tcPr>
            <w:tcW w:w="2381" w:type="dxa"/>
            <w:vAlign w:val="center"/>
          </w:tcPr>
          <w:p>
            <w:pPr>
              <w:pStyle w:val="17"/>
            </w:pPr>
            <w:r>
              <w:t>34.50</w:t>
            </w:r>
          </w:p>
        </w:tc>
        <w:tc>
          <w:tcPr>
            <w:tcW w:w="2381" w:type="dxa"/>
            <w:vAlign w:val="center"/>
          </w:tcPr>
          <w:p>
            <w:pPr>
              <w:pStyle w:val="17"/>
            </w:pPr>
            <w:r>
              <w:t>34.50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r>
              <w:t>26.50</w:t>
            </w:r>
          </w:p>
        </w:tc>
        <w:tc>
          <w:tcPr>
            <w:tcW w:w="2381" w:type="dxa"/>
            <w:vAlign w:val="center"/>
          </w:tcPr>
          <w:p>
            <w:pPr>
              <w:pStyle w:val="13"/>
            </w:pPr>
            <w:r>
              <w:t>26.50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26.50</w:t>
            </w:r>
          </w:p>
        </w:tc>
        <w:tc>
          <w:tcPr>
            <w:tcW w:w="2381" w:type="dxa"/>
            <w:vAlign w:val="center"/>
          </w:tcPr>
          <w:p>
            <w:pPr>
              <w:pStyle w:val="13"/>
            </w:pPr>
            <w:r>
              <w:t>26.50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中共青龙满族自治县纪律检查委员会2024年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中共青龙满族自治县纪律检查委员会</w:t>
      </w:r>
      <w:r>
        <w:rPr>
          <w:rFonts w:hint="eastAsia" w:ascii="方正小标宋_GBK" w:hAnsi="方正小标宋_GBK" w:eastAsia="方正小标宋_GBK" w:cs="方正小标宋_GBK"/>
          <w:color w:val="000000"/>
          <w:sz w:val="44"/>
          <w:lang w:val="en-US" w:eastAsia="zh-CN"/>
        </w:rPr>
        <w:t>本级</w:t>
      </w:r>
      <w:r>
        <w:rPr>
          <w:rFonts w:ascii="方正小标宋_GBK" w:hAnsi="方正小标宋_GBK" w:eastAsia="方正小标宋_GBK" w:cs="方正小标宋_GBK"/>
          <w:color w:val="000000"/>
          <w:sz w:val="44"/>
        </w:rPr>
        <w:t>2024年预算信息公开情况说明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按照《中华人民共和国预算法》、《地方预决算公开操作规程》和《关于进一步推进预算公开工作的实施意见》规定，现将中共青龙满族自治县纪律检查委员会2024年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中共青龙满族自治县纪律检查委员会本级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20"/>
      </w:pPr>
      <w:r>
        <w:t>按照预算管理有关规定，目前</w:t>
      </w:r>
      <w:r>
        <w:rPr>
          <w:rFonts w:hint="eastAsia"/>
          <w:lang w:eastAsia="zh-CN"/>
        </w:rPr>
        <w:t>单位</w:t>
      </w:r>
      <w:r>
        <w:t>预算的编制实行综合预算管理，即全部收入和支出都反映在预算中。中共青龙满族自治县纪律检查委员会机关及所属事业单位的收支包含在</w:t>
      </w:r>
      <w:r>
        <w:rPr>
          <w:rFonts w:hint="eastAsia"/>
          <w:lang w:eastAsia="zh-CN"/>
        </w:rPr>
        <w:t>单位</w:t>
      </w:r>
      <w:r>
        <w:t>预算中。</w:t>
      </w:r>
    </w:p>
    <w:p>
      <w:pPr>
        <w:pStyle w:val="20"/>
      </w:pPr>
      <w:r>
        <w:t>1、收入说明</w:t>
      </w:r>
    </w:p>
    <w:p>
      <w:pPr>
        <w:pStyle w:val="20"/>
      </w:pPr>
      <w:r>
        <w:t>反映本</w:t>
      </w:r>
      <w:r>
        <w:rPr>
          <w:rFonts w:hint="eastAsia"/>
          <w:lang w:eastAsia="zh-CN"/>
        </w:rPr>
        <w:t>单位</w:t>
      </w:r>
      <w:r>
        <w:t>当年全部收入。2024年预算收入1643.69万元，其中：一般公共预算收入1587.17万元，基金预算收入0.00万元，国有资本经营预算收入0.00万元，财政专户核拨收入0.00万元，单位资金收入0.00万元，上年结转结余56.52万元。</w:t>
      </w:r>
    </w:p>
    <w:p>
      <w:pPr>
        <w:pStyle w:val="20"/>
      </w:pPr>
      <w:r>
        <w:t>2、支出说明</w:t>
      </w:r>
    </w:p>
    <w:p>
      <w:pPr>
        <w:pStyle w:val="20"/>
      </w:pPr>
      <w:r>
        <w:t>收支预算总表支出栏、基本支出表、项目支出表按经济分类和支出功能分类科目编制，反映中共青龙满族自治县纪律检查委员会年度</w:t>
      </w:r>
      <w:r>
        <w:rPr>
          <w:rFonts w:hint="eastAsia"/>
          <w:lang w:eastAsia="zh-CN"/>
        </w:rPr>
        <w:t>单位</w:t>
      </w:r>
      <w:r>
        <w:t>预算中支出预算的总体情况。2024年支出预算1643.69万元，其中基本支出1409.31万元，包括人员经费1137.79万元和日常公用经费271.52万元；项目支出234.38万元，主要为行政运行1076.63万元，大案要案查处34.83万元，巡视工作经费18.15，事业运行经费49.51万元，其他纪检监察事务181.4万元，社会保障和就业支出153.47万元，卫生健康支出63.17万元，住房保障支出66.83万元。</w:t>
      </w:r>
    </w:p>
    <w:p>
      <w:pPr>
        <w:pStyle w:val="20"/>
      </w:pPr>
      <w:r>
        <w:t>3、比上年增减情况</w:t>
      </w:r>
    </w:p>
    <w:p>
      <w:pPr>
        <w:pStyle w:val="20"/>
      </w:pPr>
      <w:r>
        <w:t>2024年预算收支安排1643.69万元，较2023年预算减少362.78万元，其中：基本支出减少164.93万元，主要为人员经费支出减少。项目支出减少197.85万元，主要为警示教育展馆工作经费等项目减少。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2024年，我</w:t>
      </w:r>
      <w:r>
        <w:rPr>
          <w:rFonts w:hint="eastAsia"/>
          <w:lang w:eastAsia="zh-CN"/>
        </w:rPr>
        <w:t>单位</w:t>
      </w:r>
      <w:r>
        <w:t>机关运行经费共计安排271.52万元，主要用于日常维修、办公用房水电费、办公用房取暖费、办公用房物业管理费等日常运行支出。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2024年，我</w:t>
      </w:r>
      <w:r>
        <w:rPr>
          <w:rFonts w:hint="eastAsia"/>
          <w:lang w:eastAsia="zh-CN"/>
        </w:rPr>
        <w:t>单位</w:t>
      </w:r>
      <w:r>
        <w:t>财政拨款“三公”经费预算安排34.50万元，其中因公出国（境）费0.00万元；公务用车购置及运维费26.50万元（其中：公务用车购置费为0.00万元，公务用车运维费26.50万元)；公务接待费8.00万元。与2023年相比</w:t>
      </w:r>
      <w:r>
        <w:rPr>
          <w:rFonts w:hint="eastAsia"/>
          <w:lang w:eastAsia="zh-CN"/>
        </w:rPr>
        <w:t>减少</w:t>
      </w:r>
      <w:r>
        <w:rPr>
          <w:rFonts w:hint="eastAsia"/>
          <w:lang w:val="en-US" w:eastAsia="zh-CN"/>
        </w:rPr>
        <w:t>48.57</w:t>
      </w:r>
      <w:r>
        <w:t>万元，增减变化的主要原因是因公出国（境）费同比无变化，原因是无因公出国（境）安排；公务用车购置及运维费同比减少44.08万元，减少62.45%，原因是无公务用车购置费，无结转；公务接待费同比减少4.49万元，</w:t>
      </w:r>
      <w:r>
        <w:rPr>
          <w:rFonts w:hint="eastAsia"/>
          <w:lang w:eastAsia="zh-CN"/>
        </w:rPr>
        <w:t>减少</w:t>
      </w:r>
      <w:r>
        <w:t>35.94 % ，原因是</w:t>
      </w:r>
      <w:r>
        <w:rPr>
          <w:rFonts w:hint="eastAsia"/>
          <w:lang w:eastAsia="zh-CN"/>
        </w:rPr>
        <w:t>我委严格控制公务接待支出且</w:t>
      </w:r>
      <w:r>
        <w:t>无上年结转。</w:t>
      </w:r>
    </w:p>
    <w:p>
      <w:pPr>
        <w:spacing w:before="10" w:after="10" w:line="360" w:lineRule="auto"/>
        <w:ind w:firstLine="640"/>
        <w:jc w:val="left"/>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深入贯彻落实党的二十大对新时代新征程纪检监察工作提出的新任务新要求，准确把握中央纪委国家监委和省市纪委监委及县委部署要求，扛牢政治监督专责，充分发挥监督保障执行，促进完善发展作用，全面推进新时代纪检监察工作的高质量发展，为加快建设现代化“六个青龙”提供坚强政治保障。围绕落实党的二十大战略部署强化政治监督，推动完善党的自我革命制度规范体系；有利发挥政治巡察利剑作用；持续深化落实中央八项规定精神、纠治“四风”；全面加强党的纪律建设；坚决打赢反腐败斗争攻坚持久战；深入推进纪检监察体制改革；锻造堪当新时代新征程重任的高素质纪检监察干部队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一、案件查办</w:t>
      </w:r>
      <w:r>
        <w:tab/>
      </w:r>
    </w:p>
    <w:p>
      <w:pPr>
        <w:pStyle w:val="24"/>
      </w:pPr>
      <w:r>
        <w:t>绩效目标：通过受理信访、举报，集中管理问题线索、组织协调案件查办，调查、审查违纪违法案件，实现正风肃纪的效果;通过对信访件应查尽查,做到有理有据,让信访人信服，提高纪检监察工作公信力。</w:t>
      </w:r>
    </w:p>
    <w:p>
      <w:pPr>
        <w:pStyle w:val="24"/>
      </w:pPr>
      <w:r>
        <w:t>绩效指标：对信访件进行初步件数≥700件，对信访举报件中反映的问题核查数≥260，信访件立案个数≥100；违纪人员处理率≥90%；执法办案行为投拆率≤3%</w:t>
      </w:r>
    </w:p>
    <w:p>
      <w:pPr>
        <w:pStyle w:val="24"/>
      </w:pPr>
      <w:r>
        <w:t>二、党风廉政建设</w:t>
      </w:r>
    </w:p>
    <w:p>
      <w:pPr>
        <w:pStyle w:val="24"/>
      </w:pPr>
      <w:r>
        <w:t>绩效目标：通过开展</w:t>
      </w:r>
      <w:r>
        <w:rPr>
          <w:rFonts w:hint="eastAsia"/>
          <w:lang w:eastAsia="zh-CN"/>
        </w:rPr>
        <w:t>中央</w:t>
      </w:r>
      <w:r>
        <w:t>八项规定精神问题、明察暗访工作，促进党员干部廉洁自律;通过对信访件应查尽查,做到有理有据,让信访人信服，提高纪检监察工作公信力。</w:t>
      </w:r>
    </w:p>
    <w:p>
      <w:pPr>
        <w:pStyle w:val="24"/>
      </w:pPr>
      <w:r>
        <w:t>绩效指标：对党政机关党风廉政建设督导检查次数≥20次。</w:t>
      </w:r>
    </w:p>
    <w:p>
      <w:pPr>
        <w:pStyle w:val="24"/>
      </w:pPr>
      <w:r>
        <w:t>三、巡查巡视经费</w:t>
      </w:r>
    </w:p>
    <w:p>
      <w:pPr>
        <w:pStyle w:val="24"/>
      </w:pPr>
      <w:r>
        <w:t>绩效目标：通过制定巡察方案，开展常规巡察、专项巡察、地区之间互查，使各种行业不正之风.问题得以纠正。通过县委巡察办对所管理的地方、</w:t>
      </w:r>
      <w:r>
        <w:rPr>
          <w:rFonts w:hint="eastAsia"/>
          <w:lang w:eastAsia="zh-CN"/>
        </w:rPr>
        <w:t>单位</w:t>
      </w:r>
      <w:r>
        <w:t>、企事业单位党组织进行巡察监督，实现巡察全覆盖。</w:t>
      </w:r>
      <w:r>
        <w:tab/>
      </w:r>
      <w:r>
        <w:t xml:space="preserve">   </w:t>
      </w:r>
    </w:p>
    <w:p>
      <w:pPr>
        <w:pStyle w:val="24"/>
      </w:pPr>
      <w:r>
        <w:t>绩效指标：根据要求确定的巡察次数≥4次，反映巡察单位的数量≥16个。</w:t>
      </w:r>
    </w:p>
    <w:p>
      <w:pPr>
        <w:pStyle w:val="24"/>
      </w:pPr>
      <w:r>
        <w:t>四、“走读式”谈话场所设备购置资金</w:t>
      </w:r>
    </w:p>
    <w:p>
      <w:pPr>
        <w:pStyle w:val="24"/>
      </w:pPr>
      <w:r>
        <w:t>绩效目标：通过购置监控系统、门禁系统等设备，实现“走读式”谈话场所标准化建设。通过建设“走读式”谈话场所设备购置，保证走读式谈话安全。</w:t>
      </w:r>
    </w:p>
    <w:p>
      <w:pPr>
        <w:pStyle w:val="24"/>
      </w:pPr>
      <w:r>
        <w:t>绩效指标：监控系统个数=1套，办案指挥系统个数=1套，门禁设备个数=1套，数据存储设备个数=1套。</w:t>
      </w:r>
    </w:p>
    <w:p>
      <w:pPr>
        <w:pStyle w:val="24"/>
      </w:pPr>
      <w:r>
        <w:t>五、“走读式”谈话场所建设资金</w:t>
      </w:r>
    </w:p>
    <w:p>
      <w:pPr>
        <w:pStyle w:val="24"/>
      </w:pPr>
      <w:r>
        <w:t>绩效目标：通过装修改造谈话室，实现“走读式”谈话场所标准化建设。通过建设“走读式”谈话场所，保证走读式谈话安全。</w:t>
      </w:r>
    </w:p>
    <w:p>
      <w:pPr>
        <w:pStyle w:val="24"/>
      </w:pPr>
      <w:r>
        <w:t>绩效指标：谈话室面积数=700平方米，谈话室个数=6个，配备医务室、案件分析室等办公场所=4个。</w:t>
      </w:r>
    </w:p>
    <w:p>
      <w:pPr>
        <w:pStyle w:val="24"/>
      </w:pPr>
      <w:r>
        <w:t>六、政治监督电子信息化平台工作</w:t>
      </w:r>
    </w:p>
    <w:p>
      <w:pPr>
        <w:pStyle w:val="24"/>
      </w:pPr>
      <w:r>
        <w:t>绩效目标：通过建立政治监督电子平台，有效推动政治监督具体化常态化。通过建立政治监督电子平台，有效促进公权力规范透明运行。</w:t>
      </w:r>
    </w:p>
    <w:p>
      <w:pPr>
        <w:pStyle w:val="24"/>
      </w:pPr>
      <w:r>
        <w:t>绩效指标：办公电脑个数=1台，打印机=1台，安全软件个数=1套。</w:t>
      </w:r>
    </w:p>
    <w:p>
      <w:pPr>
        <w:pStyle w:val="24"/>
      </w:pPr>
      <w:r>
        <w:t>七、纪检监察内网信息化改造提升工作经费</w:t>
      </w:r>
    </w:p>
    <w:p>
      <w:pPr>
        <w:pStyle w:val="24"/>
      </w:pPr>
      <w:r>
        <w:t>绩效目标：涉密</w:t>
      </w:r>
    </w:p>
    <w:p>
      <w:pPr>
        <w:pStyle w:val="24"/>
      </w:pPr>
      <w:r>
        <w:t>绩效指标：涉密</w:t>
      </w:r>
    </w:p>
    <w:p>
      <w:pPr>
        <w:pStyle w:val="24"/>
      </w:pPr>
      <w:r>
        <w:t>八、县委专项巡察入住酒店工作经费</w:t>
      </w:r>
    </w:p>
    <w:p>
      <w:pPr>
        <w:pStyle w:val="24"/>
      </w:pPr>
      <w:r>
        <w:t>绩效目标：通过开展优化营商环境专项巡察，促进打造优质高效的一流政务环境。通过开展优化营商环境专项巡察，打造更加公平的市场环境。</w:t>
      </w:r>
    </w:p>
    <w:p>
      <w:pPr>
        <w:pStyle w:val="24"/>
      </w:pPr>
      <w:r>
        <w:t>绩效指标：巡察次数=1次，巡察单位数=23个</w:t>
      </w:r>
    </w:p>
    <w:p>
      <w:pPr>
        <w:pStyle w:val="24"/>
      </w:pPr>
      <w:r>
        <w:t>九、公车购置经费</w:t>
      </w:r>
    </w:p>
    <w:p>
      <w:pPr>
        <w:pStyle w:val="24"/>
      </w:pPr>
      <w:r>
        <w:t>绩效目标：通过公车购置，促进监督检查工作更好开展。通过公车购置，促进案件查办、暗访检查工作更好开展。</w:t>
      </w:r>
    </w:p>
    <w:p>
      <w:pPr>
        <w:pStyle w:val="24"/>
      </w:pPr>
      <w:r>
        <w:t>绩效指标：购买公车数量=3台</w:t>
      </w:r>
    </w:p>
    <w:p>
      <w:pPr>
        <w:pStyle w:val="24"/>
      </w:pPr>
      <w:r>
        <w:t>十、警示教育展馆工作经费</w:t>
      </w:r>
    </w:p>
    <w:p>
      <w:pPr>
        <w:pStyle w:val="24"/>
      </w:pPr>
      <w:r>
        <w:t>绩效目标：通过开展警示教育，风清气正的政治生态环境得到改善；通过开展警示教育，增强全县干部职工纪律、规矩意识。</w:t>
      </w:r>
    </w:p>
    <w:p>
      <w:pPr>
        <w:pStyle w:val="24"/>
      </w:pPr>
      <w:r>
        <w:t>绩效指标：开展警示教育场次=50次，参观人次=2500次，展牌数量=52个。</w:t>
      </w:r>
    </w:p>
    <w:p>
      <w:pPr>
        <w:pStyle w:val="24"/>
      </w:pPr>
      <w:r>
        <w:t>十一、“小微权力”运行平台工作经费</w:t>
      </w:r>
    </w:p>
    <w:p>
      <w:pPr>
        <w:pStyle w:val="24"/>
      </w:pPr>
      <w:r>
        <w:t>绩效目标：通过小微权力监督，切实解决群众身边腐败和不正之风问题。通过小微权力监督，促使基层公权人员用权更加规范。</w:t>
      </w:r>
    </w:p>
    <w:p>
      <w:pPr>
        <w:pStyle w:val="24"/>
      </w:pPr>
      <w:r>
        <w:t>绩效指标：购置办公设备=1套，反映监督基层公权人数=120000人次，开展监督检查=15次。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1、完善制度建设。包括制定完善预算绩效管理制度、资金管理办法、工作保障制度等，为全年预算绩效目标的实现奠定制度基础。</w:t>
      </w:r>
    </w:p>
    <w:p>
      <w:pPr>
        <w:pStyle w:val="25"/>
      </w:pPr>
      <w:r>
        <w:t>2、加强支出管理。通过优化支出结构、编细编实预算、加快履行政府采购手续、尽快启动项目、及时支付资金、按规定及时下达资金等多种措施，确保支出进度达标。</w:t>
      </w:r>
    </w:p>
    <w:p>
      <w:pPr>
        <w:pStyle w:val="25"/>
      </w:pPr>
      <w:r>
        <w:t>3、加强绩效运行监控。按要求开展绩效运行监控，发现问题及时采取措施，确保绩效目标如期保质实现。</w:t>
      </w:r>
    </w:p>
    <w:p>
      <w:pPr>
        <w:pStyle w:val="25"/>
      </w:pPr>
      <w:r>
        <w:t>4、做好绩效自评。按要求开展上年度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sectPr>
          <w:pgSz w:w="16840" w:h="11900" w:orient="landscape"/>
          <w:pgMar w:top="1361" w:right="1020" w:bottom="1361" w:left="1020" w:header="720" w:footer="720" w:gutter="0"/>
          <w:cols w:space="720" w:num="1"/>
        </w:sectPr>
      </w:pPr>
      <w:r>
        <w:t>7、加强宣传培训调研等。加强人员培训，提高本</w:t>
      </w:r>
      <w:r>
        <w:rPr>
          <w:rFonts w:hint="eastAsia"/>
          <w:lang w:eastAsia="zh-CN"/>
        </w:rPr>
        <w:t>单位</w:t>
      </w:r>
      <w:r>
        <w:t>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1、办案一体化工作平台建设经费绩效目标表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13032124P003314100241</w:t>
            </w:r>
          </w:p>
        </w:tc>
        <w:tc>
          <w:tcPr>
            <w:tcW w:w="2835" w:type="dxa"/>
            <w:vAlign w:val="center"/>
          </w:tcPr>
          <w:p>
            <w:pPr>
              <w:pStyle w:val="12"/>
            </w:pPr>
            <w:r>
              <w:t>项目名称</w:t>
            </w:r>
          </w:p>
        </w:tc>
        <w:tc>
          <w:tcPr>
            <w:tcW w:w="6094" w:type="dxa"/>
            <w:gridSpan w:val="3"/>
            <w:vAlign w:val="center"/>
          </w:tcPr>
          <w:p>
            <w:pPr>
              <w:pStyle w:val="14"/>
            </w:pPr>
            <w:r>
              <w:t>办案一体化工作平台建设经费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预算项目资金共15万元，其中财政资金15，主要用于构建办案一体化平台，简化办案程序，提升办案效率。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8.00</w:t>
            </w:r>
          </w:p>
        </w:tc>
        <w:tc>
          <w:tcPr>
            <w:tcW w:w="2551" w:type="dxa"/>
            <w:vAlign w:val="center"/>
          </w:tcPr>
          <w:p>
            <w:pPr>
              <w:pStyle w:val="15"/>
            </w:pPr>
            <w:r>
              <w:t>12.00</w:t>
            </w:r>
          </w:p>
        </w:tc>
        <w:tc>
          <w:tcPr>
            <w:tcW w:w="3543"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1.通过建设一体化平台，使办案程序得到简化。</w:t>
            </w:r>
          </w:p>
          <w:p>
            <w:pPr>
              <w:pStyle w:val="14"/>
            </w:pPr>
            <w:r>
              <w:t>2.通过建设一体化平台，使办案效率的到提高。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购置扫描仪数量</w:t>
            </w:r>
          </w:p>
        </w:tc>
        <w:tc>
          <w:tcPr>
            <w:tcW w:w="5386" w:type="dxa"/>
            <w:vAlign w:val="center"/>
          </w:tcPr>
          <w:p>
            <w:pPr>
              <w:pStyle w:val="14"/>
            </w:pPr>
            <w:r>
              <w:t>购置扫描仪个数</w:t>
            </w:r>
          </w:p>
        </w:tc>
        <w:tc>
          <w:tcPr>
            <w:tcW w:w="2268" w:type="dxa"/>
            <w:vAlign w:val="center"/>
          </w:tcPr>
          <w:p>
            <w:pPr>
              <w:pStyle w:val="14"/>
            </w:pPr>
            <w:r>
              <w:t>27台</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购置打印机数量</w:t>
            </w:r>
          </w:p>
        </w:tc>
        <w:tc>
          <w:tcPr>
            <w:tcW w:w="5386" w:type="dxa"/>
            <w:vAlign w:val="center"/>
          </w:tcPr>
          <w:p>
            <w:pPr>
              <w:pStyle w:val="14"/>
            </w:pPr>
            <w:r>
              <w:t>购置打印机个数</w:t>
            </w:r>
          </w:p>
        </w:tc>
        <w:tc>
          <w:tcPr>
            <w:tcW w:w="2268" w:type="dxa"/>
            <w:vAlign w:val="center"/>
          </w:tcPr>
          <w:p>
            <w:pPr>
              <w:pStyle w:val="14"/>
            </w:pPr>
            <w:r>
              <w:t>27台</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设备达标率</w:t>
            </w:r>
          </w:p>
        </w:tc>
        <w:tc>
          <w:tcPr>
            <w:tcW w:w="5386" w:type="dxa"/>
            <w:vAlign w:val="center"/>
          </w:tcPr>
          <w:p>
            <w:pPr>
              <w:pStyle w:val="14"/>
            </w:pPr>
            <w:r>
              <w:t>购买设备达标率</w:t>
            </w:r>
          </w:p>
        </w:tc>
        <w:tc>
          <w:tcPr>
            <w:tcW w:w="2268" w:type="dxa"/>
            <w:vAlign w:val="center"/>
          </w:tcPr>
          <w:p>
            <w:pPr>
              <w:pStyle w:val="14"/>
            </w:pPr>
            <w:r>
              <w:t>100%</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购置及时性</w:t>
            </w:r>
          </w:p>
        </w:tc>
        <w:tc>
          <w:tcPr>
            <w:tcW w:w="5386" w:type="dxa"/>
            <w:vAlign w:val="center"/>
          </w:tcPr>
          <w:p>
            <w:pPr>
              <w:pStyle w:val="14"/>
            </w:pPr>
            <w:r>
              <w:t>购置及时性</w:t>
            </w:r>
          </w:p>
        </w:tc>
        <w:tc>
          <w:tcPr>
            <w:tcW w:w="2268" w:type="dxa"/>
            <w:vAlign w:val="center"/>
          </w:tcPr>
          <w:p>
            <w:pPr>
              <w:pStyle w:val="14"/>
            </w:pPr>
            <w:r>
              <w:t>12月</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预算成本率</w:t>
            </w:r>
          </w:p>
        </w:tc>
        <w:tc>
          <w:tcPr>
            <w:tcW w:w="5386" w:type="dxa"/>
            <w:vAlign w:val="center"/>
          </w:tcPr>
          <w:p>
            <w:pPr>
              <w:pStyle w:val="14"/>
            </w:pPr>
            <w:r>
              <w:t>反映控制在预算成本范围内</w:t>
            </w:r>
          </w:p>
        </w:tc>
        <w:tc>
          <w:tcPr>
            <w:tcW w:w="2268" w:type="dxa"/>
            <w:vAlign w:val="center"/>
          </w:tcPr>
          <w:p>
            <w:pPr>
              <w:pStyle w:val="14"/>
            </w:pPr>
            <w:r>
              <w:t>≤15万元</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办案效率提高</w:t>
            </w:r>
          </w:p>
        </w:tc>
        <w:tc>
          <w:tcPr>
            <w:tcW w:w="5386" w:type="dxa"/>
            <w:vAlign w:val="center"/>
          </w:tcPr>
          <w:p>
            <w:pPr>
              <w:pStyle w:val="14"/>
            </w:pPr>
            <w:r>
              <w:t>办案效率得到提高</w:t>
            </w:r>
          </w:p>
        </w:tc>
        <w:tc>
          <w:tcPr>
            <w:tcW w:w="2268" w:type="dxa"/>
            <w:vAlign w:val="center"/>
          </w:tcPr>
          <w:p>
            <w:pPr>
              <w:pStyle w:val="14"/>
            </w:pPr>
            <w:r>
              <w:t>≥95%</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办案程序简化</w:t>
            </w:r>
          </w:p>
        </w:tc>
        <w:tc>
          <w:tcPr>
            <w:tcW w:w="5386" w:type="dxa"/>
            <w:vAlign w:val="center"/>
          </w:tcPr>
          <w:p>
            <w:pPr>
              <w:pStyle w:val="14"/>
            </w:pPr>
            <w:r>
              <w:t>办案程序得到简化</w:t>
            </w:r>
          </w:p>
        </w:tc>
        <w:tc>
          <w:tcPr>
            <w:tcW w:w="2268" w:type="dxa"/>
            <w:vAlign w:val="center"/>
          </w:tcPr>
          <w:p>
            <w:pPr>
              <w:pStyle w:val="14"/>
            </w:pPr>
            <w:r>
              <w:t>≥95%</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使用者满意度</w:t>
            </w:r>
          </w:p>
        </w:tc>
        <w:tc>
          <w:tcPr>
            <w:tcW w:w="5386" w:type="dxa"/>
            <w:vAlign w:val="center"/>
          </w:tcPr>
          <w:p>
            <w:pPr>
              <w:pStyle w:val="14"/>
            </w:pPr>
            <w:r>
              <w:t>使用过程和结果满意度</w:t>
            </w:r>
          </w:p>
        </w:tc>
        <w:tc>
          <w:tcPr>
            <w:tcW w:w="2268" w:type="dxa"/>
            <w:vAlign w:val="center"/>
          </w:tcPr>
          <w:p>
            <w:pPr>
              <w:pStyle w:val="14"/>
            </w:pPr>
            <w:r>
              <w:t>≥95%</w:t>
            </w:r>
          </w:p>
        </w:tc>
        <w:tc>
          <w:tcPr>
            <w:tcW w:w="1276" w:type="dxa"/>
            <w:vAlign w:val="center"/>
          </w:tcPr>
          <w:p>
            <w:pPr>
              <w:pStyle w:val="14"/>
            </w:pPr>
            <w:r>
              <w:t>2024工作计划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2、党风廉政建设经费绩效目标表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13032123P00331710040W</w:t>
            </w:r>
          </w:p>
        </w:tc>
        <w:tc>
          <w:tcPr>
            <w:tcW w:w="2835" w:type="dxa"/>
            <w:vAlign w:val="center"/>
          </w:tcPr>
          <w:p>
            <w:pPr>
              <w:pStyle w:val="12"/>
            </w:pPr>
            <w:r>
              <w:t>项目名称</w:t>
            </w:r>
          </w:p>
        </w:tc>
        <w:tc>
          <w:tcPr>
            <w:tcW w:w="6094" w:type="dxa"/>
            <w:gridSpan w:val="3"/>
            <w:vAlign w:val="center"/>
          </w:tcPr>
          <w:p>
            <w:pPr>
              <w:pStyle w:val="14"/>
            </w:pPr>
            <w:r>
              <w:t>党风廉政建设经费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项目预算5万元，其中财政资金5万元，主要用于开展</w:t>
            </w:r>
            <w:r>
              <w:rPr>
                <w:rFonts w:hint="eastAsia"/>
                <w:lang w:eastAsia="zh-CN"/>
              </w:rPr>
              <w:t>中央</w:t>
            </w:r>
            <w:r>
              <w:t>八项规定</w:t>
            </w:r>
            <w:r>
              <w:rPr>
                <w:rFonts w:hint="eastAsia"/>
                <w:lang w:eastAsia="zh-CN"/>
              </w:rPr>
              <w:t>精神</w:t>
            </w:r>
            <w:r>
              <w:t>、党风廉政建设等工作暗访检查。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1.通过开展</w:t>
            </w:r>
            <w:r>
              <w:rPr>
                <w:rFonts w:hint="eastAsia"/>
                <w:lang w:eastAsia="zh-CN"/>
              </w:rPr>
              <w:t>中央</w:t>
            </w:r>
            <w:bookmarkStart w:id="20" w:name="_GoBack"/>
            <w:r>
              <w:t>八项规定</w:t>
            </w:r>
            <w:bookmarkEnd w:id="20"/>
            <w:r>
              <w:t>精神明察暗访工作，促进党员干部廉洁自律。</w:t>
            </w:r>
          </w:p>
          <w:p>
            <w:pPr>
              <w:pStyle w:val="14"/>
            </w:pPr>
            <w:r>
              <w:t>2.通过对信访件应查尽查,做到有理有据,让信访人信服，提高纪检监察工作公信力。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督导、暗访检查次数</w:t>
            </w:r>
          </w:p>
        </w:tc>
        <w:tc>
          <w:tcPr>
            <w:tcW w:w="5386" w:type="dxa"/>
            <w:vAlign w:val="center"/>
          </w:tcPr>
          <w:p>
            <w:pPr>
              <w:pStyle w:val="14"/>
            </w:pPr>
            <w:r>
              <w:t>对党政机关党风廉政建设督导检查次数</w:t>
            </w:r>
          </w:p>
        </w:tc>
        <w:tc>
          <w:tcPr>
            <w:tcW w:w="2268" w:type="dxa"/>
            <w:vAlign w:val="center"/>
          </w:tcPr>
          <w:p>
            <w:pPr>
              <w:pStyle w:val="14"/>
            </w:pPr>
            <w:r>
              <w:t>≥160次</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廉政教育培训次数</w:t>
            </w:r>
          </w:p>
        </w:tc>
        <w:tc>
          <w:tcPr>
            <w:tcW w:w="5386" w:type="dxa"/>
            <w:vAlign w:val="center"/>
          </w:tcPr>
          <w:p>
            <w:pPr>
              <w:pStyle w:val="14"/>
            </w:pPr>
            <w:r>
              <w:t>反映对党员领导干部培训的次数、人数</w:t>
            </w:r>
          </w:p>
        </w:tc>
        <w:tc>
          <w:tcPr>
            <w:tcW w:w="2268" w:type="dxa"/>
            <w:vAlign w:val="center"/>
          </w:tcPr>
          <w:p>
            <w:pPr>
              <w:pStyle w:val="14"/>
            </w:pPr>
            <w:r>
              <w:t>≤15次</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明察暗访工作的完成率</w:t>
            </w:r>
          </w:p>
        </w:tc>
        <w:tc>
          <w:tcPr>
            <w:tcW w:w="5386" w:type="dxa"/>
            <w:vAlign w:val="center"/>
          </w:tcPr>
          <w:p>
            <w:pPr>
              <w:pStyle w:val="14"/>
            </w:pPr>
            <w:r>
              <w:t>明察暗访率和责任追究的完成率</w:t>
            </w: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廉政培训工作完成率</w:t>
            </w:r>
          </w:p>
        </w:tc>
        <w:tc>
          <w:tcPr>
            <w:tcW w:w="5386" w:type="dxa"/>
            <w:vAlign w:val="center"/>
          </w:tcPr>
          <w:p>
            <w:pPr>
              <w:pStyle w:val="14"/>
            </w:pPr>
            <w:r>
              <w:t>廉政培训工作的完成率</w:t>
            </w: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5386" w:type="dxa"/>
            <w:vAlign w:val="center"/>
          </w:tcPr>
          <w:p>
            <w:pPr>
              <w:pStyle w:val="14"/>
            </w:pPr>
            <w:r>
              <w:t>督导检查、明察暗访和追究责任工作按计划及时完成</w:t>
            </w:r>
          </w:p>
        </w:tc>
        <w:tc>
          <w:tcPr>
            <w:tcW w:w="2268" w:type="dxa"/>
            <w:vAlign w:val="center"/>
          </w:tcPr>
          <w:p>
            <w:pPr>
              <w:pStyle w:val="14"/>
            </w:pPr>
            <w:r>
              <w:t>100%</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廉政教育培训印刷费</w:t>
            </w:r>
          </w:p>
        </w:tc>
        <w:tc>
          <w:tcPr>
            <w:tcW w:w="5386" w:type="dxa"/>
            <w:vAlign w:val="center"/>
          </w:tcPr>
          <w:p>
            <w:pPr>
              <w:pStyle w:val="14"/>
            </w:pPr>
            <w:r>
              <w:t>反映开展廉政教育培训发生的印刷费</w:t>
            </w:r>
          </w:p>
        </w:tc>
        <w:tc>
          <w:tcPr>
            <w:tcW w:w="2268" w:type="dxa"/>
            <w:vAlign w:val="center"/>
          </w:tcPr>
          <w:p>
            <w:pPr>
              <w:pStyle w:val="14"/>
            </w:pPr>
            <w:r>
              <w:t>≤2万元</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租车费</w:t>
            </w:r>
          </w:p>
        </w:tc>
        <w:tc>
          <w:tcPr>
            <w:tcW w:w="5386" w:type="dxa"/>
            <w:vAlign w:val="center"/>
          </w:tcPr>
          <w:p>
            <w:pPr>
              <w:pStyle w:val="14"/>
            </w:pPr>
            <w:r>
              <w:t>反映为完成工作的租车费用</w:t>
            </w:r>
          </w:p>
        </w:tc>
        <w:tc>
          <w:tcPr>
            <w:tcW w:w="2268" w:type="dxa"/>
            <w:vAlign w:val="center"/>
          </w:tcPr>
          <w:p>
            <w:pPr>
              <w:pStyle w:val="14"/>
            </w:pPr>
            <w:r>
              <w:t>≤300元/天</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提高党风廉政建设水平</w:t>
            </w:r>
          </w:p>
        </w:tc>
        <w:tc>
          <w:tcPr>
            <w:tcW w:w="5386" w:type="dxa"/>
            <w:vAlign w:val="center"/>
          </w:tcPr>
          <w:p>
            <w:pPr>
              <w:pStyle w:val="14"/>
            </w:pPr>
            <w:r>
              <w:t>反映通过廉政教育培训，监督检查，提高了党风廉政建设水平。</w:t>
            </w: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党员、干部及群众满意度</w:t>
            </w:r>
          </w:p>
        </w:tc>
        <w:tc>
          <w:tcPr>
            <w:tcW w:w="5386" w:type="dxa"/>
            <w:vAlign w:val="center"/>
          </w:tcPr>
          <w:p>
            <w:pPr>
              <w:pStyle w:val="14"/>
            </w:pPr>
            <w:r>
              <w:t>党员、干部及群众对党风廉政建设工作的满意度</w:t>
            </w:r>
          </w:p>
        </w:tc>
        <w:tc>
          <w:tcPr>
            <w:tcW w:w="2268" w:type="dxa"/>
            <w:vAlign w:val="center"/>
          </w:tcPr>
          <w:p>
            <w:pPr>
              <w:pStyle w:val="14"/>
            </w:pPr>
            <w:r>
              <w:t>≥95%</w:t>
            </w:r>
          </w:p>
        </w:tc>
        <w:tc>
          <w:tcPr>
            <w:tcW w:w="1276" w:type="dxa"/>
            <w:vAlign w:val="center"/>
          </w:tcPr>
          <w:p>
            <w:pPr>
              <w:pStyle w:val="14"/>
            </w:pPr>
            <w:r>
              <w:t>2024年工作计划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3、纪检监察内网信息化改造提升工作经费绩效目标表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13032124P00331410022R</w:t>
            </w:r>
          </w:p>
        </w:tc>
        <w:tc>
          <w:tcPr>
            <w:tcW w:w="2835" w:type="dxa"/>
            <w:vAlign w:val="center"/>
          </w:tcPr>
          <w:p>
            <w:pPr>
              <w:pStyle w:val="12"/>
            </w:pPr>
            <w:r>
              <w:t>项目名称</w:t>
            </w:r>
          </w:p>
        </w:tc>
        <w:tc>
          <w:tcPr>
            <w:tcW w:w="6094" w:type="dxa"/>
            <w:gridSpan w:val="3"/>
            <w:vAlign w:val="center"/>
          </w:tcPr>
          <w:p>
            <w:pPr>
              <w:pStyle w:val="14"/>
            </w:pPr>
            <w:r>
              <w:t>纪检监察内网信息化改造提升工作经费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5.00</w:t>
            </w:r>
          </w:p>
        </w:tc>
        <w:tc>
          <w:tcPr>
            <w:tcW w:w="2551" w:type="dxa"/>
            <w:vAlign w:val="center"/>
          </w:tcPr>
          <w:p>
            <w:pPr>
              <w:pStyle w:val="15"/>
            </w:pPr>
            <w:r>
              <w:t>8.00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1.涉密</w:t>
            </w:r>
          </w:p>
          <w:p>
            <w:pPr>
              <w:pStyle w:val="14"/>
            </w:pPr>
            <w:r>
              <w:t>2.涉密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4、乡镇纪委工作经费绩效目标表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13032124P00331410023D</w:t>
            </w:r>
          </w:p>
        </w:tc>
        <w:tc>
          <w:tcPr>
            <w:tcW w:w="2835" w:type="dxa"/>
            <w:vAlign w:val="center"/>
          </w:tcPr>
          <w:p>
            <w:pPr>
              <w:pStyle w:val="12"/>
            </w:pPr>
            <w:r>
              <w:t>项目名称</w:t>
            </w:r>
          </w:p>
        </w:tc>
        <w:tc>
          <w:tcPr>
            <w:tcW w:w="6094" w:type="dxa"/>
            <w:gridSpan w:val="3"/>
            <w:vAlign w:val="center"/>
          </w:tcPr>
          <w:p>
            <w:pPr>
              <w:pStyle w:val="14"/>
            </w:pPr>
            <w:r>
              <w:t>乡镇纪委工作经费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126.40</w:t>
            </w:r>
          </w:p>
        </w:tc>
        <w:tc>
          <w:tcPr>
            <w:tcW w:w="2835" w:type="dxa"/>
            <w:vAlign w:val="center"/>
          </w:tcPr>
          <w:p>
            <w:pPr>
              <w:pStyle w:val="12"/>
            </w:pPr>
            <w:r>
              <w:t>其中：财政    资金</w:t>
            </w:r>
          </w:p>
        </w:tc>
        <w:tc>
          <w:tcPr>
            <w:tcW w:w="2551" w:type="dxa"/>
            <w:vAlign w:val="center"/>
          </w:tcPr>
          <w:p>
            <w:pPr>
              <w:pStyle w:val="14"/>
            </w:pPr>
            <w:r>
              <w:t>126.40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项目资金126.4万元，其中财政资金126.4万元，主要用于25个乡镇开展监督检查、案件查办工作经费。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31.00</w:t>
            </w:r>
          </w:p>
        </w:tc>
        <w:tc>
          <w:tcPr>
            <w:tcW w:w="2835" w:type="dxa"/>
            <w:vAlign w:val="center"/>
          </w:tcPr>
          <w:p>
            <w:pPr>
              <w:pStyle w:val="15"/>
            </w:pPr>
            <w:r>
              <w:t>62.00</w:t>
            </w:r>
          </w:p>
        </w:tc>
        <w:tc>
          <w:tcPr>
            <w:tcW w:w="2551" w:type="dxa"/>
            <w:vAlign w:val="center"/>
          </w:tcPr>
          <w:p>
            <w:pPr>
              <w:pStyle w:val="15"/>
            </w:pPr>
            <w:r>
              <w:t>94.00</w:t>
            </w:r>
          </w:p>
        </w:tc>
        <w:tc>
          <w:tcPr>
            <w:tcW w:w="3543" w:type="dxa"/>
            <w:gridSpan w:val="2"/>
            <w:vAlign w:val="center"/>
          </w:tcPr>
          <w:p>
            <w:pPr>
              <w:pStyle w:val="15"/>
            </w:pPr>
            <w:r>
              <w:t>126.40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1.通过对信访件应查尽查，提高纪检监察公信力。</w:t>
            </w:r>
          </w:p>
          <w:p>
            <w:pPr>
              <w:pStyle w:val="14"/>
            </w:pPr>
            <w:r>
              <w:t>2.通过开展监督检查，促进村级依法依规开展。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5386" w:type="dxa"/>
            <w:vAlign w:val="center"/>
          </w:tcPr>
          <w:p>
            <w:pPr>
              <w:pStyle w:val="14"/>
            </w:pPr>
            <w:r>
              <w:t>监督检查所辖村次数</w:t>
            </w:r>
          </w:p>
        </w:tc>
        <w:tc>
          <w:tcPr>
            <w:tcW w:w="2268" w:type="dxa"/>
            <w:vAlign w:val="center"/>
          </w:tcPr>
          <w:p>
            <w:pPr>
              <w:pStyle w:val="14"/>
            </w:pPr>
            <w:r>
              <w:t>≥375次</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监督检查单位数</w:t>
            </w:r>
          </w:p>
        </w:tc>
        <w:tc>
          <w:tcPr>
            <w:tcW w:w="5386" w:type="dxa"/>
            <w:vAlign w:val="center"/>
          </w:tcPr>
          <w:p>
            <w:pPr>
              <w:pStyle w:val="14"/>
            </w:pPr>
            <w:r>
              <w:t>监督检查所辖村数</w:t>
            </w:r>
          </w:p>
        </w:tc>
        <w:tc>
          <w:tcPr>
            <w:tcW w:w="2268" w:type="dxa"/>
            <w:vAlign w:val="center"/>
          </w:tcPr>
          <w:p>
            <w:pPr>
              <w:pStyle w:val="14"/>
            </w:pPr>
            <w:r>
              <w:t>≥396个</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案件查办完成率</w:t>
            </w:r>
          </w:p>
        </w:tc>
        <w:tc>
          <w:tcPr>
            <w:tcW w:w="5386" w:type="dxa"/>
            <w:vAlign w:val="center"/>
          </w:tcPr>
          <w:p>
            <w:pPr>
              <w:pStyle w:val="14"/>
            </w:pPr>
            <w:r>
              <w:t>完成信访件办理查办任务</w:t>
            </w:r>
          </w:p>
        </w:tc>
        <w:tc>
          <w:tcPr>
            <w:tcW w:w="2268" w:type="dxa"/>
            <w:vAlign w:val="center"/>
          </w:tcPr>
          <w:p>
            <w:pPr>
              <w:pStyle w:val="14"/>
            </w:pPr>
            <w:r>
              <w:t>≥95%</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查办案件完成及时性</w:t>
            </w:r>
          </w:p>
        </w:tc>
        <w:tc>
          <w:tcPr>
            <w:tcW w:w="5386" w:type="dxa"/>
            <w:vAlign w:val="center"/>
          </w:tcPr>
          <w:p>
            <w:pPr>
              <w:pStyle w:val="14"/>
            </w:pPr>
            <w:r>
              <w:t>反映案件办理结束时间</w:t>
            </w:r>
          </w:p>
        </w:tc>
        <w:tc>
          <w:tcPr>
            <w:tcW w:w="2268" w:type="dxa"/>
            <w:vAlign w:val="center"/>
          </w:tcPr>
          <w:p>
            <w:pPr>
              <w:pStyle w:val="14"/>
            </w:pPr>
            <w:r>
              <w:t>100%</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成本预算数</w:t>
            </w:r>
          </w:p>
        </w:tc>
        <w:tc>
          <w:tcPr>
            <w:tcW w:w="5386" w:type="dxa"/>
            <w:vAlign w:val="center"/>
          </w:tcPr>
          <w:p>
            <w:pPr>
              <w:pStyle w:val="14"/>
            </w:pPr>
            <w:r>
              <w:t>反映经费控制在预算范围内</w:t>
            </w:r>
          </w:p>
        </w:tc>
        <w:tc>
          <w:tcPr>
            <w:tcW w:w="2268" w:type="dxa"/>
            <w:vAlign w:val="center"/>
          </w:tcPr>
          <w:p>
            <w:pPr>
              <w:pStyle w:val="14"/>
            </w:pPr>
            <w:r>
              <w:t>≤126.4万元</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执法办案行为投诉率</w:t>
            </w:r>
          </w:p>
        </w:tc>
        <w:tc>
          <w:tcPr>
            <w:tcW w:w="5386" w:type="dxa"/>
            <w:vAlign w:val="center"/>
          </w:tcPr>
          <w:p>
            <w:pPr>
              <w:pStyle w:val="14"/>
            </w:pPr>
            <w:r>
              <w:t>被投诉的执法办案行为次数占执法办案总数的比率</w:t>
            </w:r>
          </w:p>
        </w:tc>
        <w:tc>
          <w:tcPr>
            <w:tcW w:w="2268" w:type="dxa"/>
            <w:vAlign w:val="center"/>
          </w:tcPr>
          <w:p>
            <w:pPr>
              <w:pStyle w:val="14"/>
            </w:pPr>
            <w:r>
              <w:t>≤3%</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违纪人员处理率</w:t>
            </w:r>
          </w:p>
        </w:tc>
        <w:tc>
          <w:tcPr>
            <w:tcW w:w="5386" w:type="dxa"/>
            <w:vAlign w:val="center"/>
          </w:tcPr>
          <w:p>
            <w:pPr>
              <w:pStyle w:val="14"/>
            </w:pPr>
            <w:r>
              <w:t>运用“四种形态”处理人次占处理总人数</w:t>
            </w:r>
          </w:p>
        </w:tc>
        <w:tc>
          <w:tcPr>
            <w:tcW w:w="2268" w:type="dxa"/>
            <w:vAlign w:val="center"/>
          </w:tcPr>
          <w:p>
            <w:pPr>
              <w:pStyle w:val="14"/>
            </w:pPr>
            <w:r>
              <w:t>≥90%</w:t>
            </w:r>
          </w:p>
        </w:tc>
        <w:tc>
          <w:tcPr>
            <w:tcW w:w="1276" w:type="dxa"/>
            <w:vAlign w:val="center"/>
          </w:tcPr>
          <w:p>
            <w:pPr>
              <w:pStyle w:val="14"/>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监督检查对象满意度</w:t>
            </w:r>
          </w:p>
        </w:tc>
        <w:tc>
          <w:tcPr>
            <w:tcW w:w="5386" w:type="dxa"/>
            <w:vAlign w:val="center"/>
          </w:tcPr>
          <w:p>
            <w:pPr>
              <w:pStyle w:val="14"/>
            </w:pPr>
            <w:r>
              <w:t>监督对象对监督检查过程和结果客观公正满意</w:t>
            </w:r>
          </w:p>
        </w:tc>
        <w:tc>
          <w:tcPr>
            <w:tcW w:w="2268" w:type="dxa"/>
            <w:vAlign w:val="center"/>
          </w:tcPr>
          <w:p>
            <w:pPr>
              <w:pStyle w:val="14"/>
            </w:pPr>
            <w:r>
              <w:t>≥95%</w:t>
            </w:r>
          </w:p>
        </w:tc>
        <w:tc>
          <w:tcPr>
            <w:tcW w:w="1276" w:type="dxa"/>
            <w:vAlign w:val="center"/>
          </w:tcPr>
          <w:p>
            <w:pPr>
              <w:pStyle w:val="14"/>
            </w:pPr>
            <w:r>
              <w:t>2024年工作计划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5、巡查巡视经费绩效目标表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13032123P00331710041G</w:t>
            </w:r>
          </w:p>
        </w:tc>
        <w:tc>
          <w:tcPr>
            <w:tcW w:w="2835" w:type="dxa"/>
            <w:vAlign w:val="center"/>
          </w:tcPr>
          <w:p>
            <w:pPr>
              <w:pStyle w:val="12"/>
            </w:pPr>
            <w:r>
              <w:t>项目名称</w:t>
            </w:r>
          </w:p>
        </w:tc>
        <w:tc>
          <w:tcPr>
            <w:tcW w:w="6094" w:type="dxa"/>
            <w:gridSpan w:val="3"/>
            <w:vAlign w:val="center"/>
          </w:tcPr>
          <w:p>
            <w:pPr>
              <w:pStyle w:val="14"/>
            </w:pPr>
            <w:r>
              <w:t>巡查巡视经费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18.15</w:t>
            </w:r>
          </w:p>
        </w:tc>
        <w:tc>
          <w:tcPr>
            <w:tcW w:w="2835" w:type="dxa"/>
            <w:vAlign w:val="center"/>
          </w:tcPr>
          <w:p>
            <w:pPr>
              <w:pStyle w:val="12"/>
            </w:pPr>
            <w:r>
              <w:t>其中：财政    资金</w:t>
            </w:r>
          </w:p>
        </w:tc>
        <w:tc>
          <w:tcPr>
            <w:tcW w:w="2551" w:type="dxa"/>
            <w:vAlign w:val="center"/>
          </w:tcPr>
          <w:p>
            <w:pPr>
              <w:pStyle w:val="14"/>
            </w:pPr>
            <w:r>
              <w:t>18.15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项目预算3.1532万元，其中财政资金3.1532万元，主要用于开展常规巡察、专项巡察。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0.50</w:t>
            </w:r>
          </w:p>
        </w:tc>
        <w:tc>
          <w:tcPr>
            <w:tcW w:w="2835" w:type="dxa"/>
            <w:vAlign w:val="center"/>
          </w:tcPr>
          <w:p>
            <w:pPr>
              <w:pStyle w:val="15"/>
            </w:pPr>
            <w:r>
              <w:t>1.30</w:t>
            </w:r>
          </w:p>
        </w:tc>
        <w:tc>
          <w:tcPr>
            <w:tcW w:w="2551" w:type="dxa"/>
            <w:vAlign w:val="center"/>
          </w:tcPr>
          <w:p>
            <w:pPr>
              <w:pStyle w:val="15"/>
            </w:pPr>
            <w:r>
              <w:t>2.40</w:t>
            </w:r>
          </w:p>
        </w:tc>
        <w:tc>
          <w:tcPr>
            <w:tcW w:w="3543" w:type="dxa"/>
            <w:gridSpan w:val="2"/>
            <w:vAlign w:val="center"/>
          </w:tcPr>
          <w:p>
            <w:pPr>
              <w:pStyle w:val="15"/>
            </w:pPr>
            <w:r>
              <w:t>3.15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1.通过制定巡察方案，开展常规巡察、专项巡察、地区之间互查，使各种行业不正之风.问题得以纠正。</w:t>
            </w:r>
          </w:p>
          <w:p>
            <w:pPr>
              <w:pStyle w:val="14"/>
            </w:pPr>
            <w:r>
              <w:t>2.通过县委巡察办对所管理的地方、</w:t>
            </w:r>
            <w:r>
              <w:rPr>
                <w:rFonts w:hint="eastAsia"/>
                <w:lang w:eastAsia="zh-CN"/>
              </w:rPr>
              <w:t>单位</w:t>
            </w:r>
            <w:r>
              <w:t>、企事业单位党组织进行巡察监督，实现巡察全覆盖。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全面巡察次数</w:t>
            </w:r>
          </w:p>
        </w:tc>
        <w:tc>
          <w:tcPr>
            <w:tcW w:w="5386" w:type="dxa"/>
            <w:vAlign w:val="center"/>
          </w:tcPr>
          <w:p>
            <w:pPr>
              <w:pStyle w:val="14"/>
            </w:pPr>
            <w:r>
              <w:t>根据要求确定的巡察次数</w:t>
            </w:r>
          </w:p>
        </w:tc>
        <w:tc>
          <w:tcPr>
            <w:tcW w:w="2268" w:type="dxa"/>
            <w:vAlign w:val="center"/>
          </w:tcPr>
          <w:p>
            <w:pPr>
              <w:pStyle w:val="14"/>
            </w:pPr>
            <w:r>
              <w:t>≥4次</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巡察单位数量</w:t>
            </w:r>
          </w:p>
        </w:tc>
        <w:tc>
          <w:tcPr>
            <w:tcW w:w="5386" w:type="dxa"/>
            <w:vAlign w:val="center"/>
          </w:tcPr>
          <w:p>
            <w:pPr>
              <w:pStyle w:val="14"/>
            </w:pPr>
            <w:r>
              <w:t>反映巡察单位的数量</w:t>
            </w:r>
          </w:p>
        </w:tc>
        <w:tc>
          <w:tcPr>
            <w:tcW w:w="2268" w:type="dxa"/>
            <w:vAlign w:val="center"/>
          </w:tcPr>
          <w:p>
            <w:pPr>
              <w:pStyle w:val="14"/>
            </w:pPr>
            <w:r>
              <w:t>≥16个</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巡察工作完成率</w:t>
            </w:r>
          </w:p>
        </w:tc>
        <w:tc>
          <w:tcPr>
            <w:tcW w:w="5386" w:type="dxa"/>
            <w:vAlign w:val="center"/>
          </w:tcPr>
          <w:p>
            <w:pPr>
              <w:pStyle w:val="14"/>
            </w:pPr>
            <w:r>
              <w:t>完成县委纪委安排的巡察任务</w:t>
            </w:r>
          </w:p>
        </w:tc>
        <w:tc>
          <w:tcPr>
            <w:tcW w:w="2268" w:type="dxa"/>
            <w:vAlign w:val="center"/>
          </w:tcPr>
          <w:p>
            <w:pPr>
              <w:pStyle w:val="14"/>
            </w:pPr>
            <w:r>
              <w:t>≥95%</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巡察覆盖率</w:t>
            </w:r>
          </w:p>
        </w:tc>
        <w:tc>
          <w:tcPr>
            <w:tcW w:w="5386" w:type="dxa"/>
            <w:vAlign w:val="center"/>
          </w:tcPr>
          <w:p>
            <w:pPr>
              <w:pStyle w:val="14"/>
            </w:pPr>
            <w:r>
              <w:t>巡察单位数占应巡察单位数比例</w:t>
            </w:r>
          </w:p>
        </w:tc>
        <w:tc>
          <w:tcPr>
            <w:tcW w:w="2268" w:type="dxa"/>
            <w:vAlign w:val="center"/>
          </w:tcPr>
          <w:p>
            <w:pPr>
              <w:pStyle w:val="14"/>
            </w:pPr>
            <w:r>
              <w:t>≥95%</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巡察完成及时性</w:t>
            </w:r>
          </w:p>
        </w:tc>
        <w:tc>
          <w:tcPr>
            <w:tcW w:w="5386" w:type="dxa"/>
            <w:vAlign w:val="center"/>
          </w:tcPr>
          <w:p>
            <w:pPr>
              <w:pStyle w:val="14"/>
            </w:pPr>
            <w:r>
              <w:t>反映巡察监督完成时间</w:t>
            </w:r>
          </w:p>
        </w:tc>
        <w:tc>
          <w:tcPr>
            <w:tcW w:w="2268" w:type="dxa"/>
            <w:vAlign w:val="center"/>
          </w:tcPr>
          <w:p>
            <w:pPr>
              <w:pStyle w:val="14"/>
            </w:pPr>
            <w:r>
              <w:t>100%</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交通费</w:t>
            </w:r>
          </w:p>
        </w:tc>
        <w:tc>
          <w:tcPr>
            <w:tcW w:w="5386" w:type="dxa"/>
            <w:vAlign w:val="center"/>
          </w:tcPr>
          <w:p>
            <w:pPr>
              <w:pStyle w:val="14"/>
            </w:pPr>
            <w:r>
              <w:t>反映市内每次每天交通费用支付金额</w:t>
            </w:r>
          </w:p>
        </w:tc>
        <w:tc>
          <w:tcPr>
            <w:tcW w:w="2268" w:type="dxa"/>
            <w:vAlign w:val="center"/>
          </w:tcPr>
          <w:p>
            <w:pPr>
              <w:pStyle w:val="14"/>
            </w:pPr>
            <w:r>
              <w:t>≤40元/天</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成本预算数</w:t>
            </w:r>
          </w:p>
        </w:tc>
        <w:tc>
          <w:tcPr>
            <w:tcW w:w="5386" w:type="dxa"/>
            <w:vAlign w:val="center"/>
          </w:tcPr>
          <w:p>
            <w:pPr>
              <w:pStyle w:val="14"/>
            </w:pPr>
            <w:r>
              <w:t>反映成本控制在预算范围内</w:t>
            </w:r>
          </w:p>
        </w:tc>
        <w:tc>
          <w:tcPr>
            <w:tcW w:w="2268" w:type="dxa"/>
            <w:vAlign w:val="center"/>
          </w:tcPr>
          <w:p>
            <w:pPr>
              <w:pStyle w:val="14"/>
            </w:pPr>
            <w:r>
              <w:t>≤3.15万元</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执法办案行为投拆率</w:t>
            </w:r>
          </w:p>
        </w:tc>
        <w:tc>
          <w:tcPr>
            <w:tcW w:w="5386" w:type="dxa"/>
            <w:vAlign w:val="center"/>
          </w:tcPr>
          <w:p>
            <w:pPr>
              <w:pStyle w:val="14"/>
            </w:pPr>
            <w:r>
              <w:t>被投诉的执法办案行为次数占执法办案总数的比率</w:t>
            </w:r>
          </w:p>
        </w:tc>
        <w:tc>
          <w:tcPr>
            <w:tcW w:w="2268" w:type="dxa"/>
            <w:vAlign w:val="center"/>
          </w:tcPr>
          <w:p>
            <w:pPr>
              <w:pStyle w:val="14"/>
            </w:pPr>
            <w:r>
              <w:t>≤3%</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巡察巡视监督对象满意度</w:t>
            </w:r>
          </w:p>
        </w:tc>
        <w:tc>
          <w:tcPr>
            <w:tcW w:w="5386" w:type="dxa"/>
            <w:vAlign w:val="center"/>
          </w:tcPr>
          <w:p>
            <w:pPr>
              <w:pStyle w:val="14"/>
            </w:pPr>
            <w:r>
              <w:t>监督对象对监督检查过程和结果客观、公正、合规满意度</w:t>
            </w:r>
          </w:p>
        </w:tc>
        <w:tc>
          <w:tcPr>
            <w:tcW w:w="2268" w:type="dxa"/>
            <w:vAlign w:val="center"/>
          </w:tcPr>
          <w:p>
            <w:pPr>
              <w:pStyle w:val="14"/>
            </w:pPr>
            <w:r>
              <w:t>≥95%</w:t>
            </w:r>
          </w:p>
        </w:tc>
        <w:tc>
          <w:tcPr>
            <w:tcW w:w="1276" w:type="dxa"/>
            <w:vAlign w:val="center"/>
          </w:tcPr>
          <w:p>
            <w:pPr>
              <w:pStyle w:val="14"/>
            </w:pPr>
            <w:r>
              <w:t>2024工作计划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6、案件查办经费绩效目标表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13032123P003319100214</w:t>
            </w:r>
          </w:p>
        </w:tc>
        <w:tc>
          <w:tcPr>
            <w:tcW w:w="2835" w:type="dxa"/>
            <w:vAlign w:val="center"/>
          </w:tcPr>
          <w:p>
            <w:pPr>
              <w:pStyle w:val="12"/>
            </w:pPr>
            <w:r>
              <w:t>项目名称</w:t>
            </w:r>
          </w:p>
        </w:tc>
        <w:tc>
          <w:tcPr>
            <w:tcW w:w="6094" w:type="dxa"/>
            <w:gridSpan w:val="3"/>
            <w:vAlign w:val="center"/>
          </w:tcPr>
          <w:p>
            <w:pPr>
              <w:pStyle w:val="14"/>
            </w:pPr>
            <w:r>
              <w:t>案件查办经费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34.83</w:t>
            </w:r>
          </w:p>
        </w:tc>
        <w:tc>
          <w:tcPr>
            <w:tcW w:w="2835" w:type="dxa"/>
            <w:vAlign w:val="center"/>
          </w:tcPr>
          <w:p>
            <w:pPr>
              <w:pStyle w:val="12"/>
            </w:pPr>
            <w:r>
              <w:t>其中：财政    资金</w:t>
            </w:r>
          </w:p>
        </w:tc>
        <w:tc>
          <w:tcPr>
            <w:tcW w:w="2551" w:type="dxa"/>
            <w:vAlign w:val="center"/>
          </w:tcPr>
          <w:p>
            <w:pPr>
              <w:pStyle w:val="14"/>
            </w:pPr>
            <w:r>
              <w:t>34.83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项目预算资金共10.83万元，其中财政资金10.83万元，主要用于组织协调、调查违法违纪案件。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5.00</w:t>
            </w:r>
          </w:p>
        </w:tc>
        <w:tc>
          <w:tcPr>
            <w:tcW w:w="2551" w:type="dxa"/>
            <w:vAlign w:val="center"/>
          </w:tcPr>
          <w:p>
            <w:pPr>
              <w:pStyle w:val="15"/>
            </w:pPr>
            <w:r>
              <w:t>8.00</w:t>
            </w:r>
          </w:p>
        </w:tc>
        <w:tc>
          <w:tcPr>
            <w:tcW w:w="3543" w:type="dxa"/>
            <w:gridSpan w:val="2"/>
            <w:vAlign w:val="center"/>
          </w:tcPr>
          <w:p>
            <w:pPr>
              <w:pStyle w:val="15"/>
            </w:pPr>
            <w:r>
              <w:t>10.83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1.通过受理信访、举报，集中管理问题线索、组织协调案件查办，调查、审查违纪违法案件，实现正风肃纪的效果。</w:t>
            </w:r>
          </w:p>
          <w:p>
            <w:pPr>
              <w:pStyle w:val="14"/>
            </w:pPr>
            <w:r>
              <w:t>2.通过对信访件应查尽查,做到有理有据,让信访人信服，提高纪检监察工作公信力。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对信访件进行初步核实</w:t>
            </w:r>
          </w:p>
        </w:tc>
        <w:tc>
          <w:tcPr>
            <w:tcW w:w="5386" w:type="dxa"/>
            <w:vAlign w:val="center"/>
          </w:tcPr>
          <w:p>
            <w:pPr>
              <w:pStyle w:val="14"/>
            </w:pPr>
            <w:r>
              <w:t>反映对所有信访件问题初步查办次数</w:t>
            </w:r>
          </w:p>
        </w:tc>
        <w:tc>
          <w:tcPr>
            <w:tcW w:w="2268" w:type="dxa"/>
            <w:vAlign w:val="center"/>
          </w:tcPr>
          <w:p>
            <w:pPr>
              <w:pStyle w:val="14"/>
            </w:pPr>
            <w:r>
              <w:t>≥700件数</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信访件立案个数</w:t>
            </w:r>
          </w:p>
        </w:tc>
        <w:tc>
          <w:tcPr>
            <w:tcW w:w="5386" w:type="dxa"/>
            <w:vAlign w:val="center"/>
          </w:tcPr>
          <w:p>
            <w:pPr>
              <w:pStyle w:val="14"/>
            </w:pPr>
            <w:r>
              <w:t>反映对处置线索进一步核实立案数</w:t>
            </w:r>
          </w:p>
        </w:tc>
        <w:tc>
          <w:tcPr>
            <w:tcW w:w="2268" w:type="dxa"/>
            <w:vAlign w:val="center"/>
          </w:tcPr>
          <w:p>
            <w:pPr>
              <w:pStyle w:val="14"/>
            </w:pPr>
            <w:r>
              <w:t>≥100件数</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审限结案率</w:t>
            </w:r>
          </w:p>
        </w:tc>
        <w:tc>
          <w:tcPr>
            <w:tcW w:w="5386" w:type="dxa"/>
            <w:vAlign w:val="center"/>
          </w:tcPr>
          <w:p>
            <w:pPr>
              <w:pStyle w:val="14"/>
            </w:pPr>
            <w:r>
              <w:t>法定审限内结案数占结案总数的比率</w:t>
            </w:r>
          </w:p>
        </w:tc>
        <w:tc>
          <w:tcPr>
            <w:tcW w:w="2268" w:type="dxa"/>
            <w:vAlign w:val="center"/>
          </w:tcPr>
          <w:p>
            <w:pPr>
              <w:pStyle w:val="14"/>
            </w:pPr>
            <w:r>
              <w:t>≤90%</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信访案件接访及立案及时性</w:t>
            </w:r>
          </w:p>
        </w:tc>
        <w:tc>
          <w:tcPr>
            <w:tcW w:w="5386" w:type="dxa"/>
            <w:vAlign w:val="center"/>
          </w:tcPr>
          <w:p>
            <w:pPr>
              <w:pStyle w:val="14"/>
            </w:pPr>
            <w:r>
              <w:t>群众信访案件接访及立案工作的及时程度</w:t>
            </w:r>
          </w:p>
        </w:tc>
        <w:tc>
          <w:tcPr>
            <w:tcW w:w="2268" w:type="dxa"/>
            <w:vAlign w:val="center"/>
          </w:tcPr>
          <w:p>
            <w:pPr>
              <w:pStyle w:val="14"/>
            </w:pPr>
            <w:r>
              <w:t>≥95%</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信访件处置时限</w:t>
            </w:r>
          </w:p>
        </w:tc>
        <w:tc>
          <w:tcPr>
            <w:tcW w:w="5386" w:type="dxa"/>
            <w:vAlign w:val="center"/>
          </w:tcPr>
          <w:p>
            <w:pPr>
              <w:pStyle w:val="14"/>
            </w:pPr>
            <w:r>
              <w:t>反映每个信访件处置时限</w:t>
            </w:r>
          </w:p>
        </w:tc>
        <w:tc>
          <w:tcPr>
            <w:tcW w:w="2268" w:type="dxa"/>
            <w:vAlign w:val="center"/>
          </w:tcPr>
          <w:p>
            <w:pPr>
              <w:pStyle w:val="14"/>
            </w:pPr>
            <w:r>
              <w:t>≤30天</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预算成本数</w:t>
            </w:r>
          </w:p>
        </w:tc>
        <w:tc>
          <w:tcPr>
            <w:tcW w:w="5386" w:type="dxa"/>
            <w:vAlign w:val="center"/>
          </w:tcPr>
          <w:p>
            <w:pPr>
              <w:pStyle w:val="14"/>
            </w:pPr>
            <w:r>
              <w:t>反映成本控制在预算范围内</w:t>
            </w:r>
          </w:p>
        </w:tc>
        <w:tc>
          <w:tcPr>
            <w:tcW w:w="2268" w:type="dxa"/>
            <w:vAlign w:val="center"/>
          </w:tcPr>
          <w:p>
            <w:pPr>
              <w:pStyle w:val="14"/>
            </w:pPr>
            <w:r>
              <w:t>≤10.83万元</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执法办案行为投拆率</w:t>
            </w:r>
          </w:p>
        </w:tc>
        <w:tc>
          <w:tcPr>
            <w:tcW w:w="5386" w:type="dxa"/>
            <w:vAlign w:val="center"/>
          </w:tcPr>
          <w:p>
            <w:pPr>
              <w:pStyle w:val="14"/>
            </w:pPr>
            <w:r>
              <w:t>被投诉的执法办案行为次数占执法办案总数的比率</w:t>
            </w:r>
          </w:p>
        </w:tc>
        <w:tc>
          <w:tcPr>
            <w:tcW w:w="2268" w:type="dxa"/>
            <w:vAlign w:val="center"/>
          </w:tcPr>
          <w:p>
            <w:pPr>
              <w:pStyle w:val="14"/>
            </w:pPr>
            <w:r>
              <w:t>≤3%</w:t>
            </w:r>
          </w:p>
        </w:tc>
        <w:tc>
          <w:tcPr>
            <w:tcW w:w="1276" w:type="dxa"/>
            <w:vAlign w:val="center"/>
          </w:tcPr>
          <w:p>
            <w:pPr>
              <w:pStyle w:val="14"/>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违纪人员处理率</w:t>
            </w:r>
          </w:p>
        </w:tc>
        <w:tc>
          <w:tcPr>
            <w:tcW w:w="5386" w:type="dxa"/>
            <w:vAlign w:val="center"/>
          </w:tcPr>
          <w:p>
            <w:pPr>
              <w:pStyle w:val="14"/>
            </w:pPr>
            <w:r>
              <w:t>运用监督执纪“四种形态”处理人次占处理总人数</w:t>
            </w:r>
          </w:p>
        </w:tc>
        <w:tc>
          <w:tcPr>
            <w:tcW w:w="2268" w:type="dxa"/>
            <w:vAlign w:val="center"/>
          </w:tcPr>
          <w:p>
            <w:pPr>
              <w:pStyle w:val="14"/>
            </w:pPr>
            <w:r>
              <w:t>≥90%</w:t>
            </w:r>
          </w:p>
        </w:tc>
        <w:tc>
          <w:tcPr>
            <w:tcW w:w="1276" w:type="dxa"/>
            <w:vAlign w:val="center"/>
          </w:tcPr>
          <w:p>
            <w:pPr>
              <w:pStyle w:val="14"/>
            </w:pPr>
            <w:r>
              <w:t>2024工作计划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7、关于提前下达2024年中央政法纪检监察转移支付资金的通知（冀财政法[2023]49号）-办案业务费绩效目标表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13032124P00000810022A</w:t>
            </w:r>
          </w:p>
        </w:tc>
        <w:tc>
          <w:tcPr>
            <w:tcW w:w="2835" w:type="dxa"/>
            <w:vAlign w:val="center"/>
          </w:tcPr>
          <w:p>
            <w:pPr>
              <w:pStyle w:val="12"/>
            </w:pPr>
            <w:r>
              <w:t>项目名称</w:t>
            </w:r>
          </w:p>
        </w:tc>
        <w:tc>
          <w:tcPr>
            <w:tcW w:w="6094" w:type="dxa"/>
            <w:gridSpan w:val="3"/>
            <w:vAlign w:val="center"/>
          </w:tcPr>
          <w:p>
            <w:pPr>
              <w:pStyle w:val="14"/>
            </w:pPr>
            <w:r>
              <w:t>关于提前下达2024年中央政法纪检监察转移支付资金的通知（冀财政法[2023]49号）-办案业务费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14.00</w:t>
            </w:r>
          </w:p>
        </w:tc>
        <w:tc>
          <w:tcPr>
            <w:tcW w:w="2835" w:type="dxa"/>
            <w:vAlign w:val="center"/>
          </w:tcPr>
          <w:p>
            <w:pPr>
              <w:pStyle w:val="12"/>
            </w:pPr>
            <w:r>
              <w:t>其中：财政    资金</w:t>
            </w:r>
          </w:p>
        </w:tc>
        <w:tc>
          <w:tcPr>
            <w:tcW w:w="2551" w:type="dxa"/>
            <w:vAlign w:val="center"/>
          </w:tcPr>
          <w:p>
            <w:pPr>
              <w:pStyle w:val="14"/>
            </w:pPr>
            <w:r>
              <w:t>14.00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9.00</w:t>
            </w:r>
          </w:p>
        </w:tc>
        <w:tc>
          <w:tcPr>
            <w:tcW w:w="3543" w:type="dxa"/>
            <w:gridSpan w:val="2"/>
            <w:vAlign w:val="center"/>
          </w:tcPr>
          <w:p>
            <w:pPr>
              <w:pStyle w:val="15"/>
            </w:pPr>
            <w:r>
              <w:t>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1.涉密</w:t>
            </w:r>
          </w:p>
          <w:p>
            <w:pPr>
              <w:pStyle w:val="14"/>
            </w:pPr>
            <w:r>
              <w:t>2.涉密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8、关于提前下达2024年中央政法纪检监察转移支付资金的通知（冀财政法[2023]49号）-业务设备购置绩效目标表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13032124P00000810023X</w:t>
            </w:r>
          </w:p>
        </w:tc>
        <w:tc>
          <w:tcPr>
            <w:tcW w:w="2835" w:type="dxa"/>
            <w:vAlign w:val="center"/>
          </w:tcPr>
          <w:p>
            <w:pPr>
              <w:pStyle w:val="12"/>
            </w:pPr>
            <w:r>
              <w:t>项目名称</w:t>
            </w:r>
          </w:p>
        </w:tc>
        <w:tc>
          <w:tcPr>
            <w:tcW w:w="6094" w:type="dxa"/>
            <w:gridSpan w:val="3"/>
            <w:vAlign w:val="center"/>
          </w:tcPr>
          <w:p>
            <w:pPr>
              <w:pStyle w:val="14"/>
            </w:pPr>
            <w:r>
              <w:t>关于提前下达2024年中央政法纪检监察转移支付资金的通知（冀财政法[2023]49号）-业务设备购置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2.00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1.涉密</w:t>
            </w:r>
          </w:p>
          <w:p>
            <w:pPr>
              <w:pStyle w:val="14"/>
            </w:pPr>
            <w:r>
              <w:t>2.涉密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涉密</w:t>
            </w:r>
          </w:p>
        </w:tc>
        <w:tc>
          <w:tcPr>
            <w:tcW w:w="5386" w:type="dxa"/>
            <w:vAlign w:val="center"/>
          </w:tcPr>
          <w:p>
            <w:pPr>
              <w:pStyle w:val="14"/>
            </w:pPr>
            <w:r>
              <w:t>涉密</w:t>
            </w:r>
          </w:p>
        </w:tc>
        <w:tc>
          <w:tcPr>
            <w:tcW w:w="2268" w:type="dxa"/>
            <w:vAlign w:val="center"/>
          </w:tcPr>
          <w:p>
            <w:pPr>
              <w:pStyle w:val="14"/>
            </w:pPr>
            <w:r>
              <w:t>涉密</w:t>
            </w:r>
          </w:p>
        </w:tc>
        <w:tc>
          <w:tcPr>
            <w:tcW w:w="1276" w:type="dxa"/>
            <w:vAlign w:val="center"/>
          </w:tcPr>
          <w:p>
            <w:pPr>
              <w:pStyle w:val="14"/>
            </w:pPr>
            <w:r>
              <w:t>涉密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中共青龙满族自治县纪律检查委员会（含所属单位）上年末固定资产金额为519.66万元（详见下表）。本年度拟购置固定资产总额为0.00万元，已按要求列入政府采购预算，详见政府采购预算表。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222中共青龙满族自治县纪律检查委员会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8</w:t>
            </w:r>
          </w:p>
        </w:tc>
        <w:tc>
          <w:tcPr>
            <w:tcW w:w="2835" w:type="dxa"/>
            <w:vAlign w:val="center"/>
          </w:tcPr>
          <w:p>
            <w:pPr>
              <w:pStyle w:val="13"/>
            </w:pPr>
            <w:r>
              <w:t>107.54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487</w:t>
            </w:r>
          </w:p>
        </w:tc>
        <w:tc>
          <w:tcPr>
            <w:tcW w:w="2835" w:type="dxa"/>
            <w:vAlign w:val="center"/>
          </w:tcPr>
          <w:p>
            <w:pPr>
              <w:pStyle w:val="13"/>
            </w:pPr>
            <w:r>
              <w:t>412.12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2YwZGU3ODdhMTNjYTI1ZWNmNTcxY2MwMDQ5YWQifQ=="/>
  </w:docVars>
  <w:rsids>
    <w:rsidRoot w:val="00000000"/>
    <w:rsid w:val="01CF6846"/>
    <w:rsid w:val="045D525A"/>
    <w:rsid w:val="16180B75"/>
    <w:rsid w:val="1AA77BFB"/>
    <w:rsid w:val="258E7A68"/>
    <w:rsid w:val="37D55ED4"/>
    <w:rsid w:val="4D8606F6"/>
    <w:rsid w:val="6CC654CF"/>
    <w:rsid w:val="7E4D3A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1" Type="http://schemas.openxmlformats.org/officeDocument/2006/relationships/fontTable" Target="fontTable.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2024-02-21T14:25:32Z</dcterms:created>
  <dcterms:modified xsi:type="dcterms:W3CDTF">2024-02-21T06:25:32Z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2024-02-21T14:25:32Z</dcterms:created>
  <dcterms:modified xsi:type="dcterms:W3CDTF">2024-02-21T06:25:32Z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2024-02-21T14:25:32Z</dcterms:created>
  <dcterms:modified xsi:type="dcterms:W3CDTF">2024-02-21T06:25:32Z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2024-02-21T14:25:32Z</dcterms:created>
  <dcterms:modified xsi:type="dcterms:W3CDTF">2024-02-21T06:25:32Z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2024-02-21T14:25:33Z</dcterms:created>
  <dcterms:modified xsi:type="dcterms:W3CDTF">2024-02-21T06:25:33Z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2024-02-21T14:25:33Z</dcterms:created>
  <dcterms:modified xsi:type="dcterms:W3CDTF">2024-02-21T06:25:33Z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2024-02-21T14:25:36Z</dcterms:created>
  <dcterms:modified xsi:type="dcterms:W3CDTF">2024-02-21T06:25:36Z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2024-02-21T14:25:38Z</dcterms:created>
  <dcterms:modified xsi:type="dcterms:W3CDTF">2024-02-21T06:25:38Z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2024-02-21T14:25:38Z</dcterms:created>
  <dcterms:modified xsi:type="dcterms:W3CDTF">2024-02-21T06:25:38Z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2024-02-21T14:25:30Z</dcterms:created>
  <dcterms:modified xsi:type="dcterms:W3CDTF">2024-02-21T06:25:30Z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2024-02-21T14:25:31Z</dcterms:created>
  <dcterms:modified xsi:type="dcterms:W3CDTF">2024-02-21T06:25:31Z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2024-02-21T14:25:39Z</dcterms:created>
  <dcterms:modified xsi:type="dcterms:W3CDTF">2024-02-21T06:25:38Z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2024-02-21T14:25:39Z</dcterms:created>
  <dcterms:modified xsi:type="dcterms:W3CDTF">2024-02-21T06:25:39Z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2024-02-21T14:25:39Z</dcterms:created>
  <dcterms:modified xsi:type="dcterms:W3CDTF">2024-02-21T06:25:39Z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2024-02-21T14:25:40Z</dcterms:created>
  <dcterms:modified xsi:type="dcterms:W3CDTF">2024-02-21T06:25:39Z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2024-02-21T14:25:40Z</dcterms:created>
  <dcterms:modified xsi:type="dcterms:W3CDTF">2024-02-21T06:25:40Z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2024-02-21T14:25:40Z</dcterms:created>
  <dcterms:modified xsi:type="dcterms:W3CDTF">2024-02-21T06:25:40Z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2024-02-21T14:25:40Z</dcterms:created>
  <dcterms:modified xsi:type="dcterms:W3CDTF">2024-02-21T06:25:40Z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2024-02-21T14:25:30Z</dcterms:created>
  <dcterms:modified xsi:type="dcterms:W3CDTF">2024-02-21T06:25:30Z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2024-02-21T14:25:31Z</dcterms:created>
  <dcterms:modified xsi:type="dcterms:W3CDTF">2024-02-21T06:25:31Z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2024-02-21T14:25:29Z</dcterms:created>
  <dcterms:modified xsi:type="dcterms:W3CDTF">2024-02-21T06:25:29Z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2024-02-21T14:25:31Z</dcterms:created>
  <dcterms:modified xsi:type="dcterms:W3CDTF">2024-02-21T06:25:31Z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53355f7-9cdf-4742-a33d-22a0f505cf71}">
  <ds:schemaRefs/>
</ds:datastoreItem>
</file>

<file path=customXml/itemProps11.xml><?xml version="1.0" encoding="utf-8"?>
<ds:datastoreItem xmlns:ds="http://schemas.openxmlformats.org/officeDocument/2006/customXml" ds:itemID="{1f4e714e-da88-46cb-a105-f4bcb3cb5b11}">
  <ds:schemaRefs/>
</ds:datastoreItem>
</file>

<file path=customXml/itemProps12.xml><?xml version="1.0" encoding="utf-8"?>
<ds:datastoreItem xmlns:ds="http://schemas.openxmlformats.org/officeDocument/2006/customXml" ds:itemID="{3cfb8dce-f05b-4906-9135-d4c2707019e5}">
  <ds:schemaRefs/>
</ds:datastoreItem>
</file>

<file path=customXml/itemProps13.xml><?xml version="1.0" encoding="utf-8"?>
<ds:datastoreItem xmlns:ds="http://schemas.openxmlformats.org/officeDocument/2006/customXml" ds:itemID="{88e8f1a5-d8b6-4222-bb90-1f9b7f169831}">
  <ds:schemaRefs/>
</ds:datastoreItem>
</file>

<file path=customXml/itemProps14.xml><?xml version="1.0" encoding="utf-8"?>
<ds:datastoreItem xmlns:ds="http://schemas.openxmlformats.org/officeDocument/2006/customXml" ds:itemID="{0a5886e3-a7ea-4fc0-9e38-dac02a984d65}">
  <ds:schemaRefs/>
</ds:datastoreItem>
</file>

<file path=customXml/itemProps15.xml><?xml version="1.0" encoding="utf-8"?>
<ds:datastoreItem xmlns:ds="http://schemas.openxmlformats.org/officeDocument/2006/customXml" ds:itemID="{2c1e8da9-3b83-44e8-8c46-aaa1516e4102}">
  <ds:schemaRefs/>
</ds:datastoreItem>
</file>

<file path=customXml/itemProps16.xml><?xml version="1.0" encoding="utf-8"?>
<ds:datastoreItem xmlns:ds="http://schemas.openxmlformats.org/officeDocument/2006/customXml" ds:itemID="{7e4fa182-2ee5-41e2-87ca-9855ca5229c5}">
  <ds:schemaRefs/>
</ds:datastoreItem>
</file>

<file path=customXml/itemProps17.xml><?xml version="1.0" encoding="utf-8"?>
<ds:datastoreItem xmlns:ds="http://schemas.openxmlformats.org/officeDocument/2006/customXml" ds:itemID="{1fce4515-ae57-4803-90c0-a35566079c53}">
  <ds:schemaRefs/>
</ds:datastoreItem>
</file>

<file path=customXml/itemProps18.xml><?xml version="1.0" encoding="utf-8"?>
<ds:datastoreItem xmlns:ds="http://schemas.openxmlformats.org/officeDocument/2006/customXml" ds:itemID="{f7176f2a-b6ca-49fe-8c4b-023798ce2d49}">
  <ds:schemaRefs/>
</ds:datastoreItem>
</file>

<file path=customXml/itemProps19.xml><?xml version="1.0" encoding="utf-8"?>
<ds:datastoreItem xmlns:ds="http://schemas.openxmlformats.org/officeDocument/2006/customXml" ds:itemID="{2fc93cd4-515f-41b6-8b3a-0dce003a7f1a}">
  <ds:schemaRefs/>
</ds:datastoreItem>
</file>

<file path=customXml/itemProps2.xml><?xml version="1.0" encoding="utf-8"?>
<ds:datastoreItem xmlns:ds="http://schemas.openxmlformats.org/officeDocument/2006/customXml" ds:itemID="{b63fbd37-0ffb-4875-b65b-85d4a26ed0ef}">
  <ds:schemaRefs/>
</ds:datastoreItem>
</file>

<file path=customXml/itemProps20.xml><?xml version="1.0" encoding="utf-8"?>
<ds:datastoreItem xmlns:ds="http://schemas.openxmlformats.org/officeDocument/2006/customXml" ds:itemID="{2a6b11f8-f81c-4800-ab79-97931bf47e76}">
  <ds:schemaRefs/>
</ds:datastoreItem>
</file>

<file path=customXml/itemProps21.xml><?xml version="1.0" encoding="utf-8"?>
<ds:datastoreItem xmlns:ds="http://schemas.openxmlformats.org/officeDocument/2006/customXml" ds:itemID="{cd1b697d-ed89-4a97-aaec-c9daecc2ad3b}">
  <ds:schemaRefs/>
</ds:datastoreItem>
</file>

<file path=customXml/itemProps22.xml><?xml version="1.0" encoding="utf-8"?>
<ds:datastoreItem xmlns:ds="http://schemas.openxmlformats.org/officeDocument/2006/customXml" ds:itemID="{a4ad4c42-6deb-437b-8407-16b0a089e9a7}">
  <ds:schemaRefs/>
</ds:datastoreItem>
</file>

<file path=customXml/itemProps23.xml><?xml version="1.0" encoding="utf-8"?>
<ds:datastoreItem xmlns:ds="http://schemas.openxmlformats.org/officeDocument/2006/customXml" ds:itemID="{8c64de35-92a8-46a9-bfa3-af49a94525ac}">
  <ds:schemaRefs/>
</ds:datastoreItem>
</file>

<file path=customXml/itemProps24.xml><?xml version="1.0" encoding="utf-8"?>
<ds:datastoreItem xmlns:ds="http://schemas.openxmlformats.org/officeDocument/2006/customXml" ds:itemID="{b9637062-52d2-4c52-b8ca-e92568b6543a}">
  <ds:schemaRefs/>
</ds:datastoreItem>
</file>

<file path=customXml/itemProps25.xml><?xml version="1.0" encoding="utf-8"?>
<ds:datastoreItem xmlns:ds="http://schemas.openxmlformats.org/officeDocument/2006/customXml" ds:itemID="{8a8c5727-4e81-4edb-9d33-6a4e259162dd}">
  <ds:schemaRefs/>
</ds:datastoreItem>
</file>

<file path=customXml/itemProps26.xml><?xml version="1.0" encoding="utf-8"?>
<ds:datastoreItem xmlns:ds="http://schemas.openxmlformats.org/officeDocument/2006/customXml" ds:itemID="{e901d219-05cd-4b41-bd4b-40f522aa01a5}">
  <ds:schemaRefs/>
</ds:datastoreItem>
</file>

<file path=customXml/itemProps27.xml><?xml version="1.0" encoding="utf-8"?>
<ds:datastoreItem xmlns:ds="http://schemas.openxmlformats.org/officeDocument/2006/customXml" ds:itemID="{41a681e9-7e24-47d7-a09c-eb06e1dd99df}">
  <ds:schemaRefs/>
</ds:datastoreItem>
</file>

<file path=customXml/itemProps28.xml><?xml version="1.0" encoding="utf-8"?>
<ds:datastoreItem xmlns:ds="http://schemas.openxmlformats.org/officeDocument/2006/customXml" ds:itemID="{4e2a97ec-3f24-44bc-8c92-ebfe2a8f5d95}">
  <ds:schemaRefs/>
</ds:datastoreItem>
</file>

<file path=customXml/itemProps29.xml><?xml version="1.0" encoding="utf-8"?>
<ds:datastoreItem xmlns:ds="http://schemas.openxmlformats.org/officeDocument/2006/customXml" ds:itemID="{4ad1ea67-ab1d-404d-821a-431cf541fc6c}">
  <ds:schemaRefs/>
</ds:datastoreItem>
</file>

<file path=customXml/itemProps3.xml><?xml version="1.0" encoding="utf-8"?>
<ds:datastoreItem xmlns:ds="http://schemas.openxmlformats.org/officeDocument/2006/customXml" ds:itemID="{c0df307e-e4b9-459d-ab2d-903714911122}">
  <ds:schemaRefs/>
</ds:datastoreItem>
</file>

<file path=customXml/itemProps30.xml><?xml version="1.0" encoding="utf-8"?>
<ds:datastoreItem xmlns:ds="http://schemas.openxmlformats.org/officeDocument/2006/customXml" ds:itemID="{2fca7cd2-e058-48f6-ae39-908250fc196e}">
  <ds:schemaRefs/>
</ds:datastoreItem>
</file>

<file path=customXml/itemProps31.xml><?xml version="1.0" encoding="utf-8"?>
<ds:datastoreItem xmlns:ds="http://schemas.openxmlformats.org/officeDocument/2006/customXml" ds:itemID="{33a0d391-ff6b-4ef6-92d3-d7a9048f9e80}">
  <ds:schemaRefs/>
</ds:datastoreItem>
</file>

<file path=customXml/itemProps32.xml><?xml version="1.0" encoding="utf-8"?>
<ds:datastoreItem xmlns:ds="http://schemas.openxmlformats.org/officeDocument/2006/customXml" ds:itemID="{fec98d34-9349-47d1-877a-3095fb208fc0}">
  <ds:schemaRefs/>
</ds:datastoreItem>
</file>

<file path=customXml/itemProps33.xml><?xml version="1.0" encoding="utf-8"?>
<ds:datastoreItem xmlns:ds="http://schemas.openxmlformats.org/officeDocument/2006/customXml" ds:itemID="{9f21fa46-d7a1-4c77-be58-776028f73377}">
  <ds:schemaRefs/>
</ds:datastoreItem>
</file>

<file path=customXml/itemProps34.xml><?xml version="1.0" encoding="utf-8"?>
<ds:datastoreItem xmlns:ds="http://schemas.openxmlformats.org/officeDocument/2006/customXml" ds:itemID="{f1a16ef2-05bc-417c-8f9e-1fd805bfad6e}">
  <ds:schemaRefs/>
</ds:datastoreItem>
</file>

<file path=customXml/itemProps35.xml><?xml version="1.0" encoding="utf-8"?>
<ds:datastoreItem xmlns:ds="http://schemas.openxmlformats.org/officeDocument/2006/customXml" ds:itemID="{2c3f462a-b175-4f4a-92c4-fba8679a7e31}">
  <ds:schemaRefs/>
</ds:datastoreItem>
</file>

<file path=customXml/itemProps36.xml><?xml version="1.0" encoding="utf-8"?>
<ds:datastoreItem xmlns:ds="http://schemas.openxmlformats.org/officeDocument/2006/customXml" ds:itemID="{9cca3ef6-e9d0-403d-a581-b782409102ea}">
  <ds:schemaRefs/>
</ds:datastoreItem>
</file>

<file path=customXml/itemProps37.xml><?xml version="1.0" encoding="utf-8"?>
<ds:datastoreItem xmlns:ds="http://schemas.openxmlformats.org/officeDocument/2006/customXml" ds:itemID="{efffcd6e-bb11-4c70-8072-7351e465467d}">
  <ds:schemaRefs/>
</ds:datastoreItem>
</file>

<file path=customXml/itemProps38.xml><?xml version="1.0" encoding="utf-8"?>
<ds:datastoreItem xmlns:ds="http://schemas.openxmlformats.org/officeDocument/2006/customXml" ds:itemID="{f6ff8dae-3c6d-448d-a3a9-fd3c4e3cb2b0}">
  <ds:schemaRefs/>
</ds:datastoreItem>
</file>

<file path=customXml/itemProps39.xml><?xml version="1.0" encoding="utf-8"?>
<ds:datastoreItem xmlns:ds="http://schemas.openxmlformats.org/officeDocument/2006/customXml" ds:itemID="{805a2622-1039-4766-909f-bced09c20c81}">
  <ds:schemaRefs/>
</ds:datastoreItem>
</file>

<file path=customXml/itemProps4.xml><?xml version="1.0" encoding="utf-8"?>
<ds:datastoreItem xmlns:ds="http://schemas.openxmlformats.org/officeDocument/2006/customXml" ds:itemID="{abe6d2d7-19c4-422c-8dec-247518cba496}">
  <ds:schemaRefs/>
</ds:datastoreItem>
</file>

<file path=customXml/itemProps40.xml><?xml version="1.0" encoding="utf-8"?>
<ds:datastoreItem xmlns:ds="http://schemas.openxmlformats.org/officeDocument/2006/customXml" ds:itemID="{5318b1da-68c0-4c22-a03d-bfcefff2c172}">
  <ds:schemaRefs/>
</ds:datastoreItem>
</file>

<file path=customXml/itemProps41.xml><?xml version="1.0" encoding="utf-8"?>
<ds:datastoreItem xmlns:ds="http://schemas.openxmlformats.org/officeDocument/2006/customXml" ds:itemID="{283aca77-c06a-45fc-8805-835e2eecbeb8}">
  <ds:schemaRefs/>
</ds:datastoreItem>
</file>

<file path=customXml/itemProps42.xml><?xml version="1.0" encoding="utf-8"?>
<ds:datastoreItem xmlns:ds="http://schemas.openxmlformats.org/officeDocument/2006/customXml" ds:itemID="{5c481a4e-9e43-4921-a2a8-3689edb8daca}">
  <ds:schemaRefs/>
</ds:datastoreItem>
</file>

<file path=customXml/itemProps43.xml><?xml version="1.0" encoding="utf-8"?>
<ds:datastoreItem xmlns:ds="http://schemas.openxmlformats.org/officeDocument/2006/customXml" ds:itemID="{352a8bb2-8c82-4cb6-8e75-140ff46adcce}">
  <ds:schemaRefs/>
</ds:datastoreItem>
</file>

<file path=customXml/itemProps44.xml><?xml version="1.0" encoding="utf-8"?>
<ds:datastoreItem xmlns:ds="http://schemas.openxmlformats.org/officeDocument/2006/customXml" ds:itemID="{8e614f9b-a8dd-4e84-8207-1e7f926b4af8}">
  <ds:schemaRefs/>
</ds:datastoreItem>
</file>

<file path=customXml/itemProps45.xml><?xml version="1.0" encoding="utf-8"?>
<ds:datastoreItem xmlns:ds="http://schemas.openxmlformats.org/officeDocument/2006/customXml" ds:itemID="{bc433233-c822-48f7-aa51-0137c1de9799}">
  <ds:schemaRefs/>
</ds:datastoreItem>
</file>

<file path=customXml/itemProps5.xml><?xml version="1.0" encoding="utf-8"?>
<ds:datastoreItem xmlns:ds="http://schemas.openxmlformats.org/officeDocument/2006/customXml" ds:itemID="{3641b814-cab0-4d81-964f-2fe33c0e1f60}">
  <ds:schemaRefs/>
</ds:datastoreItem>
</file>

<file path=customXml/itemProps6.xml><?xml version="1.0" encoding="utf-8"?>
<ds:datastoreItem xmlns:ds="http://schemas.openxmlformats.org/officeDocument/2006/customXml" ds:itemID="{37904d8d-7554-448d-8a9b-4ab1b0b50677}">
  <ds:schemaRefs/>
</ds:datastoreItem>
</file>

<file path=customXml/itemProps7.xml><?xml version="1.0" encoding="utf-8"?>
<ds:datastoreItem xmlns:ds="http://schemas.openxmlformats.org/officeDocument/2006/customXml" ds:itemID="{07457b69-b785-4606-b04e-2839d1529a46}">
  <ds:schemaRefs/>
</ds:datastoreItem>
</file>

<file path=customXml/itemProps8.xml><?xml version="1.0" encoding="utf-8"?>
<ds:datastoreItem xmlns:ds="http://schemas.openxmlformats.org/officeDocument/2006/customXml" ds:itemID="{521dd6d1-9a1a-4b1a-b928-7694b8bc90d2}">
  <ds:schemaRefs/>
</ds:datastoreItem>
</file>

<file path=customXml/itemProps9.xml><?xml version="1.0" encoding="utf-8"?>
<ds:datastoreItem xmlns:ds="http://schemas.openxmlformats.org/officeDocument/2006/customXml" ds:itemID="{13919515-f777-413e-ac69-acddb7e35b98}">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2024-02-21T14:25:00Z</dcterms:created>
  <dc:creator>Administrator</dc:creator>
  <cp:lastModifiedBy>逍遥</cp:lastModifiedBy>
  <dcterms:modified xsi:type="dcterms:W3CDTF">2025-06-17T07:44:56Z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A4EB9157AA444E5FAD839BAEA24C4F12</vt:lpwstr>
  </property>
</Properties>
</file>