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Start w:id="20" w:name="_GoBack"/>
      <w:bookmarkEnd w:id="20"/>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61.59</w:t>
            </w:r>
          </w:p>
        </w:tc>
        <w:tc>
          <w:tcPr>
            <w:tcW w:w="4535" w:type="dxa"/>
            <w:vAlign w:val="center"/>
          </w:tcPr>
          <w:p>
            <w:pPr>
              <w:pStyle w:val="13"/>
            </w:pPr>
            <w:r>
              <w:t>一、一般公共服务支出</w:t>
            </w:r>
          </w:p>
        </w:tc>
        <w:tc>
          <w:tcPr>
            <w:tcW w:w="2126" w:type="dxa"/>
            <w:vAlign w:val="center"/>
          </w:tcPr>
          <w:p>
            <w:pPr>
              <w:pStyle w:val="12"/>
            </w:pPr>
            <w:r>
              <w:t>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61.59</w:t>
            </w:r>
          </w:p>
        </w:tc>
        <w:tc>
          <w:tcPr>
            <w:tcW w:w="4535" w:type="dxa"/>
            <w:vAlign w:val="center"/>
          </w:tcPr>
          <w:p>
            <w:pPr>
              <w:pStyle w:val="15"/>
            </w:pPr>
            <w:r>
              <w:t>本年支出合计</w:t>
            </w:r>
          </w:p>
        </w:tc>
        <w:tc>
          <w:tcPr>
            <w:tcW w:w="2126" w:type="dxa"/>
            <w:vAlign w:val="center"/>
          </w:tcPr>
          <w:p>
            <w:pPr>
              <w:pStyle w:val="16"/>
            </w:pPr>
            <w:r>
              <w:t>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61.59</w:t>
            </w:r>
          </w:p>
        </w:tc>
        <w:tc>
          <w:tcPr>
            <w:tcW w:w="4535" w:type="dxa"/>
            <w:vAlign w:val="center"/>
          </w:tcPr>
          <w:p>
            <w:pPr>
              <w:pStyle w:val="15"/>
            </w:pPr>
            <w:r>
              <w:t>支出总计</w:t>
            </w:r>
          </w:p>
        </w:tc>
        <w:tc>
          <w:tcPr>
            <w:tcW w:w="2126" w:type="dxa"/>
            <w:vAlign w:val="center"/>
          </w:tcPr>
          <w:p>
            <w:pPr>
              <w:pStyle w:val="16"/>
            </w:pPr>
            <w:r>
              <w:t>61.59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61.59</w:t>
            </w:r>
          </w:p>
        </w:tc>
        <w:tc>
          <w:tcPr>
            <w:tcW w:w="1134" w:type="dxa"/>
            <w:vAlign w:val="center"/>
          </w:tcPr>
          <w:p>
            <w:pPr>
              <w:pStyle w:val="16"/>
            </w:pPr>
            <w:r>
              <w:t>61.59</w:t>
            </w:r>
          </w:p>
        </w:tc>
        <w:tc>
          <w:tcPr>
            <w:tcW w:w="1134" w:type="dxa"/>
            <w:vAlign w:val="center"/>
          </w:tcPr>
          <w:p>
            <w:pPr>
              <w:pStyle w:val="16"/>
            </w:pPr>
            <w:r>
              <w:t>61.59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40.52</w:t>
            </w:r>
          </w:p>
        </w:tc>
        <w:tc>
          <w:tcPr>
            <w:tcW w:w="1134" w:type="dxa"/>
            <w:vAlign w:val="center"/>
          </w:tcPr>
          <w:p>
            <w:pPr>
              <w:pStyle w:val="12"/>
            </w:pPr>
            <w:r>
              <w:t>40.52</w:t>
            </w:r>
          </w:p>
        </w:tc>
        <w:tc>
          <w:tcPr>
            <w:tcW w:w="1134" w:type="dxa"/>
            <w:vAlign w:val="center"/>
          </w:tcPr>
          <w:p>
            <w:pPr>
              <w:pStyle w:val="12"/>
            </w:pPr>
            <w:r>
              <w:t>40.52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2012802</w:t>
            </w:r>
          </w:p>
        </w:tc>
        <w:tc>
          <w:tcPr>
            <w:tcW w:w="1559" w:type="dxa"/>
            <w:vAlign w:val="center"/>
          </w:tcPr>
          <w:p>
            <w:pPr>
              <w:pStyle w:val="13"/>
            </w:pPr>
            <w:r>
              <w:t>一般行政管理事务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61.59</w:t>
            </w:r>
          </w:p>
        </w:tc>
        <w:tc>
          <w:tcPr>
            <w:tcW w:w="1361" w:type="dxa"/>
            <w:vAlign w:val="center"/>
          </w:tcPr>
          <w:p>
            <w:pPr>
              <w:pStyle w:val="16"/>
            </w:pPr>
            <w:r>
              <w:t>57.59</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44.52</w:t>
            </w:r>
          </w:p>
        </w:tc>
        <w:tc>
          <w:tcPr>
            <w:tcW w:w="1361" w:type="dxa"/>
            <w:vAlign w:val="center"/>
          </w:tcPr>
          <w:p>
            <w:pPr>
              <w:pStyle w:val="12"/>
            </w:pPr>
            <w:r>
              <w:t>40.52</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6" w:type="dxa"/>
            <w:vAlign w:val="center"/>
          </w:tcPr>
          <w:p>
            <w:pPr>
              <w:pStyle w:val="13"/>
            </w:pPr>
            <w:r>
              <w:t>民主党派及工商联事务</w:t>
            </w:r>
          </w:p>
        </w:tc>
        <w:tc>
          <w:tcPr>
            <w:tcW w:w="1361" w:type="dxa"/>
            <w:vAlign w:val="center"/>
          </w:tcPr>
          <w:p>
            <w:pPr>
              <w:pStyle w:val="12"/>
            </w:pPr>
            <w:r>
              <w:t>44.52</w:t>
            </w:r>
          </w:p>
        </w:tc>
        <w:tc>
          <w:tcPr>
            <w:tcW w:w="1361" w:type="dxa"/>
            <w:vAlign w:val="center"/>
          </w:tcPr>
          <w:p>
            <w:pPr>
              <w:pStyle w:val="12"/>
            </w:pPr>
            <w:r>
              <w:t>40.52</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6" w:type="dxa"/>
            <w:vAlign w:val="center"/>
          </w:tcPr>
          <w:p>
            <w:pPr>
              <w:pStyle w:val="13"/>
            </w:pPr>
            <w:r>
              <w:t>行政运行</w:t>
            </w:r>
          </w:p>
        </w:tc>
        <w:tc>
          <w:tcPr>
            <w:tcW w:w="1361" w:type="dxa"/>
            <w:vAlign w:val="center"/>
          </w:tcPr>
          <w:p>
            <w:pPr>
              <w:pStyle w:val="12"/>
            </w:pPr>
            <w:r>
              <w:t>40.52</w:t>
            </w:r>
          </w:p>
        </w:tc>
        <w:tc>
          <w:tcPr>
            <w:tcW w:w="1361" w:type="dxa"/>
            <w:vAlign w:val="center"/>
          </w:tcPr>
          <w:p>
            <w:pPr>
              <w:pStyle w:val="12"/>
            </w:pPr>
            <w:r>
              <w:t>40.52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2012802</w:t>
            </w:r>
          </w:p>
        </w:tc>
        <w:tc>
          <w:tcPr>
            <w:tcW w:w="4536" w:type="dxa"/>
            <w:vAlign w:val="center"/>
          </w:tcPr>
          <w:p>
            <w:pPr>
              <w:pStyle w:val="13"/>
            </w:pPr>
            <w:r>
              <w:t>一般行政管理事务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11.56</w:t>
            </w:r>
          </w:p>
        </w:tc>
        <w:tc>
          <w:tcPr>
            <w:tcW w:w="1361" w:type="dxa"/>
            <w:vAlign w:val="center"/>
          </w:tcPr>
          <w:p>
            <w:pPr>
              <w:pStyle w:val="12"/>
            </w:pPr>
            <w:r>
              <w:t>11.56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11.56</w:t>
            </w:r>
          </w:p>
        </w:tc>
        <w:tc>
          <w:tcPr>
            <w:tcW w:w="1361" w:type="dxa"/>
            <w:vAlign w:val="center"/>
          </w:tcPr>
          <w:p>
            <w:pPr>
              <w:pStyle w:val="12"/>
            </w:pPr>
            <w:r>
              <w:t>11.56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5.60</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61.59</w:t>
            </w:r>
          </w:p>
        </w:tc>
        <w:tc>
          <w:tcPr>
            <w:tcW w:w="3402" w:type="dxa"/>
            <w:vAlign w:val="center"/>
          </w:tcPr>
          <w:p>
            <w:pPr>
              <w:pStyle w:val="13"/>
            </w:pPr>
            <w:r>
              <w:t>一、一般公共服务支出</w:t>
            </w:r>
          </w:p>
        </w:tc>
        <w:tc>
          <w:tcPr>
            <w:tcW w:w="1474" w:type="dxa"/>
            <w:vAlign w:val="center"/>
          </w:tcPr>
          <w:p>
            <w:pPr>
              <w:pStyle w:val="12"/>
            </w:pPr>
            <w:r>
              <w:t>44.52</w:t>
            </w:r>
          </w:p>
        </w:tc>
        <w:tc>
          <w:tcPr>
            <w:tcW w:w="1474" w:type="dxa"/>
            <w:vAlign w:val="center"/>
          </w:tcPr>
          <w:p>
            <w:pPr>
              <w:pStyle w:val="12"/>
            </w:pPr>
            <w:r>
              <w:t>44.52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11.56</w:t>
            </w:r>
          </w:p>
        </w:tc>
        <w:tc>
          <w:tcPr>
            <w:tcW w:w="1474" w:type="dxa"/>
            <w:vAlign w:val="center"/>
          </w:tcPr>
          <w:p>
            <w:pPr>
              <w:pStyle w:val="12"/>
            </w:pPr>
            <w:r>
              <w:t>11.56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2.64</w:t>
            </w:r>
          </w:p>
        </w:tc>
        <w:tc>
          <w:tcPr>
            <w:tcW w:w="1474" w:type="dxa"/>
            <w:vAlign w:val="center"/>
          </w:tcPr>
          <w:p>
            <w:pPr>
              <w:pStyle w:val="12"/>
            </w:pPr>
            <w:r>
              <w:t>2.64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2.86</w:t>
            </w:r>
          </w:p>
        </w:tc>
        <w:tc>
          <w:tcPr>
            <w:tcW w:w="1474" w:type="dxa"/>
            <w:vAlign w:val="center"/>
          </w:tcPr>
          <w:p>
            <w:pPr>
              <w:pStyle w:val="12"/>
            </w:pPr>
            <w:r>
              <w:t>2.86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61.59</w:t>
            </w:r>
          </w:p>
        </w:tc>
        <w:tc>
          <w:tcPr>
            <w:tcW w:w="3402" w:type="dxa"/>
            <w:vAlign w:val="center"/>
          </w:tcPr>
          <w:p>
            <w:pPr>
              <w:pStyle w:val="15"/>
            </w:pPr>
            <w:r>
              <w:t>本年支出合计</w:t>
            </w:r>
          </w:p>
        </w:tc>
        <w:tc>
          <w:tcPr>
            <w:tcW w:w="1474" w:type="dxa"/>
            <w:vAlign w:val="center"/>
          </w:tcPr>
          <w:p>
            <w:pPr>
              <w:pStyle w:val="16"/>
            </w:pPr>
            <w:r>
              <w:t>61.59</w:t>
            </w:r>
          </w:p>
        </w:tc>
        <w:tc>
          <w:tcPr>
            <w:tcW w:w="1474" w:type="dxa"/>
            <w:vAlign w:val="center"/>
          </w:tcPr>
          <w:p>
            <w:pPr>
              <w:pStyle w:val="16"/>
            </w:pPr>
            <w:r>
              <w:t>61.59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61.59</w:t>
            </w:r>
          </w:p>
        </w:tc>
        <w:tc>
          <w:tcPr>
            <w:tcW w:w="3402" w:type="dxa"/>
            <w:vAlign w:val="center"/>
          </w:tcPr>
          <w:p>
            <w:pPr>
              <w:pStyle w:val="15"/>
            </w:pPr>
            <w:r>
              <w:t>支出总计</w:t>
            </w:r>
          </w:p>
        </w:tc>
        <w:tc>
          <w:tcPr>
            <w:tcW w:w="1474" w:type="dxa"/>
            <w:vAlign w:val="center"/>
          </w:tcPr>
          <w:p>
            <w:pPr>
              <w:pStyle w:val="16"/>
            </w:pPr>
            <w:r>
              <w:t>61.59</w:t>
            </w:r>
          </w:p>
        </w:tc>
        <w:tc>
          <w:tcPr>
            <w:tcW w:w="1474" w:type="dxa"/>
            <w:vAlign w:val="center"/>
          </w:tcPr>
          <w:p>
            <w:pPr>
              <w:pStyle w:val="16"/>
            </w:pPr>
            <w:r>
              <w:t>61.59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61.59</w:t>
            </w:r>
          </w:p>
        </w:tc>
        <w:tc>
          <w:tcPr>
            <w:tcW w:w="2551" w:type="dxa"/>
            <w:vAlign w:val="center"/>
          </w:tcPr>
          <w:p>
            <w:pPr>
              <w:pStyle w:val="16"/>
            </w:pPr>
            <w:r>
              <w:t>57.59</w:t>
            </w: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44.52</w:t>
            </w:r>
          </w:p>
        </w:tc>
        <w:tc>
          <w:tcPr>
            <w:tcW w:w="2551" w:type="dxa"/>
            <w:vAlign w:val="center"/>
          </w:tcPr>
          <w:p>
            <w:pPr>
              <w:pStyle w:val="12"/>
            </w:pPr>
            <w:r>
              <w:t>40.52</w:t>
            </w: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44.52</w:t>
            </w:r>
          </w:p>
        </w:tc>
        <w:tc>
          <w:tcPr>
            <w:tcW w:w="2551" w:type="dxa"/>
            <w:vAlign w:val="center"/>
          </w:tcPr>
          <w:p>
            <w:pPr>
              <w:pStyle w:val="12"/>
            </w:pPr>
            <w:r>
              <w:t>40.52</w:t>
            </w: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40.52</w:t>
            </w:r>
          </w:p>
        </w:tc>
        <w:tc>
          <w:tcPr>
            <w:tcW w:w="2551" w:type="dxa"/>
            <w:vAlign w:val="center"/>
          </w:tcPr>
          <w:p>
            <w:pPr>
              <w:pStyle w:val="12"/>
            </w:pPr>
            <w:r>
              <w:t>40.52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2012802</w:t>
            </w:r>
          </w:p>
        </w:tc>
        <w:tc>
          <w:tcPr>
            <w:tcW w:w="4535" w:type="dxa"/>
            <w:vAlign w:val="center"/>
          </w:tcPr>
          <w:p>
            <w:pPr>
              <w:pStyle w:val="13"/>
            </w:pPr>
            <w:r>
              <w:t>一般行政管理事务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11.56</w:t>
            </w:r>
          </w:p>
        </w:tc>
        <w:tc>
          <w:tcPr>
            <w:tcW w:w="2551" w:type="dxa"/>
            <w:vAlign w:val="center"/>
          </w:tcPr>
          <w:p>
            <w:pPr>
              <w:pStyle w:val="12"/>
            </w:pPr>
            <w:r>
              <w:t>11.56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11.56</w:t>
            </w:r>
          </w:p>
        </w:tc>
        <w:tc>
          <w:tcPr>
            <w:tcW w:w="2551" w:type="dxa"/>
            <w:vAlign w:val="center"/>
          </w:tcPr>
          <w:p>
            <w:pPr>
              <w:pStyle w:val="12"/>
            </w:pPr>
            <w:r>
              <w:t>11.56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57.59</w:t>
            </w:r>
          </w:p>
        </w:tc>
        <w:tc>
          <w:tcPr>
            <w:tcW w:w="2551" w:type="dxa"/>
            <w:vAlign w:val="center"/>
          </w:tcPr>
          <w:p>
            <w:pPr>
              <w:pStyle w:val="16"/>
            </w:pPr>
            <w:r>
              <w:t>53.57</w:t>
            </w:r>
          </w:p>
        </w:tc>
        <w:tc>
          <w:tcPr>
            <w:tcW w:w="2552" w:type="dxa"/>
            <w:vAlign w:val="center"/>
          </w:tcPr>
          <w:p>
            <w:pPr>
              <w:pStyle w:val="16"/>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47.61</w:t>
            </w:r>
          </w:p>
        </w:tc>
        <w:tc>
          <w:tcPr>
            <w:tcW w:w="2551" w:type="dxa"/>
            <w:vAlign w:val="center"/>
          </w:tcPr>
          <w:p>
            <w:pPr>
              <w:pStyle w:val="12"/>
            </w:pPr>
            <w:r>
              <w:t>47.61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21.93</w:t>
            </w:r>
          </w:p>
        </w:tc>
        <w:tc>
          <w:tcPr>
            <w:tcW w:w="2551" w:type="dxa"/>
            <w:vAlign w:val="center"/>
          </w:tcPr>
          <w:p>
            <w:pPr>
              <w:pStyle w:val="12"/>
            </w:pPr>
            <w:r>
              <w:t>21.93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9.69</w:t>
            </w:r>
          </w:p>
        </w:tc>
        <w:tc>
          <w:tcPr>
            <w:tcW w:w="2551" w:type="dxa"/>
            <w:vAlign w:val="center"/>
          </w:tcPr>
          <w:p>
            <w:pPr>
              <w:pStyle w:val="12"/>
            </w:pPr>
            <w:r>
              <w:t>9.69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4.71</w:t>
            </w:r>
          </w:p>
        </w:tc>
        <w:tc>
          <w:tcPr>
            <w:tcW w:w="2551" w:type="dxa"/>
            <w:vAlign w:val="center"/>
          </w:tcPr>
          <w:p>
            <w:pPr>
              <w:pStyle w:val="12"/>
            </w:pPr>
            <w:r>
              <w:t>4.71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5.60</w:t>
            </w:r>
          </w:p>
        </w:tc>
        <w:tc>
          <w:tcPr>
            <w:tcW w:w="2551" w:type="dxa"/>
            <w:vAlign w:val="center"/>
          </w:tcPr>
          <w:p>
            <w:pPr>
              <w:pStyle w:val="12"/>
            </w:pPr>
            <w:r>
              <w:t>5.60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2.48</w:t>
            </w:r>
          </w:p>
        </w:tc>
        <w:tc>
          <w:tcPr>
            <w:tcW w:w="2551" w:type="dxa"/>
            <w:vAlign w:val="center"/>
          </w:tcPr>
          <w:p>
            <w:pPr>
              <w:pStyle w:val="12"/>
            </w:pPr>
            <w:r>
              <w:t>2.48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0.34</w:t>
            </w:r>
          </w:p>
        </w:tc>
        <w:tc>
          <w:tcPr>
            <w:tcW w:w="2551" w:type="dxa"/>
            <w:vAlign w:val="center"/>
          </w:tcPr>
          <w:p>
            <w:pPr>
              <w:pStyle w:val="12"/>
            </w:pPr>
            <w:r>
              <w:t>0.34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2.86</w:t>
            </w:r>
          </w:p>
        </w:tc>
        <w:tc>
          <w:tcPr>
            <w:tcW w:w="2551" w:type="dxa"/>
            <w:vAlign w:val="center"/>
          </w:tcPr>
          <w:p>
            <w:pPr>
              <w:pStyle w:val="12"/>
            </w:pPr>
            <w:r>
              <w:t>2.86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4.02</w:t>
            </w:r>
          </w:p>
        </w:tc>
        <w:tc>
          <w:tcPr>
            <w:tcW w:w="2551" w:type="dxa"/>
            <w:vAlign w:val="center"/>
          </w:tcPr>
          <w:p>
            <w:pPr>
              <w:pStyle w:val="12"/>
            </w:pPr>
          </w:p>
        </w:tc>
        <w:tc>
          <w:tcPr>
            <w:tcW w:w="2552" w:type="dxa"/>
            <w:vAlign w:val="center"/>
          </w:tcPr>
          <w:p>
            <w:pPr>
              <w:pStyle w:val="12"/>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0.08</w:t>
            </w:r>
          </w:p>
        </w:tc>
        <w:tc>
          <w:tcPr>
            <w:tcW w:w="2551" w:type="dxa"/>
            <w:vAlign w:val="center"/>
          </w:tcPr>
          <w:p>
            <w:pPr>
              <w:pStyle w:val="12"/>
            </w:pPr>
          </w:p>
        </w:tc>
        <w:tc>
          <w:tcPr>
            <w:tcW w:w="2552"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0.20</w:t>
            </w:r>
          </w:p>
        </w:tc>
        <w:tc>
          <w:tcPr>
            <w:tcW w:w="2551" w:type="dxa"/>
            <w:vAlign w:val="center"/>
          </w:tcPr>
          <w:p>
            <w:pPr>
              <w:pStyle w:val="12"/>
            </w:pPr>
          </w:p>
        </w:tc>
        <w:tc>
          <w:tcPr>
            <w:tcW w:w="2552"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2"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2"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5.97</w:t>
            </w:r>
          </w:p>
        </w:tc>
        <w:tc>
          <w:tcPr>
            <w:tcW w:w="2551" w:type="dxa"/>
            <w:vAlign w:val="center"/>
          </w:tcPr>
          <w:p>
            <w:pPr>
              <w:pStyle w:val="12"/>
            </w:pPr>
            <w:r>
              <w:t>5.97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5.97</w:t>
            </w:r>
          </w:p>
        </w:tc>
        <w:tc>
          <w:tcPr>
            <w:tcW w:w="2551" w:type="dxa"/>
            <w:vAlign w:val="center"/>
          </w:tcPr>
          <w:p>
            <w:pPr>
              <w:pStyle w:val="12"/>
            </w:pPr>
            <w:r>
              <w:t>5.97</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2" w:type="dxa"/>
            <w:vAlign w:val="center"/>
          </w:tcPr>
          <w:p>
            <w:pPr>
              <w:pStyle w:val="16"/>
            </w:pPr>
            <w:r>
              <w:t>0.20</w:t>
            </w:r>
          </w:p>
        </w:tc>
        <w:tc>
          <w:tcPr>
            <w:tcW w:w="2381" w:type="dxa"/>
            <w:vAlign w:val="center"/>
          </w:tcPr>
          <w:p>
            <w:pPr>
              <w:pStyle w:val="16"/>
            </w:pPr>
            <w:r>
              <w:t>0.20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2"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青龙满族自治县工商业联合会2024年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青龙满族自治县工商业联合会2024年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按照《中华人民共和国预算法》、《地方预决算公开操作规程》和《关于进一步推进预算公开工作的实施意见》规定，现将青龙满族自治县工商业联合会2024年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t>根据《工商联职能配置、内设机构和人员编制规定》， 工商联的主要职责是：</w:t>
      </w:r>
    </w:p>
    <w:p>
      <w:pPr>
        <w:pStyle w:val="18"/>
      </w:pPr>
      <w:r>
        <w:t>（一）组织贯彻执行中央、省、市、县关于统战、对台方针政策及工作部署，调查和研究全县统战、对台工作的情况和问题，向上级统战、对台工作单位和市委反映情况，提出开展统战、对台工作的意见和建议。</w:t>
      </w:r>
    </w:p>
    <w:p>
      <w:pPr>
        <w:pStyle w:val="18"/>
      </w:pPr>
      <w:r>
        <w:t>（二）坚持党领导的多党合作和政治协商制度，推动民主政治建设的开展。负责联系民主党派和无党派代表人士，及时通报情况，反映他们的意见和建议，选拔、培养新一代代表人物。</w:t>
      </w:r>
    </w:p>
    <w:p>
      <w:pPr>
        <w:pStyle w:val="18"/>
      </w:pPr>
      <w:r>
        <w:t>（三）协调、检查有关民族、宗教工作的重大方针、政策问题，联系民族、宗教界的代表人物。协调有关单位做好宗教地下势力的防渗透工作。</w:t>
      </w:r>
    </w:p>
    <w:p>
      <w:pPr>
        <w:pStyle w:val="18"/>
      </w:pPr>
      <w:r>
        <w:t>（四）组织、指导、管理、协调全县的对台工作。负责开展以祖国统一为重点的海外统战工;联系、联络海外代表人士； 做好台胞、台属的有关工作。</w:t>
      </w:r>
    </w:p>
    <w:p>
      <w:pPr>
        <w:pStyle w:val="18"/>
      </w:pPr>
      <w:r>
        <w:t>（五）负责党外的政治安排工作。会同有关单位做好培养、选拔、推荐党外人士担任政府单位的领导职务工作；负责党与非党的合作共事工作。</w:t>
      </w:r>
    </w:p>
    <w:p>
      <w:pPr>
        <w:pStyle w:val="18"/>
      </w:pPr>
      <w:r>
        <w:t>（六）推动有关单位做好非公有制经济人士的思想政治工作，联系非公有制经济代表人士，反映他们的情况、意见和建议，协调关系，提出政策建议。</w:t>
      </w:r>
    </w:p>
    <w:p>
      <w:pPr>
        <w:pStyle w:val="18"/>
      </w:pPr>
      <w:r>
        <w:t>（七）负责开展统战、对台的宣传教育工作，协调指导全县各级各单位对统战、对台方针政策贯彻落实情况，以及开展统战工作情况的调研活动。</w:t>
      </w:r>
    </w:p>
    <w:p>
      <w:pPr>
        <w:pStyle w:val="18"/>
      </w:pPr>
      <w:r>
        <w:t>（八）负责统战干部的培训工作；联系指导工商联开展工作，受县委委托对工商联党组实施领导</w:t>
      </w:r>
    </w:p>
    <w:p>
      <w:pPr>
        <w:pStyle w:val="18"/>
      </w:pPr>
      <w:r>
        <w:t>（九）完成上级统战、对台单位和县委交办的其他工作任务。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青龙满族自治县工商业联合会本级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pPr>
      <w:r>
        <w:t>按照预算管理有关规定，目前</w:t>
      </w:r>
      <w:r>
        <w:rPr>
          <w:rFonts w:hint="eastAsia"/>
          <w:lang w:eastAsia="zh-CN"/>
        </w:rPr>
        <w:t>单位</w:t>
      </w:r>
      <w:r>
        <w:t>预算的编制实行综合预算管理，即全部收入和支出都反映在预算中。青龙满族自治县工商业联合会机关及所属事业单位的收支包含在</w:t>
      </w:r>
      <w:r>
        <w:rPr>
          <w:rFonts w:hint="eastAsia"/>
          <w:lang w:eastAsia="zh-CN"/>
        </w:rPr>
        <w:t>单位</w:t>
      </w:r>
      <w:r>
        <w:t>预算中。</w:t>
      </w:r>
    </w:p>
    <w:p>
      <w:pPr>
        <w:pStyle w:val="19"/>
      </w:pPr>
      <w:r>
        <w:t>1、收入说明</w:t>
      </w:r>
    </w:p>
    <w:p>
      <w:pPr>
        <w:pStyle w:val="19"/>
      </w:pPr>
      <w:r>
        <w:t>反映本</w:t>
      </w:r>
      <w:r>
        <w:rPr>
          <w:rFonts w:hint="eastAsia"/>
          <w:lang w:eastAsia="zh-CN"/>
        </w:rPr>
        <w:t>单位</w:t>
      </w:r>
      <w:r>
        <w:t>当年全部收入。2024年预算收入61.59万元，其中：一般公共预算收入61.59万元，基金预算收入0.00万元，国有资本经营预算收入0.00万元，财政专户核拨收入0.00万元，单位资金收入0.00万元，上年结转结余0.00万元。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收支预算总表支出栏、基本支出表、项目支出表按经济分类和支出功能分类科目编制，反映青龙满族自治县工商业联合会年度</w:t>
      </w:r>
      <w:r>
        <w:rPr>
          <w:rFonts w:hint="eastAsia"/>
          <w:lang w:eastAsia="zh-CN"/>
        </w:rPr>
        <w:t>单位</w:t>
      </w:r>
      <w:r>
        <w:t>预算中支出预算的总体情况。2024年支出预算61.59万元，其中基本支出57.59万元，包括人员经费53.57万元和日常公用经费4.02万元；项目支出4.00万元，主要为工商联企业联系经费、招商引资经费支出。</w:t>
      </w:r>
    </w:p>
    <w:p>
      <w:pPr>
        <w:pStyle w:val="19"/>
      </w:pPr>
      <w:r>
        <w:t>3、比上年增减情况</w:t>
      </w:r>
    </w:p>
    <w:p>
      <w:pPr>
        <w:pStyle w:val="19"/>
      </w:pPr>
      <w:r>
        <w:t>2024年预算收支安排61.59万元，较2023年预算增加9.74万元，其中：基本支出增加11.74万元，主要为人员经费支出增加。项目支出减少2.00万元，主要为减少了工商联工作经费和非公党建工作经费。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lang w:eastAsia="zh-CN"/>
        </w:rPr>
      </w:pPr>
      <w:r>
        <w:rPr>
          <w:rFonts w:hint="eastAsia"/>
        </w:rPr>
        <w:t>202</w:t>
      </w:r>
      <w:r>
        <w:rPr>
          <w:rFonts w:hint="eastAsia"/>
          <w:lang w:eastAsia="zh-CN"/>
        </w:rPr>
        <w:t>4</w:t>
      </w:r>
      <w:r>
        <w:rPr>
          <w:rFonts w:hint="eastAsia"/>
        </w:rPr>
        <w:t>年，我</w:t>
      </w:r>
      <w:r>
        <w:rPr>
          <w:rFonts w:hint="eastAsia"/>
          <w:lang w:eastAsia="zh-CN"/>
        </w:rPr>
        <w:t>单位</w:t>
      </w:r>
      <w:r>
        <w:rPr>
          <w:rFonts w:hint="eastAsia"/>
        </w:rPr>
        <w:t>机关运行经费共计安排</w:t>
      </w:r>
      <w:r>
        <w:rPr>
          <w:rFonts w:hint="eastAsia"/>
          <w:lang w:eastAsia="zh-CN"/>
        </w:rPr>
        <w:t>4.02</w:t>
      </w:r>
      <w:r>
        <w:rPr>
          <w:rFonts w:hint="eastAsia"/>
        </w:rPr>
        <w:t>万元，主要用于办公费 0.</w:t>
      </w:r>
      <w:r>
        <w:rPr>
          <w:rFonts w:hint="eastAsia"/>
          <w:lang w:eastAsia="zh-CN"/>
        </w:rPr>
        <w:t>08</w:t>
      </w:r>
      <w:r>
        <w:rPr>
          <w:rFonts w:hint="eastAsia"/>
        </w:rPr>
        <w:t xml:space="preserve">万元，邮电费 0.2 万元，其他交通费 </w:t>
      </w:r>
      <w:r>
        <w:rPr>
          <w:rFonts w:hint="eastAsia"/>
          <w:lang w:eastAsia="zh-CN"/>
        </w:rPr>
        <w:t>3.54</w:t>
      </w:r>
      <w:r>
        <w:rPr>
          <w:rFonts w:hint="eastAsia"/>
        </w:rPr>
        <w:t xml:space="preserve"> 万元，公务接待费 0.2 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w:t>
      </w:r>
      <w:r>
        <w:rPr>
          <w:rFonts w:hint="eastAsia"/>
          <w:lang w:eastAsia="zh-CN"/>
        </w:rPr>
        <w:t>单位</w:t>
      </w:r>
      <w:r>
        <w:t>财政拨款“三公”经费预算安排0.20万元，其中因公出国（境）费0.00万元；公务用车购置及运维费0.00万元（其中：公务用车购置费为0.00万元，公务用车运维费0.00万元)；公务接待费0.20万元。与2023年相比增加0万元，增减变化的主要原因是与上年持平。</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pPr>
      <w:r>
        <w:rPr>
          <w:rFonts w:eastAsia="方正仿宋_GBK"/>
          <w:color w:val="000000"/>
          <w:sz w:val="28"/>
        </w:rPr>
        <w:t>（一）总体绩效目标</w:t>
      </w:r>
    </w:p>
    <w:p>
      <w:pPr>
        <w:pStyle w:val="22"/>
      </w:pPr>
      <w:r>
        <w:t>工商联是中国共产党领导的人民团体和民间商会，是县委和县政府联系非公有制经济的桥梁和纽带，是政府管理非公有制经济的助手，承担着引导私营经济发展的职能。</w:t>
      </w:r>
    </w:p>
    <w:p>
      <w:pPr>
        <w:pStyle w:val="22"/>
      </w:pPr>
      <w:r>
        <w:t>1、参政议政。参与全县政治、经济、社会生活中的主要问题的政治协商，发挥民主监督的作用。</w:t>
      </w:r>
    </w:p>
    <w:p>
      <w:pPr>
        <w:pStyle w:val="22"/>
      </w:pPr>
      <w:r>
        <w:t>2、做好工商界代表人士政治安排的推荐工作。</w:t>
      </w:r>
    </w:p>
    <w:p>
      <w:pPr>
        <w:pStyle w:val="22"/>
      </w:pPr>
      <w:r>
        <w:t>3、发扬自我教育的优良传统，宣传、贯彻党和国家的方针、政策，加强和改进思想政治工作，坚持对广大会员进行团结、帮助、引导、教育，促进非公有制经济健康发展，提倡爱国、敬业、守法，提高会员素质，培养积极分子队伍。</w:t>
      </w:r>
    </w:p>
    <w:p>
      <w:pPr>
        <w:pStyle w:val="22"/>
      </w:pPr>
      <w:r>
        <w:t>4、引导会员积极参加国家经济建设，推进社会主义市场经济体制逐步完善，促进社会全面发展。</w:t>
      </w:r>
    </w:p>
    <w:p>
      <w:pPr>
        <w:pStyle w:val="22"/>
      </w:pPr>
      <w:r>
        <w:t>5、指导同业公会和行业商会等专业组织的工作。</w:t>
      </w:r>
    </w:p>
    <w:p>
      <w:pPr>
        <w:pStyle w:val="22"/>
      </w:pPr>
      <w:r>
        <w:t>6、代表并维护会员的合法权益，反映会员的意见、要求和建议；为会员提供有关证明，协调关系，参与调解经济纠纷。</w:t>
      </w:r>
    </w:p>
    <w:p>
      <w:pPr>
        <w:pStyle w:val="22"/>
      </w:pPr>
      <w:r>
        <w:t>7、引导会员把自身企业的发展与国家发展结合起来，把个人富裕与全体人民的共同富裕结合起来，弘扬中华民族传统美德，先富帮后富，走共同富裕的道路，热心社会公益事业，积极参加扶贫光彩事业。</w:t>
      </w:r>
    </w:p>
    <w:p>
      <w:pPr>
        <w:pStyle w:val="22"/>
      </w:pPr>
      <w:r>
        <w:t>8、为会员提供信息、培训、科技、管理、法律、会计、审计融资、咨询等服务，帮助会员改进经营管理，完善财会制度，照章纳税，提高自身素质和生产技术、产品质量。</w:t>
      </w:r>
    </w:p>
    <w:p>
      <w:pPr>
        <w:pStyle w:val="22"/>
      </w:pPr>
      <w:r>
        <w:t xml:space="preserve">9、组织会员出国、出境考察，举办和参加各种对内对外展销会、交易会，帮助会员开拓国内、国外市场，增进与香港、澳门特别行政区、台湾地区和世界各国工商社团及工商经济界人士的联系和友谊，促进经济、技术和贸易合作的发展，协助引进资金、技术、人才。 </w:t>
      </w:r>
    </w:p>
    <w:p>
      <w:pPr>
        <w:pStyle w:val="22"/>
      </w:pPr>
      <w:r>
        <w:t>10、办好会办企业、事业。</w:t>
      </w:r>
    </w:p>
    <w:p>
      <w:pPr>
        <w:pStyle w:val="22"/>
      </w:pPr>
      <w:r>
        <w:t>11、承办政府交办和有关</w:t>
      </w:r>
      <w:r>
        <w:rPr>
          <w:rFonts w:hint="eastAsia"/>
          <w:lang w:eastAsia="zh-CN"/>
        </w:rPr>
        <w:t>单位</w:t>
      </w:r>
      <w:r>
        <w:t>委托事项。</w:t>
      </w:r>
    </w:p>
    <w:p>
      <w:pPr>
        <w:spacing w:line="500" w:lineRule="exact"/>
        <w:ind w:firstLine="560"/>
      </w:pPr>
      <w:r>
        <w:rPr>
          <w:rFonts w:eastAsia="方正仿宋_GBK"/>
          <w:color w:val="000000"/>
          <w:sz w:val="28"/>
        </w:rPr>
        <w:t>（二）分项绩效目标</w:t>
      </w:r>
    </w:p>
    <w:p>
      <w:pPr>
        <w:pStyle w:val="23"/>
      </w:pPr>
      <w:r>
        <w:t>1、提升参政议政水平，为国家治理和社会发展建言献策；</w:t>
      </w:r>
    </w:p>
    <w:p>
      <w:pPr>
        <w:pStyle w:val="23"/>
      </w:pPr>
      <w:r>
        <w:t>2、专题招商洽谈。年内县委要求分别组团去杭州、厦门、温州、深圳、成都、南京，京、津、冀等专题招商洽谈10次以上。</w:t>
      </w:r>
    </w:p>
    <w:p>
      <w:pPr>
        <w:pStyle w:val="23"/>
      </w:pPr>
      <w:r>
        <w:t>3、非公经济组织党建工作职责。详细摸排非公组织党建工作，每年力争组建党组织2个，在规范化建设过程中，加强培训，促进党组织建设和企业发展互利共赢，创新开展非公党建活动，突出党组织在非公组织中的政治引领作用。</w:t>
      </w:r>
    </w:p>
    <w:p>
      <w:pPr>
        <w:pStyle w:val="23"/>
      </w:pPr>
      <w:r>
        <w:t>4、助力“京津冀”三地民营企业经济协同发展及三地工商联工作协同化，引导会员积极承担社会职责，热心公益事业，投身光彩事业，培树电商企业，加强与国内外社团沟通交流，发挥工商联在政府管理和服务非公有制经济中的助手作用，助力河北经济发展；</w:t>
      </w:r>
    </w:p>
    <w:p>
      <w:pPr>
        <w:pStyle w:val="23"/>
      </w:pPr>
      <w:r>
        <w:t>5、提升民营企业家素质以及工商联、商会工作影响力。</w:t>
      </w:r>
    </w:p>
    <w:p>
      <w:pPr>
        <w:pStyle w:val="23"/>
      </w:pPr>
      <w:r>
        <w:t>6、档案、信息、财务、机要、会议、保密、安全保卫、固定资产、办公楼运行、老干部管理等后勤保障工作。</w:t>
      </w:r>
    </w:p>
    <w:p>
      <w:pPr>
        <w:spacing w:line="500" w:lineRule="exact"/>
        <w:ind w:firstLine="560"/>
      </w:pPr>
      <w:r>
        <w:rPr>
          <w:rFonts w:eastAsia="方正仿宋_GBK"/>
          <w:color w:val="000000"/>
          <w:sz w:val="28"/>
        </w:rPr>
        <w:t>（三）工作保障措施</w:t>
      </w:r>
    </w:p>
    <w:p>
      <w:pPr>
        <w:pStyle w:val="24"/>
      </w:pPr>
      <w:r>
        <w:t>1、组织开展调研，向县政协提交集体、个人提案，反映社情民意。开展各种相关业务活动及会议。积极搭建服务平台，举办商会之间、会员之间项目对接洽谈会、银企对接会、法律维权、科技进民企、企业互帮等活动。做好电子商务进农村示范县相关工作。加强与国内外知名企业、国内外工商社团的合作交流，组织会员企业参与公益事业。</w:t>
      </w:r>
    </w:p>
    <w:p>
      <w:pPr>
        <w:pStyle w:val="24"/>
      </w:pPr>
      <w:r>
        <w:t>2、贯彻全国工商联组织建设工作方针，指导全县工商联各级组织的建设，维护会员合法权益；组织换届、培训、思想政治和基层建设工作；对优秀非公有制经济企业进行宣传。</w:t>
      </w:r>
    </w:p>
    <w:p>
      <w:pPr>
        <w:pStyle w:val="24"/>
        <w:sectPr>
          <w:pgSz w:w="16840" w:h="11900" w:orient="landscape"/>
          <w:pgMar w:top="1361" w:right="1020" w:bottom="1361" w:left="1020" w:header="720" w:footer="720" w:gutter="0"/>
          <w:cols w:space="720" w:num="1"/>
        </w:sectPr>
      </w:pPr>
      <w:r>
        <w:t>3、为做好机关档案、信息、财务、会务、机要、保密、安全保卫、固定资产和后勤工作提供保障和服务。</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1、非公党建工作经费绩效目标表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13032124P00331410037P</w:t>
            </w:r>
          </w:p>
        </w:tc>
        <w:tc>
          <w:tcPr>
            <w:tcW w:w="2835" w:type="dxa"/>
            <w:vAlign w:val="center"/>
          </w:tcPr>
          <w:p>
            <w:pPr>
              <w:pStyle w:val="11"/>
            </w:pPr>
            <w:r>
              <w:t>项目名称</w:t>
            </w:r>
          </w:p>
        </w:tc>
        <w:tc>
          <w:tcPr>
            <w:tcW w:w="6095" w:type="dxa"/>
            <w:gridSpan w:val="3"/>
            <w:vAlign w:val="center"/>
          </w:tcPr>
          <w:p>
            <w:pPr>
              <w:pStyle w:val="13"/>
            </w:pPr>
            <w:r>
              <w:t>非公党建工作经费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预算安排2万元，其中财政拨款2万元。主要用于开展工商联会员企业党建活动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1.通过开展工商联会员企业党建活动，全面推进非公党建工作不断提升。</w:t>
            </w:r>
          </w:p>
          <w:p>
            <w:pPr>
              <w:pStyle w:val="13"/>
            </w:pPr>
            <w:r>
              <w:t>2.通过创新开展非公党建活动，突出党组织在非公组织中的政治引领作用。</w:t>
            </w:r>
            <w:r>
              <w:tab/>
            </w:r>
            <w:r>
              <w:tab/>
            </w:r>
            <w:r>
              <w:tab/>
            </w:r>
            <w:r>
              <w:tab/>
            </w:r>
            <w:r>
              <w:tab/>
            </w:r>
            <w:r>
              <w:tab/>
            </w:r>
          </w:p>
          <w:p>
            <w:pPr>
              <w:pStyle w:val="13"/>
            </w:pP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组建党组织</w:t>
            </w:r>
          </w:p>
        </w:tc>
        <w:tc>
          <w:tcPr>
            <w:tcW w:w="5386" w:type="dxa"/>
            <w:vAlign w:val="center"/>
          </w:tcPr>
          <w:p>
            <w:pPr>
              <w:pStyle w:val="13"/>
            </w:pPr>
            <w:r>
              <w:t>反映组建党组织的数量</w:t>
            </w:r>
          </w:p>
        </w:tc>
        <w:tc>
          <w:tcPr>
            <w:tcW w:w="2268" w:type="dxa"/>
            <w:vAlign w:val="center"/>
          </w:tcPr>
          <w:p>
            <w:pPr>
              <w:pStyle w:val="13"/>
            </w:pPr>
            <w:r>
              <w:t>≥2个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在规范化建设过程中，加强培训</w:t>
            </w:r>
          </w:p>
        </w:tc>
        <w:tc>
          <w:tcPr>
            <w:tcW w:w="2268" w:type="dxa"/>
            <w:vAlign w:val="center"/>
          </w:tcPr>
          <w:p>
            <w:pPr>
              <w:pStyle w:val="13"/>
            </w:pPr>
            <w:r>
              <w:t>≥4次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开展主题教育活动次数</w:t>
            </w:r>
          </w:p>
        </w:tc>
        <w:tc>
          <w:tcPr>
            <w:tcW w:w="5386" w:type="dxa"/>
            <w:vAlign w:val="center"/>
          </w:tcPr>
          <w:p>
            <w:pPr>
              <w:pStyle w:val="13"/>
            </w:pPr>
            <w:r>
              <w:t>开展主题教育活动</w:t>
            </w:r>
          </w:p>
        </w:tc>
        <w:tc>
          <w:tcPr>
            <w:tcW w:w="2268" w:type="dxa"/>
            <w:vAlign w:val="center"/>
          </w:tcPr>
          <w:p>
            <w:pPr>
              <w:pStyle w:val="13"/>
            </w:pPr>
            <w:r>
              <w:t>≥5次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党组织建设达标率</w:t>
            </w:r>
          </w:p>
        </w:tc>
        <w:tc>
          <w:tcPr>
            <w:tcW w:w="5386" w:type="dxa"/>
            <w:vAlign w:val="center"/>
          </w:tcPr>
          <w:p>
            <w:pPr>
              <w:pStyle w:val="13"/>
            </w:pPr>
            <w:r>
              <w:t>反映党建工作完成达标情况</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培训活动达标率</w:t>
            </w:r>
          </w:p>
        </w:tc>
        <w:tc>
          <w:tcPr>
            <w:tcW w:w="5386" w:type="dxa"/>
            <w:vAlign w:val="center"/>
          </w:tcPr>
          <w:p>
            <w:pPr>
              <w:pStyle w:val="13"/>
            </w:pPr>
            <w:r>
              <w:t>反映培训工作质量达标情况</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反映组织各项活动及时率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活动支出控制在预算范围内</w:t>
            </w:r>
          </w:p>
        </w:tc>
        <w:tc>
          <w:tcPr>
            <w:tcW w:w="2268" w:type="dxa"/>
            <w:vAlign w:val="center"/>
          </w:tcPr>
          <w:p>
            <w:pPr>
              <w:pStyle w:val="13"/>
            </w:pPr>
            <w:r>
              <w:t>≤2万元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提升党组织的政治引领作用</w:t>
            </w:r>
          </w:p>
        </w:tc>
        <w:tc>
          <w:tcPr>
            <w:tcW w:w="5386" w:type="dxa"/>
            <w:vAlign w:val="center"/>
          </w:tcPr>
          <w:p>
            <w:pPr>
              <w:pStyle w:val="13"/>
            </w:pPr>
            <w:r>
              <w:t>提升党组织在非公组织中的政治引领作用</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创新工商联企业会员活动</w:t>
            </w:r>
          </w:p>
        </w:tc>
        <w:tc>
          <w:tcPr>
            <w:tcW w:w="5386" w:type="dxa"/>
            <w:vAlign w:val="center"/>
          </w:tcPr>
          <w:p>
            <w:pPr>
              <w:pStyle w:val="13"/>
            </w:pPr>
            <w:r>
              <w:t>创新开展非公党建活动</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工商联会员企业满意度</w:t>
            </w:r>
          </w:p>
        </w:tc>
        <w:tc>
          <w:tcPr>
            <w:tcW w:w="5386" w:type="dxa"/>
            <w:vAlign w:val="center"/>
          </w:tcPr>
          <w:p>
            <w:pPr>
              <w:pStyle w:val="13"/>
            </w:pPr>
            <w:r>
              <w:t>工商联会员企业满意度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2、工商联工作经费绩效目标表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13032124P00331410015Q</w:t>
            </w:r>
          </w:p>
        </w:tc>
        <w:tc>
          <w:tcPr>
            <w:tcW w:w="2835" w:type="dxa"/>
            <w:vAlign w:val="center"/>
          </w:tcPr>
          <w:p>
            <w:pPr>
              <w:pStyle w:val="11"/>
            </w:pPr>
            <w:r>
              <w:t>项目名称</w:t>
            </w:r>
          </w:p>
        </w:tc>
        <w:tc>
          <w:tcPr>
            <w:tcW w:w="6095" w:type="dxa"/>
            <w:gridSpan w:val="3"/>
            <w:vAlign w:val="center"/>
          </w:tcPr>
          <w:p>
            <w:pPr>
              <w:pStyle w:val="13"/>
            </w:pPr>
            <w:r>
              <w:t>工商联工作经费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预算安排2万元，其中财政拨款2万元，主要用于开展非公经济的考察培训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1.通过贯彻落实习近平总书记在民营企业座谈会上的</w:t>
            </w:r>
            <w:r>
              <w:rPr>
                <w:rFonts w:hint="eastAsia"/>
                <w:lang w:eastAsia="zh-CN"/>
              </w:rPr>
              <w:t>重要讲话</w:t>
            </w:r>
            <w:r>
              <w:t>精神，促进企业融资难问题得到缓解。</w:t>
            </w:r>
            <w:r>
              <w:tab/>
            </w:r>
            <w:r>
              <w:tab/>
            </w:r>
            <w:r>
              <w:tab/>
            </w:r>
            <w:r>
              <w:tab/>
            </w:r>
            <w:r>
              <w:tab/>
            </w:r>
            <w:r>
              <w:tab/>
            </w:r>
          </w:p>
          <w:p>
            <w:pPr>
              <w:pStyle w:val="13"/>
            </w:pPr>
            <w:r>
              <w:t>2.通过开展非公经济的考察培训，促进经济人士健康成长和非公企业健康发展,充分发挥政府与企业之间的桥梁和纽带作用，促进县域经济健康发展。</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培训非公经济人士次，开展理想信念教育活动的次数</w:t>
            </w:r>
          </w:p>
        </w:tc>
        <w:tc>
          <w:tcPr>
            <w:tcW w:w="2268" w:type="dxa"/>
            <w:vAlign w:val="center"/>
          </w:tcPr>
          <w:p>
            <w:pPr>
              <w:pStyle w:val="13"/>
            </w:pPr>
            <w:r>
              <w:t>≥4次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定期召开主席、执委、常委会议的次数</w:t>
            </w:r>
          </w:p>
        </w:tc>
        <w:tc>
          <w:tcPr>
            <w:tcW w:w="2268" w:type="dxa"/>
            <w:vAlign w:val="center"/>
          </w:tcPr>
          <w:p>
            <w:pPr>
              <w:pStyle w:val="13"/>
            </w:pPr>
            <w:r>
              <w:t>≥5次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学习考察次数</w:t>
            </w:r>
          </w:p>
        </w:tc>
        <w:tc>
          <w:tcPr>
            <w:tcW w:w="5386" w:type="dxa"/>
            <w:vAlign w:val="center"/>
          </w:tcPr>
          <w:p>
            <w:pPr>
              <w:pStyle w:val="13"/>
            </w:pPr>
            <w:r>
              <w:t>组织非公经济企业人员到先进地区学习考察，开展招商引资活动</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工作质量达标率</w:t>
            </w:r>
          </w:p>
        </w:tc>
        <w:tc>
          <w:tcPr>
            <w:tcW w:w="5386" w:type="dxa"/>
            <w:vAlign w:val="center"/>
          </w:tcPr>
          <w:p>
            <w:pPr>
              <w:pStyle w:val="13"/>
            </w:pPr>
            <w:r>
              <w:t>反映各项工作完成质量情况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非公培训及时性</w:t>
            </w:r>
          </w:p>
        </w:tc>
        <w:tc>
          <w:tcPr>
            <w:tcW w:w="5386" w:type="dxa"/>
            <w:vAlign w:val="center"/>
          </w:tcPr>
          <w:p>
            <w:pPr>
              <w:pStyle w:val="13"/>
            </w:pPr>
            <w:r>
              <w:t>反映培训非公经济人士次，开展理想信念教育活动的及时情况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会议考察及时性</w:t>
            </w:r>
          </w:p>
        </w:tc>
        <w:tc>
          <w:tcPr>
            <w:tcW w:w="5386" w:type="dxa"/>
            <w:vAlign w:val="center"/>
          </w:tcPr>
          <w:p>
            <w:pPr>
              <w:pStyle w:val="13"/>
            </w:pPr>
            <w:r>
              <w:t>反映定期召开主席、执委、常委会议，学习考察的时间</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活动支出控制在预算范围内</w:t>
            </w:r>
          </w:p>
        </w:tc>
        <w:tc>
          <w:tcPr>
            <w:tcW w:w="2268" w:type="dxa"/>
            <w:vAlign w:val="center"/>
          </w:tcPr>
          <w:p>
            <w:pPr>
              <w:pStyle w:val="13"/>
            </w:pPr>
            <w:r>
              <w:t>≤2万元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促进企业健康发展</w:t>
            </w:r>
          </w:p>
        </w:tc>
        <w:tc>
          <w:tcPr>
            <w:tcW w:w="5386" w:type="dxa"/>
            <w:vAlign w:val="center"/>
          </w:tcPr>
          <w:p>
            <w:pPr>
              <w:pStyle w:val="13"/>
            </w:pPr>
            <w:r>
              <w:t>促进经济人士健康成长和非公企业健康发展,充分发挥政府与企业之间的桥梁和纽带作用，促进县域经济健康发展</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缓解企业融资难问题</w:t>
            </w:r>
          </w:p>
          <w:p>
            <w:pPr>
              <w:pStyle w:val="13"/>
            </w:pPr>
          </w:p>
        </w:tc>
        <w:tc>
          <w:tcPr>
            <w:tcW w:w="5386" w:type="dxa"/>
            <w:vAlign w:val="center"/>
          </w:tcPr>
          <w:p>
            <w:pPr>
              <w:pStyle w:val="13"/>
            </w:pPr>
            <w:r>
              <w:t>促进企业融资难问题得到缓解</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工商联会员企业满意度</w:t>
            </w:r>
          </w:p>
        </w:tc>
        <w:tc>
          <w:tcPr>
            <w:tcW w:w="5386" w:type="dxa"/>
            <w:vAlign w:val="center"/>
          </w:tcPr>
          <w:p>
            <w:pPr>
              <w:pStyle w:val="13"/>
            </w:pPr>
            <w:r>
              <w:t>工商联会员企业满意度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七、政府采购预算情况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八、国有资产信息</w:t>
      </w:r>
      <w:bookmarkEnd w:id="17"/>
    </w:p>
    <w:p>
      <w:pPr>
        <w:spacing w:line="500" w:lineRule="exact"/>
        <w:ind w:firstLine="560"/>
      </w:pPr>
      <w:r>
        <w:rPr>
          <w:rFonts w:eastAsia="方正仿宋_GBK"/>
          <w:color w:val="000000"/>
          <w:sz w:val="28"/>
        </w:rPr>
        <w:t>青龙满族自治县工商业联合会（含所属单位）上年末固定资产金额为2</w:t>
      </w:r>
      <w:r>
        <w:rPr>
          <w:rFonts w:hint="eastAsia" w:eastAsia="方正仿宋_GBK"/>
          <w:color w:val="000000"/>
          <w:sz w:val="28"/>
          <w:lang w:val="en-US" w:eastAsia="zh-CN"/>
        </w:rPr>
        <w:t>.</w:t>
      </w:r>
      <w:r>
        <w:rPr>
          <w:rFonts w:eastAsia="方正仿宋_GBK"/>
          <w:color w:val="000000"/>
          <w:sz w:val="28"/>
        </w:rPr>
        <w:t>09万元（详见下表）。本年度拟购置固定资产总额为0.00万元，已按要求列入政府采购预算，详见政府采购预算表。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w:t>
            </w:r>
            <w:r>
              <w:rPr>
                <w:rFonts w:hint="eastAsia"/>
                <w:lang w:val="en-US" w:eastAsia="zh-CN"/>
              </w:rPr>
              <w:t>.</w:t>
            </w:r>
            <w: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w:t>
            </w:r>
          </w:p>
        </w:tc>
        <w:tc>
          <w:tcPr>
            <w:tcW w:w="2835" w:type="dxa"/>
            <w:vAlign w:val="center"/>
          </w:tcPr>
          <w:p>
            <w:pPr>
              <w:pStyle w:val="12"/>
            </w:pPr>
            <w:r>
              <w:t>2</w:t>
            </w:r>
            <w:r>
              <w:rPr>
                <w:rFonts w:hint="eastAsia"/>
                <w:lang w:val="en-US" w:eastAsia="zh-CN"/>
              </w:rPr>
              <w:t>.</w:t>
            </w:r>
            <w:r>
              <w:t>09</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九、名词解释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2U3YmE5NDE4NWZiYmZlNjRiMWM5ZTBkODE2MWMifQ=="/>
  </w:docVars>
  <w:rsids>
    <w:rsidRoot w:val="004E1288"/>
    <w:rsid w:val="0045282B"/>
    <w:rsid w:val="004E1288"/>
    <w:rsid w:val="00BC032C"/>
    <w:rsid w:val="3F4C6D7F"/>
    <w:rsid w:val="4F19336E"/>
    <w:rsid w:val="5D952161"/>
    <w:rsid w:val="6D3E1DEA"/>
    <w:rsid w:val="75FD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semiHidden/>
    <w:unhideWhenUsed/>
    <w:qFormat/>
    <w:uiPriority w:val="99"/>
    <w:pPr>
      <w:kinsoku w:val="0"/>
      <w:autoSpaceDE w:val="0"/>
      <w:autoSpaceDN w:val="0"/>
      <w:adjustRightInd w:val="0"/>
      <w:snapToGrid w:val="0"/>
      <w:textAlignment w:val="baseline"/>
    </w:pPr>
    <w:rPr>
      <w:rFonts w:ascii="仿宋" w:hAnsi="仿宋" w:eastAsia="仿宋" w:cs="宋体"/>
      <w:color w:val="000000"/>
      <w:sz w:val="28"/>
      <w:szCs w:val="28"/>
      <w:lang w:eastAsia="zh-CN"/>
    </w:r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 w:type="character" w:customStyle="1" w:styleId="31">
    <w:name w:val="正文文本 Char"/>
    <w:basedOn w:val="7"/>
    <w:link w:val="2"/>
    <w:semiHidden/>
    <w:qFormat/>
    <w:uiPriority w:val="99"/>
    <w:rPr>
      <w:rFonts w:ascii="仿宋" w:hAnsi="仿宋" w:eastAsia="仿宋"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2024-02-20T11:10:57Z</dcterms:created>
  <dcterms:modified xsi:type="dcterms:W3CDTF">2024-02-20T03:10:57Z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2024-02-20T11:10:55Z</dcterms:created>
  <dcterms:modified xsi:type="dcterms:W3CDTF">2024-02-20T03:10:55Z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2FD787-4356-4C8E-9E2C-B6E386FAEE0F}">
  <ds:schemaRefs/>
</ds:datastoreItem>
</file>

<file path=customXml/itemProps10.xml><?xml version="1.0" encoding="utf-8"?>
<ds:datastoreItem xmlns:ds="http://schemas.openxmlformats.org/officeDocument/2006/customXml" ds:itemID="{6EBE6FFF-B743-4DF1-8806-65FD00D0C203}">
  <ds:schemaRefs/>
</ds:datastoreItem>
</file>

<file path=customXml/itemProps11.xml><?xml version="1.0" encoding="utf-8"?>
<ds:datastoreItem xmlns:ds="http://schemas.openxmlformats.org/officeDocument/2006/customXml" ds:itemID="{AEC78CE7-E8BE-46C3-801F-A93764EC2E25}">
  <ds:schemaRefs/>
</ds:datastoreItem>
</file>

<file path=customXml/itemProps12.xml><?xml version="1.0" encoding="utf-8"?>
<ds:datastoreItem xmlns:ds="http://schemas.openxmlformats.org/officeDocument/2006/customXml" ds:itemID="{D448ED21-36BD-4E47-B581-7BFE3740DD8D}">
  <ds:schemaRefs/>
</ds:datastoreItem>
</file>

<file path=customXml/itemProps2.xml><?xml version="1.0" encoding="utf-8"?>
<ds:datastoreItem xmlns:ds="http://schemas.openxmlformats.org/officeDocument/2006/customXml" ds:itemID="{6511AB7D-1B6D-4E0B-9E50-AA6F2097D195}">
  <ds:schemaRefs/>
</ds:datastoreItem>
</file>

<file path=customXml/itemProps3.xml><?xml version="1.0" encoding="utf-8"?>
<ds:datastoreItem xmlns:ds="http://schemas.openxmlformats.org/officeDocument/2006/customXml" ds:itemID="{DF2BFEB5-FBA5-4657-9AB1-A9A71BA165C4}">
  <ds:schemaRefs/>
</ds:datastoreItem>
</file>

<file path=customXml/itemProps4.xml><?xml version="1.0" encoding="utf-8"?>
<ds:datastoreItem xmlns:ds="http://schemas.openxmlformats.org/officeDocument/2006/customXml" ds:itemID="{BF442BFF-BC5C-4FDA-9568-9772C543B662}">
  <ds:schemaRefs/>
</ds:datastoreItem>
</file>

<file path=customXml/itemProps5.xml><?xml version="1.0" encoding="utf-8"?>
<ds:datastoreItem xmlns:ds="http://schemas.openxmlformats.org/officeDocument/2006/customXml" ds:itemID="{56BEC6DA-7B6F-40D7-BBFC-BD000B85B458}">
  <ds:schemaRefs/>
</ds:datastoreItem>
</file>

<file path=customXml/itemProps6.xml><?xml version="1.0" encoding="utf-8"?>
<ds:datastoreItem xmlns:ds="http://schemas.openxmlformats.org/officeDocument/2006/customXml" ds:itemID="{5CB2F847-BA02-452C-ADD4-2C8E01F656C9}">
  <ds:schemaRefs/>
</ds:datastoreItem>
</file>

<file path=customXml/itemProps7.xml><?xml version="1.0" encoding="utf-8"?>
<ds:datastoreItem xmlns:ds="http://schemas.openxmlformats.org/officeDocument/2006/customXml" ds:itemID="{05FBC129-27E9-4969-8756-B67BA78D80B4}">
  <ds:schemaRefs/>
</ds:datastoreItem>
</file>

<file path=customXml/itemProps8.xml><?xml version="1.0" encoding="utf-8"?>
<ds:datastoreItem xmlns:ds="http://schemas.openxmlformats.org/officeDocument/2006/customXml" ds:itemID="{A0868C89-F844-4A64-B795-D20FE4E1EA7C}">
  <ds:schemaRefs/>
</ds:datastoreItem>
</file>

<file path=customXml/itemProps9.xml><?xml version="1.0" encoding="utf-8"?>
<ds:datastoreItem xmlns:ds="http://schemas.openxmlformats.org/officeDocument/2006/customXml" ds:itemID="{11CF105D-0629-4C1B-81E5-375D5F3574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8102</Words>
  <Characters>9337</Characters>
  <Lines>91</Lines>
  <Paragraphs>25</Paragraphs>
  <TotalTime>1</TotalTime>
  <ScaleCrop>false</ScaleCrop>
  <LinksUpToDate>false</LinksUpToDate>
  <CharactersWithSpaces>9522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2024-02-20T03:29:00Z</dcterms:created>
  <dc:creator>Administrator</dc:creator>
  <cp:lastModifiedBy>勇</cp:lastModifiedBy>
  <dcterms:modified xsi:type="dcterms:W3CDTF">2025-06-17T07:08:08Z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3CDCEA99A5184EA18FFF01C0F4AC9C6A</vt:lpwstr>
  </property>
</Properties>
</file>