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3"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序号</w:t>
            </w:r>
          </w:p>
        </w:tc>
        <w:tc>
          <w:tcPr>
            <w:tcW w:w="850"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权力</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类型</w:t>
            </w:r>
          </w:p>
        </w:tc>
        <w:tc>
          <w:tcPr>
            <w:tcW w:w="113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权力</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事项</w:t>
            </w:r>
          </w:p>
        </w:tc>
        <w:tc>
          <w:tcPr>
            <w:tcW w:w="3118"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实施依据</w:t>
            </w:r>
          </w:p>
        </w:tc>
        <w:tc>
          <w:tcPr>
            <w:tcW w:w="113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省级</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主管部门</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实施</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层级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责任事项</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追责情形</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4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金融机构营业场所、金库安全防范设施建设方案审批及工程验收</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1.《国务院对确需保留的行政审批项目设定行政许可的决定》（2016年8月25日中华人民共和国国务院令第671号）第41项。</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2.《金融机构营业场所和金库安全防范设施建设许可实施办法》（中华人民共和国公安部令第86号）第四条 金融机构营业场所、金库安全防范设施建设方案审批和工程验收实行属地管理、分级审批的原则，由县级以上人民政府公安机关负责实施。</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按照《金融机构营业场所和金库安全防范设施建设许可实施办法》，对书面申请材料进行审查，提出是否同意筹建的审核意见，组织现场检查验收，告知申请人、利害相关人享有听证权利；涉及公共利益的重大许可，向社会公告，并举行听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5.监管环节责任：建立实施监督检查的运行机制和管理制度，开展定期和不定期检查，依法采取相关处置措施。</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6.对明知是不符合标准的金融机构营业场所、金库安全防范设施建设方案予以批准，或者擅自发放《安全防范设施合格证》的；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7.除不可抗力外，不按照本办法规定的时限办理审批和验收的；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8.利用职权故意刁难申请人、施工单位，索取、收受贿赂或者谋取其他利益的；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9.在行政许可工作中滥用职权、玩忽职守、徇私舞弊行为的；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10.金融机构营业场所、金库安全防范设施建设方案审批及竣工验收许可，擅自收费的；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11.其他违反法律法规规章规定的行为。</w:t>
            </w:r>
          </w:p>
        </w:tc>
        <w:tc>
          <w:tcPr>
            <w:tcW w:w="567" w:type="dxa"/>
            <w:tcBorders>
              <w:tl2br w:val="nil"/>
              <w:tr2bl w:val="nil"/>
            </w:tcBorders>
            <w:shd w:val="clear" w:color="auto" w:fill="FFFFFF"/>
            <w:vAlign w:val="center"/>
          </w:tcPr>
          <w:p>
            <w:pPr>
              <w:widowControl/>
              <w:wordWrap/>
              <w:adjustRightInd/>
              <w:snapToGrid/>
              <w:spacing w:before="0" w:after="0"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边境管理区通行证核发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《中华人民共和国边境管理区通行证管理办法》（公安部42号令）第六条 凡居住在非边境管理区年满十六周岁的中国公民，前往边境管理区，须持《边境通行证》。第九条 凡年满十六周岁的中国公民前往边境管理区，依照本办法第二章之规定，具有下列情形之一的，应当申领《边境通行证》：(一)参加科技、文化、体育交流或者业务培训、会议，从事考察、采访、创作等活动的；(二)从事勘探、承包工程、劳务、生产技术合作或者贸易洽谈等活动的；(三)应聘、调动、分配工作或者就医、就学的；(四)探亲、访友、经商、旅游的；(五)有其他正当事由必须前往的。第十条 申领《边境通行证》应当向常住户口所在地县级以上公安机关或者指定的公安派出所提出申请。有下列情形之一的，凭单位证明，可以向非常住户口所在地的县级以上公安机关或者指定的公安派出所提出申请：(一)常住户口所在地与工作单位所在地在同一城市，但不在同一辖区的人员；(二)中央各部委和省级人民政府的驻外办事处人员；(三)已在非常住户口所在地暂住一年以上的人员；(四)因工作调动，尚未办妥常住或者暂住户口的人员；(五)因紧急公务，确需前往边境管理区的国家工作人员。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1.公示责任：应当在办公场所公示边境管理区通行证许可办理的依据、条件、程序、期限及需要提交的全部材料目录和《边境管理区通行证申请表》；说明边境管理区通行证申请的途径和方法。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2.受理责任：应申请人要求对公示内容予以说明、解释；当一次告知申请人需要补正的全部材料内容；应当允许申请人当场更正申请材料错误。</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3.审查责任：对办理边境管理区通行证许可的申请材料进行核实。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5.送达环节责任：边境管理区通行证许可审批和签发机关作出准予颁发证件决定的，应当自作出决定1个工作日内向申请人颁发、邮寄送达相关证件。</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边境管理区通行证许可颁发业务的监督检查，及时纠正边境管理区通行证许可签发工作中的违法违规行为；政府主管部门依法对公安机关进行监督检查时，应当将监督检查的情况和处理结果予以记录，公众有权查阅有关记录；政府主管部门应根据管理权限及时核实、处理公安机关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1.对符合法定条件的申请不予受理、不予核发通行证或者不在法定期限内作出核发决定的。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2.对不符合法定条件的申请人准予核发通行证或者超越法定职权作出准予核发决定的。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3.在受理、审查、决定过程中，未向申请人、利害关系人履行法定告知义务或不一次告知申请人必须补正的全部内容的；未依法说明不受理或者不予核发通行证理由的。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4.违反法定权限、条件和程序设定核发通行证的。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5.索取或者收受他人财物或者谋取其他利益的；擅自收费或者不按照法定项目和标准收费的；截留、挪用、私分或者变相私分依法收取的费用的。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6.违法核发通行证，给当事人的合法权益造成损害的；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7.在通行证核发工作中玩忽职守、徇私舞弊、滥用职权，构成犯罪的，依法追究刑事责任;尚不构成犯罪的，依法给予行政处分。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户口迁移审批</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1.受理责任：受理外地户口人员申请迁入户口事项，一次性告知应当提供的材料，依法受理或不予受理（不予受理的应当告知理由）。</w:t>
            </w:r>
          </w:p>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2.审查责任：根据户口迁移政策审查申请人提供的相关证件、资料。</w:t>
            </w:r>
          </w:p>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3.决定责任：作出是否核准户口迁入的决定。</w:t>
            </w:r>
          </w:p>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4.送达责任：核准户口迁入的，核准结果送达申请人；不予核准的当面告知申请人，退回申报材料；需补充申报材料的，填写《补充材料清单》送达申请人。</w:t>
            </w:r>
          </w:p>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5.事后监管责任：建立实施监督检查的运行机制和管理制度，开展定期和不定期督导检查，查看基层公安机关是否按照核准结果办理户口迁入业务。</w:t>
            </w:r>
          </w:p>
          <w:p>
            <w:pPr>
              <w:widowControl/>
              <w:numPr>
                <w:ilvl w:val="0"/>
                <w:numId w:val="0"/>
              </w:numPr>
              <w:wordWrap/>
              <w:adjustRightInd/>
              <w:snapToGrid/>
              <w:spacing w:line="240" w:lineRule="exact"/>
              <w:ind w:leftChars="0" w:right="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2.对不符合法定条件的申请准予行政许可或者超越法定职权作出准予行政许可决定的；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3.对符合法定条件的申请不予行政许可或者不在法定期限内作出准予行政许可决定的；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4.不依法履行监督职责或监督不力的；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5.违反法定程序实施行政许可的；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6.工作中玩忽职守、滥用职权的；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7.工作中索取或收受他人财物等情形的；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8.其他违反法律法规规章文件规定的行为。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保安员证核发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1.《保安服务管理条例》（2009年10月13日国务院令第564号）第十六条 年满18周岁，身体健康，品行良好，具有初中以上学历的中国公民可以申领保安员证，从事保安服务工作。申请人经设区的市级人民政府公安机关考试、审查合格并留存指纹等人体生物信息的，发给保安员证。提取、留存保安员指纹等人体生物信息的具体办法，由国务院公安部门规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2.《公安机关实施保安服务管理条例办法》（2010年2月3日公安部令第112号公布,2016年1月14日修正本）第二十一条 县级公安机关对申请人的报名材料进行审核，符合本办法第十九条第一项、第二项、第三项、第五项规定的，上报设区市的公安机关发给准考证，通知申请人领取。第二十二条 设区市的公安机关应当根据本地报考人数和保安服务市场需要，合理规划设置考点，提前公布考试方式（机考或者卷考）和时间，每年考试不得少于2次。考试题目从公安部保安员考试题库中随机抽取。考生凭准考证和有效身份证件参加考试。第二十三条 申请人考试成绩合格的，设区市的公安机关核发保安员证，由县级公安机关通知申请人领取。</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2.审查责任：按照有关规定对申请材料进行审查。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4.送达责任：准予许可的制发送达许可证，按规定信息公开。</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5.监管责任：建立实施监督检查的运行机制和管理制度，开展定期和不定期检查，依法采取相关处置措施。</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1.对符合法定条件的许可申请不予受理的；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2.对不符合法定条件的申请单位准予行政许可或者超越法定职权作出准予行政许可决定的；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3.对符合法定条件的申请单位不予行政许可或者不在法定期限内作出准予行政许可决定的；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5.违反法定程序实施行政许可的；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6.应当举行听证而不举行听证的；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7.工作中玩忽职守、滥用职权的；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8.办理行政许可、实施监督检查，索取或者收受他人财物或者谋取其他利益的；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9.其他违反法律法规规章文件规定的行为。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举行集会游行示威许可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1.《中华人民共和国集会游行示威法》第六条 集会、游行、示威的主管机关，是集会、游行、示威举行地的市、县公安局、城市公安分局；游行、示威路线经过两个以上区、县的，主管机关为所经过区、县的公安机关的共同上一级公安机关。第七条第一款 举行集会、游行、示威，必须依照本法规定向主管机关提出申请并获得许可。</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2.《中华人民共和国集会游行示威法实施条例》第七条 集会、游行、示威由举行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3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公示依法应当公示的内容（包括集会、游行、示威许可的依据、条件、程序、期限以及需要提交的全部材料的目录和《集会、游行、示威许可申请表》、说明集会、游行、示威许可申请的途径和方法（信函、电报、电传、传真、电子数据交换和电子邮件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申请人必须在举行日期的五日前向主管机关递交书面申请，以书面方式提出许可申请的提供市级权限范围内的集会、游行、示威许可申请书格式文本；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3.审查责任：对申请人提交的集会、游行、示威许可申报材料进行审查，自申请之日起至举办日期前2日，现场勘察完毕。</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4.决定责任：予以许可的，应当将许可决定及时通知申请人；不予许可的，应当书面通知申请人并说明理由；并告知申请人享有依法申请行政复议或者提起行政诉讼的权利。</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实施机关在作出准予或者不予许可决定后，应当在举办日期前2日向申请人送达集会、游行、示威许可决定书，应当加盖实施机关印章，注明日期。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6.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5.未依法说明不受理行政许可申请或者不予行政许可的理由的；</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大型群众性活动安全许可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《大型群众性活动安全管理条例》（国务院令第505号）第十一条 公安机关对大型群众性活动实行安全许可制度。《营业性演出管理条例》对演出活动的安全管理另有规定的，从其规定。第十二条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申请人应当在活动举办日的20日前提出安全许可申请，申请人以书面方式提出申请的提供承办者合法成立的证明及安全责任人的身份证明，活动方案；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2.审查责任：对申请人提交的申报材料进行审查，收到完整齐备的申请材料之日起10日内审查、现场勘察完毕。</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收到完整齐备的申请材料之日起7日内作出行政许可决定。予以许可的，应当将许可决定及时通知申请人；不予许可的，应当书面通知申请人并说明理由；并告知申请人享有依法申请行政复议或者提起行政诉讼的权利。</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环节责任：实施机关在作出准予或者不予许可决定后，应当在10日内向申请人送达5000人以上的大型群众性活动安全许可。依据相关规定对作出的准予行政审批决定予以公开，方便公众查阅。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5.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8.工作人员和直接负责的主管人员在履行大型群众性活动安全管理职责中，有滥用职权、玩忽职守、徇私舞弊行为的；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民用枪支持枪许可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《中华人民共和国枪支管理法》第六条 下列单位可以配置民用枪支：（一）经省级人民政府体育行政主管部门批准专门从事射击竞技体育运动的单位、经省级人民政府公安机关批准的营业性射击场，可以配置射击运动枪支；（二）经省级以上人民政府林业行政主管部门批准的狩猎场，可以配置猎枪；（三）野生动物保护、饲养、科研单位因业务需要，可以配置猎枪、麻醉注射枪。第八条 ……配置射击运动枪支时，由省级人民政府公安机关发给民用枪支持枪证件。第十一条 ……配售猎枪、麻醉注射枪的单位和个人，必须在配购枪支后三十日内向核发民用枪支配购证件的公安机关申请领取民用枪支持枪证件。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9.向《中华人民共和国枪支管理法》第五条、第六条规定以外的单位和个人配备、配置枪支的；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10.违法发给枪支管理证件的；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11.将没收的枪支据为己有的；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12.不履行枪支管理职责，造成后果的。</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举办焰火晚会及其他大型焰火燃放活动许可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第三十二条 举办焰火晚会以及其他大型焰火燃放活动，应当按照举办的时间、地点、环境、活动性质、规模以及燃放烟花爆竹的种类、规格和数量，确定危险等级，实行分级管理。分级管理的具体办法，由国务院公安部门规定。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20日内对提交的有关材料进行审查，对符合条件的，核发《焰火燃放许可证》；对不符合条件的，应当说明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2.公安部办公厅《关于贯彻执行〈大型焰火燃放作业人员资格条件及管理〉和〈大型焰火燃放作业单位资质条件及管理〉有关事项的通知》 在《大型焰火燃放活动分级管理办法》实施前，申请举办Ⅱ级(含)以上燃放作业暂由举办地设区的市级公安机关受理审批;Ⅲ级及以下燃放作业暂由县级公安机关受理、审批。</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9</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枪支及枪支主要零部件、弹药配置许可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《中华人民共和国枪支管理法》第九条  狩猎场配置猎枪，凭省级以上人民政府林业行政主管部门的批准文件，报省级以上人民政府公安机关审批，由设区的市级人民政府公安机关核发民用枪支配购证件。第十条 野生动物保护、饲养、科研单位申请配置猎枪、麻醉注射枪的，应当凭其所在地县级人民政府野生动物行政主管部门核发的狩猎证或者特许捕猎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受理申请的公安机关审查批准后，应当报设区的市级人民政府公安机关核发民用枪支配购证件。第四十八条 制造、配售、运输枪支的主要零部件和用于枪支的弹药，适用于本法的有关规定。</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9.向《中华人民共和国枪支管理法》第五条、第六条规定以外的单位和个人配备、配置枪支的；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10.违法发给枪支管理证件的；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11.将没收的枪支据为己有的；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12.不履行枪支管理职责，造成后果的；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13.其他违反法律法规规章规定的行为。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10</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放射性物品道路运输许可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2.对符合法定条件的申请不予受理、不予审核或者不在法定期限内作出审核合格决定的；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3.对不符合法定条件的申请人验收合格或者超越法定职权作出合格决定的；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4.在受理、审查、决定过程中，未向申请人、利害关系人履行法定告知义务或不一次告知申请人必须补正的全部内容的；未依法说明不受理或者审核不合格理由的。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5.索取或者收受他人财物或者谋取其他利益的；擅自收费或者不按照法定项目和标准收费的；截留、挪用、私分或者变相私分依法收取的费用的；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7.在审核过程中玩忽职守、徇私舞弊、滥用职权的；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11</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民用爆炸物品购买许可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《民用爆炸物品安全管理条例》第二十一条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12</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民用爆炸物品运输许可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《民用爆炸物品安全管理条例》第二十六条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13</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剧毒化学品购买许可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Style w:val="6"/>
                <w:rFonts w:hAnsi="宋体"/>
                <w:lang w:val="en-US" w:eastAsia="zh-CN"/>
              </w:rPr>
              <w:t>《剧毒化学品购买和公路运输许可证件管理办法》第五条</w:t>
            </w:r>
            <w:r>
              <w:rPr>
                <w:rStyle w:val="7"/>
                <w:lang w:val="en-US" w:eastAsia="zh-CN"/>
              </w:rPr>
              <w:t xml:space="preserve"> </w:t>
            </w:r>
            <w:r>
              <w:rPr>
                <w:rStyle w:val="6"/>
                <w:rFonts w:hAnsi="宋体"/>
                <w:lang w:val="en-US" w:eastAsia="zh-CN"/>
              </w:rPr>
              <w:t>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14</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烟花爆竹道路运输许可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《烟花爆竹安全管理条例》第二十二条　经由道路运输烟花爆竹的，应当经公安部门许可。经由铁路、水路、航空运输烟花爆竹的，依照铁路、水路、航空运输安全管理的有关法律、法规、规章的规定执行。第二十三条　经由道路运输烟花爆竹的，托运人应当向运达地县级人民政府公安部门提出申请，并提交下列有关材料：（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包装合格证明；（七）运输车辆牌号、运输时间、起始地点、行驶路线、经停地点。</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15</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公章刻制业特种行业许可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1.《国务院对确需保留的行政审批项目设定行政许可的决定》第37项。</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2.《印铸刻字业暂行管理规则》第三条凡经营印铸刻字业者，须先向该管市 （县）人民政府公安局或分局申请登记，办理以下手续：一、详细填写特种营业登记表两份，附申请人最近二寸半身免冠像片三张，并觅具可靠非同业铺保两家。二、造具该业股东、职工名册， 建筑设备及四邻平面略图 （露天刻字摊免缴平面略图）。三、将填妥之申请登记表，连同像片、略图、名册等送公安局或分局，经核准发给许可证后，须另向该管工商机关申请，领得营业执照后始准营业。</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16</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旅馆业特种行业许可</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1.《国务院对确需保留的行政审批项目设定行政许可的决定》第36项</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2.《旅馆业治安管理办法》第四条 申请开办旅馆，应取得市场监管部门核发的营业执照，向当地公安机关申领特种行业许可证后，方准开业。经批准开业的旅馆，如有歇业、转业、合并、迁移、改变名称等情况，应当在工商行政管理部门办理变更登记后三日内，向当地的县、市公安局、公安分局备案。</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1.受理责任：公示应当提交的材料，一次性告知补正材料，依法受理或不予受理（不予受理应当告知理由）。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2.审查责任：对书面申请材料进行审查，提出是否同意审核意见，通过审查的做出决定，审查不通过的告知申请人。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4.送达责任：准予许可的制发送达许可证，按规定报省公式平台备案，信息公开。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17</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第二类易制毒化学品运输许可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2.审查责任：（1）公安机关应当自收到第二类易制毒化学品运输许可申请之日起3日内（承诺日为1个工作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3.决定责任：（1）对符合规定的，发给运输许可证；不予许可的，应当书面说明理由。（2）对许可运输第二类易制毒化学品的，发给三个月有效的运输许可证。（3）对于6个月内运输安全状态良好的，发给12个月有效的运输许可证。</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4.送达责任：实施机关在作出准予或者不予许可决定后，应当在3日内（承诺日为1个工作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1.对符合法定条件的行政许可申请不予受理的；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3.在受理、审查、决定行政许可过程中，未向申请人、利害关系人履行法定告知义务的；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4.申请人提交的申请材料不齐全、不符合法定形式，不一次告知申请人必须补正的全部内容的；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6.依法应当举行听证而不举行听证的；</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7.在办理行政许可、实施监督检查，索取或者收受他人财物或者谋取其他利益的；擅自收费或者不按照法定项目和标准收费的；截留、挪用、私分或者变相私分实施行政许可依法收取的费用的；</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8.违法实施行政许可，给当事人的合法权益造成损害的；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18</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第三类易制毒化学品运输备案</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《易制毒化学品管理条例》第二十条 运输第三类易制毒化学品的，应当在运输前向运出地的县级人民政府公安机关备案。公安机关应当于收到备案材料的当日发给备案证明。</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2.审查责任：（1）公安机关应当自收到第三类易制毒化学品运输许可申请之日起当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3.决定责任：（1）对符合规定的，发给运输许可证；不予许可的，应当书面说明理由。（2）对许可运输第三类易制毒化学品的，发给三个月多次使用有效的备案证明。（3）对于领取运输许可证或者运输备案证明后六个月内按照规定运输并保证运输安全的，可以发给有效期十二个月的运输许可证或者运输备案证明。</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4.送达责任：实施机关在作出准予或者不予许可决定后，应当在1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1.对符合法定条件的行政许可申请不予受理的；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3.在受理、审查、决定行政许可过程中，未向申请人、利害关系人履行法定告知义务的；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4.申请人提交的申请材料不齐全、不符合法定形式，不一次告知申请人必须补正的全部内容的；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6.依法应当举行听证而不举行听证的；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7.在办理行政许可、实施监督检查，索取或者收受他人财物或者谋取其他利益的；擅自收费或者不按照法定项目和标准收费的；截留、挪用、私分或者变相私分实施行政许可依法收取的费用的； </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19</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第二类、第三类易制毒化学品购买备案</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《易制毒化学品管理条例》第十七条 购买第二类、第三类易制毒化学品的，应当在购买前将所需购买的品种、数量，向所在地的县级人民政府公安机关备案。</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rPr>
              <w:t>1.受理责任：(1)公示应当提交的材料，一次性告知补正材料，依法受理或不予受理（不予受理应当告知理由）。(2)申请购买第二类、第三类易制毒化学品的，应当提交下列申请材料:经营企业的营业执照(副本和复印件)，其他组织的登记证书或者成立批准文件(原件和复印件)，或者个人的身份证明(原件和复印件);合法使用需要证明(原件)。合法使用需要证明由购买单位或者个人出具，注明拟购买易制毒化学品的品种、数量和用途，并加盖购买单位印章或者个人签名。(3)购买第二类、第三类易制毒化学品的，应当向所在地县级人民政府公安机关备案。取得购买许可证或者购买备案证明后，方可购买易制毒化学品。</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2.审查责任：（1）公安机关应当自收到第二类、第三类易制毒化学品购买申请备案当日，出具购买备案证明。（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3.决定责任：（1）对符合规定的，发给运输许可证；不予许可的，应当书面说明理由。（2）易制毒化学品购买备案证明一次使用有效，有效期1个月。（3）对备案后1年内无违规行为的单位，可以发给多次使用有效的备案证明，有效期6个月。</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4.送达责任：实施机关在作出准予或者不予许可决定后，应当在1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5.事后监管责任：（1）依法加强监督检查，对于违法行为依法予以查处。（2）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3）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000000"/>
                <w:kern w:val="0"/>
                <w:sz w:val="15"/>
                <w:szCs w:val="15"/>
                <w:u w:val="none"/>
                <w:lang w:val="en-US" w:eastAsia="zh-CN"/>
              </w:rPr>
              <w:br w:type="textWrapping"/>
            </w:r>
            <w:r>
              <w:rPr>
                <w:rFonts w:hint="eastAsia" w:ascii="仿宋_GB2312" w:hAnsi="宋体" w:eastAsia="仿宋_GB2312" w:cs="仿宋_GB2312"/>
                <w:i w:val="0"/>
                <w:color w:val="000000"/>
                <w:kern w:val="0"/>
                <w:sz w:val="15"/>
                <w:szCs w:val="15"/>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1.对符合法定条件的行政许可申请不予受理的；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3.在受理、审查、决定行政许可过程中，未向申请人、利害关系人履行法定告知义务的；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4.申请人提交的申请材料不齐全、不符合法定形式，不一次告知申请人必须补正的全部内容的；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6.依法应当举行听证而不举行听证的；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20</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普通护照签发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6"/>
                <w:szCs w:val="16"/>
                <w:u w:val="none"/>
                <w:lang w:val="en-US" w:eastAsia="zh-CN"/>
              </w:rPr>
              <w:t>1.《中华人民共和国护照法》第四条 普通护照由公安部出入境管理机构或者公安部委托的县级以上地方人民政府公安机关出入境管理机构以及中华人民共和国驻外使馆、领馆和外交部委托的其他驻外机构签发。第五条 公民因前往外国定居、探亲、学习、就业、旅行、从事商务活动等非公务原因出国的，由本人向户籍所在地的县级以上地方人民政府公安机关出入境管理机构申请普通护照。第十条 护照持有人所持护照的登记事项发生变更时应当持相关证明材料向护照签发机关申请护照变更加注。第十一条 护照持有人申请换发或者补发普通护照在国内由本人向户籍所在地的县级以上地方人民政府公安机关出入境管理机构提出。</w:t>
            </w:r>
            <w:r>
              <w:rPr>
                <w:rFonts w:hint="eastAsia" w:ascii="仿宋_GB2312" w:hAnsi="宋体" w:eastAsia="仿宋_GB2312" w:cs="仿宋_GB2312"/>
                <w:i w:val="0"/>
                <w:color w:val="000000"/>
                <w:kern w:val="0"/>
                <w:sz w:val="16"/>
                <w:szCs w:val="16"/>
                <w:u w:val="none"/>
                <w:lang w:val="en-US" w:eastAsia="zh-CN"/>
              </w:rPr>
              <w:br w:type="textWrapping"/>
            </w:r>
            <w:r>
              <w:rPr>
                <w:rFonts w:hint="eastAsia" w:ascii="仿宋_GB2312" w:hAnsi="宋体" w:eastAsia="仿宋_GB2312" w:cs="仿宋_GB2312"/>
                <w:i w:val="0"/>
                <w:color w:val="000000"/>
                <w:kern w:val="0"/>
                <w:sz w:val="16"/>
                <w:szCs w:val="16"/>
                <w:u w:val="none"/>
                <w:lang w:val="en-US" w:eastAsia="zh-CN"/>
              </w:rPr>
              <w:t>2.《中华人民共和国普通护照和出入境通行证签发管理办法》第四条 公民申请普通护照，应当由本人向其户籍所在地县级以上地方人民政府公安机关出入境管理机构提出，并提交下列真实有效的材料:（一）近期免冠照片一张以及填写完整的《中国公民因私出国（境）申请表》（以下简称申请表）；（二）居民身份证和户口簿及复印件；在居民身份证领取、换领、补领期间，可以提交临时居民身份证和户口簿及复印件；（三）未满十六周岁的公民，应当由其监护人陪同，并提交其监护人出具的同意出境的意见、监护人的居民身份证或者户口簿、护照及复印件；（四）国家工作人员应当按照有关规定，提交本人所属工作单位或者上级主管单位按照人事管理权限审批后出具的同意出境的证明；（五）省级地方人民政府公安机关出入境管理机构报经公安部出入境管理机构批准，要求提交的其他材料。现役军人申请普通护照，按照管理权限履行报批手续后，由本人向所属部队驻地县级以上地方人民政府公安机关出入境管理机构提出。</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21</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出入境通行证签发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1.《中华人民共和国护照法》第二十四条 公民从事边境贸易、边境旅游服务或者参加边境旅游等情形，可以向公安部委托的县级以上地方人民政府公安机关出入境管理机构申请中华人民共和国出入境通行证。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2.《中国公民因私事往来香港地区或者澳门地区的暂行管理办法》第十四条……不经常来内地的港澳同胞，可申请领取入出境通行证。申领办法与申领港澳同胞回乡证相同。第二十三条 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22</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内地居民前往港澳通行证、往来港澳通行证及签注签发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《中国公民因私事往来香港地区或者澳门地区的暂行管理办法》第三条 内地公民因私事前往香港、澳门，凭我国公安机关签发的前往港澳通行证或者往来港澳通行证从指定的口岸通行……第六条 内地公民因私事前往香港、澳门，须向户口所在地的市、县公安局出入境管理部门提出申请。第二十二条 前往港澳通行证在有效期内一次使用有效。往来港澳通行证有效期五年，可以延期二次，每次不超过五年，证件由持证人保存、使用，每次前往香港、澳门均需按照本办法第六条、第八条、第十条的规定办理申请手续，经批准的作一次往返签注。经公安部特别授权的公安机关可以作多次往返签注。</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23</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FF"/>
                <w:sz w:val="18"/>
                <w:szCs w:val="18"/>
                <w:u w:val="none"/>
              </w:rPr>
            </w:pPr>
            <w:r>
              <w:rPr>
                <w:rFonts w:hint="eastAsia" w:ascii="仿宋_GB2312" w:hAnsi="宋体" w:eastAsia="仿宋_GB2312" w:cs="仿宋_GB2312"/>
                <w:i w:val="0"/>
                <w:color w:val="auto"/>
                <w:kern w:val="0"/>
                <w:sz w:val="18"/>
                <w:szCs w:val="18"/>
                <w:u w:val="none"/>
                <w:lang w:val="en-US" w:eastAsia="zh-CN"/>
              </w:rPr>
              <w:t>港澳居民来往内地通行证补发、换发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FF"/>
                <w:sz w:val="18"/>
                <w:szCs w:val="18"/>
                <w:u w:val="none"/>
              </w:rPr>
            </w:pPr>
            <w:r>
              <w:rPr>
                <w:rFonts w:hint="eastAsia" w:ascii="仿宋_GB2312" w:hAnsi="宋体" w:eastAsia="仿宋_GB2312" w:cs="仿宋_GB2312"/>
                <w:i w:val="0"/>
                <w:color w:val="auto"/>
                <w:kern w:val="0"/>
                <w:sz w:val="18"/>
                <w:szCs w:val="18"/>
                <w:u w:val="none"/>
                <w:lang w:val="en-US" w:eastAsia="zh-CN"/>
              </w:rPr>
              <w:t>《中国公民因私事往来香港地区或者澳门地区的暂行管理办法》第十四条 港澳同胞来内地，须申请领取港澳同胞回乡证。港澳同胞回乡证由广东省公安厅签发。申领港澳同胞回乡证须交验居民身份证明、填写申请表。</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24</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大陆居民往来台湾通行证及签注签发</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25</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auto"/>
                <w:kern w:val="0"/>
                <w:sz w:val="18"/>
                <w:szCs w:val="18"/>
                <w:u w:val="none"/>
                <w:lang w:val="en-US" w:eastAsia="zh-CN"/>
              </w:rPr>
              <w:t xml:space="preserve">台湾居民来往大陆通行证补发、换发 </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3.审查责任：对办理出入境证件的申请材料进行核实。</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10.其他违反法律法规规章规定的行为。</w:t>
            </w:r>
          </w:p>
        </w:tc>
        <w:tc>
          <w:tcPr>
            <w:tcW w:w="567"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26</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rPr>
              <w:t>机动车驾驶证核发、审验</w:t>
            </w:r>
          </w:p>
        </w:tc>
        <w:tc>
          <w:tcPr>
            <w:tcW w:w="3118" w:type="dxa"/>
            <w:tcBorders>
              <w:tl2br w:val="nil"/>
              <w:tr2bl w:val="nil"/>
            </w:tcBorders>
            <w:shd w:val="clear" w:color="auto" w:fill="auto"/>
            <w:vAlign w:val="center"/>
          </w:tcPr>
          <w:p>
            <w:pPr>
              <w:widowControl/>
              <w:numPr>
                <w:ilvl w:val="0"/>
                <w:numId w:val="0"/>
              </w:numPr>
              <w:wordWrap/>
              <w:adjustRightInd/>
              <w:snapToGrid/>
              <w:spacing w:line="19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6"/>
                <w:szCs w:val="16"/>
                <w:u w:val="none"/>
                <w:lang w:val="en-US" w:eastAsia="zh-CN"/>
              </w:rPr>
            </w:pPr>
            <w:r>
              <w:rPr>
                <w:rFonts w:hint="eastAsia" w:ascii="仿宋_GB2312" w:hAnsi="宋体" w:eastAsia="仿宋_GB2312" w:cs="仿宋_GB2312"/>
                <w:i w:val="0"/>
                <w:color w:val="auto"/>
                <w:kern w:val="0"/>
                <w:sz w:val="16"/>
                <w:szCs w:val="16"/>
                <w:u w:val="none"/>
                <w:lang w:val="en-US" w:eastAsia="zh-CN"/>
              </w:rPr>
              <w:t>1.《中华人民共和国道路交通安全法》第十九条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二十三条 公安机关交通管理部门依照法律、行政法规的规定，定期对机动车驾驶证实施审验。</w:t>
            </w:r>
            <w:r>
              <w:rPr>
                <w:rFonts w:hint="eastAsia" w:ascii="仿宋_GB2312" w:hAnsi="宋体" w:eastAsia="仿宋_GB2312" w:cs="仿宋_GB2312"/>
                <w:i w:val="0"/>
                <w:color w:val="auto"/>
                <w:kern w:val="0"/>
                <w:sz w:val="16"/>
                <w:szCs w:val="16"/>
                <w:u w:val="none"/>
                <w:lang w:val="en-US" w:eastAsia="zh-CN"/>
              </w:rPr>
              <w:br w:type="textWrapping"/>
            </w:r>
            <w:r>
              <w:rPr>
                <w:rFonts w:hint="eastAsia" w:ascii="仿宋_GB2312" w:hAnsi="宋体" w:eastAsia="仿宋_GB2312" w:cs="仿宋_GB2312"/>
                <w:i w:val="0"/>
                <w:color w:val="auto"/>
                <w:kern w:val="0"/>
                <w:sz w:val="16"/>
                <w:szCs w:val="16"/>
                <w:u w:val="none"/>
                <w:lang w:val="en-US" w:eastAsia="zh-CN"/>
              </w:rPr>
              <w:t>2.《中华人民共和国道路交通安全法实施条例》第十九条 符合国务院公安部门规定的驾驶许可条件的人，可以向公安机关交通管理部门申请机动车驾驶证。</w:t>
            </w:r>
            <w:r>
              <w:rPr>
                <w:rFonts w:hint="eastAsia" w:ascii="仿宋_GB2312" w:hAnsi="宋体" w:eastAsia="仿宋_GB2312" w:cs="仿宋_GB2312"/>
                <w:i w:val="0"/>
                <w:color w:val="auto"/>
                <w:kern w:val="0"/>
                <w:sz w:val="16"/>
                <w:szCs w:val="16"/>
                <w:u w:val="none"/>
                <w:lang w:val="en-US" w:eastAsia="zh-CN"/>
              </w:rPr>
              <w:br w:type="textWrapping"/>
            </w:r>
            <w:r>
              <w:rPr>
                <w:rFonts w:hint="eastAsia" w:ascii="仿宋_GB2312" w:hAnsi="宋体" w:eastAsia="仿宋_GB2312" w:cs="仿宋_GB2312"/>
                <w:i w:val="0"/>
                <w:color w:val="auto"/>
                <w:kern w:val="0"/>
                <w:sz w:val="16"/>
                <w:szCs w:val="16"/>
                <w:u w:val="none"/>
                <w:lang w:val="en-US" w:eastAsia="zh-CN"/>
              </w:rPr>
              <w:t>3.《机动车驾驶证申领和使用规定》（2022年04月01日公安部令第162号）第二条 本规定由公安机关交通管理部门负责实施。 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 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r>
              <w:rPr>
                <w:rStyle w:val="8"/>
                <w:rFonts w:hAnsi="宋体"/>
                <w:color w:val="auto"/>
                <w:sz w:val="16"/>
                <w:szCs w:val="16"/>
                <w:lang w:val="en-US" w:eastAsia="zh-CN"/>
              </w:rPr>
              <w:t xml:space="preserve">第七十二条 </w:t>
            </w:r>
            <w:r>
              <w:rPr>
                <w:rStyle w:val="9"/>
                <w:color w:val="auto"/>
                <w:sz w:val="16"/>
                <w:szCs w:val="16"/>
                <w:lang w:val="en-US" w:eastAsia="zh-CN"/>
              </w:rPr>
              <w:t xml:space="preserve"> </w:t>
            </w:r>
            <w:r>
              <w:rPr>
                <w:rStyle w:val="8"/>
                <w:rFonts w:hAnsi="宋体"/>
                <w:color w:val="auto"/>
                <w:sz w:val="16"/>
                <w:szCs w:val="16"/>
                <w:lang w:val="en-US" w:eastAsia="zh-CN"/>
              </w:rPr>
              <w:t>机动车驾驶人应当按照法律、行政法规的规定，定期到公安机关交通管理部门接受审验。 机动车驾驶人按照本规定第六十三条、第六十四条换领机动车驾驶证时，应当接受公安机关交通管理部门的审验。 持有大型客车、重型牵引挂车、城市公交车、中型客车、大型货车驾驶证的驾驶人，应当在每个记分周期结束后三十日内到公安机关交通管理部门接受审验。但在一个记分周期内没有记分记录的，免予本记分周期审验。 持有第三款规定以外准驾车型驾驶证的驾驶人，发生交通事故造成人员死亡承担同等以上责任未被吊销机动车驾驶证的，应当在本记分周期结束后三十日内到公安机关交通管理部门接受审验。 年龄在70周岁以上的机动车驾驶人发生责任交通事故造成人员重伤或者死亡的，应当在本记分周期结束后三十日内到公安机关交通管理部门接受审验。机动车驾驶人可以在机动车驾驶证核发地或者核发地以外的地方参加审验、提交身体条件证明</w:t>
            </w:r>
            <w:r>
              <w:rPr>
                <w:rFonts w:hint="eastAsia" w:ascii="仿宋_GB2312" w:hAnsi="宋体" w:eastAsia="仿宋_GB2312" w:cs="仿宋_GB2312"/>
                <w:i w:val="0"/>
                <w:color w:val="auto"/>
                <w:kern w:val="0"/>
                <w:sz w:val="16"/>
                <w:szCs w:val="16"/>
                <w:u w:val="none"/>
                <w:lang w:val="en-US" w:eastAsia="zh-CN"/>
              </w:rPr>
              <w:t xml:space="preserve">  </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pStyle w:val="3"/>
              <w:widowControl/>
              <w:numPr>
                <w:ilvl w:val="0"/>
                <w:numId w:val="0"/>
              </w:numPr>
              <w:wordWrap/>
              <w:adjustRightInd/>
              <w:snapToGrid/>
              <w:spacing w:line="200" w:lineRule="exact"/>
              <w:ind w:right="0"/>
              <w:textAlignment w:val="auto"/>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1.公示责任：公安机关交通管理部门应当按照就近、便捷办理的原则，采取增设登记办理点、推行带牌销售和网上办理等方式，公布登记业务地点，为公众办理电动自行车登记、查询等提供便利。</w:t>
            </w:r>
          </w:p>
          <w:p>
            <w:pPr>
              <w:pStyle w:val="3"/>
              <w:widowControl/>
              <w:numPr>
                <w:ilvl w:val="0"/>
                <w:numId w:val="0"/>
              </w:numPr>
              <w:wordWrap/>
              <w:adjustRightInd/>
              <w:snapToGrid/>
              <w:spacing w:line="200" w:lineRule="exact"/>
              <w:ind w:right="0"/>
              <w:textAlignment w:val="auto"/>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2.受理责任：公安机关交通管理部门对申请材料齐全、符合法定要求的，应当当场登记并发放号牌；对申请材料不齐全、不符合法定要求的，应当一次性告知需要补正的全部内容。对不符合规定要求，不予登记的，应当向申请人书面说明理由。</w:t>
            </w:r>
          </w:p>
          <w:p>
            <w:pPr>
              <w:widowControl/>
              <w:wordWrap/>
              <w:adjustRightInd/>
              <w:snapToGrid/>
              <w:spacing w:line="200" w:lineRule="exact"/>
              <w:ind w:left="0" w:leftChars="0" w:right="0" w:firstLine="0" w:firstLineChars="0"/>
              <w:jc w:val="left"/>
              <w:textAlignment w:val="center"/>
              <w:outlineLvl w:val="9"/>
              <w:rPr>
                <w:rFonts w:hint="default"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3.审查责任：办理电动自行车注册登记</w:t>
            </w:r>
            <w:r>
              <w:rPr>
                <w:rFonts w:hint="default" w:ascii="仿宋_GB2312" w:hAnsi="宋体" w:eastAsia="仿宋_GB2312" w:cs="仿宋_GB2312"/>
                <w:i w:val="0"/>
                <w:color w:val="auto"/>
                <w:kern w:val="0"/>
                <w:sz w:val="18"/>
                <w:szCs w:val="18"/>
                <w:u w:val="none"/>
                <w:lang w:val="en-US" w:eastAsia="zh-CN"/>
              </w:rPr>
              <w:t>，应当审查</w:t>
            </w:r>
            <w:r>
              <w:rPr>
                <w:rFonts w:hint="eastAsia" w:ascii="仿宋_GB2312" w:hAnsi="宋体" w:eastAsia="仿宋_GB2312" w:cs="仿宋_GB2312"/>
                <w:i w:val="0"/>
                <w:color w:val="auto"/>
                <w:kern w:val="0"/>
                <w:sz w:val="18"/>
                <w:szCs w:val="18"/>
                <w:u w:val="none"/>
                <w:lang w:val="en-US" w:eastAsia="zh-CN"/>
              </w:rPr>
              <w:t>电动自行车所有人</w:t>
            </w:r>
            <w:r>
              <w:rPr>
                <w:rFonts w:hint="default" w:ascii="仿宋_GB2312" w:hAnsi="宋体" w:eastAsia="仿宋_GB2312" w:cs="仿宋_GB2312"/>
                <w:i w:val="0"/>
                <w:color w:val="auto"/>
                <w:kern w:val="0"/>
                <w:sz w:val="18"/>
                <w:szCs w:val="18"/>
                <w:u w:val="none"/>
                <w:lang w:val="en-US" w:eastAsia="zh-CN"/>
              </w:rPr>
              <w:t>提交的</w:t>
            </w:r>
            <w:r>
              <w:rPr>
                <w:rFonts w:hint="eastAsia" w:ascii="仿宋_GB2312" w:hAnsi="宋体" w:eastAsia="仿宋_GB2312" w:cs="仿宋_GB2312"/>
                <w:i w:val="0"/>
                <w:color w:val="auto"/>
                <w:kern w:val="0"/>
                <w:sz w:val="18"/>
                <w:szCs w:val="18"/>
                <w:u w:val="none"/>
                <w:lang w:val="en-US" w:eastAsia="zh-CN"/>
              </w:rPr>
              <w:t>证明凭证</w:t>
            </w:r>
            <w:r>
              <w:rPr>
                <w:rFonts w:hint="default" w:ascii="仿宋_GB2312" w:hAnsi="宋体" w:eastAsia="仿宋_GB2312" w:cs="仿宋_GB2312"/>
                <w:i w:val="0"/>
                <w:color w:val="auto"/>
                <w:kern w:val="0"/>
                <w:sz w:val="18"/>
                <w:szCs w:val="18"/>
                <w:u w:val="none"/>
                <w:lang w:val="en-US" w:eastAsia="zh-CN"/>
              </w:rPr>
              <w:t>，核对强制性产品认证信息，核验电动自行车生产企业名称、品牌、型号、整车编码、电动机编码、出厂日期、车身颜色等，以及电动自行车所有人信息，符合规定的，录入登记管理系统，生成电子行驶证，</w:t>
            </w:r>
            <w:r>
              <w:rPr>
                <w:rFonts w:hint="eastAsia" w:ascii="仿宋_GB2312" w:hAnsi="宋体" w:eastAsia="仿宋_GB2312" w:cs="仿宋_GB2312"/>
                <w:i w:val="0"/>
                <w:color w:val="auto"/>
                <w:kern w:val="0"/>
                <w:sz w:val="18"/>
                <w:szCs w:val="18"/>
                <w:u w:val="none"/>
                <w:lang w:val="en-US" w:eastAsia="zh-CN"/>
              </w:rPr>
              <w:t>为单位或个人自用的电动自行车发放绿色正式号牌；为快递外卖、互联网经营单位营运的电动自行车发放黄色正式号牌</w:t>
            </w:r>
            <w:r>
              <w:rPr>
                <w:rFonts w:hint="default" w:ascii="仿宋_GB2312" w:hAnsi="宋体" w:eastAsia="仿宋_GB2312" w:cs="仿宋_GB2312"/>
                <w:i w:val="0"/>
                <w:color w:val="auto"/>
                <w:kern w:val="0"/>
                <w:sz w:val="18"/>
                <w:szCs w:val="18"/>
                <w:u w:val="none"/>
                <w:lang w:val="en-US" w:eastAsia="zh-CN"/>
              </w:rPr>
              <w:t>。</w:t>
            </w:r>
          </w:p>
          <w:p>
            <w:pPr>
              <w:widowControl/>
              <w:wordWrap/>
              <w:adjustRightInd/>
              <w:snapToGrid/>
              <w:spacing w:line="200" w:lineRule="exact"/>
              <w:ind w:left="0" w:leftChars="0" w:right="0" w:firstLine="0" w:firstLineChars="0"/>
              <w:jc w:val="left"/>
              <w:textAlignment w:val="center"/>
              <w:outlineLvl w:val="9"/>
              <w:rPr>
                <w:rFonts w:hint="default"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4.决定责任：</w:t>
            </w:r>
            <w:r>
              <w:rPr>
                <w:rFonts w:hint="default" w:ascii="仿宋_GB2312" w:hAnsi="宋体" w:eastAsia="仿宋_GB2312" w:cs="仿宋_GB2312"/>
                <w:i w:val="0"/>
                <w:color w:val="auto"/>
                <w:kern w:val="0"/>
                <w:sz w:val="18"/>
                <w:szCs w:val="18"/>
                <w:u w:val="none"/>
                <w:lang w:val="en-US" w:eastAsia="zh-CN"/>
              </w:rPr>
              <w:t>公安机关交通管理部门对符合补领或者换领</w:t>
            </w:r>
            <w:r>
              <w:rPr>
                <w:rFonts w:hint="eastAsia" w:ascii="仿宋_GB2312" w:hAnsi="宋体" w:eastAsia="仿宋_GB2312" w:cs="仿宋_GB2312"/>
                <w:i w:val="0"/>
                <w:color w:val="auto"/>
                <w:kern w:val="0"/>
                <w:sz w:val="18"/>
                <w:szCs w:val="18"/>
                <w:u w:val="none"/>
                <w:lang w:val="en-US" w:eastAsia="zh-CN"/>
              </w:rPr>
              <w:t>号牌</w:t>
            </w:r>
            <w:r>
              <w:rPr>
                <w:rFonts w:hint="default" w:ascii="仿宋_GB2312" w:hAnsi="宋体" w:eastAsia="仿宋_GB2312" w:cs="仿宋_GB2312"/>
                <w:i w:val="0"/>
                <w:color w:val="auto"/>
                <w:kern w:val="0"/>
                <w:sz w:val="18"/>
                <w:szCs w:val="18"/>
                <w:u w:val="none"/>
                <w:lang w:val="en-US" w:eastAsia="zh-CN"/>
              </w:rPr>
              <w:t>条件的，应当自受理之日起三日内重新</w:t>
            </w:r>
            <w:r>
              <w:rPr>
                <w:rFonts w:hint="eastAsia" w:ascii="仿宋_GB2312" w:hAnsi="宋体" w:eastAsia="仿宋_GB2312" w:cs="仿宋_GB2312"/>
                <w:i w:val="0"/>
                <w:color w:val="auto"/>
                <w:kern w:val="0"/>
                <w:sz w:val="18"/>
                <w:szCs w:val="18"/>
                <w:u w:val="none"/>
                <w:lang w:val="en-US" w:eastAsia="zh-CN"/>
              </w:rPr>
              <w:t>编发</w:t>
            </w:r>
            <w:r>
              <w:rPr>
                <w:rFonts w:hint="default" w:ascii="仿宋_GB2312" w:hAnsi="宋体" w:eastAsia="仿宋_GB2312" w:cs="仿宋_GB2312"/>
                <w:i w:val="0"/>
                <w:color w:val="auto"/>
                <w:kern w:val="0"/>
                <w:sz w:val="18"/>
                <w:szCs w:val="18"/>
                <w:u w:val="none"/>
                <w:lang w:val="en-US" w:eastAsia="zh-CN"/>
              </w:rPr>
              <w:t>新号牌。</w:t>
            </w:r>
          </w:p>
          <w:p>
            <w:pPr>
              <w:widowControl/>
              <w:wordWrap/>
              <w:adjustRightInd/>
              <w:snapToGrid/>
              <w:spacing w:line="200" w:lineRule="exact"/>
              <w:ind w:left="0" w:leftChars="0" w:right="0" w:firstLine="0" w:firstLineChars="0"/>
              <w:jc w:val="left"/>
              <w:textAlignment w:val="center"/>
              <w:outlineLvl w:val="9"/>
              <w:rPr>
                <w:rFonts w:hint="default"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5.监管环节责任：</w:t>
            </w:r>
            <w:r>
              <w:rPr>
                <w:rFonts w:hint="default" w:ascii="仿宋_GB2312" w:hAnsi="宋体" w:eastAsia="仿宋_GB2312" w:cs="仿宋_GB2312"/>
                <w:i w:val="0"/>
                <w:color w:val="auto"/>
                <w:kern w:val="0"/>
                <w:sz w:val="18"/>
                <w:szCs w:val="18"/>
                <w:u w:val="none"/>
                <w:lang w:val="en-US" w:eastAsia="zh-CN"/>
              </w:rPr>
              <w:t>以欺骗、贿赂等不正当手段取得电动自行车登记的，由公安机关交通管理部门予以撤销</w:t>
            </w:r>
            <w:r>
              <w:rPr>
                <w:rFonts w:hint="eastAsia" w:ascii="仿宋_GB2312" w:hAnsi="宋体" w:eastAsia="仿宋_GB2312" w:cs="仿宋_GB2312"/>
                <w:i w:val="0"/>
                <w:color w:val="auto"/>
                <w:kern w:val="0"/>
                <w:sz w:val="18"/>
                <w:szCs w:val="18"/>
                <w:u w:val="none"/>
                <w:lang w:val="en-US" w:eastAsia="zh-CN"/>
              </w:rPr>
              <w:t>，</w:t>
            </w:r>
            <w:r>
              <w:rPr>
                <w:rFonts w:hint="default" w:ascii="仿宋_GB2312" w:hAnsi="宋体" w:eastAsia="仿宋_GB2312" w:cs="仿宋_GB2312"/>
                <w:i w:val="0"/>
                <w:color w:val="auto"/>
                <w:kern w:val="0"/>
                <w:sz w:val="18"/>
                <w:szCs w:val="18"/>
                <w:u w:val="none"/>
                <w:lang w:val="en-US" w:eastAsia="zh-CN"/>
              </w:rPr>
              <w:t>收</w:t>
            </w:r>
            <w:r>
              <w:rPr>
                <w:rFonts w:hint="eastAsia" w:ascii="仿宋_GB2312" w:hAnsi="宋体" w:eastAsia="仿宋_GB2312" w:cs="仿宋_GB2312"/>
                <w:i w:val="0"/>
                <w:color w:val="auto"/>
                <w:kern w:val="0"/>
                <w:sz w:val="18"/>
                <w:szCs w:val="18"/>
                <w:u w:val="none"/>
                <w:lang w:val="en-US" w:eastAsia="zh-CN"/>
              </w:rPr>
              <w:t>缴</w:t>
            </w:r>
            <w:r>
              <w:rPr>
                <w:rFonts w:hint="default" w:ascii="仿宋_GB2312" w:hAnsi="宋体" w:eastAsia="仿宋_GB2312" w:cs="仿宋_GB2312"/>
                <w:i w:val="0"/>
                <w:color w:val="auto"/>
                <w:kern w:val="0"/>
                <w:sz w:val="18"/>
                <w:szCs w:val="18"/>
                <w:u w:val="none"/>
                <w:lang w:val="en-US" w:eastAsia="zh-CN"/>
              </w:rPr>
              <w:t>号牌。对涉嫌盗抢电动自行车的，由公安机关依法处理。</w:t>
            </w:r>
          </w:p>
          <w:p>
            <w:pPr>
              <w:widowControl/>
              <w:wordWrap/>
              <w:adjustRightInd/>
              <w:snapToGrid/>
              <w:spacing w:line="22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auto"/>
                <w:kern w:val="0"/>
                <w:sz w:val="18"/>
                <w:szCs w:val="18"/>
                <w:u w:val="none"/>
                <w:lang w:val="en-US" w:eastAsia="zh-CN"/>
              </w:rPr>
              <w:t>6.其他法律法规规章规定应履行的责任。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2.对符合法定条件的行政许可申请不予受理、不予行政许可或者不在法定期限内作出准予行政许可决定的；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3.对不符合法定条件的申请人准予行政许可或者超越法定职权作出准予行政许可决定的；为未经考试或者考试不合格人员核发机动车驾驶证等严重违规办理机动车驾驶证业务情形。</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5.在行政许可工作中违反法定权限、条件和程序设定或者实施行政许可的；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7.违法实施行政许可，给当事人的合法权益造成损害的；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9.在行政许可工作中玩忽职守、徇私舞弊、滥用职权的；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10.举办或者参与举办驾驶学校或者驾驶培训班、机动车修理厂或者收费停车场等经营活动的；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27</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机动车禁区通行证核发</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1.《中华人民共和国道路交通安全法》（2003年10月28日主席令第8号）第五条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 xml:space="preserve">2.《河北省实施&lt;中华人民共和国道路交通安全法&gt;办法》（2006年11月25日公布）第二十二条 在限制通行的区域或者路段确需通行的机动车，应当随车携带公安机关交通管理部门核发的通行证件，并按规定的时间、区域、路线通行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1.受理责任：公示依法应当提交的相关材料;一次性告知补正材料；依法受理或不予受理（不予受理告知理由）。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2.审查责任：对申请人提交的材料进行核实，在两个工作日作出办理或者不予办理的决定。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3.决定责任：作出准予行政许可或者不予行政许可决定，法定告知（不予许可的应当书面告知理由）。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4.送达责任：送达申请人并通知属地公安机关落实监管责任。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2.对符合法定条件的申请不予行政许可或者不在法定期限内作出准予行政许可决定的；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4.未严格审查许可条件，存在隐患的；行政许可后续监管不到位，造成严重后果的；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5.擅自增设、变更的审批程序或审批条件的；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6.在许可审批过程中违法收取费用的；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7.在许可过程中滥用职权、徇私舞弊的；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 其他违反法律法规规章文件规定的行为。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28</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 机动车登记</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1.《中华人民共和国道路交通安全法》第八条 国家对机动车实行登记制度。机动车经公安机关交通管理部门登记后，方可上道路行驶。</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2.《中华人民共和国道路交通安全法实施条例》第四条 机动车的登记，分为注册登记、变更登记、转移登记、抵押登记和注销登记。</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3.《机动车登记规定》（2022年05月01日公安部令第164号）第二条 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 县级公安机关交通管理部门车辆管理所可以办理本行政区域内除危险货物运输车、校车、中型以上载客汽车登记以外的其他机动车登记业务。具体业务范围和办理条件由省级公安机关交通管理部门确定。 警用车辆登记业务按照有关规定办理。</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车辆管理所办理机动车业务，应当对需查验的机动车业务进行机动车查验，从事查验的人员应当具备相应资格。车辆管理所在规定时间内对机动车材料及查验情况进行审核，审核通过的给予登记，审核不通过的给予书面告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4.决定责任：车辆管理所自受理申请之日起二个工作日内确认机动车，核对车辆识别代号拓印膜，审查提交的证明、凭证，核发机动车相应牌证。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5.其他法律法规规章规定应履行的责任。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2.对符合法定条件的行政确认申请不予受理、不予行政确认或者不在法定期限内作出准予行政确认决定的；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3.对不符合法定条件的申请人准予行政确认或者超越法定职权作出准予行政确认决定的；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4.在受理、审查、决定行政确认过程中，未向申请人、利害关系人履行法定告知义务或不一次告知申请人必须补正的全部内容的；未依法说明不受理行政确认申请或者不予行政确认的理由的；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5.在行政确认工作中违反法定权限、条件和程序设定或者实施行政确认的；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6.在办理行政确认、实施监督检查，索取或者收受他人财物或者谋取其他利益的；擅自收费或者不按照法定项目和标准收费的；截留、挪用、私分或者变相私分实施行政确认依法收取的费用的；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7.违法实施行政确认，给当事人的合法权益造成损害的；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9.在行政确认工作中玩忽职守、徇私舞弊、滥用职权，构成犯罪的，依法追究刑事责任;尚不构成犯罪的，依法给予行政处分；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10.故意刁难，拖延办理机动车牌证的；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29</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机动车检验合格标志核发</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3.决定责任：车辆管理所应当自受理之日起一日内，出具核发检验合格标志的委托书。</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4.监管环节责任：申请前，机动车所有人应当将涉及机动车的道路交通安全违法行为和交通事故处理完毕。申请时，应当提交机动车登记证书或者行驶证。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5.其他法律法规规章规定应履行的责任。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2.对符合法定条件的行政确认申请不予受理、不予行政确认或者不在法定期限内作出准予行政确认决定的；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3.对不符合法定条件的申请人准予行政确认或者超越法定职权作出准予行政确认决定的；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4.在受理、审查、决定行政确认过程中，未向申请人、利害关系人履行法定告知义务或不一次告知申请人必须补正的全部内容的；未依法说明不受理行政确认申请或者不予行政确认的理由的；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5.在行政确认工作中违反法定权限、条件和程序设定或者实施行政确认的；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6.在办理行政确认、实施监督检查，索取或者收受他人财物或者谋取其他利益的；擅自收费或者不按照法定项目和标准收费的；截留、挪用、私分或者变相私分实施行政确认依法收取的费用的；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7.违法实施行政确认，给当事人的合法权益造成损害的；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9.在行政确认工作中玩忽职守、徇私舞弊、滥用职权，构成犯罪的，依法追究刑事责任;尚不构成犯罪的，依法给予行政处分；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10.举办或者参与举办驾驶学校或者驾驶培训班、机动车修理厂或者收费停车场等经营活动的；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11.故意刁难，拖延办理机动车牌证的；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12.其他违反法律法规规章规定的行为。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30</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运输危险化学品的车辆进入危险化学品运输车辆限制通行区域审批</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1.《危险化学品安全管理条例》（国务院令第 344 号）第四十九条 未经公安机关批准，运输危险化学品的车辆不得进入危险化学品运输车辆限制通行的区域。危险化学品运输车辆限制通行的区域由县级人民政府公安机关划定，并设置明显的标志。</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2.《中华人民共和国道路交通安全法》（2003 年10月28日主席令第8号，2011年4月22日予以修改）第五条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3.《河北省实施&lt;中华人民共和国道路交通安全法&gt;办法》（2006 年 11月 25 日公布）第二十二条 在限制通行的域或者路段确需通行的机动车，应当随车携带公安机关交通管理部门核发的通行证件，并按规定的时间、区域、路线通行。</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1.受理责任：公示依法应当提交的相关材料;一次性告知补正材料；依法受理或不予受理（不予受理告知理由）。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2.审查责任：对申请人提交的材料进行核实，在两个工作日作出办理或者不予办理的决定。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3.决定责任：作出准予行政许可或者不予行政许可决定，法定告知（不予许可的应当书面告知理由）。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4.送达责任：送达申请人并通知属地公安机关落实监管责任。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2.对符合法定条件的申请不予行政许可或者不在法定期限内作出准予行政许可决定的；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4.未严格审查许可条件，存在隐患的；行政许可后续监管不到位，造成严重后果的；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5.擅自增设、变更的审批程序或审批条件的；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6.在许可审批过程中违法收取费用的；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7.在许可过程中滥用职权、徇私舞弊的；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 其他违反法律法规规章文件规定的行为。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31</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机动车临时通行牌证核发</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Style w:val="8"/>
                <w:rFonts w:hAnsi="宋体"/>
                <w:lang w:val="en-US" w:eastAsia="zh-CN"/>
              </w:rPr>
              <w:t>1.《中华人民共和国道路交通安全法》第八条 国家对机动车实行登记制度。机动车经公安机关交通管理部门登记后，方可上道路行驶。尚未登记的机动车，需要临时上道路行驶的，应当取得临时通行牌证。</w:t>
            </w:r>
            <w:r>
              <w:rPr>
                <w:rStyle w:val="8"/>
                <w:rFonts w:hAnsi="宋体"/>
                <w:lang w:val="en-US" w:eastAsia="zh-CN"/>
              </w:rPr>
              <w:br w:type="textWrapping"/>
            </w:r>
            <w:r>
              <w:rPr>
                <w:rStyle w:val="8"/>
                <w:rFonts w:hAnsi="宋体"/>
                <w:lang w:val="en-US" w:eastAsia="zh-CN"/>
              </w:rPr>
              <w:t>2.《中华人民共和国道路交通安全法实施条例》第一百一十三条 境外机动车入境行驶，应当向入境地的公安机关交通管理部门申请临时通行号牌、行驶证。临时通行号牌、行驶证应当根据行驶需要，载明有效日期和允许行驶的区域。入境的境外机动车申请临时通行号牌、行驶证以及境外人员申请机动车驾驶许可的条件、考试办法由国务院公安部门规定。</w:t>
            </w:r>
            <w:r>
              <w:rPr>
                <w:rStyle w:val="8"/>
                <w:rFonts w:hAnsi="宋体"/>
                <w:lang w:val="en-US" w:eastAsia="zh-CN"/>
              </w:rPr>
              <w:br w:type="textWrapping"/>
            </w:r>
            <w:r>
              <w:rPr>
                <w:rStyle w:val="8"/>
                <w:rFonts w:hAnsi="宋体"/>
                <w:lang w:val="en-US" w:eastAsia="zh-CN"/>
              </w:rPr>
              <w:t>3.《机动车登记规定》（公安部令第164号）第四十六条 机动车具有下列情形之一，需要临时上道路行驶的，机动车所有人应当向车辆管理所申领临时行驶车号牌：（一）未销售的；（二）购买、调拨、赠予等方式获得机动车后尚未注册登记的；（三）新车出口销售的；　（四）进行科研、定型试验的；（五）因轴荷、总质量、外廓尺寸超出国家标准不予办理注册登记的特型机动车。 第四十七条车辆管理所应当自受理之日起一日内，审查提交的证明、凭证，属于第四十六条第一项、第二项、第三项规定情形，需要临时上道路行驶的，核发有效期不超过三十日的临时行驶车号牌。属于第四十六条第四项规定情形的，核发有效期不超过六个月的临时行驶车号牌。属于第四十六条第五项规定情形的，核发有效期不超过九十日的临时行驶车号牌。第四十九条</w:t>
            </w:r>
            <w:r>
              <w:rPr>
                <w:rStyle w:val="9"/>
                <w:lang w:val="en-US" w:eastAsia="zh-CN"/>
              </w:rPr>
              <w:t xml:space="preserve"> </w:t>
            </w:r>
            <w:r>
              <w:rPr>
                <w:rStyle w:val="8"/>
                <w:rFonts w:hAnsi="宋体"/>
                <w:lang w:val="en-US" w:eastAsia="zh-CN"/>
              </w:rPr>
              <w:t xml:space="preserve">对临时入境的机动车需要上道路行驶的，机动车所有人应当按规定向入境地或者始发地车辆管理所申领临时入境机动车号牌和行驶证。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车辆管理所办理机动车业务，应当对需查验的机动车业务进行机动车查验，从事查验的人员应当具备相应资格。车辆管理所在规定时间内对机动车材料及查验情况进行审核，审核通过的给予登记，审核不通过的给予书面告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4.决定责任：车辆管理所自受理申请之日起二个工作日内确认机动车，核对车辆识别代号拓印膜，审查提交的证明、凭证，核发机动车相应牌证。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监管环节责任：政府主管部门应当加强机动车临时通行牌证核发业务的监督检查，及时纠正机动车临时通行牌证核发工作中的违法违规行为；政府主管部门依法对公安机关进行监督检查时，应当将监督检查的情况和处理结果予以记录，公众有权查阅有关记录；政府主管部门应根据管理权限及时核实、处理公安机关有违法活动的举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2.对符合法定条件的行政确认申请不予受理、不予行政确认或者不在法定期限内作出准予行政确认决定的；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3.对不符合法定条件的申请人准予行政确认或者超越法定职权作出准予行政确认决定的；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4.在受理、审查、决定行政确认过程中，未向申请人、利害关系人履行法定告知义务或不一次告知申请人必须补正的全部内容的；未依法说明不受理行政确认申请或者不予行政确认的理由的；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5.在行政确认工作中违反法定权限、条件和程序设定或者实施行政确认的；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6.在办理行政确认、实施监督检查，索取或者收受他人财物或者谋取其他利益的；擅自收费或者不按照法定项目和标准收费的；截留、挪用、私分或者变相私分实施行政确认依法收取的费用的。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7.违法实施行政确认，给当事人的合法权益造成损害的；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9.在行政确认工作中玩忽职守、徇私舞弊、滥用职权，构成犯罪的，依法追究刑事责任；尚不构成犯罪的，依法给予行政处分；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10.举办或者参与举办驾驶学校或者驾驶培训班、机动车修理厂或者收费停车场等经营活动的；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11.故意刁难，拖延办理机动车牌证的；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12.其他违反法律法规规章规定的行为。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32</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非机动车登记</w:t>
            </w:r>
          </w:p>
        </w:tc>
        <w:tc>
          <w:tcPr>
            <w:tcW w:w="3118"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1.《中华人民共和国道路交通安全法》（主席令第8号，2011年4月22日修正）第八条 国家对机动车实行登记制度。机动车经公安机关交通管理部门登记后，方可上道路行驶。第十八条 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2.《河北省电动自行车管理条例》（2021年11月23日河北省十三届人民代表大会常务委员会第二十七次会议通过）第五条第二款 公安机关交通管理部门负责电动自行车的登记和道路通行管理。第十三条第一款 电动自行车经公安机关交通管理部门登记并取得号牌后，方可上路行驶。</w:t>
            </w:r>
          </w:p>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 xml:space="preserve">3.《河北省电动自行车登记规定》第二条 本省行政区域内电动自行车的登记，适用本规定。第三条第二款 设区的市、县（市）公安机关交通管理部门负责本行政区域内电动自行车登记的具体工作；第三款 设区的市、县（市）公安机关交通管理部门可以委托乡（镇）人民政府或者街道办事处政务服务点、公安派出所等办理电动自行车登记业务；第四款 经所在地公安机关交通管理部门确认的机动车登记服务站、机动车安全技术检验机构、电动自行车销售单位以及警邮、警保、警银合作服务点等，可以根据电动自行车所有人委托代办电动自行车登记业务。 </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审查责任：车辆管理所办理非机动车登记业务，应当对需查验的非机动车业务进行查验，从事查验的人员应当具备相应资格。车辆管理所在规定时间内对非机动车材料及查验情况进行审核，审核通过的给予登记，审核不通过的给予书面告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4.决定责任：车辆管理所自受理申请之日起两个工作日内确认非机动车，核对车辆识别代号拓印膜，审查提交的证明、凭证，核发非机动车相应牌证。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5.监管环节责任：正在制定相关政策，待政策实施后实行监管。</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6.其他法律法规规章规定应履行的责任。</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1.不在办公场所公示依法应当公示的材料的；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2.对符合法定条件的行政确认申请不予受理、不予行政确认或者不在法定期限内作出准予行政确认决定的；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3.对不符合法定条件的申请人准予行政确认或者超越法定职权作出准予行政确认决定的；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4.在受理、审查、决定行政确认过程中，未向申请人、利害关系人履行法定告知义务或不一次告知申请人必须补正的全部内容的；未依法说明不受理行政确认申请或者不予行政确认的理由的；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5.在行政确认工作中违反法定权限、条件和程序设定或者实施行政确认的；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6.在办理行政确认、实施监督检查，索取或者收受他人财物或者谋取其他利益的；擅自收费或者不按照法定项目和标准收费的；截留、挪用、私分或者变相私分实施行政确认依法收取的费用的；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7.违法实施行政确认，给当事人的合法权益造成损害的；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8.不依法履行监督职责或者监督不力，造弊、滥用职权的；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9.在行政确认工作中玩忽职守、徇私舞弊、滥用职权，构成犯罪的，依法追究刑事责任;尚不构成犯罪的，依法给予行政处分；</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10.举办或者参与举办驾驶学校或者驾驶培训班、机动车修理厂或者收费停车场等经营活动的；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11.故意刁难，拖延办理机动车牌证的；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12.其他违反法律法规规章规定的行为。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33</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行政许可</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剧毒化学品公路运输通行许可</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1.《危险化学品安全管理条例》（2002年1月26日中华人民共和国国务院令第344号公布　根据2011年2月16日国务院第144次常务会议修订通过,2011年3月2日中华人民共和国国务院令第591号公布,自2011年12月1日起施行的《危险化学品安全管理条例》第一次修正 根据2013年12月4日国务院第32次常务会议通过,2013年12月7日中华人民共和国国务院令第645号公布,自2013年12月7日起施行的《国务院关于修改部分行政法规的决定》第二次修正）第六条  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第五十条  通过道路运输剧毒化学品的，托运人应当向运输始发地或者目的地县级公安机关申请剧毒化学品道路运输通行证。</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2.《剧毒化学品购买和公路运输许可证件管理办法》（2005年5月25日公安部令第77号公布 自2005年8月1日起施行）第八条 需要通过公路运输剧毒化学品的，应当向运输目的地县级人民政府公安机关交通管理部门申领《剧毒化学品公路运输通行证》。</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1.受理责任：公示依法应当提交的相关材料;一次性告知补正材料；依法受理或不予受理（不予受理告知理由）。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2.审查责任：对申请人提交的材料进行核实，在两个工作日作出办理或者不予办理的决定。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3.决定责任：作出准予行政许可或者不予行政许可决定，法定告知（不予许可的应当书面告知理由）。</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4.送达责任：送达申请人并通知属地公安机关落实监管责任。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1.对符合法定条件的申请不予受理的；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2.对符合法定条件的申请不予行政许可或者不在法定期限内作出准予行政许可决定的；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3.对不符合法定条件的申请准予行政许可或者超越法定职权作出准予行政许可决定的；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4.未严格审查许可条件，存在隐患的；行政许可后续监管不到位，造成严重后果的；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5.擅自增设、变更的审批程序或审批条件的；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6.在许可审批过程中违法收取费用的；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7.在许可过程中滥用职权、徇私舞弊的；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8.其他违反法律法规规章文件规定的行为。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jc w:val="center"/>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eastAsia="仿宋_GB2312" w:cs="仿宋_GB2312"/>
                <w:color w:val="auto"/>
                <w:kern w:val="0"/>
                <w:sz w:val="18"/>
                <w:szCs w:val="18"/>
                <w:u w:val="none"/>
                <w:shd w:val="clear" w:color="auto" w:fill="auto"/>
                <w:lang w:val="en-US" w:eastAsia="zh-CN"/>
              </w:rPr>
              <w:t>34</w:t>
            </w:r>
          </w:p>
        </w:tc>
        <w:tc>
          <w:tcPr>
            <w:tcW w:w="850"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行政许可</w:t>
            </w:r>
          </w:p>
        </w:tc>
        <w:tc>
          <w:tcPr>
            <w:tcW w:w="113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涉路施工交通安全审查</w:t>
            </w:r>
          </w:p>
        </w:tc>
        <w:tc>
          <w:tcPr>
            <w:tcW w:w="3118"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《中华人民共和国道路交通安全法》第三十二条 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tc>
        <w:tc>
          <w:tcPr>
            <w:tcW w:w="113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省公安厅</w:t>
            </w:r>
          </w:p>
        </w:tc>
        <w:tc>
          <w:tcPr>
            <w:tcW w:w="96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1.受理责任：公示依法应当提交的相关材料;一次性告知补正材料；依法受理或不予受理（不予受理告知理由）。</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2.审查责任：对申请人提交的材料进行核实，在两个工作日作出办理或者不予办理的决定。</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3.决定责任：作出准予行政许可或者不予行政许可决定，法定告知（不予许可的应当书面告知理由）。</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4.送达责任：送达申请人并通知属地公安机关落实监管责任。</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lang w:val="en-US" w:eastAsia="zh-CN"/>
              </w:rPr>
              <w:t>因不履行或不正确履行行政职责，有下列情形的，行政机关及相关工作人员应承担相应责任：</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1.对符合法定条件的申请不予受理的；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2.对符合法定条件的申请不予行政许可或者不在法定期限内作出准予行政许可决定的；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3.对不符合法定条件的申请准予行政许可或者超越法定职权作出准予行政许可决定的；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4.未严格审查许可条件，存在隐患的；行政许可后续监管不到位，造成严重后果的；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5.擅自增设、变更的审批程序或审批条件的；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6.在许可审批过程中违法收取费用的；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7.在许可过程中滥用职权、徇私舞弊的；</w:t>
            </w:r>
            <w:r>
              <w:rPr>
                <w:rFonts w:hint="eastAsia" w:ascii="仿宋_GB2312" w:hAnsi="宋体" w:eastAsia="仿宋_GB2312" w:cs="仿宋_GB2312"/>
                <w:color w:val="auto"/>
                <w:kern w:val="0"/>
                <w:sz w:val="18"/>
                <w:szCs w:val="18"/>
                <w:lang w:val="en-US" w:eastAsia="zh-CN"/>
              </w:rPr>
              <w:br w:type="textWrapping"/>
            </w:r>
            <w:r>
              <w:rPr>
                <w:rFonts w:hint="eastAsia" w:ascii="仿宋_GB2312" w:hAnsi="宋体" w:eastAsia="仿宋_GB2312" w:cs="仿宋_GB2312"/>
                <w:color w:val="auto"/>
                <w:kern w:val="0"/>
                <w:sz w:val="18"/>
                <w:szCs w:val="18"/>
                <w:lang w:val="en-US" w:eastAsia="zh-CN"/>
              </w:rPr>
              <w:t>8.其他违反法律法规规章文件规定的行为。</w:t>
            </w:r>
          </w:p>
        </w:tc>
        <w:tc>
          <w:tcPr>
            <w:tcW w:w="567" w:type="dxa"/>
            <w:tcBorders>
              <w:tl2br w:val="nil"/>
              <w:tr2bl w:val="nil"/>
            </w:tcBorders>
            <w:vAlign w:val="center"/>
          </w:tcPr>
          <w:p>
            <w:pPr>
              <w:widowControl/>
              <w:spacing w:line="240" w:lineRule="exact"/>
              <w:jc w:val="left"/>
              <w:textAlignment w:val="center"/>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35</w:t>
            </w:r>
          </w:p>
        </w:tc>
        <w:tc>
          <w:tcPr>
            <w:tcW w:w="850" w:type="dxa"/>
            <w:tcBorders>
              <w:tl2br w:val="nil"/>
              <w:tr2bl w:val="nil"/>
            </w:tcBorders>
            <w:shd w:val="clear" w:color="auto" w:fill="FFFFFF"/>
            <w:vAlign w:val="center"/>
          </w:tcPr>
          <w:p>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color w:val="auto"/>
                <w:kern w:val="0"/>
                <w:sz w:val="18"/>
                <w:szCs w:val="18"/>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宋体" w:eastAsia="仿宋_GB2312" w:cs="仿宋_GB2312"/>
                <w:i w:val="0"/>
                <w:color w:val="auto"/>
                <w:kern w:val="0"/>
                <w:sz w:val="18"/>
                <w:szCs w:val="18"/>
                <w:u w:val="none"/>
                <w:lang w:val="en-US" w:eastAsia="zh-CN" w:bidi="ar"/>
              </w:rPr>
              <w:t>警车、消防车、救护车、工程救险车的警报器和标志灯具使用证核准</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1.《中华人民共和国道路交通安全法》（2003年10月28日主席令第8号，2011年4月22日第二次修正）第十五条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2.《中华人民共和国道路交通安全法》（2003年10月28日主席令第8号）第九条 警车、消防车、救护车、工程救险车安装、使用警报器和标志灯具，应当报省公安机关交通管理部门批准，取得通行证。</w:t>
            </w:r>
            <w:r>
              <w:rPr>
                <w:rFonts w:hint="eastAsia" w:ascii="仿宋_GB2312" w:hAnsi="仿宋_GB2312" w:eastAsia="仿宋_GB2312" w:cs="仿宋_GB2312"/>
                <w:color w:val="auto"/>
                <w:sz w:val="18"/>
                <w:szCs w:val="18"/>
                <w:lang w:val="en-US" w:eastAsia="zh-CN"/>
              </w:rPr>
              <w:br w:type="textWrapping"/>
            </w:r>
            <w:r>
              <w:rPr>
                <w:rFonts w:hint="eastAsia" w:ascii="仿宋_GB2312" w:hAnsi="仿宋_GB2312" w:eastAsia="仿宋_GB2312" w:cs="仿宋_GB2312"/>
                <w:color w:val="auto"/>
                <w:sz w:val="18"/>
                <w:szCs w:val="18"/>
                <w:lang w:val="en-US" w:eastAsia="zh-CN"/>
              </w:rPr>
              <w:t>3.《河北省人民政府办公厅关于省政府部门再取消下放一批行政权力事项的通知》（冀政办发〔2016〕23号）附件2第5项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4.《河北省政府推进政府职能转变和</w:t>
            </w:r>
            <w:bookmarkStart w:id="0" w:name="_GoBack"/>
            <w:bookmarkEnd w:id="0"/>
            <w:r>
              <w:rPr>
                <w:rFonts w:hint="eastAsia" w:ascii="仿宋_GB2312" w:hAnsi="仿宋_GB2312" w:eastAsia="仿宋_GB2312" w:cs="仿宋_GB2312"/>
                <w:color w:val="auto"/>
                <w:sz w:val="18"/>
                <w:szCs w:val="18"/>
                <w:lang w:val="en-US" w:eastAsia="zh-CN"/>
              </w:rPr>
              <w:t>“放管服”改革协调小组办公室关于做好省政府自行下放一批行政许可事项的通知》（2019-6）附件第3条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仿宋_GB2312" w:eastAsia="仿宋_GB2312" w:cs="仿宋_GB2312"/>
                <w:i w:val="0"/>
                <w:color w:val="auto"/>
                <w:kern w:val="0"/>
                <w:sz w:val="18"/>
                <w:szCs w:val="18"/>
                <w:highlight w:val="none"/>
                <w:u w:val="none"/>
                <w:lang w:val="en-US" w:eastAsia="zh-CN" w:bidi="ar"/>
              </w:rPr>
              <w:t>5、</w:t>
            </w:r>
            <w:r>
              <w:rPr>
                <w:rFonts w:hint="eastAsia" w:ascii="仿宋_GB2312" w:hAnsi="仿宋_GB2312" w:eastAsia="仿宋_GB2312" w:cs="仿宋_GB2312"/>
                <w:color w:val="auto"/>
                <w:sz w:val="18"/>
                <w:szCs w:val="18"/>
                <w:highlight w:val="none"/>
                <w:lang w:val="en-US" w:eastAsia="zh-CN" w:bidi="ar-SA"/>
              </w:rPr>
              <w:t>冀公交[2010]101号《车辆警报器和标志灯具安装使用许可证申请办理程序规定》第三条 省公安厅交通管理局负责全省警灯警报器使用证的审批、核发。省公安厅交通管理局委托各设区市、县（市）公安机关交通管理部门受理本辖区有关单位提交的申办警灯警报器使用申请，并对申请材料实质性内容进行核查。</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宋体" w:eastAsia="仿宋_GB2312" w:cs="仿宋_GB2312"/>
                <w:i w:val="0"/>
                <w:color w:val="auto"/>
                <w:kern w:val="0"/>
                <w:sz w:val="18"/>
                <w:szCs w:val="18"/>
                <w:highlight w:val="none"/>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2.审查责任：对申请人提交的材料进行核实，在两个工作日作出办理或者不予办理的决定。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3.决定责任：作出准予行政许可或者不予行政许可决定，法定告知（不予许可的应当书面告知理由）。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4.送达责任：送达申请人并通知属地公安机关落实监管责任。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5.事后监管责任：对有关单位进行监督检查，对隐瞒有关情况、提供虚假资申请以及以欺骗、贿赂等不正当手段通过审核或获取许可的，按有关规定进行处罚。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2"/>
                <w:sz w:val="18"/>
                <w:szCs w:val="18"/>
                <w:u w:val="none"/>
                <w:lang w:val="en-US" w:eastAsia="zh-CN" w:bidi="ar-SA"/>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4.未严格审查许可条件，存在隐患的；行政许可后续监管不到位，造成严重后果的；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5.擅自增设、变更的审批程序或审批条件的；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6.在许可审批过程中违法收取费用的；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7.在许可过程中滥用职权、徇私舞弊的；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vAlign w:val="center"/>
          </w:tcPr>
          <w:p>
            <w:pPr>
              <w:widowControl/>
              <w:spacing w:line="240" w:lineRule="exact"/>
              <w:rPr>
                <w:rFonts w:hint="eastAsia" w:ascii="仿宋_GB2312" w:hAnsi="宋体" w:eastAsia="仿宋_GB2312" w:cs="仿宋_GB2312"/>
                <w:i w:val="0"/>
                <w:color w:val="auto"/>
                <w:sz w:val="18"/>
                <w:szCs w:val="18"/>
                <w:u w:val="none"/>
              </w:rPr>
            </w:pPr>
          </w:p>
        </w:tc>
      </w:tr>
    </w:tbl>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YmQ2NmQ0MDU5N2Q0NzQ3MDI3YmE3NTQwNTg0MzIifQ=="/>
  </w:docVars>
  <w:rsids>
    <w:rsidRoot w:val="00000000"/>
    <w:rsid w:val="03233E3E"/>
    <w:rsid w:val="439B6F77"/>
    <w:rsid w:val="6CEF76C1"/>
    <w:rsid w:val="737D52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paragraph" w:styleId="3">
    <w:name w:val="Normal (Web)"/>
    <w:basedOn w:val="1"/>
    <w:qFormat/>
    <w:uiPriority w:val="0"/>
    <w:pPr>
      <w:spacing w:before="0" w:beforeAutospacing="0" w:after="0" w:afterAutospacing="0" w:line="432" w:lineRule="auto"/>
      <w:ind w:left="0" w:right="0"/>
      <w:jc w:val="left"/>
    </w:pPr>
    <w:rPr>
      <w:rFonts w:ascii="宋体" w:eastAsia="宋体" w:cs="宋体"/>
      <w:kern w:val="0"/>
      <w:sz w:val="24"/>
      <w:szCs w:val="24"/>
      <w:lang w:val="en-US" w:eastAsia="zh-CN"/>
    </w:rPr>
  </w:style>
  <w:style w:type="character" w:customStyle="1" w:styleId="6">
    <w:name w:val="font131"/>
    <w:basedOn w:val="5"/>
    <w:qFormat/>
    <w:uiPriority w:val="0"/>
    <w:rPr>
      <w:rFonts w:hint="eastAsia" w:ascii="仿宋_GB2312" w:eastAsia="仿宋_GB2312" w:cs="仿宋_GB2312"/>
      <w:color w:val="000000"/>
      <w:sz w:val="18"/>
      <w:szCs w:val="18"/>
      <w:u w:val="none"/>
    </w:rPr>
  </w:style>
  <w:style w:type="character" w:customStyle="1" w:styleId="7">
    <w:name w:val="font11"/>
    <w:basedOn w:val="5"/>
    <w:qFormat/>
    <w:uiPriority w:val="0"/>
    <w:rPr>
      <w:rFonts w:hint="eastAsia" w:ascii="宋体" w:hAnsi="宋体" w:eastAsia="宋体" w:cs="宋体"/>
      <w:color w:val="000000"/>
      <w:sz w:val="18"/>
      <w:szCs w:val="18"/>
      <w:u w:val="none"/>
    </w:rPr>
  </w:style>
  <w:style w:type="character" w:customStyle="1" w:styleId="8">
    <w:name w:val="font231"/>
    <w:basedOn w:val="5"/>
    <w:qFormat/>
    <w:uiPriority w:val="0"/>
    <w:rPr>
      <w:rFonts w:hint="eastAsia" w:ascii="仿宋_GB2312" w:eastAsia="仿宋_GB2312" w:cs="仿宋_GB2312"/>
      <w:color w:val="000000"/>
      <w:sz w:val="18"/>
      <w:szCs w:val="18"/>
      <w:u w:val="none"/>
    </w:rPr>
  </w:style>
  <w:style w:type="character" w:customStyle="1" w:styleId="9">
    <w:name w:val="font121"/>
    <w:basedOn w:val="5"/>
    <w:qFormat/>
    <w:uiPriority w:val="0"/>
    <w:rPr>
      <w:rFonts w:hint="eastAsia" w:ascii="宋体" w:hAnsi="宋体" w:eastAsia="宋体" w:cs="宋体"/>
      <w:color w:val="000000"/>
      <w:sz w:val="18"/>
      <w:szCs w:val="18"/>
      <w:u w:val="none"/>
    </w:rPr>
  </w:style>
  <w:style w:type="character" w:customStyle="1" w:styleId="10">
    <w:name w:val="font71"/>
    <w:basedOn w:val="5"/>
    <w:qFormat/>
    <w:uiPriority w:val="0"/>
    <w:rPr>
      <w:rFonts w:hint="default" w:ascii="Times New Roman" w:hAnsi="Times New Roman" w:cs="Times New Roman"/>
      <w:color w:val="000000"/>
      <w:sz w:val="18"/>
      <w:szCs w:val="18"/>
      <w:u w:val="none"/>
    </w:rPr>
  </w:style>
  <w:style w:type="character" w:customStyle="1" w:styleId="11">
    <w:name w:val="font241"/>
    <w:basedOn w:val="5"/>
    <w:qFormat/>
    <w:uiPriority w:val="0"/>
    <w:rPr>
      <w:rFonts w:hint="eastAsia" w:ascii="仿宋_GB2312" w:eastAsia="仿宋_GB2312" w:cs="仿宋_GB2312"/>
      <w:color w:val="000000"/>
      <w:sz w:val="18"/>
      <w:szCs w:val="18"/>
      <w:u w:val="none"/>
    </w:rPr>
  </w:style>
  <w:style w:type="character" w:customStyle="1" w:styleId="12">
    <w:name w:val="font161"/>
    <w:basedOn w:val="5"/>
    <w:qFormat/>
    <w:uiPriority w:val="0"/>
    <w:rPr>
      <w:rFonts w:ascii="Arial" w:hAnsi="Arial" w:cs="Arial"/>
      <w:color w:val="000000"/>
      <w:sz w:val="18"/>
      <w:szCs w:val="18"/>
      <w:u w:val="none"/>
    </w:rPr>
  </w:style>
  <w:style w:type="character" w:customStyle="1" w:styleId="13">
    <w:name w:val="font151"/>
    <w:basedOn w:val="5"/>
    <w:qFormat/>
    <w:uiPriority w:val="0"/>
    <w:rPr>
      <w:rFonts w:hint="default" w:ascii="Times New Roman" w:hAnsi="Times New Roman" w:cs="Times New Roman"/>
      <w:color w:val="000000"/>
      <w:sz w:val="18"/>
      <w:szCs w:val="18"/>
      <w:u w:val="none"/>
    </w:rPr>
  </w:style>
  <w:style w:type="character" w:customStyle="1" w:styleId="14">
    <w:name w:val="font61"/>
    <w:basedOn w:val="5"/>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292</Pages>
  <Words>381416</Words>
  <Characters>389137</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2022-07-05T09:32:00Z</dcterms:created>
  <dc:creator>Administrator</dc:creator>
  <cp:lastModifiedBy>Administrator</cp:lastModifiedBy>
  <cp:lastPrinted>2022-07-05T10:50:00Z</cp:lastPrinted>
  <dcterms:modified xsi:type="dcterms:W3CDTF">2025-02-11T07:11:32Z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85A17EDB68AC4C20ABDA34C959FA1926</vt:lpwstr>
  </property>
</Properties>
</file>