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六、部门项目预算安排情况及绩效目标</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七、政府采购预算情况</w:t>
      </w:r>
      <w:r>
        <w:tab/>
      </w:r>
      <w:r>
        <w:rPr>
          <w:rFonts w:hint="eastAsia"/>
          <w:lang w:val="en-US" w:eastAsia="zh-CN"/>
        </w:rPr>
        <w:t>5</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八、国有资产信息</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九、名词解释</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十、其他需要说明的事项</w:t>
      </w:r>
      <w:r>
        <w:tab/>
      </w:r>
      <w:r>
        <w:rPr>
          <w:rFonts w:hint="eastAsia"/>
          <w:lang w:val="en-US" w:eastAsia="zh-CN"/>
        </w:rPr>
        <w:t>5</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bookmarkStart w:id="19" w:name="_GoBack"/>
      <w:bookmarkEnd w:id="19"/>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610.37</w:t>
            </w:r>
          </w:p>
        </w:tc>
        <w:tc>
          <w:tcPr>
            <w:tcW w:w="4535" w:type="dxa"/>
            <w:vAlign w:val="center"/>
          </w:tcPr>
          <w:p>
            <w:pPr>
              <w:pStyle w:val="13"/>
            </w:pPr>
            <w:r>
              <w:t>一、一般公共服务支出</w:t>
            </w:r>
          </w:p>
        </w:tc>
        <w:tc>
          <w:tcPr>
            <w:tcW w:w="2126" w:type="dxa"/>
            <w:vAlign w:val="center"/>
          </w:tcPr>
          <w:p>
            <w:pPr>
              <w:pStyle w:val="12"/>
            </w:pPr>
            <w:r>
              <w:t>446.70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610.37</w:t>
            </w:r>
          </w:p>
        </w:tc>
        <w:tc>
          <w:tcPr>
            <w:tcW w:w="4535" w:type="dxa"/>
            <w:vAlign w:val="center"/>
          </w:tcPr>
          <w:p>
            <w:pPr>
              <w:pStyle w:val="15"/>
            </w:pPr>
            <w:r>
              <w:t>本年支出合计</w:t>
            </w:r>
          </w:p>
        </w:tc>
        <w:tc>
          <w:tcPr>
            <w:tcW w:w="2126" w:type="dxa"/>
            <w:vAlign w:val="center"/>
          </w:tcPr>
          <w:p>
            <w:pPr>
              <w:pStyle w:val="16"/>
            </w:pPr>
            <w:r>
              <w:t>686.95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76.57</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686.95</w:t>
            </w:r>
          </w:p>
        </w:tc>
        <w:tc>
          <w:tcPr>
            <w:tcW w:w="4535" w:type="dxa"/>
            <w:vAlign w:val="center"/>
          </w:tcPr>
          <w:p>
            <w:pPr>
              <w:pStyle w:val="15"/>
            </w:pPr>
            <w:r>
              <w:t>支出总计</w:t>
            </w:r>
          </w:p>
        </w:tc>
        <w:tc>
          <w:tcPr>
            <w:tcW w:w="2126" w:type="dxa"/>
            <w:vAlign w:val="center"/>
          </w:tcPr>
          <w:p>
            <w:pPr>
              <w:pStyle w:val="16"/>
            </w:pPr>
            <w:r>
              <w:t>686.95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686.95</w:t>
            </w:r>
          </w:p>
        </w:tc>
        <w:tc>
          <w:tcPr>
            <w:tcW w:w="1134" w:type="dxa"/>
            <w:vAlign w:val="center"/>
          </w:tcPr>
          <w:p>
            <w:pPr>
              <w:pStyle w:val="16"/>
            </w:pPr>
            <w:r>
              <w:t>610.37</w:t>
            </w:r>
          </w:p>
        </w:tc>
        <w:tc>
          <w:tcPr>
            <w:tcW w:w="1134" w:type="dxa"/>
            <w:vAlign w:val="center"/>
          </w:tcPr>
          <w:p>
            <w:pPr>
              <w:pStyle w:val="16"/>
            </w:pPr>
            <w:r>
              <w:t>610.37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446.70</w:t>
            </w:r>
          </w:p>
        </w:tc>
        <w:tc>
          <w:tcPr>
            <w:tcW w:w="1134" w:type="dxa"/>
            <w:vAlign w:val="center"/>
          </w:tcPr>
          <w:p>
            <w:pPr>
              <w:pStyle w:val="12"/>
            </w:pPr>
            <w:r>
              <w:t>444.46</w:t>
            </w:r>
          </w:p>
        </w:tc>
        <w:tc>
          <w:tcPr>
            <w:tcW w:w="1134" w:type="dxa"/>
            <w:vAlign w:val="center"/>
          </w:tcPr>
          <w:p>
            <w:pPr>
              <w:pStyle w:val="12"/>
            </w:pPr>
            <w:r>
              <w:t>444.46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441.70</w:t>
            </w:r>
          </w:p>
        </w:tc>
        <w:tc>
          <w:tcPr>
            <w:tcW w:w="1134" w:type="dxa"/>
            <w:vAlign w:val="center"/>
          </w:tcPr>
          <w:p>
            <w:pPr>
              <w:pStyle w:val="12"/>
            </w:pPr>
            <w:r>
              <w:t>439.46</w:t>
            </w:r>
          </w:p>
        </w:tc>
        <w:tc>
          <w:tcPr>
            <w:tcW w:w="1134" w:type="dxa"/>
            <w:vAlign w:val="center"/>
          </w:tcPr>
          <w:p>
            <w:pPr>
              <w:pStyle w:val="12"/>
            </w:pPr>
            <w:r>
              <w:t>439.46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252.46</w:t>
            </w:r>
          </w:p>
        </w:tc>
        <w:tc>
          <w:tcPr>
            <w:tcW w:w="1134" w:type="dxa"/>
            <w:vAlign w:val="center"/>
          </w:tcPr>
          <w:p>
            <w:pPr>
              <w:pStyle w:val="12"/>
            </w:pPr>
            <w:r>
              <w:t>251.43</w:t>
            </w:r>
          </w:p>
        </w:tc>
        <w:tc>
          <w:tcPr>
            <w:tcW w:w="1134" w:type="dxa"/>
            <w:vAlign w:val="center"/>
          </w:tcPr>
          <w:p>
            <w:pPr>
              <w:pStyle w:val="12"/>
            </w:pPr>
            <w:r>
              <w:t>251.43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187.03</w:t>
            </w:r>
          </w:p>
        </w:tc>
        <w:tc>
          <w:tcPr>
            <w:tcW w:w="1134" w:type="dxa"/>
            <w:vAlign w:val="center"/>
          </w:tcPr>
          <w:p>
            <w:pPr>
              <w:pStyle w:val="12"/>
            </w:pPr>
            <w:r>
              <w:t>187.03</w:t>
            </w:r>
          </w:p>
        </w:tc>
        <w:tc>
          <w:tcPr>
            <w:tcW w:w="1134" w:type="dxa"/>
            <w:vAlign w:val="center"/>
          </w:tcPr>
          <w:p>
            <w:pPr>
              <w:pStyle w:val="12"/>
            </w:pPr>
            <w:r>
              <w:t>187.03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103.28</w:t>
            </w:r>
          </w:p>
        </w:tc>
        <w:tc>
          <w:tcPr>
            <w:tcW w:w="1134" w:type="dxa"/>
            <w:vAlign w:val="center"/>
          </w:tcPr>
          <w:p>
            <w:pPr>
              <w:pStyle w:val="12"/>
            </w:pPr>
            <w:r>
              <w:t>77.52</w:t>
            </w:r>
          </w:p>
        </w:tc>
        <w:tc>
          <w:tcPr>
            <w:tcW w:w="1134" w:type="dxa"/>
            <w:vAlign w:val="center"/>
          </w:tcPr>
          <w:p>
            <w:pPr>
              <w:pStyle w:val="12"/>
            </w:pPr>
            <w:r>
              <w:t>77.52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68.90</w:t>
            </w:r>
          </w:p>
        </w:tc>
        <w:tc>
          <w:tcPr>
            <w:tcW w:w="1134" w:type="dxa"/>
            <w:vAlign w:val="center"/>
          </w:tcPr>
          <w:p>
            <w:pPr>
              <w:pStyle w:val="12"/>
            </w:pPr>
            <w:r>
              <w:t>67.90</w:t>
            </w:r>
          </w:p>
        </w:tc>
        <w:tc>
          <w:tcPr>
            <w:tcW w:w="1134" w:type="dxa"/>
            <w:vAlign w:val="center"/>
          </w:tcPr>
          <w:p>
            <w:pPr>
              <w:pStyle w:val="12"/>
            </w:pPr>
            <w:r>
              <w:t>67.90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10.85</w:t>
            </w:r>
          </w:p>
        </w:tc>
        <w:tc>
          <w:tcPr>
            <w:tcW w:w="1134" w:type="dxa"/>
            <w:vAlign w:val="center"/>
          </w:tcPr>
          <w:p>
            <w:pPr>
              <w:pStyle w:val="12"/>
            </w:pPr>
            <w:r>
              <w:t>10.85</w:t>
            </w:r>
          </w:p>
        </w:tc>
        <w:tc>
          <w:tcPr>
            <w:tcW w:w="1134" w:type="dxa"/>
            <w:vAlign w:val="center"/>
          </w:tcPr>
          <w:p>
            <w:pPr>
              <w:pStyle w:val="12"/>
            </w:pPr>
            <w:r>
              <w:t>10.85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55.78</w:t>
            </w:r>
          </w:p>
        </w:tc>
        <w:tc>
          <w:tcPr>
            <w:tcW w:w="1134" w:type="dxa"/>
            <w:vAlign w:val="center"/>
          </w:tcPr>
          <w:p>
            <w:pPr>
              <w:pStyle w:val="12"/>
            </w:pPr>
            <w:r>
              <w:t>54.78</w:t>
            </w:r>
          </w:p>
        </w:tc>
        <w:tc>
          <w:tcPr>
            <w:tcW w:w="1134" w:type="dxa"/>
            <w:vAlign w:val="center"/>
          </w:tcPr>
          <w:p>
            <w:pPr>
              <w:pStyle w:val="12"/>
            </w:pPr>
            <w:r>
              <w:t>54.78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34.38</w:t>
            </w:r>
          </w:p>
        </w:tc>
        <w:tc>
          <w:tcPr>
            <w:tcW w:w="1134" w:type="dxa"/>
            <w:vAlign w:val="center"/>
          </w:tcPr>
          <w:p>
            <w:pPr>
              <w:pStyle w:val="12"/>
            </w:pPr>
            <w:r>
              <w:t>9.62</w:t>
            </w:r>
          </w:p>
        </w:tc>
        <w:tc>
          <w:tcPr>
            <w:tcW w:w="1134" w:type="dxa"/>
            <w:vAlign w:val="center"/>
          </w:tcPr>
          <w:p>
            <w:pPr>
              <w:pStyle w:val="12"/>
            </w:pPr>
            <w:r>
              <w:t>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24.76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9.62</w:t>
            </w:r>
          </w:p>
        </w:tc>
        <w:tc>
          <w:tcPr>
            <w:tcW w:w="1134" w:type="dxa"/>
            <w:vAlign w:val="center"/>
          </w:tcPr>
          <w:p>
            <w:pPr>
              <w:pStyle w:val="12"/>
            </w:pPr>
            <w:r>
              <w:t>9.62</w:t>
            </w:r>
          </w:p>
        </w:tc>
        <w:tc>
          <w:tcPr>
            <w:tcW w:w="1134" w:type="dxa"/>
            <w:vAlign w:val="center"/>
          </w:tcPr>
          <w:p>
            <w:pPr>
              <w:pStyle w:val="12"/>
            </w:pPr>
            <w:r>
              <w:t>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30.35</w:t>
            </w:r>
          </w:p>
        </w:tc>
        <w:tc>
          <w:tcPr>
            <w:tcW w:w="1134" w:type="dxa"/>
            <w:vAlign w:val="center"/>
          </w:tcPr>
          <w:p>
            <w:pPr>
              <w:pStyle w:val="12"/>
            </w:pPr>
            <w:r>
              <w:t>30.35</w:t>
            </w:r>
          </w:p>
        </w:tc>
        <w:tc>
          <w:tcPr>
            <w:tcW w:w="1134" w:type="dxa"/>
            <w:vAlign w:val="center"/>
          </w:tcPr>
          <w:p>
            <w:pPr>
              <w:pStyle w:val="12"/>
            </w:pPr>
            <w:r>
              <w:t>30.35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29.55</w:t>
            </w:r>
          </w:p>
        </w:tc>
        <w:tc>
          <w:tcPr>
            <w:tcW w:w="1134" w:type="dxa"/>
            <w:vAlign w:val="center"/>
          </w:tcPr>
          <w:p>
            <w:pPr>
              <w:pStyle w:val="12"/>
            </w:pPr>
            <w:r>
              <w:t>29.55</w:t>
            </w:r>
          </w:p>
        </w:tc>
        <w:tc>
          <w:tcPr>
            <w:tcW w:w="1134" w:type="dxa"/>
            <w:vAlign w:val="center"/>
          </w:tcPr>
          <w:p>
            <w:pPr>
              <w:pStyle w:val="12"/>
            </w:pPr>
            <w:r>
              <w:t>29.55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13.62</w:t>
            </w:r>
          </w:p>
        </w:tc>
        <w:tc>
          <w:tcPr>
            <w:tcW w:w="1134" w:type="dxa"/>
            <w:vAlign w:val="center"/>
          </w:tcPr>
          <w:p>
            <w:pPr>
              <w:pStyle w:val="12"/>
            </w:pPr>
            <w:r>
              <w:t>13.62</w:t>
            </w:r>
          </w:p>
        </w:tc>
        <w:tc>
          <w:tcPr>
            <w:tcW w:w="1134" w:type="dxa"/>
            <w:vAlign w:val="center"/>
          </w:tcPr>
          <w:p>
            <w:pPr>
              <w:pStyle w:val="12"/>
            </w:pPr>
            <w:r>
              <w:t>13.62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15.93</w:t>
            </w:r>
          </w:p>
        </w:tc>
        <w:tc>
          <w:tcPr>
            <w:tcW w:w="1134" w:type="dxa"/>
            <w:vAlign w:val="center"/>
          </w:tcPr>
          <w:p>
            <w:pPr>
              <w:pStyle w:val="12"/>
            </w:pPr>
            <w:r>
              <w:t>15.93</w:t>
            </w:r>
          </w:p>
        </w:tc>
        <w:tc>
          <w:tcPr>
            <w:tcW w:w="1134" w:type="dxa"/>
            <w:vAlign w:val="center"/>
          </w:tcPr>
          <w:p>
            <w:pPr>
              <w:pStyle w:val="12"/>
            </w:pPr>
            <w:r>
              <w:t>15.93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27.50</w:t>
            </w:r>
          </w:p>
        </w:tc>
        <w:tc>
          <w:tcPr>
            <w:tcW w:w="1134" w:type="dxa"/>
            <w:vAlign w:val="center"/>
          </w:tcPr>
          <w:p>
            <w:pPr>
              <w:pStyle w:val="12"/>
            </w:pPr>
            <w:r>
              <w:t>27.50</w:t>
            </w:r>
          </w:p>
        </w:tc>
        <w:tc>
          <w:tcPr>
            <w:tcW w:w="1134" w:type="dxa"/>
            <w:vAlign w:val="center"/>
          </w:tcPr>
          <w:p>
            <w:pPr>
              <w:pStyle w:val="12"/>
            </w:pPr>
            <w:r>
              <w:t>27.50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2110499</w:t>
            </w:r>
          </w:p>
        </w:tc>
        <w:tc>
          <w:tcPr>
            <w:tcW w:w="1559" w:type="dxa"/>
            <w:vAlign w:val="center"/>
          </w:tcPr>
          <w:p>
            <w:pPr>
              <w:pStyle w:val="13"/>
            </w:pPr>
            <w:r>
              <w:t>其他自然生态保护支出</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49.58</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48.58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48.58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686.95</w:t>
            </w:r>
          </w:p>
        </w:tc>
        <w:tc>
          <w:tcPr>
            <w:tcW w:w="1361" w:type="dxa"/>
            <w:vAlign w:val="center"/>
          </w:tcPr>
          <w:p>
            <w:pPr>
              <w:pStyle w:val="16"/>
            </w:pPr>
            <w:r>
              <w:t>600.86</w:t>
            </w:r>
          </w:p>
        </w:tc>
        <w:tc>
          <w:tcPr>
            <w:tcW w:w="1361" w:type="dxa"/>
            <w:vAlign w:val="center"/>
          </w:tcPr>
          <w:p>
            <w:pPr>
              <w:pStyle w:val="16"/>
            </w:pPr>
            <w:r>
              <w:t>86.09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446.70</w:t>
            </w:r>
          </w:p>
        </w:tc>
        <w:tc>
          <w:tcPr>
            <w:tcW w:w="1361" w:type="dxa"/>
            <w:vAlign w:val="center"/>
          </w:tcPr>
          <w:p>
            <w:pPr>
              <w:pStyle w:val="12"/>
            </w:pPr>
            <w:r>
              <w:t>439.49</w:t>
            </w:r>
          </w:p>
        </w:tc>
        <w:tc>
          <w:tcPr>
            <w:tcW w:w="1361" w:type="dxa"/>
            <w:vAlign w:val="center"/>
          </w:tcPr>
          <w:p>
            <w:pPr>
              <w:pStyle w:val="12"/>
            </w:pPr>
            <w:r>
              <w:t>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441.70</w:t>
            </w:r>
          </w:p>
        </w:tc>
        <w:tc>
          <w:tcPr>
            <w:tcW w:w="1361" w:type="dxa"/>
            <w:vAlign w:val="center"/>
          </w:tcPr>
          <w:p>
            <w:pPr>
              <w:pStyle w:val="12"/>
            </w:pPr>
            <w:r>
              <w:t>439.49</w:t>
            </w:r>
          </w:p>
        </w:tc>
        <w:tc>
          <w:tcPr>
            <w:tcW w:w="1361" w:type="dxa"/>
            <w:vAlign w:val="center"/>
          </w:tcPr>
          <w:p>
            <w:pPr>
              <w:pStyle w:val="12"/>
            </w:pPr>
            <w:r>
              <w:t>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252.46</w:t>
            </w:r>
          </w:p>
        </w:tc>
        <w:tc>
          <w:tcPr>
            <w:tcW w:w="1361" w:type="dxa"/>
            <w:vAlign w:val="center"/>
          </w:tcPr>
          <w:p>
            <w:pPr>
              <w:pStyle w:val="12"/>
            </w:pPr>
            <w:r>
              <w:t>252.46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1.21</w:t>
            </w:r>
          </w:p>
        </w:tc>
        <w:tc>
          <w:tcPr>
            <w:tcW w:w="1361" w:type="dxa"/>
            <w:vAlign w:val="center"/>
          </w:tcPr>
          <w:p>
            <w:pPr>
              <w:pStyle w:val="12"/>
            </w:pPr>
          </w:p>
        </w:tc>
        <w:tc>
          <w:tcPr>
            <w:tcW w:w="1361" w:type="dxa"/>
            <w:vAlign w:val="center"/>
          </w:tcPr>
          <w:p>
            <w:pPr>
              <w:pStyle w:val="12"/>
            </w:pPr>
            <w:r>
              <w:t>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187.03</w:t>
            </w:r>
          </w:p>
        </w:tc>
        <w:tc>
          <w:tcPr>
            <w:tcW w:w="1361" w:type="dxa"/>
            <w:vAlign w:val="center"/>
          </w:tcPr>
          <w:p>
            <w:pPr>
              <w:pStyle w:val="12"/>
            </w:pPr>
            <w:r>
              <w:t>187.03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103.28</w:t>
            </w:r>
          </w:p>
        </w:tc>
        <w:tc>
          <w:tcPr>
            <w:tcW w:w="1361" w:type="dxa"/>
            <w:vAlign w:val="center"/>
          </w:tcPr>
          <w:p>
            <w:pPr>
              <w:pStyle w:val="12"/>
            </w:pPr>
            <w:r>
              <w:t>103.28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68.90</w:t>
            </w:r>
          </w:p>
        </w:tc>
        <w:tc>
          <w:tcPr>
            <w:tcW w:w="1361" w:type="dxa"/>
            <w:vAlign w:val="center"/>
          </w:tcPr>
          <w:p>
            <w:pPr>
              <w:pStyle w:val="12"/>
            </w:pPr>
            <w:r>
              <w:t>68.90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10.85</w:t>
            </w:r>
          </w:p>
        </w:tc>
        <w:tc>
          <w:tcPr>
            <w:tcW w:w="1361" w:type="dxa"/>
            <w:vAlign w:val="center"/>
          </w:tcPr>
          <w:p>
            <w:pPr>
              <w:pStyle w:val="12"/>
            </w:pPr>
            <w:r>
              <w:t>10.85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0.70</w:t>
            </w:r>
          </w:p>
        </w:tc>
        <w:tc>
          <w:tcPr>
            <w:tcW w:w="1361" w:type="dxa"/>
            <w:vAlign w:val="center"/>
          </w:tcPr>
          <w:p>
            <w:pPr>
              <w:pStyle w:val="12"/>
            </w:pPr>
            <w:r>
              <w:t>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55.78</w:t>
            </w:r>
          </w:p>
        </w:tc>
        <w:tc>
          <w:tcPr>
            <w:tcW w:w="1361" w:type="dxa"/>
            <w:vAlign w:val="center"/>
          </w:tcPr>
          <w:p>
            <w:pPr>
              <w:pStyle w:val="12"/>
            </w:pPr>
            <w:r>
              <w:t>55.78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1.57</w:t>
            </w: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34.38</w:t>
            </w:r>
          </w:p>
        </w:tc>
        <w:tc>
          <w:tcPr>
            <w:tcW w:w="1361" w:type="dxa"/>
            <w:vAlign w:val="center"/>
          </w:tcPr>
          <w:p>
            <w:pPr>
              <w:pStyle w:val="12"/>
            </w:pPr>
            <w:r>
              <w:t>34.38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24.76</w:t>
            </w:r>
          </w:p>
        </w:tc>
        <w:tc>
          <w:tcPr>
            <w:tcW w:w="1361" w:type="dxa"/>
            <w:vAlign w:val="center"/>
          </w:tcPr>
          <w:p>
            <w:pPr>
              <w:pStyle w:val="12"/>
            </w:pPr>
            <w:r>
              <w:t>24.76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9.62</w:t>
            </w:r>
          </w:p>
        </w:tc>
        <w:tc>
          <w:tcPr>
            <w:tcW w:w="1361" w:type="dxa"/>
            <w:vAlign w:val="center"/>
          </w:tcPr>
          <w:p>
            <w:pPr>
              <w:pStyle w:val="12"/>
            </w:pPr>
            <w:r>
              <w:t>9.62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30.35</w:t>
            </w:r>
          </w:p>
        </w:tc>
        <w:tc>
          <w:tcPr>
            <w:tcW w:w="1361" w:type="dxa"/>
            <w:vAlign w:val="center"/>
          </w:tcPr>
          <w:p>
            <w:pPr>
              <w:pStyle w:val="12"/>
            </w:pPr>
            <w:r>
              <w:t>29.55</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29.55</w:t>
            </w:r>
          </w:p>
        </w:tc>
        <w:tc>
          <w:tcPr>
            <w:tcW w:w="1361" w:type="dxa"/>
            <w:vAlign w:val="center"/>
          </w:tcPr>
          <w:p>
            <w:pPr>
              <w:pStyle w:val="12"/>
            </w:pPr>
            <w:r>
              <w:t>29.55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13.62</w:t>
            </w:r>
          </w:p>
        </w:tc>
        <w:tc>
          <w:tcPr>
            <w:tcW w:w="1361" w:type="dxa"/>
            <w:vAlign w:val="center"/>
          </w:tcPr>
          <w:p>
            <w:pPr>
              <w:pStyle w:val="12"/>
            </w:pPr>
            <w:r>
              <w:t>13.62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15.93</w:t>
            </w:r>
          </w:p>
        </w:tc>
        <w:tc>
          <w:tcPr>
            <w:tcW w:w="1361" w:type="dxa"/>
            <w:vAlign w:val="center"/>
          </w:tcPr>
          <w:p>
            <w:pPr>
              <w:pStyle w:val="12"/>
            </w:pPr>
            <w:r>
              <w:t>15.93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27.50</w:t>
            </w:r>
          </w:p>
        </w:tc>
        <w:tc>
          <w:tcPr>
            <w:tcW w:w="1361" w:type="dxa"/>
            <w:vAlign w:val="center"/>
          </w:tcPr>
          <w:p>
            <w:pPr>
              <w:pStyle w:val="12"/>
            </w:pPr>
          </w:p>
        </w:tc>
        <w:tc>
          <w:tcPr>
            <w:tcW w:w="1361" w:type="dxa"/>
            <w:vAlign w:val="center"/>
          </w:tcPr>
          <w:p>
            <w:pPr>
              <w:pStyle w:val="12"/>
            </w:pPr>
            <w:r>
              <w:t>27.50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2110499</w:t>
            </w:r>
          </w:p>
        </w:tc>
        <w:tc>
          <w:tcPr>
            <w:tcW w:w="4535" w:type="dxa"/>
            <w:vAlign w:val="center"/>
          </w:tcPr>
          <w:p>
            <w:pPr>
              <w:pStyle w:val="13"/>
            </w:pPr>
            <w:r>
              <w:t>其他自然生态保护支出</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49.58</w:t>
            </w:r>
          </w:p>
        </w:tc>
        <w:tc>
          <w:tcPr>
            <w:tcW w:w="1361" w:type="dxa"/>
            <w:vAlign w:val="center"/>
          </w:tcPr>
          <w:p>
            <w:pPr>
              <w:pStyle w:val="12"/>
            </w:pPr>
          </w:p>
        </w:tc>
        <w:tc>
          <w:tcPr>
            <w:tcW w:w="1361" w:type="dxa"/>
            <w:vAlign w:val="center"/>
          </w:tcPr>
          <w:p>
            <w:pPr>
              <w:pStyle w:val="12"/>
            </w:pPr>
            <w:r>
              <w:t>49.58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28.54</w:t>
            </w:r>
          </w:p>
        </w:tc>
        <w:tc>
          <w:tcPr>
            <w:tcW w:w="1361" w:type="dxa"/>
            <w:vAlign w:val="center"/>
          </w:tcPr>
          <w:p>
            <w:pPr>
              <w:pStyle w:val="12"/>
            </w:pPr>
            <w:r>
              <w:t>28.54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28.54</w:t>
            </w:r>
          </w:p>
        </w:tc>
        <w:tc>
          <w:tcPr>
            <w:tcW w:w="1361" w:type="dxa"/>
            <w:vAlign w:val="center"/>
          </w:tcPr>
          <w:p>
            <w:pPr>
              <w:pStyle w:val="12"/>
            </w:pPr>
            <w:r>
              <w:t>28.54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28.54</w:t>
            </w:r>
          </w:p>
        </w:tc>
        <w:tc>
          <w:tcPr>
            <w:tcW w:w="1361" w:type="dxa"/>
            <w:vAlign w:val="center"/>
          </w:tcPr>
          <w:p>
            <w:pPr>
              <w:pStyle w:val="12"/>
            </w:pPr>
            <w:r>
              <w:t>28.54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610.37</w:t>
            </w:r>
          </w:p>
        </w:tc>
        <w:tc>
          <w:tcPr>
            <w:tcW w:w="3402" w:type="dxa"/>
            <w:vAlign w:val="center"/>
          </w:tcPr>
          <w:p>
            <w:pPr>
              <w:pStyle w:val="13"/>
            </w:pPr>
            <w:r>
              <w:t>一、一般公共服务支出</w:t>
            </w:r>
          </w:p>
        </w:tc>
        <w:tc>
          <w:tcPr>
            <w:tcW w:w="1474" w:type="dxa"/>
            <w:vAlign w:val="center"/>
          </w:tcPr>
          <w:p>
            <w:pPr>
              <w:pStyle w:val="12"/>
            </w:pPr>
            <w:r>
              <w:t>446.70</w:t>
            </w:r>
          </w:p>
        </w:tc>
        <w:tc>
          <w:tcPr>
            <w:tcW w:w="1474" w:type="dxa"/>
            <w:vAlign w:val="center"/>
          </w:tcPr>
          <w:p>
            <w:pPr>
              <w:pStyle w:val="12"/>
            </w:pPr>
            <w:r>
              <w:t>446.70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103.28</w:t>
            </w:r>
          </w:p>
        </w:tc>
        <w:tc>
          <w:tcPr>
            <w:tcW w:w="1474" w:type="dxa"/>
            <w:vAlign w:val="center"/>
          </w:tcPr>
          <w:p>
            <w:pPr>
              <w:pStyle w:val="12"/>
            </w:pPr>
            <w:r>
              <w:t>103.28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30.35</w:t>
            </w:r>
          </w:p>
        </w:tc>
        <w:tc>
          <w:tcPr>
            <w:tcW w:w="1474" w:type="dxa"/>
            <w:vAlign w:val="center"/>
          </w:tcPr>
          <w:p>
            <w:pPr>
              <w:pStyle w:val="12"/>
            </w:pPr>
            <w:r>
              <w:t>30.35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27.50</w:t>
            </w:r>
          </w:p>
        </w:tc>
        <w:tc>
          <w:tcPr>
            <w:tcW w:w="1474" w:type="dxa"/>
            <w:vAlign w:val="center"/>
          </w:tcPr>
          <w:p>
            <w:pPr>
              <w:pStyle w:val="12"/>
            </w:pPr>
            <w:r>
              <w:t>27.50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49.58</w:t>
            </w:r>
          </w:p>
        </w:tc>
        <w:tc>
          <w:tcPr>
            <w:tcW w:w="1474" w:type="dxa"/>
            <w:vAlign w:val="center"/>
          </w:tcPr>
          <w:p>
            <w:pPr>
              <w:pStyle w:val="12"/>
            </w:pPr>
            <w:r>
              <w:t>49.58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28.54</w:t>
            </w:r>
          </w:p>
        </w:tc>
        <w:tc>
          <w:tcPr>
            <w:tcW w:w="1474" w:type="dxa"/>
            <w:vAlign w:val="center"/>
          </w:tcPr>
          <w:p>
            <w:pPr>
              <w:pStyle w:val="12"/>
            </w:pPr>
            <w:r>
              <w:t>28.54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610.37</w:t>
            </w:r>
          </w:p>
        </w:tc>
        <w:tc>
          <w:tcPr>
            <w:tcW w:w="3402" w:type="dxa"/>
            <w:vAlign w:val="center"/>
          </w:tcPr>
          <w:p>
            <w:pPr>
              <w:pStyle w:val="15"/>
            </w:pPr>
            <w:r>
              <w:t>本年支出合计</w:t>
            </w:r>
          </w:p>
        </w:tc>
        <w:tc>
          <w:tcPr>
            <w:tcW w:w="1474" w:type="dxa"/>
            <w:vAlign w:val="center"/>
          </w:tcPr>
          <w:p>
            <w:pPr>
              <w:pStyle w:val="16"/>
            </w:pPr>
            <w:r>
              <w:t>686.95</w:t>
            </w:r>
          </w:p>
        </w:tc>
        <w:tc>
          <w:tcPr>
            <w:tcW w:w="1474" w:type="dxa"/>
            <w:vAlign w:val="center"/>
          </w:tcPr>
          <w:p>
            <w:pPr>
              <w:pStyle w:val="16"/>
            </w:pPr>
            <w:r>
              <w:t>686.95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76.57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76.57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686.95</w:t>
            </w:r>
          </w:p>
        </w:tc>
        <w:tc>
          <w:tcPr>
            <w:tcW w:w="3402" w:type="dxa"/>
            <w:vAlign w:val="center"/>
          </w:tcPr>
          <w:p>
            <w:pPr>
              <w:pStyle w:val="15"/>
            </w:pPr>
            <w:r>
              <w:t>支出总计</w:t>
            </w:r>
          </w:p>
        </w:tc>
        <w:tc>
          <w:tcPr>
            <w:tcW w:w="1474" w:type="dxa"/>
            <w:vAlign w:val="center"/>
          </w:tcPr>
          <w:p>
            <w:pPr>
              <w:pStyle w:val="16"/>
            </w:pPr>
            <w:r>
              <w:t>686.95</w:t>
            </w:r>
          </w:p>
        </w:tc>
        <w:tc>
          <w:tcPr>
            <w:tcW w:w="1474" w:type="dxa"/>
            <w:vAlign w:val="center"/>
          </w:tcPr>
          <w:p>
            <w:pPr>
              <w:pStyle w:val="16"/>
            </w:pPr>
            <w:r>
              <w:t>686.95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686.95</w:t>
            </w:r>
          </w:p>
        </w:tc>
        <w:tc>
          <w:tcPr>
            <w:tcW w:w="2551" w:type="dxa"/>
            <w:vAlign w:val="center"/>
          </w:tcPr>
          <w:p>
            <w:pPr>
              <w:pStyle w:val="16"/>
            </w:pPr>
            <w:r>
              <w:t>600.86</w:t>
            </w:r>
          </w:p>
        </w:tc>
        <w:tc>
          <w:tcPr>
            <w:tcW w:w="2551" w:type="dxa"/>
            <w:vAlign w:val="center"/>
          </w:tcPr>
          <w:p>
            <w:pPr>
              <w:pStyle w:val="16"/>
            </w:pPr>
            <w:r>
              <w:t>86.09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446.70</w:t>
            </w:r>
          </w:p>
        </w:tc>
        <w:tc>
          <w:tcPr>
            <w:tcW w:w="2551" w:type="dxa"/>
            <w:vAlign w:val="center"/>
          </w:tcPr>
          <w:p>
            <w:pPr>
              <w:pStyle w:val="12"/>
            </w:pPr>
            <w:r>
              <w:t>439.49</w:t>
            </w:r>
          </w:p>
        </w:tc>
        <w:tc>
          <w:tcPr>
            <w:tcW w:w="2551" w:type="dxa"/>
            <w:vAlign w:val="center"/>
          </w:tcPr>
          <w:p>
            <w:pPr>
              <w:pStyle w:val="12"/>
            </w:pPr>
            <w:r>
              <w:t>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441.70</w:t>
            </w:r>
          </w:p>
        </w:tc>
        <w:tc>
          <w:tcPr>
            <w:tcW w:w="2551" w:type="dxa"/>
            <w:vAlign w:val="center"/>
          </w:tcPr>
          <w:p>
            <w:pPr>
              <w:pStyle w:val="12"/>
            </w:pPr>
            <w:r>
              <w:t>439.49</w:t>
            </w:r>
          </w:p>
        </w:tc>
        <w:tc>
          <w:tcPr>
            <w:tcW w:w="2551" w:type="dxa"/>
            <w:vAlign w:val="center"/>
          </w:tcPr>
          <w:p>
            <w:pPr>
              <w:pStyle w:val="12"/>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252.46</w:t>
            </w:r>
          </w:p>
        </w:tc>
        <w:tc>
          <w:tcPr>
            <w:tcW w:w="2551" w:type="dxa"/>
            <w:vAlign w:val="center"/>
          </w:tcPr>
          <w:p>
            <w:pPr>
              <w:pStyle w:val="12"/>
            </w:pPr>
            <w:r>
              <w:t>252.46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1.21</w:t>
            </w:r>
          </w:p>
        </w:tc>
        <w:tc>
          <w:tcPr>
            <w:tcW w:w="2551" w:type="dxa"/>
            <w:vAlign w:val="center"/>
          </w:tcPr>
          <w:p>
            <w:pPr>
              <w:pStyle w:val="12"/>
            </w:pPr>
          </w:p>
        </w:tc>
        <w:tc>
          <w:tcPr>
            <w:tcW w:w="2551" w:type="dxa"/>
            <w:vAlign w:val="center"/>
          </w:tcPr>
          <w:p>
            <w:pPr>
              <w:pStyle w:val="12"/>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187.03</w:t>
            </w:r>
          </w:p>
        </w:tc>
        <w:tc>
          <w:tcPr>
            <w:tcW w:w="2551" w:type="dxa"/>
            <w:vAlign w:val="center"/>
          </w:tcPr>
          <w:p>
            <w:pPr>
              <w:pStyle w:val="12"/>
            </w:pPr>
            <w:r>
              <w:t>187.03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103.28</w:t>
            </w:r>
          </w:p>
        </w:tc>
        <w:tc>
          <w:tcPr>
            <w:tcW w:w="2551" w:type="dxa"/>
            <w:vAlign w:val="center"/>
          </w:tcPr>
          <w:p>
            <w:pPr>
              <w:pStyle w:val="12"/>
            </w:pPr>
            <w:r>
              <w:t>103.28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68.90</w:t>
            </w:r>
          </w:p>
        </w:tc>
        <w:tc>
          <w:tcPr>
            <w:tcW w:w="2551" w:type="dxa"/>
            <w:vAlign w:val="center"/>
          </w:tcPr>
          <w:p>
            <w:pPr>
              <w:pStyle w:val="12"/>
            </w:pPr>
            <w:r>
              <w:t>68.90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10.85</w:t>
            </w:r>
          </w:p>
        </w:tc>
        <w:tc>
          <w:tcPr>
            <w:tcW w:w="2551" w:type="dxa"/>
            <w:vAlign w:val="center"/>
          </w:tcPr>
          <w:p>
            <w:pPr>
              <w:pStyle w:val="12"/>
            </w:pPr>
            <w:r>
              <w:t>10.85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55.78</w:t>
            </w:r>
          </w:p>
        </w:tc>
        <w:tc>
          <w:tcPr>
            <w:tcW w:w="2551" w:type="dxa"/>
            <w:vAlign w:val="center"/>
          </w:tcPr>
          <w:p>
            <w:pPr>
              <w:pStyle w:val="12"/>
            </w:pPr>
            <w:r>
              <w:t>55.78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1.57</w:t>
            </w:r>
          </w:p>
        </w:tc>
        <w:tc>
          <w:tcPr>
            <w:tcW w:w="2551" w:type="dxa"/>
            <w:vAlign w:val="center"/>
          </w:tcPr>
          <w:p>
            <w:pPr>
              <w:pStyle w:val="12"/>
            </w:pPr>
            <w:r>
              <w:t>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34.38</w:t>
            </w:r>
          </w:p>
        </w:tc>
        <w:tc>
          <w:tcPr>
            <w:tcW w:w="2551" w:type="dxa"/>
            <w:vAlign w:val="center"/>
          </w:tcPr>
          <w:p>
            <w:pPr>
              <w:pStyle w:val="12"/>
            </w:pPr>
            <w:r>
              <w:t>34.38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9.62</w:t>
            </w:r>
          </w:p>
        </w:tc>
        <w:tc>
          <w:tcPr>
            <w:tcW w:w="2551" w:type="dxa"/>
            <w:vAlign w:val="center"/>
          </w:tcPr>
          <w:p>
            <w:pPr>
              <w:pStyle w:val="12"/>
            </w:pPr>
            <w:r>
              <w:t>9.62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30.35</w:t>
            </w:r>
          </w:p>
        </w:tc>
        <w:tc>
          <w:tcPr>
            <w:tcW w:w="2551" w:type="dxa"/>
            <w:vAlign w:val="center"/>
          </w:tcPr>
          <w:p>
            <w:pPr>
              <w:pStyle w:val="12"/>
            </w:pPr>
            <w:r>
              <w:t>29.55</w:t>
            </w: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29.55</w:t>
            </w:r>
          </w:p>
        </w:tc>
        <w:tc>
          <w:tcPr>
            <w:tcW w:w="2551" w:type="dxa"/>
            <w:vAlign w:val="center"/>
          </w:tcPr>
          <w:p>
            <w:pPr>
              <w:pStyle w:val="12"/>
            </w:pPr>
            <w:r>
              <w:t>29.55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13.62</w:t>
            </w:r>
          </w:p>
        </w:tc>
        <w:tc>
          <w:tcPr>
            <w:tcW w:w="2551" w:type="dxa"/>
            <w:vAlign w:val="center"/>
          </w:tcPr>
          <w:p>
            <w:pPr>
              <w:pStyle w:val="12"/>
            </w:pPr>
            <w:r>
              <w:t>13.62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15.93</w:t>
            </w:r>
          </w:p>
        </w:tc>
        <w:tc>
          <w:tcPr>
            <w:tcW w:w="2551" w:type="dxa"/>
            <w:vAlign w:val="center"/>
          </w:tcPr>
          <w:p>
            <w:pPr>
              <w:pStyle w:val="12"/>
            </w:pPr>
            <w:r>
              <w:t>15.93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27.50</w:t>
            </w:r>
          </w:p>
        </w:tc>
        <w:tc>
          <w:tcPr>
            <w:tcW w:w="2551" w:type="dxa"/>
            <w:vAlign w:val="center"/>
          </w:tcPr>
          <w:p>
            <w:pPr>
              <w:pStyle w:val="12"/>
            </w:pPr>
          </w:p>
        </w:tc>
        <w:tc>
          <w:tcPr>
            <w:tcW w:w="2551" w:type="dxa"/>
            <w:vAlign w:val="center"/>
          </w:tcPr>
          <w:p>
            <w:pPr>
              <w:pStyle w:val="12"/>
            </w:pPr>
            <w: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2110499</w:t>
            </w:r>
          </w:p>
        </w:tc>
        <w:tc>
          <w:tcPr>
            <w:tcW w:w="4535" w:type="dxa"/>
            <w:vAlign w:val="center"/>
          </w:tcPr>
          <w:p>
            <w:pPr>
              <w:pStyle w:val="13"/>
            </w:pPr>
            <w:r>
              <w:t>其他自然生态保护支出</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49.58</w:t>
            </w:r>
          </w:p>
        </w:tc>
        <w:tc>
          <w:tcPr>
            <w:tcW w:w="2551" w:type="dxa"/>
            <w:vAlign w:val="center"/>
          </w:tcPr>
          <w:p>
            <w:pPr>
              <w:pStyle w:val="12"/>
            </w:pPr>
          </w:p>
        </w:tc>
        <w:tc>
          <w:tcPr>
            <w:tcW w:w="2551" w:type="dxa"/>
            <w:vAlign w:val="center"/>
          </w:tcPr>
          <w:p>
            <w:pPr>
              <w:pStyle w:val="12"/>
            </w:pPr>
            <w:r>
              <w:t>49.58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48.58</w:t>
            </w:r>
          </w:p>
        </w:tc>
        <w:tc>
          <w:tcPr>
            <w:tcW w:w="2551" w:type="dxa"/>
            <w:vAlign w:val="center"/>
          </w:tcPr>
          <w:p>
            <w:pPr>
              <w:pStyle w:val="12"/>
            </w:pPr>
          </w:p>
        </w:tc>
        <w:tc>
          <w:tcPr>
            <w:tcW w:w="2551"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48.58</w:t>
            </w:r>
          </w:p>
        </w:tc>
        <w:tc>
          <w:tcPr>
            <w:tcW w:w="2551" w:type="dxa"/>
            <w:vAlign w:val="center"/>
          </w:tcPr>
          <w:p>
            <w:pPr>
              <w:pStyle w:val="12"/>
            </w:pPr>
          </w:p>
        </w:tc>
        <w:tc>
          <w:tcPr>
            <w:tcW w:w="2551"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600.86</w:t>
            </w:r>
          </w:p>
        </w:tc>
        <w:tc>
          <w:tcPr>
            <w:tcW w:w="2551" w:type="dxa"/>
            <w:vAlign w:val="center"/>
          </w:tcPr>
          <w:p>
            <w:pPr>
              <w:pStyle w:val="16"/>
            </w:pPr>
            <w:r>
              <w:t>526.51</w:t>
            </w:r>
          </w:p>
        </w:tc>
        <w:tc>
          <w:tcPr>
            <w:tcW w:w="2551" w:type="dxa"/>
            <w:vAlign w:val="center"/>
          </w:tcPr>
          <w:p>
            <w:pPr>
              <w:pStyle w:val="16"/>
            </w:pPr>
            <w:r>
              <w:t>74.35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480.58</w:t>
            </w:r>
          </w:p>
        </w:tc>
        <w:tc>
          <w:tcPr>
            <w:tcW w:w="2551" w:type="dxa"/>
            <w:vAlign w:val="center"/>
          </w:tcPr>
          <w:p>
            <w:pPr>
              <w:pStyle w:val="12"/>
            </w:pPr>
            <w:r>
              <w:t>480.58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183.40</w:t>
            </w:r>
          </w:p>
        </w:tc>
        <w:tc>
          <w:tcPr>
            <w:tcW w:w="2551" w:type="dxa"/>
            <w:vAlign w:val="center"/>
          </w:tcPr>
          <w:p>
            <w:pPr>
              <w:pStyle w:val="12"/>
            </w:pPr>
            <w:r>
              <w:t>183.40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89.11</w:t>
            </w:r>
          </w:p>
        </w:tc>
        <w:tc>
          <w:tcPr>
            <w:tcW w:w="2551" w:type="dxa"/>
            <w:vAlign w:val="center"/>
          </w:tcPr>
          <w:p>
            <w:pPr>
              <w:pStyle w:val="12"/>
            </w:pPr>
            <w:r>
              <w:t>89.11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23.42</w:t>
            </w:r>
          </w:p>
        </w:tc>
        <w:tc>
          <w:tcPr>
            <w:tcW w:w="2551" w:type="dxa"/>
            <w:vAlign w:val="center"/>
          </w:tcPr>
          <w:p>
            <w:pPr>
              <w:pStyle w:val="12"/>
            </w:pPr>
            <w:r>
              <w:t>23.42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55.78</w:t>
            </w:r>
          </w:p>
        </w:tc>
        <w:tc>
          <w:tcPr>
            <w:tcW w:w="2551" w:type="dxa"/>
            <w:vAlign w:val="center"/>
          </w:tcPr>
          <w:p>
            <w:pPr>
              <w:pStyle w:val="12"/>
            </w:pPr>
            <w:r>
              <w:t>55.78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1.57</w:t>
            </w:r>
          </w:p>
        </w:tc>
        <w:tc>
          <w:tcPr>
            <w:tcW w:w="2551" w:type="dxa"/>
            <w:vAlign w:val="center"/>
          </w:tcPr>
          <w:p>
            <w:pPr>
              <w:pStyle w:val="12"/>
            </w:pPr>
            <w:r>
              <w:t>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29.55</w:t>
            </w:r>
          </w:p>
        </w:tc>
        <w:tc>
          <w:tcPr>
            <w:tcW w:w="2551" w:type="dxa"/>
            <w:vAlign w:val="center"/>
          </w:tcPr>
          <w:p>
            <w:pPr>
              <w:pStyle w:val="12"/>
            </w:pPr>
            <w:r>
              <w:t>29.55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1.73</w:t>
            </w:r>
          </w:p>
        </w:tc>
        <w:tc>
          <w:tcPr>
            <w:tcW w:w="2551" w:type="dxa"/>
            <w:vAlign w:val="center"/>
          </w:tcPr>
          <w:p>
            <w:pPr>
              <w:pStyle w:val="12"/>
            </w:pPr>
            <w:r>
              <w:t>1.73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74.35</w:t>
            </w:r>
          </w:p>
        </w:tc>
        <w:tc>
          <w:tcPr>
            <w:tcW w:w="2551" w:type="dxa"/>
            <w:vAlign w:val="center"/>
          </w:tcPr>
          <w:p>
            <w:pPr>
              <w:pStyle w:val="12"/>
            </w:pPr>
          </w:p>
        </w:tc>
        <w:tc>
          <w:tcPr>
            <w:tcW w:w="2551" w:type="dxa"/>
            <w:vAlign w:val="center"/>
          </w:tcPr>
          <w:p>
            <w:pPr>
              <w:pStyle w:val="12"/>
            </w:pPr>
            <w:r>
              <w:t>74.35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27.43</w:t>
            </w:r>
          </w:p>
        </w:tc>
        <w:tc>
          <w:tcPr>
            <w:tcW w:w="2551" w:type="dxa"/>
            <w:vAlign w:val="center"/>
          </w:tcPr>
          <w:p>
            <w:pPr>
              <w:pStyle w:val="12"/>
            </w:pPr>
          </w:p>
        </w:tc>
        <w:tc>
          <w:tcPr>
            <w:tcW w:w="2551" w:type="dxa"/>
            <w:vAlign w:val="center"/>
          </w:tcPr>
          <w:p>
            <w:pPr>
              <w:pStyle w:val="12"/>
            </w:pPr>
            <w:r>
              <w:t>27.43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13.80</w:t>
            </w:r>
          </w:p>
        </w:tc>
        <w:tc>
          <w:tcPr>
            <w:tcW w:w="2551" w:type="dxa"/>
            <w:vAlign w:val="center"/>
          </w:tcPr>
          <w:p>
            <w:pPr>
              <w:pStyle w:val="12"/>
            </w:pP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0.96</w:t>
            </w:r>
          </w:p>
        </w:tc>
        <w:tc>
          <w:tcPr>
            <w:tcW w:w="2551" w:type="dxa"/>
            <w:vAlign w:val="center"/>
          </w:tcPr>
          <w:p>
            <w:pPr>
              <w:pStyle w:val="12"/>
            </w:pPr>
          </w:p>
        </w:tc>
        <w:tc>
          <w:tcPr>
            <w:tcW w:w="2551"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19.46</w:t>
            </w:r>
          </w:p>
        </w:tc>
        <w:tc>
          <w:tcPr>
            <w:tcW w:w="2551" w:type="dxa"/>
            <w:vAlign w:val="center"/>
          </w:tcPr>
          <w:p>
            <w:pPr>
              <w:pStyle w:val="12"/>
            </w:pPr>
          </w:p>
        </w:tc>
        <w:tc>
          <w:tcPr>
            <w:tcW w:w="2551" w:type="dxa"/>
            <w:vAlign w:val="center"/>
          </w:tcPr>
          <w:p>
            <w:pPr>
              <w:pStyle w:val="12"/>
            </w:pPr>
            <w:r>
              <w:t>19.46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45.93</w:t>
            </w:r>
          </w:p>
        </w:tc>
        <w:tc>
          <w:tcPr>
            <w:tcW w:w="2551" w:type="dxa"/>
            <w:vAlign w:val="center"/>
          </w:tcPr>
          <w:p>
            <w:pPr>
              <w:pStyle w:val="12"/>
            </w:pPr>
            <w:r>
              <w:t>45.93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11.55</w:t>
            </w:r>
          </w:p>
        </w:tc>
        <w:tc>
          <w:tcPr>
            <w:tcW w:w="2551" w:type="dxa"/>
            <w:vAlign w:val="center"/>
          </w:tcPr>
          <w:p>
            <w:pPr>
              <w:pStyle w:val="12"/>
            </w:pPr>
            <w:r>
              <w:t>11.55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9.62</w:t>
            </w:r>
          </w:p>
        </w:tc>
        <w:tc>
          <w:tcPr>
            <w:tcW w:w="2551" w:type="dxa"/>
            <w:vAlign w:val="center"/>
          </w:tcPr>
          <w:p>
            <w:pPr>
              <w:pStyle w:val="12"/>
            </w:pPr>
            <w:r>
              <w:t>9.62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731"/>
        <w:gridCol w:w="2146"/>
        <w:gridCol w:w="1893"/>
        <w:gridCol w:w="1915"/>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369" w:hRule="atLeast"/>
          <w:tblHeader/>
          <w:jc w:val="center"/>
        </w:trPr>
        <w:tc>
          <w:tcPr>
            <w:tcW w:w="6520"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kern w:val="2"/>
              </w:rPr>
            </w:pPr>
            <w:r>
              <w:rPr>
                <w:kern w:val="2"/>
              </w:rPr>
              <w:t>905青龙满族自治县官场乡人民政府</w:t>
            </w:r>
          </w:p>
        </w:tc>
        <w:tc>
          <w:tcPr>
            <w:tcW w:w="5712"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eastAsia" w:eastAsia="方正小标宋_GBK"/>
                <w:kern w:val="2"/>
                <w:lang w:eastAsia="zh-CN"/>
              </w:rPr>
            </w:pPr>
            <w:r>
              <w:rPr>
                <w:kern w:val="2"/>
              </w:rPr>
              <w:t>预算年度：202</w:t>
            </w:r>
            <w:r>
              <w:rPr>
                <w:rFonts w:hint="eastAsia"/>
                <w:kern w:val="2"/>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369" w:hRule="atLeast"/>
          <w:tblHeader/>
          <w:jc w:val="center"/>
        </w:trPr>
        <w:tc>
          <w:tcPr>
            <w:tcW w:w="1643" w:type="dxa"/>
            <w:vMerge w:val="restart"/>
            <w:vAlign w:val="center"/>
          </w:tcPr>
          <w:p>
            <w:pPr>
              <w:pStyle w:val="11"/>
              <w:keepNext w:val="0"/>
              <w:keepLines w:val="0"/>
              <w:widowControl/>
              <w:suppressLineNumbers w:val="0"/>
              <w:spacing w:beforeAutospacing="0" w:afterAutospacing="0"/>
              <w:ind w:left="0" w:right="0"/>
              <w:rPr>
                <w:kern w:val="2"/>
              </w:rPr>
            </w:pPr>
            <w:r>
              <w:rPr>
                <w:kern w:val="2"/>
              </w:rPr>
              <w:t>序号</w:t>
            </w:r>
          </w:p>
        </w:tc>
        <w:tc>
          <w:tcPr>
            <w:tcW w:w="10589" w:type="dxa"/>
            <w:gridSpan w:val="5"/>
            <w:vAlign w:val="center"/>
          </w:tcPr>
          <w:p>
            <w:pPr>
              <w:pStyle w:val="11"/>
              <w:keepNext w:val="0"/>
              <w:keepLines w:val="0"/>
              <w:widowControl/>
              <w:suppressLineNumbers w:val="0"/>
              <w:spacing w:beforeAutospacing="0" w:afterAutospacing="0"/>
              <w:ind w:left="0" w:right="0"/>
              <w:rPr>
                <w:kern w:val="2"/>
              </w:rPr>
            </w:pPr>
            <w:r>
              <w:rPr>
                <w:kern w:val="2"/>
              </w:rP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2731" w:type="dxa"/>
            <w:vAlign w:val="top"/>
          </w:tcPr>
          <w:p>
            <w:pPr>
              <w:keepNext w:val="0"/>
              <w:keepLines w:val="0"/>
              <w:widowControl/>
              <w:suppressLineNumbers w:val="0"/>
              <w:spacing w:before="0" w:beforeAutospacing="0" w:after="0" w:afterAutospacing="0"/>
              <w:ind w:left="0" w:right="0"/>
              <w:rPr>
                <w:kern w:val="2"/>
              </w:rPr>
            </w:pPr>
          </w:p>
        </w:tc>
        <w:tc>
          <w:tcPr>
            <w:tcW w:w="2146" w:type="dxa"/>
            <w:vAlign w:val="center"/>
          </w:tcPr>
          <w:p>
            <w:pPr>
              <w:pStyle w:val="11"/>
              <w:keepNext w:val="0"/>
              <w:keepLines w:val="0"/>
              <w:widowControl/>
              <w:suppressLineNumbers w:val="0"/>
              <w:spacing w:beforeAutospacing="0" w:afterAutospacing="0"/>
              <w:ind w:left="0" w:right="0"/>
              <w:rPr>
                <w:kern w:val="2"/>
              </w:rPr>
            </w:pPr>
            <w:r>
              <w:rPr>
                <w:kern w:val="2"/>
              </w:rPr>
              <w:t>合计</w:t>
            </w:r>
          </w:p>
        </w:tc>
        <w:tc>
          <w:tcPr>
            <w:tcW w:w="1893" w:type="dxa"/>
            <w:vAlign w:val="center"/>
          </w:tcPr>
          <w:p>
            <w:pPr>
              <w:pStyle w:val="11"/>
              <w:keepNext w:val="0"/>
              <w:keepLines w:val="0"/>
              <w:widowControl/>
              <w:suppressLineNumbers w:val="0"/>
              <w:spacing w:beforeAutospacing="0" w:afterAutospacing="0"/>
              <w:ind w:left="0" w:right="0"/>
              <w:rPr>
                <w:kern w:val="2"/>
              </w:rPr>
            </w:pPr>
            <w:r>
              <w:rPr>
                <w:kern w:val="2"/>
              </w:rPr>
              <w:t>一般公共预算              财政拨款</w:t>
            </w:r>
          </w:p>
        </w:tc>
        <w:tc>
          <w:tcPr>
            <w:tcW w:w="1915" w:type="dxa"/>
            <w:vAlign w:val="center"/>
          </w:tcPr>
          <w:p>
            <w:pPr>
              <w:pStyle w:val="11"/>
              <w:keepNext w:val="0"/>
              <w:keepLines w:val="0"/>
              <w:widowControl/>
              <w:suppressLineNumbers w:val="0"/>
              <w:spacing w:beforeAutospacing="0" w:afterAutospacing="0"/>
              <w:ind w:left="0" w:right="0"/>
              <w:rPr>
                <w:kern w:val="2"/>
              </w:rPr>
            </w:pPr>
            <w:r>
              <w:rPr>
                <w:kern w:val="2"/>
              </w:rPr>
              <w:t>政府性基金                  预算拨款</w:t>
            </w:r>
          </w:p>
        </w:tc>
        <w:tc>
          <w:tcPr>
            <w:tcW w:w="1904" w:type="dxa"/>
            <w:vAlign w:val="center"/>
          </w:tcPr>
          <w:p>
            <w:pPr>
              <w:pStyle w:val="11"/>
              <w:keepNext w:val="0"/>
              <w:keepLines w:val="0"/>
              <w:widowControl/>
              <w:suppressLineNumbers w:val="0"/>
              <w:spacing w:beforeAutospacing="0" w:afterAutospacing="0"/>
              <w:ind w:left="0" w:right="0"/>
              <w:rPr>
                <w:kern w:val="2"/>
              </w:rPr>
            </w:pPr>
            <w:r>
              <w:rPr>
                <w:kern w:val="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tblHeader/>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栏次</w:t>
            </w:r>
          </w:p>
        </w:tc>
        <w:tc>
          <w:tcPr>
            <w:tcW w:w="2731"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2146"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89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915"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904" w:type="dxa"/>
            <w:vAlign w:val="center"/>
          </w:tcPr>
          <w:p>
            <w:pPr>
              <w:pStyle w:val="11"/>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1</w:t>
            </w:r>
          </w:p>
        </w:tc>
        <w:tc>
          <w:tcPr>
            <w:tcW w:w="2731" w:type="dxa"/>
            <w:vAlign w:val="center"/>
          </w:tcPr>
          <w:p>
            <w:pPr>
              <w:pStyle w:val="15"/>
              <w:keepNext w:val="0"/>
              <w:keepLines w:val="0"/>
              <w:widowControl/>
              <w:suppressLineNumbers w:val="0"/>
              <w:spacing w:beforeAutospacing="0" w:afterAutospacing="0"/>
              <w:ind w:left="0" w:right="0"/>
              <w:rPr>
                <w:kern w:val="2"/>
              </w:rPr>
            </w:pPr>
            <w:r>
              <w:rPr>
                <w:kern w:val="2"/>
              </w:rPr>
              <w:t>“三公”经费小计</w:t>
            </w:r>
          </w:p>
        </w:tc>
        <w:tc>
          <w:tcPr>
            <w:tcW w:w="2146" w:type="dxa"/>
            <w:vAlign w:val="center"/>
          </w:tcPr>
          <w:p>
            <w:pPr>
              <w:pStyle w:val="16"/>
              <w:keepNext w:val="0"/>
              <w:keepLines w:val="0"/>
              <w:widowControl/>
              <w:suppressLineNumbers w:val="0"/>
              <w:spacing w:beforeAutospacing="0" w:afterAutospacing="0"/>
              <w:ind w:left="0" w:right="0"/>
              <w:rPr>
                <w:kern w:val="2"/>
              </w:rPr>
            </w:pPr>
            <w:r>
              <w:rPr>
                <w:rFonts w:hint="eastAsia"/>
                <w:kern w:val="2"/>
                <w:lang w:val="en-US" w:eastAsia="zh-CN"/>
              </w:rPr>
              <w:t>4</w:t>
            </w:r>
            <w:r>
              <w:rPr>
                <w:kern w:val="2"/>
              </w:rPr>
              <w:t>.20</w:t>
            </w:r>
          </w:p>
        </w:tc>
        <w:tc>
          <w:tcPr>
            <w:tcW w:w="1893" w:type="dxa"/>
            <w:vAlign w:val="center"/>
          </w:tcPr>
          <w:p>
            <w:pPr>
              <w:pStyle w:val="16"/>
              <w:keepNext w:val="0"/>
              <w:keepLines w:val="0"/>
              <w:widowControl/>
              <w:suppressLineNumbers w:val="0"/>
              <w:spacing w:beforeAutospacing="0" w:afterAutospacing="0"/>
              <w:ind w:left="0" w:right="0"/>
              <w:rPr>
                <w:kern w:val="2"/>
              </w:rPr>
            </w:pPr>
            <w:r>
              <w:rPr>
                <w:rFonts w:hint="eastAsia"/>
                <w:kern w:val="2"/>
                <w:lang w:val="en-US" w:eastAsia="zh-CN"/>
              </w:rPr>
              <w:t>4</w:t>
            </w:r>
            <w:r>
              <w:rPr>
                <w:kern w:val="2"/>
              </w:rPr>
              <w:t>.20</w:t>
            </w:r>
          </w:p>
        </w:tc>
        <w:tc>
          <w:tcPr>
            <w:tcW w:w="1915" w:type="dxa"/>
            <w:vAlign w:val="center"/>
          </w:tcPr>
          <w:p>
            <w:pPr>
              <w:pStyle w:val="16"/>
              <w:keepNext w:val="0"/>
              <w:keepLines w:val="0"/>
              <w:widowControl/>
              <w:suppressLineNumbers w:val="0"/>
              <w:spacing w:beforeAutospacing="0" w:afterAutospacing="0"/>
              <w:ind w:left="0" w:right="0"/>
              <w:rPr>
                <w:kern w:val="2"/>
              </w:rPr>
            </w:pPr>
          </w:p>
        </w:tc>
        <w:tc>
          <w:tcPr>
            <w:tcW w:w="1904" w:type="dxa"/>
            <w:vAlign w:val="center"/>
          </w:tcPr>
          <w:p>
            <w:pPr>
              <w:pStyle w:val="16"/>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2</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一、因公出国（境）费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3</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其中：教学科研人员因公出国（境）费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4</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其他因公出国（境）费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5</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二、公务用车购置及运维费</w:t>
            </w:r>
          </w:p>
        </w:tc>
        <w:tc>
          <w:tcPr>
            <w:tcW w:w="2146"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893"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6</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其中：公务用车购置费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7</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公务用车运行维护费</w:t>
            </w:r>
          </w:p>
        </w:tc>
        <w:tc>
          <w:tcPr>
            <w:tcW w:w="2146"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893"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8</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三、公务接待费</w:t>
            </w:r>
          </w:p>
        </w:tc>
        <w:tc>
          <w:tcPr>
            <w:tcW w:w="2146" w:type="dxa"/>
            <w:vAlign w:val="center"/>
          </w:tcPr>
          <w:p>
            <w:pPr>
              <w:pStyle w:val="12"/>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1893" w:type="dxa"/>
            <w:vAlign w:val="center"/>
          </w:tcPr>
          <w:p>
            <w:pPr>
              <w:pStyle w:val="12"/>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p>
          <w:p>
            <w:pPr>
              <w:pStyle w:val="14"/>
              <w:keepNext w:val="0"/>
              <w:keepLines w:val="0"/>
              <w:widowControl/>
              <w:suppressLineNumbers w:val="0"/>
              <w:spacing w:beforeAutospacing="0" w:afterAutospacing="0"/>
              <w:ind w:left="0" w:right="0"/>
              <w:rPr>
                <w:kern w:val="2"/>
              </w:rPr>
            </w:pPr>
          </w:p>
          <w:p>
            <w:pPr>
              <w:pStyle w:val="14"/>
              <w:keepNext w:val="0"/>
              <w:keepLines w:val="0"/>
              <w:widowControl/>
              <w:suppressLineNumbers w:val="0"/>
              <w:spacing w:beforeAutospacing="0" w:afterAutospacing="0"/>
              <w:ind w:left="0" w:right="0"/>
              <w:rPr>
                <w:kern w:val="2"/>
              </w:rPr>
            </w:pPr>
          </w:p>
        </w:tc>
        <w:tc>
          <w:tcPr>
            <w:tcW w:w="2731" w:type="dxa"/>
            <w:vAlign w:val="center"/>
          </w:tcPr>
          <w:p>
            <w:pPr>
              <w:pStyle w:val="13"/>
              <w:keepNext w:val="0"/>
              <w:keepLines w:val="0"/>
              <w:widowControl/>
              <w:suppressLineNumbers w:val="0"/>
              <w:spacing w:beforeAutospacing="0" w:afterAutospacing="0"/>
              <w:ind w:left="0" w:right="0"/>
              <w:rPr>
                <w:kern w:val="2"/>
              </w:rPr>
            </w:pPr>
          </w:p>
        </w:tc>
        <w:tc>
          <w:tcPr>
            <w:tcW w:w="2146" w:type="dxa"/>
            <w:vAlign w:val="center"/>
          </w:tcPr>
          <w:p>
            <w:pPr>
              <w:pStyle w:val="12"/>
              <w:keepNext w:val="0"/>
              <w:keepLines w:val="0"/>
              <w:widowControl/>
              <w:suppressLineNumbers w:val="0"/>
              <w:spacing w:beforeAutospacing="0" w:afterAutospacing="0"/>
              <w:ind w:left="0" w:right="0"/>
              <w:rPr>
                <w:rFonts w:hint="eastAsia"/>
                <w:kern w:val="2"/>
                <w:lang w:val="en-US" w:eastAsia="zh-CN"/>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青龙满族自治县官场乡人民政府2025年部门预算信息公开情况说明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按照《中华人民共和国预算法》、《地方预决算公开操作规程》和《关于进一步推进预算公开工作的实施意见》规定，现将青龙满族自治县官场乡人民政府2025年部门预算公开如下：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青龙满族自治县官场乡人民政府本级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按照预算管理有关规定，目前部门预算的编制实行综合预算管理，即全部收入和支出都反映在预算中。青龙满族自治县官场乡人民政府机关及所属事业单位的收支包含在部门预算中。</w:t>
      </w:r>
    </w:p>
    <w:p>
      <w:pPr>
        <w:pStyle w:val="19"/>
      </w:pPr>
      <w:r>
        <w:t>1、收入说明</w:t>
      </w:r>
    </w:p>
    <w:p>
      <w:pPr>
        <w:pStyle w:val="19"/>
      </w:pPr>
      <w:r>
        <w:t>反映本部门当年全部收入。2025年预算收入686.95万元，其中：一般公共预算收入610.37万元，基金预算收入0.00万元，国有资本经营预算收入0.00万元，财政专户核拨收入0.00万元，单位资金收入0.00万元，上年结转结余76.57万元。</w:t>
      </w:r>
    </w:p>
    <w:p>
      <w:pPr>
        <w:pStyle w:val="19"/>
      </w:pPr>
      <w:r>
        <w:t>2、支出说明</w:t>
      </w:r>
    </w:p>
    <w:p>
      <w:pPr>
        <w:pStyle w:val="19"/>
      </w:pPr>
      <w:r>
        <w:t>收支预算总表支出栏、基本支出表、项目支出表按经济分类和支出功能分类科目编制，反映青龙满族自治县官场乡人民政府年度部门预算中支出预算的总体情况。2025年支出预算686.95万元，其中基本支出600.86万元，包括人员经费526.51万元和日常公用经费74.35万元；项目支出86.09万元，主要为燃煤锅炉改造及清洁能源补贴、防火防汛、综治、党建和防贫等经费支出。</w:t>
      </w:r>
    </w:p>
    <w:p>
      <w:pPr>
        <w:pStyle w:val="19"/>
      </w:pPr>
      <w:r>
        <w:t>3、比上年增减情况</w:t>
      </w:r>
    </w:p>
    <w:p>
      <w:pPr>
        <w:pStyle w:val="19"/>
      </w:pPr>
      <w:r>
        <w:t>2025年预算收支安排686.95万元，较2024年预算减少184.96万元，其中：基本支出减少51.46万元，主要为主要为人员经费减少。项目支出减少133.51万元，主要为主要为上年度财政未拨付。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2025年，我部门机关运行经费共计安排74.35万元，主要用于日常维修、办公用房水电费、办公用房取暖费、办公用房物业管理费等日常运行支出。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4.2</w:t>
      </w:r>
      <w:r>
        <w:t>万元，其中因公出国（境）费0.00万元；公务用车购置及运维费</w:t>
      </w:r>
      <w:r>
        <w:rPr>
          <w:rFonts w:hint="eastAsia"/>
          <w:lang w:val="en-US" w:eastAsia="zh-CN"/>
        </w:rPr>
        <w:t>3.2</w:t>
      </w:r>
      <w:r>
        <w:t>万元（其中：公务用车购置费为0.00万元，公务用车运维费</w:t>
      </w:r>
      <w:r>
        <w:rPr>
          <w:rFonts w:hint="eastAsia"/>
          <w:lang w:val="en-US" w:eastAsia="zh-CN"/>
        </w:rPr>
        <w:t>3.2</w:t>
      </w:r>
      <w:r>
        <w:t>万元)；公务接待费</w:t>
      </w:r>
      <w:r>
        <w:rPr>
          <w:rFonts w:hint="eastAsia"/>
          <w:lang w:val="en-US" w:eastAsia="zh-CN"/>
        </w:rPr>
        <w:t>1</w:t>
      </w:r>
      <w:r>
        <w:t>.00万元。与2024年相比减少</w:t>
      </w:r>
      <w:r>
        <w:rPr>
          <w:rFonts w:hint="eastAsia"/>
          <w:lang w:val="en-US" w:eastAsia="zh-CN"/>
        </w:rPr>
        <w:t>2.0</w:t>
      </w:r>
      <w:r>
        <w:t>万元，增减变化的主要原因是我部门认真贯彻落实中央“八项规定”要求，严格执行公务用车管理办法，公务用车运维费一直保持低位运行。</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官场乡政府坚定推进“环境立乡、产业强乡、开放兴乡、和谐安乡”四大战略和“11134”工作思路，即：一个引擎，以环境优化为引擎；一个基础，以和谐稳定为基础；一个保障，以队伍建设为保障；三个重点，抓好项目建设、农业转型（特色种植、规模养殖、生态旅游）、乡村建设（花园乡村、文化乡村）三项工作重点；三大目标，努力建设宜居、宜游、宜业、美丽幸福富裕新官场。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一、扶贫产业资金及时足额落实到位，产业项目建设圆满完成，提质增效入户类扶贫资金全额到户。集中力量，整合资源，圆满实现脱贫攻坚阶段性胜利。</w:t>
      </w:r>
    </w:p>
    <w:p>
      <w:pPr>
        <w:pStyle w:val="23"/>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3"/>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3"/>
      </w:pPr>
      <w:r>
        <w:t>四、做好青年统战对象的团结教育、引导、服务工作，为全县经济社会发展贡献力量。</w:t>
      </w:r>
    </w:p>
    <w:p>
      <w:pPr>
        <w:pStyle w:val="23"/>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3"/>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3"/>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3"/>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3"/>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3"/>
      </w:pPr>
      <w:r>
        <w:t xml:space="preserve">九、严格按照法律法规规定开展村财管工作，确保实现农村基层财务管理规范化、公开化。完善农村综合改革，保 障村级行政运行经费、村干部工资及时足额到位。 </w:t>
      </w:r>
    </w:p>
    <w:p>
      <w:pPr>
        <w:pStyle w:val="23"/>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3"/>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1、今年发展规划目标在官场乡人民代表大会通过后实施，每年乡人大会须向代表报告规划实施情况。</w:t>
      </w:r>
    </w:p>
    <w:p>
      <w:pPr>
        <w:pStyle w:val="24"/>
      </w:pPr>
      <w:r>
        <w:t>2、每项规划目标确定一名乡领导专抓，建立专门工作机构，确保规划落到实处。</w:t>
      </w:r>
    </w:p>
    <w:p>
      <w:pPr>
        <w:pStyle w:val="24"/>
      </w:pPr>
      <w:r>
        <w:t>3、规划目标进展情况要列入乡党政工作议事日程，列入年终目标管理考核内容。定期检查，公布进展情况。</w:t>
      </w:r>
    </w:p>
    <w:p>
      <w:pPr>
        <w:pStyle w:val="24"/>
      </w:pPr>
      <w:r>
        <w:t>还要具体抓好以下工作：</w:t>
      </w:r>
    </w:p>
    <w:p>
      <w:pPr>
        <w:pStyle w:val="24"/>
      </w:pPr>
      <w:r>
        <w:t xml:space="preserve">（一）环境优化 </w:t>
      </w:r>
    </w:p>
    <w:p>
      <w:pPr>
        <w:pStyle w:val="24"/>
      </w:pPr>
      <w:r>
        <w:t xml:space="preserve">1、努力抓好生态环境发展。我乡没有多少工业项目，山清水绿无污染是我乡的特有优势。在谋划项目上，全乡上下将坚持破坏生态环境的项目不能上，零散乱的以牺牲和污染环境为代价的项目不能上。 </w:t>
      </w:r>
    </w:p>
    <w:p>
      <w:pPr>
        <w:pStyle w:val="24"/>
      </w:pPr>
      <w:r>
        <w:t>2、大力开展发展环境建设。一是硬环境建设，我乡比较落后，基础设施较差。蛇刘线是我乡最重要的运输通道，也是支撑我乡农业和农村经济发展的基础保障。我乡将继续向上级争取，改变交通落后局面。二是软环境建设，要继续加大党员干部思想教育和作风整顿力度。对责任心不强、作风浮漂、战斗力弱、工作严重失职、影响较坏的党员干部，坚决硬起手腕，予以组织处理，使党员干部进一步转变作风，强化服务意识，在经济发展中能真正起到模范带 头作用。</w:t>
      </w:r>
    </w:p>
    <w:p>
      <w:pPr>
        <w:pStyle w:val="24"/>
      </w:pPr>
      <w:r>
        <w:t xml:space="preserve">（二）项目建设富民工程 </w:t>
      </w:r>
    </w:p>
    <w:p>
      <w:pPr>
        <w:pStyle w:val="24"/>
      </w:pPr>
      <w:r>
        <w:t xml:space="preserve">1、抓项目策划，在积极储备上下功夫。围绕县委、县政府“生态、和谐、民族特色”新青龙的发展战略，实施我乡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 </w:t>
      </w:r>
    </w:p>
    <w:p>
      <w:pPr>
        <w:pStyle w:val="24"/>
      </w:pPr>
      <w:r>
        <w:t xml:space="preserve">2、抓项目报批，在争取政策上下功夫。抓住国家农业产业化扶持机遇，把已经形成规模的种植和养殖项目积极向上申报，尽量争取上级有关部门的扶持；实行“包村领导包项目，包项目领导包进度”机制，全程负责项目实施，全程负责项目跑办，及时解决企业在项目建设中遇到的难题，直到项目真正达产达效为止。 </w:t>
      </w:r>
    </w:p>
    <w:p>
      <w:pPr>
        <w:pStyle w:val="24"/>
      </w:pPr>
      <w:r>
        <w:t xml:space="preserve">3、抓招商引资，在做大做强上下功夫。目前我乡项目投资总量偏低，支柱产业偏少，招商力度偏弱，引资渠道偏窄。今后我乡要牢牢抓住“以商招商、以商会商、以商聚商”这条主线，创新招商举措，拓展引资门路，实现草碾乡以农业产业化为主导，农业转型为突破，工业企业为纽带，乡村旅游开发为依托的多种产业并进的经济发展方式，努力打造新的经济增长点，促进我乡经济又好又快发展。 </w:t>
      </w:r>
    </w:p>
    <w:p>
      <w:pPr>
        <w:pStyle w:val="24"/>
      </w:pPr>
      <w:r>
        <w:t xml:space="preserve">（三）农业转型 </w:t>
      </w:r>
    </w:p>
    <w:p>
      <w:pPr>
        <w:pStyle w:val="24"/>
      </w:pPr>
      <w:r>
        <w:t xml:space="preserve">1、进一步优化种植业结构。全面退出传统“玉米”种植模式，大力推进农业产业结构调整，逐步形成“以梨、山楂等深加工种植为重点、其他作物种植为补充”的“两大一小”农业产业结构调整新格局，不断提升我乡农业产业化、规模 化水平，带动我乡广大群众增收致富。 </w:t>
      </w:r>
    </w:p>
    <w:p>
      <w:pPr>
        <w:pStyle w:val="24"/>
      </w:pPr>
      <w:r>
        <w:t xml:space="preserve">2、加快发展现代畜牧业。采取龙头企业加农户的方式，抓住农业设施用地乡里审批的机遇，大力建设一批养羊、养 猪、养鸡项目或者其他项目，使养殖在我乡形成规模。 </w:t>
      </w:r>
    </w:p>
    <w:p>
      <w:pPr>
        <w:pStyle w:val="24"/>
      </w:pPr>
      <w:r>
        <w:t xml:space="preserve">3、大力发展农家生态游项目。利用我乡境内存有较为完好的古长城、生态环境未遭受污染破坏等优势，结合特色化种植、养殖，大力发展一些集垂钓、观光、采摘、餐饮住宿于一体的农家游项目，形成具有一定特色的山水旅游业。 </w:t>
      </w:r>
    </w:p>
    <w:p>
      <w:pPr>
        <w:pStyle w:val="24"/>
      </w:pPr>
      <w:r>
        <w:t xml:space="preserve">（四）农村环境面貌改造提升 </w:t>
      </w:r>
    </w:p>
    <w:p>
      <w:pPr>
        <w:pStyle w:val="24"/>
      </w:pPr>
      <w:r>
        <w:t xml:space="preserve">1、积极争取上级支持，继续改善村庄道路等公共基础设施建设，在继续完善文明生态村建设各项工作的基础上，指导其他村搞好新农村建设。 </w:t>
      </w:r>
    </w:p>
    <w:p>
      <w:pPr>
        <w:pStyle w:val="24"/>
      </w:pPr>
      <w:r>
        <w:t>2、正确处理好经济建设与环境保护的关系，推广沼气、太阳能等新型清洁能源建设，积极有效地保护好天然林和水源地。</w:t>
      </w:r>
    </w:p>
    <w:p>
      <w:pPr>
        <w:pStyle w:val="24"/>
      </w:pPr>
      <w:r>
        <w:t xml:space="preserve">3、继续推进花园乡村建设，继续加大以治理“脏、乱、差”为重点的环境优化工程，做到“卫生打扫好、垃圾清运好、污水处理好、环境绿化好、习惯引导好”，努力实现农村环境干净、整洁、有序。 </w:t>
      </w:r>
    </w:p>
    <w:p>
      <w:pPr>
        <w:pStyle w:val="24"/>
      </w:pPr>
      <w:r>
        <w:t xml:space="preserve">（五）社会和谐稳定 </w:t>
      </w:r>
    </w:p>
    <w:p>
      <w:pPr>
        <w:pStyle w:val="24"/>
        <w:sectPr>
          <w:pgSz w:w="16840" w:h="11900" w:orient="landscape"/>
          <w:pgMar w:top="1361" w:right="1020" w:bottom="1361" w:left="1020" w:header="720" w:footer="720" w:gutter="0"/>
          <w:cols w:space="720" w:num="1"/>
        </w:sectPr>
      </w:pPr>
      <w:r>
        <w:t xml:space="preserve">我乡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13032125P003349103541</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预算数1万元，其中财政资金1万元。主要用于党建日常办公。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1.践行“不忘初心、牢记使命”宗旨，充分发挥党的思想政治优势、组织优势和密切联系群众的优势。</w:t>
            </w:r>
            <w:r>
              <w:tab/>
            </w:r>
            <w:r>
              <w:tab/>
            </w:r>
            <w:r>
              <w:tab/>
            </w:r>
            <w:r>
              <w:tab/>
            </w:r>
            <w:r>
              <w:tab/>
            </w:r>
          </w:p>
          <w:p>
            <w:pPr>
              <w:pStyle w:val="13"/>
            </w:pPr>
            <w:r>
              <w:t>2.通过开展组织、宣传等党建工作，加强干部队伍建设，发挥基层党组织的作用。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5386" w:type="dxa"/>
            <w:vAlign w:val="center"/>
          </w:tcPr>
          <w:p>
            <w:pPr>
              <w:pStyle w:val="13"/>
            </w:pPr>
            <w:r>
              <w:t>组织宣传活动次数</w:t>
            </w:r>
          </w:p>
        </w:tc>
        <w:tc>
          <w:tcPr>
            <w:tcW w:w="2268" w:type="dxa"/>
            <w:vAlign w:val="center"/>
          </w:tcPr>
          <w:p>
            <w:pPr>
              <w:pStyle w:val="13"/>
            </w:pPr>
            <w:r>
              <w:t>≥10次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舆情信息数量（条）</w:t>
            </w:r>
          </w:p>
        </w:tc>
        <w:tc>
          <w:tcPr>
            <w:tcW w:w="5386" w:type="dxa"/>
            <w:vAlign w:val="center"/>
          </w:tcPr>
          <w:p>
            <w:pPr>
              <w:pStyle w:val="13"/>
            </w:pPr>
            <w:r>
              <w:t>收集、分析、上报舆情信息的数量</w:t>
            </w:r>
          </w:p>
        </w:tc>
        <w:tc>
          <w:tcPr>
            <w:tcW w:w="2268" w:type="dxa"/>
            <w:vAlign w:val="center"/>
          </w:tcPr>
          <w:p>
            <w:pPr>
              <w:pStyle w:val="13"/>
            </w:pPr>
            <w:r>
              <w:t>≥100条</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党员培训覆盖率（%）</w:t>
            </w:r>
          </w:p>
        </w:tc>
        <w:tc>
          <w:tcPr>
            <w:tcW w:w="5386" w:type="dxa"/>
            <w:vAlign w:val="center"/>
          </w:tcPr>
          <w:p>
            <w:pPr>
              <w:pStyle w:val="13"/>
            </w:pPr>
            <w:r>
              <w:t>培训对象数量占应覆盖对象数量的比率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党建工作达标率</w:t>
            </w:r>
          </w:p>
        </w:tc>
        <w:tc>
          <w:tcPr>
            <w:tcW w:w="5386" w:type="dxa"/>
            <w:vAlign w:val="center"/>
          </w:tcPr>
          <w:p>
            <w:pPr>
              <w:pStyle w:val="13"/>
            </w:pPr>
            <w:r>
              <w:t>党建工作达到上级相关规范及要求</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党建工作完成时效性</w:t>
            </w:r>
          </w:p>
        </w:tc>
        <w:tc>
          <w:tcPr>
            <w:tcW w:w="5386" w:type="dxa"/>
            <w:vAlign w:val="center"/>
          </w:tcPr>
          <w:p>
            <w:pPr>
              <w:pStyle w:val="13"/>
            </w:pPr>
            <w:r>
              <w:t>全年按计划完成各项工作</w:t>
            </w:r>
          </w:p>
        </w:tc>
        <w:tc>
          <w:tcPr>
            <w:tcW w:w="2268" w:type="dxa"/>
            <w:vAlign w:val="center"/>
          </w:tcPr>
          <w:p>
            <w:pPr>
              <w:pStyle w:val="13"/>
            </w:pPr>
            <w:r>
              <w:t>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党建费用支出控制情况</w:t>
            </w:r>
          </w:p>
        </w:tc>
        <w:tc>
          <w:tcPr>
            <w:tcW w:w="5386" w:type="dxa"/>
            <w:vAlign w:val="center"/>
          </w:tcPr>
          <w:p>
            <w:pPr>
              <w:pStyle w:val="13"/>
            </w:pPr>
            <w:r>
              <w:t>党建费用支出情况控制在年度预算额度内</w:t>
            </w:r>
          </w:p>
        </w:tc>
        <w:tc>
          <w:tcPr>
            <w:tcW w:w="2268" w:type="dxa"/>
            <w:vAlign w:val="center"/>
          </w:tcPr>
          <w:p>
            <w:pPr>
              <w:pStyle w:val="13"/>
            </w:pPr>
            <w:r>
              <w:t>≤1万元</w:t>
            </w:r>
          </w:p>
        </w:tc>
        <w:tc>
          <w:tcPr>
            <w:tcW w:w="1276" w:type="dxa"/>
            <w:vAlign w:val="center"/>
          </w:tcPr>
          <w:p>
            <w:pPr>
              <w:pStyle w:val="13"/>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基层党组织带动示范作用</w:t>
            </w:r>
          </w:p>
        </w:tc>
        <w:tc>
          <w:tcPr>
            <w:tcW w:w="5386" w:type="dxa"/>
            <w:vAlign w:val="center"/>
          </w:tcPr>
          <w:p>
            <w:pPr>
              <w:pStyle w:val="13"/>
            </w:pPr>
            <w:r>
              <w:t>通过党建工作促进党员队伍能力提升，在经济建设中发挥带动示范作用</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党员带头发展经济</w:t>
            </w:r>
          </w:p>
        </w:tc>
        <w:tc>
          <w:tcPr>
            <w:tcW w:w="5386" w:type="dxa"/>
            <w:vAlign w:val="center"/>
          </w:tcPr>
          <w:p>
            <w:pPr>
              <w:pStyle w:val="13"/>
            </w:pPr>
            <w:r>
              <w:t>通过党员带动发展经济，增加村民收入</w:t>
            </w:r>
          </w:p>
        </w:tc>
        <w:tc>
          <w:tcPr>
            <w:tcW w:w="2268" w:type="dxa"/>
            <w:vAlign w:val="center"/>
          </w:tcPr>
          <w:p>
            <w:pPr>
              <w:pStyle w:val="13"/>
            </w:pPr>
            <w:r>
              <w:t>≥2000元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群众对全乡党建满意度</w:t>
            </w:r>
          </w:p>
        </w:tc>
        <w:tc>
          <w:tcPr>
            <w:tcW w:w="5386" w:type="dxa"/>
            <w:vAlign w:val="center"/>
          </w:tcPr>
          <w:p>
            <w:pPr>
              <w:pStyle w:val="13"/>
            </w:pPr>
            <w:r>
              <w:t>全乡群众对党建工作的满意度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13032125P00334910353D</w:t>
            </w:r>
          </w:p>
        </w:tc>
        <w:tc>
          <w:tcPr>
            <w:tcW w:w="2835" w:type="dxa"/>
            <w:vAlign w:val="center"/>
          </w:tcPr>
          <w:p>
            <w:pPr>
              <w:pStyle w:val="11"/>
            </w:pPr>
            <w:r>
              <w:t>项目名称</w:t>
            </w:r>
          </w:p>
        </w:tc>
        <w:tc>
          <w:tcPr>
            <w:tcW w:w="6095" w:type="dxa"/>
            <w:gridSpan w:val="3"/>
            <w:vAlign w:val="center"/>
          </w:tcPr>
          <w:p>
            <w:pPr>
              <w:pStyle w:val="13"/>
            </w:pPr>
            <w:r>
              <w:t>防贫工作专项经费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预算数1万元，其中财政资金1万元。主要用于防贫日常办公。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1.为完成脱贫攻坚任务，提供有力保障。</w:t>
            </w:r>
            <w:r>
              <w:tab/>
            </w:r>
            <w:r>
              <w:tab/>
            </w:r>
            <w:r>
              <w:tab/>
            </w:r>
            <w:r>
              <w:tab/>
            </w:r>
          </w:p>
          <w:p>
            <w:pPr>
              <w:pStyle w:val="13"/>
            </w:pPr>
            <w:r>
              <w:t>2.通过项目实施，保障扶贫工作的正常进行。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贫困村脱贫出列数（个）</w:t>
            </w:r>
          </w:p>
        </w:tc>
        <w:tc>
          <w:tcPr>
            <w:tcW w:w="5386" w:type="dxa"/>
            <w:vAlign w:val="center"/>
          </w:tcPr>
          <w:p>
            <w:pPr>
              <w:pStyle w:val="13"/>
            </w:pPr>
            <w:r>
              <w:t>建档立卡贫困村脱贫出列数量</w:t>
            </w:r>
          </w:p>
        </w:tc>
        <w:tc>
          <w:tcPr>
            <w:tcW w:w="2268" w:type="dxa"/>
            <w:vAlign w:val="center"/>
          </w:tcPr>
          <w:p>
            <w:pPr>
              <w:pStyle w:val="13"/>
            </w:pPr>
            <w:r>
              <w:t>3个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农村脱贫人口比率</w:t>
            </w:r>
          </w:p>
        </w:tc>
        <w:tc>
          <w:tcPr>
            <w:tcW w:w="5386" w:type="dxa"/>
            <w:vAlign w:val="center"/>
          </w:tcPr>
          <w:p>
            <w:pPr>
              <w:pStyle w:val="13"/>
            </w:pPr>
            <w:r>
              <w:t>年度计划脱贫人口数量占贫困人口总数的比率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工作及时率</w:t>
            </w:r>
          </w:p>
        </w:tc>
        <w:tc>
          <w:tcPr>
            <w:tcW w:w="5386" w:type="dxa"/>
            <w:vAlign w:val="center"/>
          </w:tcPr>
          <w:p>
            <w:pPr>
              <w:pStyle w:val="13"/>
            </w:pPr>
            <w:r>
              <w:t>各项工作按年度计划完成</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扶贫工作交通费支出</w:t>
            </w:r>
          </w:p>
        </w:tc>
        <w:tc>
          <w:tcPr>
            <w:tcW w:w="5386" w:type="dxa"/>
            <w:vAlign w:val="center"/>
          </w:tcPr>
          <w:p>
            <w:pPr>
              <w:pStyle w:val="13"/>
            </w:pPr>
            <w:r>
              <w:t>下乡扶贫的租车等交通费用支出</w:t>
            </w:r>
          </w:p>
        </w:tc>
        <w:tc>
          <w:tcPr>
            <w:tcW w:w="2268" w:type="dxa"/>
            <w:vAlign w:val="center"/>
          </w:tcPr>
          <w:p>
            <w:pPr>
              <w:pStyle w:val="13"/>
            </w:pPr>
            <w:r>
              <w:t>&lt;0.5万元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扶贫工作办公费支出</w:t>
            </w:r>
          </w:p>
        </w:tc>
        <w:tc>
          <w:tcPr>
            <w:tcW w:w="5386" w:type="dxa"/>
            <w:vAlign w:val="center"/>
          </w:tcPr>
          <w:p>
            <w:pPr>
              <w:pStyle w:val="13"/>
            </w:pPr>
            <w:r>
              <w:t>用于下乡扶贫工作办公经费支出</w:t>
            </w:r>
          </w:p>
        </w:tc>
        <w:tc>
          <w:tcPr>
            <w:tcW w:w="2268" w:type="dxa"/>
            <w:vAlign w:val="center"/>
          </w:tcPr>
          <w:p>
            <w:pPr>
              <w:pStyle w:val="13"/>
            </w:pPr>
            <w:r>
              <w:t>≤0.3万元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扶贫慰问支出</w:t>
            </w:r>
          </w:p>
        </w:tc>
        <w:tc>
          <w:tcPr>
            <w:tcW w:w="5386" w:type="dxa"/>
            <w:vAlign w:val="center"/>
          </w:tcPr>
          <w:p>
            <w:pPr>
              <w:pStyle w:val="13"/>
            </w:pPr>
            <w:r>
              <w:t>用于下乡扶贫慰问支出</w:t>
            </w:r>
          </w:p>
        </w:tc>
        <w:tc>
          <w:tcPr>
            <w:tcW w:w="2268" w:type="dxa"/>
            <w:vAlign w:val="center"/>
          </w:tcPr>
          <w:p>
            <w:pPr>
              <w:pStyle w:val="13"/>
            </w:pPr>
            <w:r>
              <w:t>≤0.2万元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扶贫保障工作完成</w:t>
            </w:r>
          </w:p>
        </w:tc>
        <w:tc>
          <w:tcPr>
            <w:tcW w:w="5386" w:type="dxa"/>
            <w:vAlign w:val="center"/>
          </w:tcPr>
          <w:p>
            <w:pPr>
              <w:pStyle w:val="13"/>
            </w:pPr>
            <w:r>
              <w:t>反应保障脱贫工作的正常运行，解决下乡扶贫的后勤问题</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贫困村农民人均纯收入增长率（%）</w:t>
            </w:r>
          </w:p>
        </w:tc>
        <w:tc>
          <w:tcPr>
            <w:tcW w:w="5386" w:type="dxa"/>
            <w:vAlign w:val="center"/>
          </w:tcPr>
          <w:p>
            <w:pPr>
              <w:pStyle w:val="13"/>
            </w:pPr>
            <w:r>
              <w:t>贫困村农民人均纯收入的同比增长比率</w:t>
            </w:r>
          </w:p>
        </w:tc>
        <w:tc>
          <w:tcPr>
            <w:tcW w:w="2268" w:type="dxa"/>
            <w:vAlign w:val="center"/>
          </w:tcPr>
          <w:p>
            <w:pPr>
              <w:pStyle w:val="13"/>
            </w:pPr>
            <w:r>
              <w:t>≥20%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被帮扶贫困人员满意度</w:t>
            </w:r>
          </w:p>
        </w:tc>
        <w:tc>
          <w:tcPr>
            <w:tcW w:w="5386" w:type="dxa"/>
            <w:vAlign w:val="center"/>
          </w:tcPr>
          <w:p>
            <w:pPr>
              <w:pStyle w:val="13"/>
            </w:pPr>
            <w:r>
              <w:t>被帮扶贫困人员对扶贫工作的满意度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13032125P00334910352R</w:t>
            </w:r>
          </w:p>
        </w:tc>
        <w:tc>
          <w:tcPr>
            <w:tcW w:w="2835" w:type="dxa"/>
            <w:vAlign w:val="center"/>
          </w:tcPr>
          <w:p>
            <w:pPr>
              <w:pStyle w:val="11"/>
            </w:pPr>
            <w:r>
              <w:t>项目名称</w:t>
            </w:r>
          </w:p>
        </w:tc>
        <w:tc>
          <w:tcPr>
            <w:tcW w:w="6095" w:type="dxa"/>
            <w:gridSpan w:val="3"/>
            <w:vAlign w:val="center"/>
          </w:tcPr>
          <w:p>
            <w:pPr>
              <w:pStyle w:val="13"/>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预算数1万元，其中财政资金1万元。主要用于人大日常办公。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1.通过开展人大代表之家工作，提供场地和经费，有利于学习宣传宪法法律和党的路线方针政策及各级党委政府重大决策部署，定期开展代表活动。</w:t>
            </w:r>
            <w:r>
              <w:tab/>
            </w:r>
            <w:r>
              <w:tab/>
            </w:r>
            <w:r>
              <w:tab/>
            </w:r>
            <w:r>
              <w:tab/>
            </w:r>
          </w:p>
          <w:p>
            <w:pPr>
              <w:pStyle w:val="13"/>
            </w:pPr>
            <w:r>
              <w:t>2.通过学习宣传培训，开展代表活动，使得人大机关团体密切联系群众，能够定期开展人大代表接访、走访、约访、回访等工作，接受群众监督，提出议案建议。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计划召开学习宣传培训活动次数</w:t>
            </w:r>
          </w:p>
        </w:tc>
        <w:tc>
          <w:tcPr>
            <w:tcW w:w="2268" w:type="dxa"/>
            <w:vAlign w:val="center"/>
          </w:tcPr>
          <w:p>
            <w:pPr>
              <w:pStyle w:val="13"/>
            </w:pPr>
            <w:r>
              <w:t>≥2次</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开展调研的次数</w:t>
            </w:r>
          </w:p>
        </w:tc>
        <w:tc>
          <w:tcPr>
            <w:tcW w:w="5386" w:type="dxa"/>
            <w:vAlign w:val="center"/>
          </w:tcPr>
          <w:p>
            <w:pPr>
              <w:pStyle w:val="13"/>
            </w:pPr>
            <w:r>
              <w:t>计划开展调研的次数</w:t>
            </w:r>
          </w:p>
        </w:tc>
        <w:tc>
          <w:tcPr>
            <w:tcW w:w="2268" w:type="dxa"/>
            <w:vAlign w:val="center"/>
          </w:tcPr>
          <w:p>
            <w:pPr>
              <w:pStyle w:val="13"/>
            </w:pPr>
            <w:r>
              <w:t>≥5次</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完成调研报告数量</w:t>
            </w:r>
          </w:p>
        </w:tc>
        <w:tc>
          <w:tcPr>
            <w:tcW w:w="5386" w:type="dxa"/>
            <w:vAlign w:val="center"/>
          </w:tcPr>
          <w:p>
            <w:pPr>
              <w:pStyle w:val="13"/>
            </w:pPr>
            <w:r>
              <w:t>当年完成调研报告的数量</w:t>
            </w:r>
          </w:p>
        </w:tc>
        <w:tc>
          <w:tcPr>
            <w:tcW w:w="2268" w:type="dxa"/>
            <w:vAlign w:val="center"/>
          </w:tcPr>
          <w:p>
            <w:pPr>
              <w:pStyle w:val="13"/>
            </w:pPr>
            <w:r>
              <w:t>≥2篇</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做好协调组织工作，为代表依法履职提供服务</w:t>
            </w:r>
          </w:p>
        </w:tc>
        <w:tc>
          <w:tcPr>
            <w:tcW w:w="2268" w:type="dxa"/>
            <w:vAlign w:val="center"/>
          </w:tcPr>
          <w:p>
            <w:pPr>
              <w:pStyle w:val="13"/>
            </w:pPr>
            <w:r>
              <w:t>100%</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活动及时完成率</w:t>
            </w:r>
          </w:p>
        </w:tc>
        <w:tc>
          <w:tcPr>
            <w:tcW w:w="5386" w:type="dxa"/>
            <w:vAlign w:val="center"/>
          </w:tcPr>
          <w:p>
            <w:pPr>
              <w:pStyle w:val="13"/>
            </w:pPr>
            <w:r>
              <w:t>各项人大活动及时完成的比率</w:t>
            </w:r>
          </w:p>
        </w:tc>
        <w:tc>
          <w:tcPr>
            <w:tcW w:w="2268" w:type="dxa"/>
            <w:vAlign w:val="center"/>
          </w:tcPr>
          <w:p>
            <w:pPr>
              <w:pStyle w:val="13"/>
            </w:pPr>
            <w:r>
              <w:t>≥95%</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总体控制在年度预算额度内</w:t>
            </w:r>
          </w:p>
        </w:tc>
        <w:tc>
          <w:tcPr>
            <w:tcW w:w="2268" w:type="dxa"/>
            <w:vAlign w:val="center"/>
          </w:tcPr>
          <w:p>
            <w:pPr>
              <w:pStyle w:val="13"/>
            </w:pPr>
            <w:r>
              <w:t>≤1万元</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人大代表提出建议,被采纳率</w:t>
            </w:r>
          </w:p>
        </w:tc>
        <w:tc>
          <w:tcPr>
            <w:tcW w:w="2268" w:type="dxa"/>
            <w:vAlign w:val="center"/>
          </w:tcPr>
          <w:p>
            <w:pPr>
              <w:pStyle w:val="13"/>
            </w:pPr>
            <w:r>
              <w:t>≥50%</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履职质量和水平</w:t>
            </w:r>
          </w:p>
        </w:tc>
        <w:tc>
          <w:tcPr>
            <w:tcW w:w="5386" w:type="dxa"/>
            <w:vAlign w:val="center"/>
          </w:tcPr>
          <w:p>
            <w:pPr>
              <w:pStyle w:val="13"/>
            </w:pPr>
            <w:r>
              <w:t>加强对乡镇人大工作的联系和指导，规范化、制度化水平显著提升</w:t>
            </w:r>
          </w:p>
        </w:tc>
        <w:tc>
          <w:tcPr>
            <w:tcW w:w="2268" w:type="dxa"/>
            <w:vAlign w:val="center"/>
          </w:tcPr>
          <w:p>
            <w:pPr>
              <w:pStyle w:val="13"/>
            </w:pPr>
            <w:r>
              <w:t>≥95%</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乡人大代表和常委对代表工作的满意程度</w:t>
            </w:r>
          </w:p>
        </w:tc>
        <w:tc>
          <w:tcPr>
            <w:tcW w:w="2268" w:type="dxa"/>
            <w:vAlign w:val="center"/>
          </w:tcPr>
          <w:p>
            <w:pPr>
              <w:pStyle w:val="13"/>
            </w:pPr>
            <w:r>
              <w:t>≥95%</w:t>
            </w:r>
          </w:p>
        </w:tc>
        <w:tc>
          <w:tcPr>
            <w:tcW w:w="1276" w:type="dxa"/>
            <w:vAlign w:val="center"/>
          </w:tcPr>
          <w:p>
            <w:pPr>
              <w:pStyle w:val="13"/>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4、团委工作经费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13032125P003349103516</w:t>
            </w:r>
          </w:p>
        </w:tc>
        <w:tc>
          <w:tcPr>
            <w:tcW w:w="2835" w:type="dxa"/>
            <w:vAlign w:val="center"/>
          </w:tcPr>
          <w:p>
            <w:pPr>
              <w:pStyle w:val="11"/>
            </w:pPr>
            <w:r>
              <w:t>项目名称</w:t>
            </w:r>
          </w:p>
        </w:tc>
        <w:tc>
          <w:tcPr>
            <w:tcW w:w="6095" w:type="dxa"/>
            <w:gridSpan w:val="3"/>
            <w:vAlign w:val="center"/>
          </w:tcPr>
          <w:p>
            <w:pPr>
              <w:pStyle w:val="13"/>
            </w:pPr>
            <w:r>
              <w:t>团委工作经费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预算数1万元，其中财政资金1万元。主要用于团委日常办公。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1.开展好群团组织工作，为党的建设储备好后备力量。</w:t>
            </w:r>
            <w:r>
              <w:tab/>
            </w:r>
            <w:r>
              <w:tab/>
            </w:r>
            <w:r>
              <w:tab/>
            </w:r>
            <w:r>
              <w:tab/>
            </w:r>
            <w:r>
              <w:tab/>
            </w:r>
            <w:r>
              <w:tab/>
            </w:r>
          </w:p>
          <w:p>
            <w:pPr>
              <w:pStyle w:val="13"/>
            </w:pPr>
            <w:r>
              <w:t>2.通过团委工作有序开展，积极发挥团委作用。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组织活动的次数</w:t>
            </w:r>
          </w:p>
        </w:tc>
        <w:tc>
          <w:tcPr>
            <w:tcW w:w="5386" w:type="dxa"/>
            <w:vAlign w:val="center"/>
          </w:tcPr>
          <w:p>
            <w:pPr>
              <w:pStyle w:val="13"/>
            </w:pPr>
            <w:r>
              <w:t>组织乡青年慰问留守儿童活动的次数</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“圆梦大学”走访的次数</w:t>
            </w:r>
          </w:p>
        </w:tc>
        <w:tc>
          <w:tcPr>
            <w:tcW w:w="5386" w:type="dxa"/>
            <w:vAlign w:val="center"/>
          </w:tcPr>
          <w:p>
            <w:pPr>
              <w:pStyle w:val="13"/>
            </w:pPr>
            <w:r>
              <w:t>反映“圆梦大学”走访的次数</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反映用于青少年法治宣传教育印刷的宣传单数量</w:t>
            </w:r>
          </w:p>
        </w:tc>
        <w:tc>
          <w:tcPr>
            <w:tcW w:w="2268" w:type="dxa"/>
            <w:vAlign w:val="center"/>
          </w:tcPr>
          <w:p>
            <w:pPr>
              <w:pStyle w:val="13"/>
            </w:pPr>
            <w:r>
              <w:t>≥2000张</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活动完成次数占预计次数的比例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活动完成时间</w:t>
            </w:r>
          </w:p>
        </w:tc>
        <w:tc>
          <w:tcPr>
            <w:tcW w:w="5386" w:type="dxa"/>
            <w:vAlign w:val="center"/>
          </w:tcPr>
          <w:p>
            <w:pPr>
              <w:pStyle w:val="13"/>
            </w:pPr>
            <w:r>
              <w:t>反映各项活动完成时间</w:t>
            </w:r>
          </w:p>
        </w:tc>
        <w:tc>
          <w:tcPr>
            <w:tcW w:w="2268" w:type="dxa"/>
            <w:vAlign w:val="center"/>
          </w:tcPr>
          <w:p>
            <w:pPr>
              <w:pStyle w:val="13"/>
            </w:pPr>
            <w:r>
              <w:t>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经费支出控制数</w:t>
            </w:r>
          </w:p>
        </w:tc>
        <w:tc>
          <w:tcPr>
            <w:tcW w:w="5386" w:type="dxa"/>
            <w:vAlign w:val="center"/>
          </w:tcPr>
          <w:p>
            <w:pPr>
              <w:pStyle w:val="13"/>
            </w:pPr>
            <w:r>
              <w:t>团委活动经费支出控制在预算额度内</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未成年思想道德建设宣传情况</w:t>
            </w:r>
          </w:p>
        </w:tc>
        <w:tc>
          <w:tcPr>
            <w:tcW w:w="5386" w:type="dxa"/>
            <w:vAlign w:val="center"/>
          </w:tcPr>
          <w:p>
            <w:pPr>
              <w:pStyle w:val="13"/>
            </w:pPr>
            <w:r>
              <w:t>反映全乡未成年人思想道德建设宣传覆盖率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团费收缴完成率</w:t>
            </w:r>
          </w:p>
        </w:tc>
        <w:tc>
          <w:tcPr>
            <w:tcW w:w="5386" w:type="dxa"/>
            <w:vAlign w:val="center"/>
          </w:tcPr>
          <w:p>
            <w:pPr>
              <w:pStyle w:val="13"/>
            </w:pPr>
            <w:r>
              <w:t>反映全乡团费收缴和上缴工作完成比率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群众对团委工作满意度</w:t>
            </w:r>
          </w:p>
        </w:tc>
        <w:tc>
          <w:tcPr>
            <w:tcW w:w="5386" w:type="dxa"/>
            <w:vAlign w:val="center"/>
          </w:tcPr>
          <w:p>
            <w:pPr>
              <w:pStyle w:val="13"/>
            </w:pPr>
            <w:r>
              <w:t>全乡群众对团工作的满意度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13032125P00334910350J</w:t>
            </w:r>
          </w:p>
        </w:tc>
        <w:tc>
          <w:tcPr>
            <w:tcW w:w="2835" w:type="dxa"/>
            <w:vAlign w:val="center"/>
          </w:tcPr>
          <w:p>
            <w:pPr>
              <w:pStyle w:val="11"/>
            </w:pPr>
            <w:r>
              <w:t>项目名称</w:t>
            </w:r>
          </w:p>
        </w:tc>
        <w:tc>
          <w:tcPr>
            <w:tcW w:w="6095" w:type="dxa"/>
            <w:gridSpan w:val="3"/>
            <w:vAlign w:val="center"/>
          </w:tcPr>
          <w:p>
            <w:pPr>
              <w:pStyle w:val="13"/>
            </w:pPr>
            <w:r>
              <w:t>专项武装经费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预算数1万元，其中财政资金1万元。主要用于武装日常办公。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1.通过基层武装能力提升，保障全县武装专项工作水平提升。</w:t>
            </w:r>
            <w:r>
              <w:tab/>
            </w:r>
            <w:r>
              <w:tab/>
            </w:r>
            <w:r>
              <w:tab/>
            </w:r>
            <w:r>
              <w:tab/>
            </w:r>
            <w:r>
              <w:tab/>
            </w:r>
            <w:r>
              <w:tab/>
            </w:r>
          </w:p>
          <w:p>
            <w:pPr>
              <w:pStyle w:val="13"/>
            </w:pPr>
            <w:r>
              <w:t>2.通过开展专项武装工作，强化基层武装力量建设，促进能力提升。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下乡调研指导基层武装工作次数</w:t>
            </w:r>
          </w:p>
        </w:tc>
        <w:tc>
          <w:tcPr>
            <w:tcW w:w="5386" w:type="dxa"/>
            <w:vAlign w:val="center"/>
          </w:tcPr>
          <w:p>
            <w:pPr>
              <w:pStyle w:val="13"/>
            </w:pPr>
            <w:r>
              <w:t>反映下乡开展调查、检查工作的次数</w:t>
            </w:r>
          </w:p>
        </w:tc>
        <w:tc>
          <w:tcPr>
            <w:tcW w:w="2268" w:type="dxa"/>
            <w:vAlign w:val="center"/>
          </w:tcPr>
          <w:p>
            <w:pPr>
              <w:pStyle w:val="13"/>
            </w:pPr>
            <w:r>
              <w:t>≥80次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开展武装专项工作宣传次数</w:t>
            </w:r>
          </w:p>
        </w:tc>
        <w:tc>
          <w:tcPr>
            <w:tcW w:w="5386" w:type="dxa"/>
            <w:vAlign w:val="center"/>
          </w:tcPr>
          <w:p>
            <w:pPr>
              <w:pStyle w:val="13"/>
            </w:pPr>
            <w:r>
              <w:t>反映开展宣传活动的次数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印发宣传单数量</w:t>
            </w:r>
          </w:p>
        </w:tc>
        <w:tc>
          <w:tcPr>
            <w:tcW w:w="5386" w:type="dxa"/>
            <w:vAlign w:val="center"/>
          </w:tcPr>
          <w:p>
            <w:pPr>
              <w:pStyle w:val="13"/>
            </w:pPr>
            <w:r>
              <w:t>反映开展宣传活动中需印刷的宣传单数量</w:t>
            </w:r>
          </w:p>
        </w:tc>
        <w:tc>
          <w:tcPr>
            <w:tcW w:w="2268" w:type="dxa"/>
            <w:vAlign w:val="center"/>
          </w:tcPr>
          <w:p>
            <w:pPr>
              <w:pStyle w:val="13"/>
            </w:pPr>
            <w:r>
              <w:t>≥3000份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宣传普及率</w:t>
            </w:r>
          </w:p>
        </w:tc>
        <w:tc>
          <w:tcPr>
            <w:tcW w:w="5386" w:type="dxa"/>
            <w:vAlign w:val="center"/>
          </w:tcPr>
          <w:p>
            <w:pPr>
              <w:pStyle w:val="13"/>
            </w:pPr>
            <w:r>
              <w:t>知晓专项武装工作居民占全乡总人口的比率。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调查、检查覆盖率</w:t>
            </w:r>
          </w:p>
        </w:tc>
        <w:tc>
          <w:tcPr>
            <w:tcW w:w="5386" w:type="dxa"/>
            <w:vAlign w:val="center"/>
          </w:tcPr>
          <w:p>
            <w:pPr>
              <w:pStyle w:val="13"/>
            </w:pPr>
            <w:r>
              <w:t>向全乡开展宣传专项武装工作的普及程度</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调查、检查的时间</w:t>
            </w:r>
          </w:p>
        </w:tc>
        <w:tc>
          <w:tcPr>
            <w:tcW w:w="5386" w:type="dxa"/>
            <w:vAlign w:val="center"/>
          </w:tcPr>
          <w:p>
            <w:pPr>
              <w:pStyle w:val="13"/>
            </w:pPr>
            <w:r>
              <w:t>反映开展调查、检查工作进度安排</w:t>
            </w:r>
          </w:p>
        </w:tc>
        <w:tc>
          <w:tcPr>
            <w:tcW w:w="2268" w:type="dxa"/>
            <w:vAlign w:val="center"/>
          </w:tcPr>
          <w:p>
            <w:pPr>
              <w:pStyle w:val="13"/>
            </w:pPr>
            <w:r>
              <w:t>3-10月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开展宣传工作的时间</w:t>
            </w:r>
          </w:p>
        </w:tc>
        <w:tc>
          <w:tcPr>
            <w:tcW w:w="5386" w:type="dxa"/>
            <w:vAlign w:val="center"/>
          </w:tcPr>
          <w:p>
            <w:pPr>
              <w:pStyle w:val="13"/>
            </w:pPr>
            <w:r>
              <w:t>反映开展征兵宣传活动的进度</w:t>
            </w:r>
          </w:p>
        </w:tc>
        <w:tc>
          <w:tcPr>
            <w:tcW w:w="2268" w:type="dxa"/>
            <w:vAlign w:val="center"/>
          </w:tcPr>
          <w:p>
            <w:pPr>
              <w:pStyle w:val="13"/>
            </w:pPr>
            <w:r>
              <w:t>12月底前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差旅支出</w:t>
            </w:r>
          </w:p>
        </w:tc>
        <w:tc>
          <w:tcPr>
            <w:tcW w:w="5386" w:type="dxa"/>
            <w:vAlign w:val="center"/>
          </w:tcPr>
          <w:p>
            <w:pPr>
              <w:pStyle w:val="13"/>
            </w:pPr>
            <w:r>
              <w:t>反应用于征兵的差旅支出</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基层武装保障能力提升情况</w:t>
            </w:r>
          </w:p>
        </w:tc>
        <w:tc>
          <w:tcPr>
            <w:tcW w:w="5386" w:type="dxa"/>
            <w:vAlign w:val="center"/>
          </w:tcPr>
          <w:p>
            <w:pPr>
              <w:pStyle w:val="13"/>
            </w:pPr>
            <w:r>
              <w:t>通过开展武装专项促进基层武装工作能力提升</w:t>
            </w:r>
          </w:p>
        </w:tc>
        <w:tc>
          <w:tcPr>
            <w:tcW w:w="2268" w:type="dxa"/>
            <w:vAlign w:val="center"/>
          </w:tcPr>
          <w:p>
            <w:pPr>
              <w:pStyle w:val="13"/>
            </w:pPr>
            <w:r>
              <w:t>≥10%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办公费用</w:t>
            </w:r>
          </w:p>
        </w:tc>
        <w:tc>
          <w:tcPr>
            <w:tcW w:w="5386" w:type="dxa"/>
            <w:vAlign w:val="center"/>
          </w:tcPr>
          <w:p>
            <w:pPr>
              <w:pStyle w:val="13"/>
            </w:pPr>
            <w:r>
              <w:t>用于日常办公所需费用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基层人民群众对武装工作满意度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13032124P00000210035Y</w:t>
            </w:r>
          </w:p>
        </w:tc>
        <w:tc>
          <w:tcPr>
            <w:tcW w:w="2835" w:type="dxa"/>
            <w:vAlign w:val="center"/>
          </w:tcPr>
          <w:p>
            <w:pPr>
              <w:pStyle w:val="11"/>
            </w:pPr>
            <w:r>
              <w:t>项目名称</w:t>
            </w:r>
          </w:p>
        </w:tc>
        <w:tc>
          <w:tcPr>
            <w:tcW w:w="6095" w:type="dxa"/>
            <w:gridSpan w:val="3"/>
            <w:vAlign w:val="center"/>
          </w:tcPr>
          <w:p>
            <w:pPr>
              <w:pStyle w:val="13"/>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38.58</w:t>
            </w:r>
          </w:p>
        </w:tc>
        <w:tc>
          <w:tcPr>
            <w:tcW w:w="2835" w:type="dxa"/>
            <w:vAlign w:val="center"/>
          </w:tcPr>
          <w:p>
            <w:pPr>
              <w:pStyle w:val="11"/>
            </w:pPr>
            <w:r>
              <w:t>其中：财政    资金</w:t>
            </w:r>
          </w:p>
        </w:tc>
        <w:tc>
          <w:tcPr>
            <w:tcW w:w="2551" w:type="dxa"/>
            <w:vAlign w:val="center"/>
          </w:tcPr>
          <w:p>
            <w:pPr>
              <w:pStyle w:val="13"/>
            </w:pPr>
            <w:r>
              <w:t>38.58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预算安排38.576万元。其中财政拨款38.576万元，主要用于村级工作正常运转及村干部工资绩效。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38.00</w:t>
            </w:r>
          </w:p>
        </w:tc>
        <w:tc>
          <w:tcPr>
            <w:tcW w:w="2835" w:type="dxa"/>
            <w:vAlign w:val="center"/>
          </w:tcPr>
          <w:p>
            <w:pPr>
              <w:pStyle w:val="14"/>
            </w:pPr>
            <w:r>
              <w:t>38.50</w:t>
            </w:r>
          </w:p>
        </w:tc>
        <w:tc>
          <w:tcPr>
            <w:tcW w:w="2551" w:type="dxa"/>
            <w:vAlign w:val="center"/>
          </w:tcPr>
          <w:p>
            <w:pPr>
              <w:pStyle w:val="14"/>
            </w:pPr>
            <w:r>
              <w:t>38.57</w:t>
            </w:r>
          </w:p>
        </w:tc>
        <w:tc>
          <w:tcPr>
            <w:tcW w:w="3544" w:type="dxa"/>
            <w:gridSpan w:val="2"/>
            <w:vAlign w:val="center"/>
          </w:tcPr>
          <w:p>
            <w:pPr>
              <w:pStyle w:val="14"/>
            </w:pPr>
            <w:r>
              <w:t>38.58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1.通过及时发放村干部基础职务补贴，为农村干部工作生活提供保障。</w:t>
            </w:r>
          </w:p>
          <w:p>
            <w:pPr>
              <w:pStyle w:val="13"/>
            </w:pPr>
            <w:r>
              <w:t xml:space="preserve">2.激发农村干部干事创业热情，确保村级工作正常运转及村干部队伍稳定。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w:t>
            </w:r>
          </w:p>
        </w:tc>
        <w:tc>
          <w:tcPr>
            <w:tcW w:w="5386" w:type="dxa"/>
            <w:vAlign w:val="center"/>
          </w:tcPr>
          <w:p>
            <w:pPr>
              <w:pStyle w:val="13"/>
            </w:pPr>
            <w:r>
              <w:t>反映发放村干部基础职务补贴的村数</w:t>
            </w:r>
          </w:p>
        </w:tc>
        <w:tc>
          <w:tcPr>
            <w:tcW w:w="2268" w:type="dxa"/>
            <w:vAlign w:val="center"/>
          </w:tcPr>
          <w:p>
            <w:pPr>
              <w:pStyle w:val="13"/>
            </w:pPr>
            <w:r>
              <w:t>10个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考核次数</w:t>
            </w:r>
          </w:p>
        </w:tc>
        <w:tc>
          <w:tcPr>
            <w:tcW w:w="5386" w:type="dxa"/>
            <w:vAlign w:val="center"/>
          </w:tcPr>
          <w:p>
            <w:pPr>
              <w:pStyle w:val="13"/>
            </w:pPr>
            <w:r>
              <w:t>反映村干部考核次数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村干部人数</w:t>
            </w:r>
          </w:p>
        </w:tc>
        <w:tc>
          <w:tcPr>
            <w:tcW w:w="5386" w:type="dxa"/>
            <w:vAlign w:val="center"/>
          </w:tcPr>
          <w:p>
            <w:pPr>
              <w:pStyle w:val="13"/>
            </w:pPr>
            <w:r>
              <w:t>反映村干部人数</w:t>
            </w:r>
          </w:p>
        </w:tc>
        <w:tc>
          <w:tcPr>
            <w:tcW w:w="2268" w:type="dxa"/>
            <w:vAlign w:val="center"/>
          </w:tcPr>
          <w:p>
            <w:pPr>
              <w:pStyle w:val="13"/>
            </w:pPr>
            <w:r>
              <w:t>≥52人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按村干部职务分工发放工资比率</w:t>
            </w:r>
          </w:p>
        </w:tc>
        <w:tc>
          <w:tcPr>
            <w:tcW w:w="5386" w:type="dxa"/>
            <w:vAlign w:val="center"/>
          </w:tcPr>
          <w:p>
            <w:pPr>
              <w:pStyle w:val="13"/>
            </w:pPr>
            <w:r>
              <w:t>反映村干部岗位分工情况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村干部考核合格率</w:t>
            </w:r>
          </w:p>
        </w:tc>
        <w:tc>
          <w:tcPr>
            <w:tcW w:w="5386" w:type="dxa"/>
            <w:vAlign w:val="center"/>
          </w:tcPr>
          <w:p>
            <w:pPr>
              <w:pStyle w:val="13"/>
            </w:pPr>
            <w:r>
              <w:t>合格村干部占总村干部比例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按月发放村干部工资比率</w:t>
            </w:r>
          </w:p>
        </w:tc>
        <w:tc>
          <w:tcPr>
            <w:tcW w:w="5386" w:type="dxa"/>
            <w:vAlign w:val="center"/>
          </w:tcPr>
          <w:p>
            <w:pPr>
              <w:pStyle w:val="13"/>
            </w:pPr>
            <w:r>
              <w:t>反映村干部工资发放情况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村书记主任补贴标准</w:t>
            </w:r>
          </w:p>
        </w:tc>
        <w:tc>
          <w:tcPr>
            <w:tcW w:w="5386" w:type="dxa"/>
            <w:vAlign w:val="center"/>
          </w:tcPr>
          <w:p>
            <w:pPr>
              <w:pStyle w:val="13"/>
            </w:pPr>
            <w:r>
              <w:t>反映村书记主任一肩挑人均补贴标准</w:t>
            </w:r>
          </w:p>
        </w:tc>
        <w:tc>
          <w:tcPr>
            <w:tcW w:w="2268" w:type="dxa"/>
            <w:vAlign w:val="center"/>
          </w:tcPr>
          <w:p>
            <w:pPr>
              <w:pStyle w:val="13"/>
            </w:pPr>
            <w:r>
              <w:t>≥36000元</w:t>
            </w:r>
          </w:p>
        </w:tc>
        <w:tc>
          <w:tcPr>
            <w:tcW w:w="1276" w:type="dxa"/>
            <w:vAlign w:val="center"/>
          </w:tcPr>
          <w:p>
            <w:pPr>
              <w:pStyle w:val="13"/>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其他人员补贴标准</w:t>
            </w:r>
          </w:p>
        </w:tc>
        <w:tc>
          <w:tcPr>
            <w:tcW w:w="5386" w:type="dxa"/>
            <w:vAlign w:val="center"/>
          </w:tcPr>
          <w:p>
            <w:pPr>
              <w:pStyle w:val="13"/>
            </w:pPr>
            <w:r>
              <w:t>反映其他村两委干部人均补贴标准</w:t>
            </w:r>
          </w:p>
        </w:tc>
        <w:tc>
          <w:tcPr>
            <w:tcW w:w="2268" w:type="dxa"/>
            <w:vAlign w:val="center"/>
          </w:tcPr>
          <w:p>
            <w:pPr>
              <w:pStyle w:val="13"/>
            </w:pPr>
            <w:r>
              <w:t>≥12000元</w:t>
            </w:r>
          </w:p>
        </w:tc>
        <w:tc>
          <w:tcPr>
            <w:tcW w:w="1276" w:type="dxa"/>
            <w:vAlign w:val="center"/>
          </w:tcPr>
          <w:p>
            <w:pPr>
              <w:pStyle w:val="13"/>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促进村干部队伍稳定</w:t>
            </w:r>
          </w:p>
        </w:tc>
        <w:tc>
          <w:tcPr>
            <w:tcW w:w="5386" w:type="dxa"/>
            <w:vAlign w:val="center"/>
          </w:tcPr>
          <w:p>
            <w:pPr>
              <w:pStyle w:val="13"/>
            </w:pPr>
            <w:r>
              <w:t>为村干部生活工作提供保障，确保村干部队伍稳定</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调查中村干部满意和较满意的数量占调查总人数的比率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13032124P00000610033E</w:t>
            </w:r>
          </w:p>
        </w:tc>
        <w:tc>
          <w:tcPr>
            <w:tcW w:w="2835" w:type="dxa"/>
            <w:vAlign w:val="center"/>
          </w:tcPr>
          <w:p>
            <w:pPr>
              <w:pStyle w:val="11"/>
            </w:pPr>
            <w:r>
              <w:t>项目名称</w:t>
            </w:r>
          </w:p>
        </w:tc>
        <w:tc>
          <w:tcPr>
            <w:tcW w:w="6095" w:type="dxa"/>
            <w:gridSpan w:val="3"/>
            <w:vAlign w:val="center"/>
          </w:tcPr>
          <w:p>
            <w:pPr>
              <w:pStyle w:val="13"/>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预算安排10万元。其中财政拨款10万元，主要用于开展村级服务群众工作。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8.00</w:t>
            </w:r>
          </w:p>
        </w:tc>
        <w:tc>
          <w:tcPr>
            <w:tcW w:w="2551" w:type="dxa"/>
            <w:vAlign w:val="center"/>
          </w:tcPr>
          <w:p>
            <w:pPr>
              <w:pStyle w:val="14"/>
            </w:pPr>
            <w:r>
              <w:t>9.00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1.通过开展服务群众工作，为村综合服务站日常运转、公共设施维护等提供保障，为群众提供便捷优质生产生活条件。</w:t>
            </w:r>
          </w:p>
          <w:p>
            <w:pPr>
              <w:pStyle w:val="13"/>
            </w:pPr>
            <w:r>
              <w:t>2.通过项目实施为村级组织公共卫生防疫、村内治安等临时劳务用工提供费用保障，为群众提供安全稳定生活环境。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村综合服务站数量</w:t>
            </w:r>
          </w:p>
        </w:tc>
        <w:tc>
          <w:tcPr>
            <w:tcW w:w="5386" w:type="dxa"/>
            <w:vAlign w:val="center"/>
          </w:tcPr>
          <w:p>
            <w:pPr>
              <w:pStyle w:val="13"/>
            </w:pPr>
            <w:r>
              <w:t>反映服务群众的村综合服务站的数量</w:t>
            </w:r>
          </w:p>
        </w:tc>
        <w:tc>
          <w:tcPr>
            <w:tcW w:w="2268" w:type="dxa"/>
            <w:vAlign w:val="center"/>
          </w:tcPr>
          <w:p>
            <w:pPr>
              <w:pStyle w:val="13"/>
            </w:pPr>
            <w:r>
              <w:t>反映服务群众的村综合服务站的数量10个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村级组织工作完成率</w:t>
            </w:r>
          </w:p>
        </w:tc>
        <w:tc>
          <w:tcPr>
            <w:tcW w:w="5386" w:type="dxa"/>
            <w:vAlign w:val="center"/>
          </w:tcPr>
          <w:p>
            <w:pPr>
              <w:pStyle w:val="13"/>
            </w:pPr>
            <w:r>
              <w:t>反映村级组织工作建设及服务完成情况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拨付服务群众专项经费率</w:t>
            </w:r>
          </w:p>
        </w:tc>
        <w:tc>
          <w:tcPr>
            <w:tcW w:w="5386" w:type="dxa"/>
            <w:vAlign w:val="center"/>
          </w:tcPr>
          <w:p>
            <w:pPr>
              <w:pStyle w:val="13"/>
            </w:pPr>
            <w:r>
              <w:t>反映拨付服务群众专项经费村数占总数比例</w:t>
            </w:r>
          </w:p>
        </w:tc>
        <w:tc>
          <w:tcPr>
            <w:tcW w:w="2268" w:type="dxa"/>
            <w:vAlign w:val="center"/>
          </w:tcPr>
          <w:p>
            <w:pPr>
              <w:pStyle w:val="13"/>
            </w:pPr>
            <w:r>
              <w:t>反映拨付服务群众专项经费村数占总数比例100%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服务群众经费使用率</w:t>
            </w:r>
          </w:p>
        </w:tc>
        <w:tc>
          <w:tcPr>
            <w:tcW w:w="5386" w:type="dxa"/>
            <w:vAlign w:val="center"/>
          </w:tcPr>
          <w:p>
            <w:pPr>
              <w:pStyle w:val="13"/>
            </w:pPr>
            <w:r>
              <w:t>反映服务群众经费使用得当，农村群众生产生活条件改善提高，社会环境安全稳定</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村级组织开展服务群众完成率</w:t>
            </w:r>
          </w:p>
        </w:tc>
        <w:tc>
          <w:tcPr>
            <w:tcW w:w="5386" w:type="dxa"/>
            <w:vAlign w:val="center"/>
          </w:tcPr>
          <w:p>
            <w:pPr>
              <w:pStyle w:val="13"/>
            </w:pPr>
            <w:r>
              <w:t>反映村级组织开展服务群众具体情况如：村内清运垃圾、公共卫生防疫等等</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村民服务提供及时率</w:t>
            </w:r>
          </w:p>
        </w:tc>
        <w:tc>
          <w:tcPr>
            <w:tcW w:w="5386" w:type="dxa"/>
            <w:vAlign w:val="center"/>
          </w:tcPr>
          <w:p>
            <w:pPr>
              <w:pStyle w:val="13"/>
            </w:pPr>
            <w:r>
              <w:t>反映为村民群众提供各项服务的及时性</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服务群众专项经费拨付标准</w:t>
            </w:r>
          </w:p>
        </w:tc>
        <w:tc>
          <w:tcPr>
            <w:tcW w:w="5386" w:type="dxa"/>
            <w:vAlign w:val="center"/>
          </w:tcPr>
          <w:p>
            <w:pPr>
              <w:pStyle w:val="13"/>
            </w:pPr>
            <w:r>
              <w:t>反映每个村服务群众专项经费支出成本</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垃圾清运成本</w:t>
            </w:r>
          </w:p>
        </w:tc>
        <w:tc>
          <w:tcPr>
            <w:tcW w:w="5386" w:type="dxa"/>
            <w:vAlign w:val="center"/>
          </w:tcPr>
          <w:p>
            <w:pPr>
              <w:pStyle w:val="13"/>
            </w:pPr>
            <w:r>
              <w:t>反映每个村垃圾清运支出成本</w:t>
            </w:r>
          </w:p>
        </w:tc>
        <w:tc>
          <w:tcPr>
            <w:tcW w:w="2268" w:type="dxa"/>
            <w:vAlign w:val="center"/>
          </w:tcPr>
          <w:p>
            <w:pPr>
              <w:pStyle w:val="13"/>
            </w:pPr>
            <w:r>
              <w:t>≤3万元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村民生活环境改善率</w:t>
            </w:r>
          </w:p>
        </w:tc>
        <w:tc>
          <w:tcPr>
            <w:tcW w:w="5386" w:type="dxa"/>
            <w:vAlign w:val="center"/>
          </w:tcPr>
          <w:p>
            <w:pPr>
              <w:pStyle w:val="13"/>
            </w:pPr>
            <w:r>
              <w:t>反映各村垃圾清运改善生活环境</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农村群众对村级组织开展工作、服务群众满意率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13032125P00330610036N</w:t>
            </w:r>
          </w:p>
        </w:tc>
        <w:tc>
          <w:tcPr>
            <w:tcW w:w="2835" w:type="dxa"/>
            <w:vAlign w:val="center"/>
          </w:tcPr>
          <w:p>
            <w:pPr>
              <w:pStyle w:val="11"/>
            </w:pPr>
            <w:r>
              <w:t>项目名称</w:t>
            </w:r>
          </w:p>
        </w:tc>
        <w:tc>
          <w:tcPr>
            <w:tcW w:w="6095" w:type="dxa"/>
            <w:gridSpan w:val="3"/>
            <w:vAlign w:val="center"/>
          </w:tcPr>
          <w:p>
            <w:pPr>
              <w:pStyle w:val="13"/>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预算数9.5万元，其中财政资金9.5万元。主要用于防火防汛工作。</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7.00</w:t>
            </w:r>
          </w:p>
        </w:tc>
        <w:tc>
          <w:tcPr>
            <w:tcW w:w="2551" w:type="dxa"/>
            <w:vAlign w:val="center"/>
          </w:tcPr>
          <w:p>
            <w:pPr>
              <w:pStyle w:val="14"/>
            </w:pPr>
            <w:r>
              <w:t>8.00</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1.通过开展巡视巡查整治工作，及时消除防汛安全隐患，确保辖区内河道行洪通畅。</w:t>
            </w:r>
            <w:r>
              <w:tab/>
            </w:r>
            <w:r>
              <w:tab/>
            </w:r>
            <w:r>
              <w:tab/>
            </w:r>
            <w:r>
              <w:tab/>
            </w:r>
          </w:p>
          <w:p>
            <w:pPr>
              <w:pStyle w:val="13"/>
            </w:pPr>
            <w:r>
              <w:t>2.通过扎实开展日常防火工作，广泛宣传，全天候巡查，加强防火扑救物资的储备，有效防范和遏制森林火灾的发生。</w:t>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日常巡查次数(次)</w:t>
            </w:r>
          </w:p>
        </w:tc>
        <w:tc>
          <w:tcPr>
            <w:tcW w:w="5386" w:type="dxa"/>
            <w:vAlign w:val="center"/>
          </w:tcPr>
          <w:p>
            <w:pPr>
              <w:pStyle w:val="13"/>
            </w:pPr>
            <w:r>
              <w:t>当年实际日常巡查次数</w:t>
            </w:r>
          </w:p>
        </w:tc>
        <w:tc>
          <w:tcPr>
            <w:tcW w:w="2268" w:type="dxa"/>
            <w:vAlign w:val="center"/>
          </w:tcPr>
          <w:p>
            <w:pPr>
              <w:pStyle w:val="13"/>
            </w:pPr>
            <w:r>
              <w:t>≥150次</w:t>
            </w:r>
          </w:p>
        </w:tc>
        <w:tc>
          <w:tcPr>
            <w:tcW w:w="1276"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日常巡查覆盖率</w:t>
            </w:r>
          </w:p>
        </w:tc>
        <w:tc>
          <w:tcPr>
            <w:tcW w:w="5386" w:type="dxa"/>
            <w:vAlign w:val="center"/>
          </w:tcPr>
          <w:p>
            <w:pPr>
              <w:pStyle w:val="13"/>
            </w:pPr>
            <w:r>
              <w:t>反应巡查范围为整个镇区。</w:t>
            </w:r>
          </w:p>
        </w:tc>
        <w:tc>
          <w:tcPr>
            <w:tcW w:w="2268" w:type="dxa"/>
            <w:vAlign w:val="center"/>
          </w:tcPr>
          <w:p>
            <w:pPr>
              <w:pStyle w:val="13"/>
            </w:pPr>
            <w:r>
              <w:t>≥95%</w:t>
            </w:r>
          </w:p>
        </w:tc>
        <w:tc>
          <w:tcPr>
            <w:tcW w:w="1276"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确保河道畅通</w:t>
            </w:r>
          </w:p>
        </w:tc>
        <w:tc>
          <w:tcPr>
            <w:tcW w:w="5386" w:type="dxa"/>
            <w:vAlign w:val="center"/>
          </w:tcPr>
          <w:p>
            <w:pPr>
              <w:pStyle w:val="13"/>
            </w:pPr>
            <w:r>
              <w:t>反映汛期河道通畅率</w:t>
            </w:r>
          </w:p>
        </w:tc>
        <w:tc>
          <w:tcPr>
            <w:tcW w:w="2268" w:type="dxa"/>
            <w:vAlign w:val="center"/>
          </w:tcPr>
          <w:p>
            <w:pPr>
              <w:pStyle w:val="13"/>
            </w:pPr>
            <w:r>
              <w:t>≥95%</w:t>
            </w:r>
          </w:p>
        </w:tc>
        <w:tc>
          <w:tcPr>
            <w:tcW w:w="1276"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巡查完成时间</w:t>
            </w:r>
          </w:p>
        </w:tc>
        <w:tc>
          <w:tcPr>
            <w:tcW w:w="5386" w:type="dxa"/>
            <w:vAlign w:val="center"/>
          </w:tcPr>
          <w:p>
            <w:pPr>
              <w:pStyle w:val="13"/>
            </w:pPr>
            <w:r>
              <w:t>反应防火防汛完成时间</w:t>
            </w:r>
          </w:p>
        </w:tc>
        <w:tc>
          <w:tcPr>
            <w:tcW w:w="2268" w:type="dxa"/>
            <w:vAlign w:val="center"/>
          </w:tcPr>
          <w:p>
            <w:pPr>
              <w:pStyle w:val="13"/>
            </w:pPr>
            <w:r>
              <w:t>全年持续</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交通费支出</w:t>
            </w:r>
          </w:p>
        </w:tc>
        <w:tc>
          <w:tcPr>
            <w:tcW w:w="5386" w:type="dxa"/>
            <w:vAlign w:val="center"/>
          </w:tcPr>
          <w:p>
            <w:pPr>
              <w:pStyle w:val="13"/>
            </w:pPr>
            <w:r>
              <w:t>反应用于防火防汛的交通费</w:t>
            </w:r>
          </w:p>
        </w:tc>
        <w:tc>
          <w:tcPr>
            <w:tcW w:w="2268" w:type="dxa"/>
            <w:vAlign w:val="center"/>
          </w:tcPr>
          <w:p>
            <w:pPr>
              <w:pStyle w:val="13"/>
            </w:pPr>
            <w:r>
              <w:t>≤8万元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办公费用支出</w:t>
            </w:r>
          </w:p>
        </w:tc>
        <w:tc>
          <w:tcPr>
            <w:tcW w:w="5386" w:type="dxa"/>
            <w:vAlign w:val="center"/>
          </w:tcPr>
          <w:p>
            <w:pPr>
              <w:pStyle w:val="13"/>
            </w:pPr>
            <w:r>
              <w:t>反应用于防火防汛的宣传单等办公费</w:t>
            </w:r>
          </w:p>
        </w:tc>
        <w:tc>
          <w:tcPr>
            <w:tcW w:w="2268" w:type="dxa"/>
            <w:vAlign w:val="center"/>
          </w:tcPr>
          <w:p>
            <w:pPr>
              <w:pStyle w:val="13"/>
            </w:pPr>
            <w:r>
              <w:t>≤1.5万元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降低火灾对环境的破坏</w:t>
            </w:r>
          </w:p>
        </w:tc>
        <w:tc>
          <w:tcPr>
            <w:tcW w:w="5386" w:type="dxa"/>
            <w:vAlign w:val="center"/>
          </w:tcPr>
          <w:p>
            <w:pPr>
              <w:pStyle w:val="13"/>
            </w:pPr>
            <w:r>
              <w:t>反映降低火灾对环境破坏的比率</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森林火灾受害率(％)</w:t>
            </w:r>
          </w:p>
        </w:tc>
        <w:tc>
          <w:tcPr>
            <w:tcW w:w="5386" w:type="dxa"/>
            <w:vAlign w:val="center"/>
          </w:tcPr>
          <w:p>
            <w:pPr>
              <w:pStyle w:val="13"/>
            </w:pPr>
            <w:r>
              <w:t>全镇森林火灾发生面积占森林总面积的比例</w:t>
            </w:r>
          </w:p>
        </w:tc>
        <w:tc>
          <w:tcPr>
            <w:tcW w:w="2268" w:type="dxa"/>
            <w:vAlign w:val="center"/>
          </w:tcPr>
          <w:p>
            <w:pPr>
              <w:pStyle w:val="13"/>
            </w:pPr>
            <w:r>
              <w:t>≤0.01%</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群众对防火防汛工作满意度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9、梨花节专项经费绩效目标表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13032124P00329510097N</w:t>
            </w:r>
          </w:p>
        </w:tc>
        <w:tc>
          <w:tcPr>
            <w:tcW w:w="2835" w:type="dxa"/>
            <w:vAlign w:val="center"/>
          </w:tcPr>
          <w:p>
            <w:pPr>
              <w:pStyle w:val="11"/>
            </w:pPr>
            <w:r>
              <w:t>项目名称</w:t>
            </w:r>
          </w:p>
        </w:tc>
        <w:tc>
          <w:tcPr>
            <w:tcW w:w="6095" w:type="dxa"/>
            <w:gridSpan w:val="3"/>
            <w:vAlign w:val="center"/>
          </w:tcPr>
          <w:p>
            <w:pPr>
              <w:pStyle w:val="13"/>
            </w:pPr>
            <w:r>
              <w:t>梨花节专项经费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w:t>
            </w:r>
          </w:p>
        </w:tc>
        <w:tc>
          <w:tcPr>
            <w:tcW w:w="2835" w:type="dxa"/>
            <w:vAlign w:val="center"/>
          </w:tcPr>
          <w:p>
            <w:pPr>
              <w:pStyle w:val="11"/>
            </w:pPr>
            <w:r>
              <w:t>其中：财政    资金</w:t>
            </w:r>
          </w:p>
        </w:tc>
        <w:tc>
          <w:tcPr>
            <w:tcW w:w="2551" w:type="dxa"/>
            <w:vAlign w:val="center"/>
          </w:tcPr>
          <w:p>
            <w:pPr>
              <w:pStyle w:val="13"/>
            </w:pPr>
            <w:r>
              <w:t>1.21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预算安排1.21万元，其中财政拨款1.21万元。主要用于改善沿途村庄环境卫生条件，清扫河道，清运垃圾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1.10</w:t>
            </w:r>
          </w:p>
        </w:tc>
        <w:tc>
          <w:tcPr>
            <w:tcW w:w="2551" w:type="dxa"/>
            <w:vAlign w:val="center"/>
          </w:tcPr>
          <w:p>
            <w:pPr>
              <w:pStyle w:val="14"/>
            </w:pPr>
            <w:r>
              <w:t>1.20</w:t>
            </w:r>
          </w:p>
        </w:tc>
        <w:tc>
          <w:tcPr>
            <w:tcW w:w="3544" w:type="dxa"/>
            <w:gridSpan w:val="2"/>
            <w:vAlign w:val="center"/>
          </w:tcPr>
          <w:p>
            <w:pPr>
              <w:pStyle w:val="14"/>
            </w:pPr>
            <w:r>
              <w:t>1.21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1."通过梨花节项目改善沿途村庄环境卫生条件，清扫河道，清运垃圾，改善人居环境</w:t>
            </w:r>
            <w:r>
              <w:tab/>
            </w:r>
            <w:r>
              <w:tab/>
            </w:r>
            <w:r>
              <w:tab/>
            </w:r>
            <w:r>
              <w:tab/>
            </w:r>
            <w:r>
              <w:tab/>
            </w:r>
          </w:p>
          <w:p>
            <w:pPr>
              <w:pStyle w:val="13"/>
            </w:pPr>
            <w:r>
              <w:t>2."通过梨花节项目带动村民增收，助力乡村振兴</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沿途村庄开展环境卫生整治（个）</w:t>
            </w:r>
          </w:p>
        </w:tc>
        <w:tc>
          <w:tcPr>
            <w:tcW w:w="5386" w:type="dxa"/>
            <w:vAlign w:val="center"/>
          </w:tcPr>
          <w:p>
            <w:pPr>
              <w:pStyle w:val="13"/>
            </w:pPr>
            <w:r>
              <w:t>沿途开展环境卫生整治村庄数量</w:t>
            </w:r>
          </w:p>
        </w:tc>
        <w:tc>
          <w:tcPr>
            <w:tcW w:w="2268" w:type="dxa"/>
            <w:vAlign w:val="center"/>
          </w:tcPr>
          <w:p>
            <w:pPr>
              <w:pStyle w:val="13"/>
            </w:pPr>
            <w:r>
              <w:t>≥4个</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清扫街道和河道（公里）</w:t>
            </w:r>
          </w:p>
        </w:tc>
        <w:tc>
          <w:tcPr>
            <w:tcW w:w="5386" w:type="dxa"/>
            <w:vAlign w:val="center"/>
          </w:tcPr>
          <w:p>
            <w:pPr>
              <w:pStyle w:val="13"/>
            </w:pPr>
            <w:r>
              <w:t>分段清扫清运河道垃圾、干支路和街道数量</w:t>
            </w:r>
          </w:p>
        </w:tc>
        <w:tc>
          <w:tcPr>
            <w:tcW w:w="2268" w:type="dxa"/>
            <w:vAlign w:val="center"/>
          </w:tcPr>
          <w:p>
            <w:pPr>
              <w:pStyle w:val="13"/>
            </w:pPr>
            <w:r>
              <w:t>≥25公里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清运垃圾（吨）</w:t>
            </w:r>
          </w:p>
        </w:tc>
        <w:tc>
          <w:tcPr>
            <w:tcW w:w="5386" w:type="dxa"/>
            <w:vAlign w:val="center"/>
          </w:tcPr>
          <w:p>
            <w:pPr>
              <w:pStyle w:val="13"/>
            </w:pPr>
            <w:r>
              <w:t>节日期间所产生的垃圾数量</w:t>
            </w:r>
          </w:p>
        </w:tc>
        <w:tc>
          <w:tcPr>
            <w:tcW w:w="2268" w:type="dxa"/>
            <w:vAlign w:val="center"/>
          </w:tcPr>
          <w:p>
            <w:pPr>
              <w:pStyle w:val="13"/>
            </w:pPr>
            <w:r>
              <w:t>≥500吨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损毁土地补偿面积</w:t>
            </w:r>
          </w:p>
        </w:tc>
        <w:tc>
          <w:tcPr>
            <w:tcW w:w="5386" w:type="dxa"/>
            <w:vAlign w:val="center"/>
          </w:tcPr>
          <w:p>
            <w:pPr>
              <w:pStyle w:val="13"/>
            </w:pPr>
            <w:r>
              <w:t>停车场和游览踩踏等补偿面积</w:t>
            </w:r>
          </w:p>
        </w:tc>
        <w:tc>
          <w:tcPr>
            <w:tcW w:w="2268" w:type="dxa"/>
            <w:vAlign w:val="center"/>
          </w:tcPr>
          <w:p>
            <w:pPr>
              <w:pStyle w:val="13"/>
            </w:pPr>
            <w:r>
              <w:t>≥50亩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环境卫生整治工作达标率</w:t>
            </w:r>
          </w:p>
        </w:tc>
        <w:tc>
          <w:tcPr>
            <w:tcW w:w="5386" w:type="dxa"/>
            <w:vAlign w:val="center"/>
          </w:tcPr>
          <w:p>
            <w:pPr>
              <w:pStyle w:val="13"/>
            </w:pPr>
            <w:r>
              <w:t>按计划完成各项工作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环境卫生整治工作完成时效性</w:t>
            </w:r>
          </w:p>
        </w:tc>
        <w:tc>
          <w:tcPr>
            <w:tcW w:w="5386" w:type="dxa"/>
            <w:vAlign w:val="center"/>
          </w:tcPr>
          <w:p>
            <w:pPr>
              <w:pStyle w:val="13"/>
            </w:pPr>
            <w:r>
              <w:t>按计划完成各项工作</w:t>
            </w:r>
          </w:p>
        </w:tc>
        <w:tc>
          <w:tcPr>
            <w:tcW w:w="2268" w:type="dxa"/>
            <w:vAlign w:val="center"/>
          </w:tcPr>
          <w:p>
            <w:pPr>
              <w:pStyle w:val="13"/>
            </w:pPr>
            <w:r>
              <w:t>12月前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整治费用支出控制情况</w:t>
            </w:r>
          </w:p>
        </w:tc>
        <w:tc>
          <w:tcPr>
            <w:tcW w:w="5386" w:type="dxa"/>
            <w:vAlign w:val="center"/>
          </w:tcPr>
          <w:p>
            <w:pPr>
              <w:pStyle w:val="13"/>
            </w:pPr>
            <w:r>
              <w:t>整治费用支出情况控制在年度预算额度内</w:t>
            </w:r>
          </w:p>
        </w:tc>
        <w:tc>
          <w:tcPr>
            <w:tcW w:w="2268" w:type="dxa"/>
            <w:vAlign w:val="center"/>
          </w:tcPr>
          <w:p>
            <w:pPr>
              <w:pStyle w:val="13"/>
            </w:pPr>
            <w:r>
              <w:t>≤1.2万元</w:t>
            </w:r>
          </w:p>
        </w:tc>
        <w:tc>
          <w:tcPr>
            <w:tcW w:w="1276" w:type="dxa"/>
            <w:vAlign w:val="center"/>
          </w:tcPr>
          <w:p>
            <w:pPr>
              <w:pStyle w:val="13"/>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旅游发展经济</w:t>
            </w:r>
          </w:p>
        </w:tc>
        <w:tc>
          <w:tcPr>
            <w:tcW w:w="5386" w:type="dxa"/>
            <w:vAlign w:val="center"/>
          </w:tcPr>
          <w:p>
            <w:pPr>
              <w:pStyle w:val="13"/>
            </w:pPr>
            <w:r>
              <w:t>通过旅游带动发展经济，增加村民收入</w:t>
            </w:r>
          </w:p>
        </w:tc>
        <w:tc>
          <w:tcPr>
            <w:tcW w:w="2268" w:type="dxa"/>
            <w:vAlign w:val="center"/>
          </w:tcPr>
          <w:p>
            <w:pPr>
              <w:pStyle w:val="13"/>
            </w:pPr>
            <w:r>
              <w:t>≥2000元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改善农村人居环境</w:t>
            </w:r>
          </w:p>
        </w:tc>
        <w:tc>
          <w:tcPr>
            <w:tcW w:w="5386" w:type="dxa"/>
            <w:vAlign w:val="center"/>
          </w:tcPr>
          <w:p>
            <w:pPr>
              <w:pStyle w:val="13"/>
            </w:pPr>
            <w:r>
              <w:t>改善环境卫生合格率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群众对整治工作的满意度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13032125P003319100167</w:t>
            </w:r>
          </w:p>
        </w:tc>
        <w:tc>
          <w:tcPr>
            <w:tcW w:w="2835" w:type="dxa"/>
            <w:vAlign w:val="center"/>
          </w:tcPr>
          <w:p>
            <w:pPr>
              <w:pStyle w:val="11"/>
            </w:pPr>
            <w:r>
              <w:t>项目名称</w:t>
            </w:r>
          </w:p>
        </w:tc>
        <w:tc>
          <w:tcPr>
            <w:tcW w:w="6095" w:type="dxa"/>
            <w:gridSpan w:val="3"/>
            <w:vAlign w:val="center"/>
          </w:tcPr>
          <w:p>
            <w:pPr>
              <w:pStyle w:val="13"/>
            </w:pPr>
            <w:r>
              <w:t>全国自然灾害综合风险普查工作经费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预算数1万元，其中财政资金万元。主要用于自然灾害风险普查工作。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1.通过设备购置和宣传培训工作，提升我乡抵御自然灾害综合防范能力</w:t>
            </w:r>
            <w:r>
              <w:tab/>
            </w:r>
            <w:r>
              <w:tab/>
            </w:r>
            <w:r>
              <w:tab/>
            </w:r>
            <w:r>
              <w:tab/>
            </w:r>
            <w:r>
              <w:tab/>
            </w:r>
          </w:p>
          <w:p>
            <w:pPr>
              <w:pStyle w:val="13"/>
            </w:pPr>
            <w:r>
              <w:t>2.通过开展全乡自然灾害普查工作，确保全面掌握我乡自然灾害风险防范情况。</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普查行政村个数</w:t>
            </w:r>
          </w:p>
        </w:tc>
        <w:tc>
          <w:tcPr>
            <w:tcW w:w="5386" w:type="dxa"/>
            <w:vAlign w:val="center"/>
          </w:tcPr>
          <w:p>
            <w:pPr>
              <w:pStyle w:val="13"/>
            </w:pPr>
            <w:r>
              <w:t>反映普查行政村个数</w:t>
            </w:r>
          </w:p>
        </w:tc>
        <w:tc>
          <w:tcPr>
            <w:tcW w:w="2268" w:type="dxa"/>
            <w:vAlign w:val="center"/>
          </w:tcPr>
          <w:p>
            <w:pPr>
              <w:pStyle w:val="13"/>
            </w:pPr>
            <w:r>
              <w:t>10个</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普查自然灾害类型</w:t>
            </w:r>
          </w:p>
        </w:tc>
        <w:tc>
          <w:tcPr>
            <w:tcW w:w="5386" w:type="dxa"/>
            <w:vAlign w:val="center"/>
          </w:tcPr>
          <w:p>
            <w:pPr>
              <w:pStyle w:val="13"/>
            </w:pPr>
            <w:r>
              <w:t>本次普查涉及的自然灾害类型个数</w:t>
            </w:r>
          </w:p>
        </w:tc>
        <w:tc>
          <w:tcPr>
            <w:tcW w:w="2268" w:type="dxa"/>
            <w:vAlign w:val="center"/>
          </w:tcPr>
          <w:p>
            <w:pPr>
              <w:pStyle w:val="13"/>
            </w:pPr>
            <w:r>
              <w:t>≥3项</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受益人数</w:t>
            </w:r>
          </w:p>
        </w:tc>
        <w:tc>
          <w:tcPr>
            <w:tcW w:w="5386" w:type="dxa"/>
            <w:vAlign w:val="center"/>
          </w:tcPr>
          <w:p>
            <w:pPr>
              <w:pStyle w:val="13"/>
            </w:pPr>
            <w:r>
              <w:t>自然灾害普查受益人口数</w:t>
            </w:r>
          </w:p>
        </w:tc>
        <w:tc>
          <w:tcPr>
            <w:tcW w:w="2268" w:type="dxa"/>
            <w:vAlign w:val="center"/>
          </w:tcPr>
          <w:p>
            <w:pPr>
              <w:pStyle w:val="13"/>
            </w:pPr>
            <w:r>
              <w:t>≥10000人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普查工作完成率</w:t>
            </w:r>
          </w:p>
        </w:tc>
        <w:tc>
          <w:tcPr>
            <w:tcW w:w="5386" w:type="dxa"/>
            <w:vAlign w:val="center"/>
          </w:tcPr>
          <w:p>
            <w:pPr>
              <w:pStyle w:val="13"/>
            </w:pPr>
            <w:r>
              <w:t>普查工作完成率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普查工作完成时间</w:t>
            </w:r>
          </w:p>
        </w:tc>
        <w:tc>
          <w:tcPr>
            <w:tcW w:w="2268" w:type="dxa"/>
            <w:vAlign w:val="center"/>
          </w:tcPr>
          <w:p>
            <w:pPr>
              <w:pStyle w:val="13"/>
            </w:pPr>
            <w:r>
              <w:t>12月底</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宣传、办公费用</w:t>
            </w:r>
          </w:p>
        </w:tc>
        <w:tc>
          <w:tcPr>
            <w:tcW w:w="5386" w:type="dxa"/>
            <w:vAlign w:val="center"/>
          </w:tcPr>
          <w:p>
            <w:pPr>
              <w:pStyle w:val="13"/>
            </w:pPr>
            <w:r>
              <w:t>反映用于本次普查宣传费、办公费</w:t>
            </w:r>
          </w:p>
        </w:tc>
        <w:tc>
          <w:tcPr>
            <w:tcW w:w="2268" w:type="dxa"/>
            <w:vAlign w:val="center"/>
          </w:tcPr>
          <w:p>
            <w:pPr>
              <w:pStyle w:val="13"/>
            </w:pPr>
            <w:r>
              <w:t>≤0.5万元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租车费用</w:t>
            </w:r>
          </w:p>
        </w:tc>
        <w:tc>
          <w:tcPr>
            <w:tcW w:w="5386" w:type="dxa"/>
            <w:vAlign w:val="center"/>
          </w:tcPr>
          <w:p>
            <w:pPr>
              <w:pStyle w:val="13"/>
            </w:pPr>
            <w:r>
              <w:t>反映用于本次普查租车费</w:t>
            </w:r>
          </w:p>
        </w:tc>
        <w:tc>
          <w:tcPr>
            <w:tcW w:w="2268" w:type="dxa"/>
            <w:vAlign w:val="center"/>
          </w:tcPr>
          <w:p>
            <w:pPr>
              <w:pStyle w:val="13"/>
            </w:pPr>
            <w:r>
              <w:t>≤0.5万元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提升抵御自然灾害防范能力</w:t>
            </w:r>
          </w:p>
        </w:tc>
        <w:tc>
          <w:tcPr>
            <w:tcW w:w="5386" w:type="dxa"/>
            <w:vAlign w:val="center"/>
          </w:tcPr>
          <w:p>
            <w:pPr>
              <w:pStyle w:val="13"/>
            </w:pPr>
            <w:r>
              <w:t>通过普查，提升抵御自然灾害防能力，提交高质量普查结果报告</w:t>
            </w:r>
          </w:p>
        </w:tc>
        <w:tc>
          <w:tcPr>
            <w:tcW w:w="2268" w:type="dxa"/>
            <w:vAlign w:val="center"/>
          </w:tcPr>
          <w:p>
            <w:pPr>
              <w:pStyle w:val="13"/>
            </w:pPr>
            <w:r>
              <w:t>≥1份</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防灾减灾能力提成情况</w:t>
            </w:r>
          </w:p>
        </w:tc>
        <w:tc>
          <w:tcPr>
            <w:tcW w:w="5386" w:type="dxa"/>
            <w:vAlign w:val="center"/>
          </w:tcPr>
          <w:p>
            <w:pPr>
              <w:pStyle w:val="13"/>
            </w:pPr>
            <w:r>
              <w:t>通过开展灾害普查，促进防灾减灾能力提升</w:t>
            </w:r>
          </w:p>
        </w:tc>
        <w:tc>
          <w:tcPr>
            <w:tcW w:w="2268" w:type="dxa"/>
            <w:vAlign w:val="center"/>
          </w:tcPr>
          <w:p>
            <w:pPr>
              <w:pStyle w:val="13"/>
            </w:pPr>
            <w:r>
              <w:t>≥10%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村民调查中，满意和较满意的人数占全部调查人数的比率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13032125P00011610147F</w:t>
            </w:r>
          </w:p>
        </w:tc>
        <w:tc>
          <w:tcPr>
            <w:tcW w:w="2835" w:type="dxa"/>
            <w:vAlign w:val="center"/>
          </w:tcPr>
          <w:p>
            <w:pPr>
              <w:pStyle w:val="11"/>
            </w:pPr>
            <w:r>
              <w:t>项目名称</w:t>
            </w:r>
          </w:p>
        </w:tc>
        <w:tc>
          <w:tcPr>
            <w:tcW w:w="6095" w:type="dxa"/>
            <w:gridSpan w:val="3"/>
            <w:vAlign w:val="center"/>
          </w:tcPr>
          <w:p>
            <w:pPr>
              <w:pStyle w:val="13"/>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预算数18万元，其中财政资金18万元。主要用于取暖。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w:t>
            </w:r>
          </w:p>
        </w:tc>
        <w:tc>
          <w:tcPr>
            <w:tcW w:w="2835" w:type="dxa"/>
            <w:vAlign w:val="center"/>
          </w:tcPr>
          <w:p>
            <w:pPr>
              <w:pStyle w:val="14"/>
            </w:pPr>
            <w:r>
              <w:t>16.00</w:t>
            </w:r>
          </w:p>
        </w:tc>
        <w:tc>
          <w:tcPr>
            <w:tcW w:w="2551" w:type="dxa"/>
            <w:vAlign w:val="center"/>
          </w:tcPr>
          <w:p>
            <w:pPr>
              <w:pStyle w:val="14"/>
            </w:pPr>
            <w:r>
              <w:t>17.00</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1.通过改变取暖方式，加大大气治理力度，提升大气质量，保护自然环境。</w:t>
            </w:r>
            <w:r>
              <w:tab/>
            </w:r>
            <w:r>
              <w:tab/>
            </w:r>
            <w:r>
              <w:tab/>
            </w:r>
            <w:r>
              <w:tab/>
            </w:r>
            <w:r>
              <w:tab/>
            </w:r>
            <w:r>
              <w:tab/>
            </w:r>
            <w:r>
              <w:tab/>
            </w:r>
          </w:p>
          <w:p>
            <w:pPr>
              <w:pStyle w:val="13"/>
            </w:pPr>
            <w:r>
              <w:t>2.通过采取锅炉改造电取暖，确保机关正常办公，为机关工作人员和群众提供良好的工作办事环境。</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冬季采暖保障面积</w:t>
            </w:r>
          </w:p>
        </w:tc>
        <w:tc>
          <w:tcPr>
            <w:tcW w:w="5386" w:type="dxa"/>
            <w:vAlign w:val="center"/>
          </w:tcPr>
          <w:p>
            <w:pPr>
              <w:pStyle w:val="13"/>
            </w:pPr>
            <w:r>
              <w:t>用于冬季采暖的办公场所面积数量</w:t>
            </w:r>
          </w:p>
        </w:tc>
        <w:tc>
          <w:tcPr>
            <w:tcW w:w="2268" w:type="dxa"/>
            <w:vAlign w:val="center"/>
          </w:tcPr>
          <w:p>
            <w:pPr>
              <w:pStyle w:val="13"/>
            </w:pPr>
            <w:r>
              <w:t>≥2900㎡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二氧化硫削排放减率</w:t>
            </w:r>
          </w:p>
        </w:tc>
        <w:tc>
          <w:tcPr>
            <w:tcW w:w="5386" w:type="dxa"/>
            <w:vAlign w:val="center"/>
          </w:tcPr>
          <w:p>
            <w:pPr>
              <w:pStyle w:val="13"/>
            </w:pPr>
            <w:r>
              <w:t>当年实际二氧化硫排放削减率</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细颗粒物排放削减率</w:t>
            </w:r>
          </w:p>
        </w:tc>
        <w:tc>
          <w:tcPr>
            <w:tcW w:w="5386" w:type="dxa"/>
            <w:vAlign w:val="center"/>
          </w:tcPr>
          <w:p>
            <w:pPr>
              <w:pStyle w:val="13"/>
            </w:pPr>
            <w:r>
              <w:t>当年实际细颗粒物排放削减率</w:t>
            </w:r>
          </w:p>
        </w:tc>
        <w:tc>
          <w:tcPr>
            <w:tcW w:w="2268" w:type="dxa"/>
            <w:vAlign w:val="center"/>
          </w:tcPr>
          <w:p>
            <w:pPr>
              <w:pStyle w:val="13"/>
            </w:pPr>
            <w:r>
              <w:t>≥8%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资金支付时效性</w:t>
            </w:r>
          </w:p>
        </w:tc>
        <w:tc>
          <w:tcPr>
            <w:tcW w:w="5386" w:type="dxa"/>
            <w:vAlign w:val="center"/>
          </w:tcPr>
          <w:p>
            <w:pPr>
              <w:pStyle w:val="13"/>
            </w:pPr>
            <w:r>
              <w:t>燃煤锅炉改造及清洁能源补贴在采暖期内及时拨付</w:t>
            </w:r>
          </w:p>
        </w:tc>
        <w:tc>
          <w:tcPr>
            <w:tcW w:w="2268" w:type="dxa"/>
            <w:vAlign w:val="center"/>
          </w:tcPr>
          <w:p>
            <w:pPr>
              <w:pStyle w:val="13"/>
            </w:pPr>
            <w:r>
              <w:t>12月底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供暖设施维修支出</w:t>
            </w:r>
          </w:p>
        </w:tc>
        <w:tc>
          <w:tcPr>
            <w:tcW w:w="5386" w:type="dxa"/>
            <w:vAlign w:val="center"/>
          </w:tcPr>
          <w:p>
            <w:pPr>
              <w:pStyle w:val="13"/>
            </w:pPr>
            <w:r>
              <w:t>供暖管道设施维修费用支出</w:t>
            </w:r>
          </w:p>
        </w:tc>
        <w:tc>
          <w:tcPr>
            <w:tcW w:w="2268" w:type="dxa"/>
            <w:vAlign w:val="center"/>
          </w:tcPr>
          <w:p>
            <w:pPr>
              <w:pStyle w:val="13"/>
            </w:pPr>
            <w:r>
              <w:t>&lt;13万元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采暖费用支出</w:t>
            </w:r>
          </w:p>
        </w:tc>
        <w:tc>
          <w:tcPr>
            <w:tcW w:w="5386" w:type="dxa"/>
            <w:vAlign w:val="center"/>
          </w:tcPr>
          <w:p>
            <w:pPr>
              <w:pStyle w:val="13"/>
            </w:pPr>
            <w:r>
              <w:t>办公场所采暖费用支出</w:t>
            </w:r>
          </w:p>
        </w:tc>
        <w:tc>
          <w:tcPr>
            <w:tcW w:w="2268" w:type="dxa"/>
            <w:vAlign w:val="center"/>
          </w:tcPr>
          <w:p>
            <w:pPr>
              <w:pStyle w:val="13"/>
            </w:pPr>
            <w:r>
              <w:t>&lt;5万元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全年空气优良天数增长率（%）</w:t>
            </w:r>
          </w:p>
        </w:tc>
        <w:tc>
          <w:tcPr>
            <w:tcW w:w="5386" w:type="dxa"/>
            <w:vAlign w:val="center"/>
          </w:tcPr>
          <w:p>
            <w:pPr>
              <w:pStyle w:val="13"/>
            </w:pPr>
            <w:r>
              <w:t>全年空气优良天数同比增长率</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大气环境质量改善</w:t>
            </w:r>
          </w:p>
        </w:tc>
        <w:tc>
          <w:tcPr>
            <w:tcW w:w="5386" w:type="dxa"/>
            <w:vAlign w:val="center"/>
          </w:tcPr>
          <w:p>
            <w:pPr>
              <w:pStyle w:val="13"/>
            </w:pPr>
            <w:r>
              <w:t>大气环境质量改善提升</w:t>
            </w:r>
          </w:p>
        </w:tc>
        <w:tc>
          <w:tcPr>
            <w:tcW w:w="2268" w:type="dxa"/>
            <w:vAlign w:val="center"/>
          </w:tcPr>
          <w:p>
            <w:pPr>
              <w:pStyle w:val="13"/>
            </w:pPr>
            <w:r>
              <w:t>≥10%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调查中满意和较满意的公众人数占全部调查人数的比率</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13032125P000006100283</w:t>
            </w:r>
          </w:p>
        </w:tc>
        <w:tc>
          <w:tcPr>
            <w:tcW w:w="2835" w:type="dxa"/>
            <w:vAlign w:val="center"/>
          </w:tcPr>
          <w:p>
            <w:pPr>
              <w:pStyle w:val="11"/>
            </w:pPr>
            <w:r>
              <w:t>项目名称</w:t>
            </w:r>
          </w:p>
        </w:tc>
        <w:tc>
          <w:tcPr>
            <w:tcW w:w="6095" w:type="dxa"/>
            <w:gridSpan w:val="3"/>
            <w:vAlign w:val="center"/>
          </w:tcPr>
          <w:p>
            <w:pPr>
              <w:pStyle w:val="13"/>
            </w:pPr>
            <w:r>
              <w:t>严重精神障碍患者监护人责任险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预算数0.8万元，其中财政资金0.8万元。主要用于精神障碍患者监护人办理相关保险工作。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0.20</w:t>
            </w:r>
          </w:p>
        </w:tc>
        <w:tc>
          <w:tcPr>
            <w:tcW w:w="2835" w:type="dxa"/>
            <w:vAlign w:val="center"/>
          </w:tcPr>
          <w:p>
            <w:pPr>
              <w:pStyle w:val="14"/>
            </w:pPr>
            <w:r>
              <w:t>0.40</w:t>
            </w:r>
          </w:p>
        </w:tc>
        <w:tc>
          <w:tcPr>
            <w:tcW w:w="2551" w:type="dxa"/>
            <w:vAlign w:val="center"/>
          </w:tcPr>
          <w:p>
            <w:pPr>
              <w:pStyle w:val="14"/>
            </w:pPr>
            <w:r>
              <w:t>0.60</w:t>
            </w:r>
          </w:p>
        </w:tc>
        <w:tc>
          <w:tcPr>
            <w:tcW w:w="3544" w:type="dxa"/>
            <w:gridSpan w:val="2"/>
            <w:vAlign w:val="center"/>
          </w:tcPr>
          <w:p>
            <w:pPr>
              <w:pStyle w:val="14"/>
            </w:pPr>
            <w:r>
              <w:t>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1.通过以政府出资投保的方式，减少监护人损失、增强监护人、当事人社会保障，从而化解事后风险。</w:t>
            </w:r>
            <w:r>
              <w:tab/>
            </w:r>
            <w:r>
              <w:tab/>
            </w:r>
            <w:r>
              <w:tab/>
            </w:r>
            <w:r>
              <w:tab/>
            </w:r>
            <w:r>
              <w:tab/>
            </w:r>
            <w:r>
              <w:tab/>
            </w:r>
            <w:r>
              <w:tab/>
            </w:r>
            <w:r>
              <w:tab/>
            </w:r>
            <w:r>
              <w:tab/>
            </w:r>
            <w:r>
              <w:tab/>
            </w:r>
            <w:r>
              <w:tab/>
            </w:r>
            <w:r>
              <w:tab/>
            </w:r>
            <w:r>
              <w:tab/>
            </w:r>
            <w:r>
              <w:tab/>
            </w:r>
          </w:p>
          <w:p>
            <w:pPr>
              <w:pStyle w:val="13"/>
            </w:pPr>
            <w:r>
              <w:t>2.通过为严重精神障碍患者监护人办理相关保险业，预防严重精神障碍患者伤及人身、损坏财物事件发生。</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享受保险人数(人)</w:t>
            </w:r>
          </w:p>
        </w:tc>
        <w:tc>
          <w:tcPr>
            <w:tcW w:w="5386" w:type="dxa"/>
            <w:vAlign w:val="center"/>
          </w:tcPr>
          <w:p>
            <w:pPr>
              <w:pStyle w:val="13"/>
            </w:pPr>
            <w:r>
              <w:t>享受严重精神障碍患者监护人责任险的人数</w:t>
            </w:r>
          </w:p>
        </w:tc>
        <w:tc>
          <w:tcPr>
            <w:tcW w:w="2268" w:type="dxa"/>
            <w:vAlign w:val="center"/>
          </w:tcPr>
          <w:p>
            <w:pPr>
              <w:pStyle w:val="13"/>
            </w:pPr>
            <w:r>
              <w:t>80人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w:t>
            </w:r>
          </w:p>
        </w:tc>
        <w:tc>
          <w:tcPr>
            <w:tcW w:w="5386" w:type="dxa"/>
            <w:vAlign w:val="center"/>
          </w:tcPr>
          <w:p>
            <w:pPr>
              <w:pStyle w:val="13"/>
            </w:pPr>
            <w:r>
              <w:t>反映严重精神障碍患者人数</w:t>
            </w:r>
          </w:p>
        </w:tc>
        <w:tc>
          <w:tcPr>
            <w:tcW w:w="2268" w:type="dxa"/>
            <w:vAlign w:val="center"/>
          </w:tcPr>
          <w:p>
            <w:pPr>
              <w:pStyle w:val="13"/>
            </w:pPr>
            <w:r>
              <w:t>≤80人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参保率</w:t>
            </w:r>
          </w:p>
        </w:tc>
        <w:tc>
          <w:tcPr>
            <w:tcW w:w="5386" w:type="dxa"/>
            <w:vAlign w:val="center"/>
          </w:tcPr>
          <w:p>
            <w:pPr>
              <w:pStyle w:val="13"/>
            </w:pPr>
            <w:r>
              <w:t>已参保人数占应参保人数的比率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审核准确率</w:t>
            </w:r>
          </w:p>
        </w:tc>
        <w:tc>
          <w:tcPr>
            <w:tcW w:w="5386" w:type="dxa"/>
            <w:vAlign w:val="center"/>
          </w:tcPr>
          <w:p>
            <w:pPr>
              <w:pStyle w:val="13"/>
            </w:pPr>
            <w:r>
              <w:t>责任险报销事项审核准确率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办结率</w:t>
            </w:r>
          </w:p>
        </w:tc>
        <w:tc>
          <w:tcPr>
            <w:tcW w:w="5386" w:type="dxa"/>
            <w:vAlign w:val="center"/>
          </w:tcPr>
          <w:p>
            <w:pPr>
              <w:pStyle w:val="13"/>
            </w:pPr>
            <w:r>
              <w:t>责任险报销事项实际在规定时间内及时办结的件数占应在规定时间内及时办结的件数的比率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缴纳保险及时率</w:t>
            </w:r>
          </w:p>
        </w:tc>
        <w:tc>
          <w:tcPr>
            <w:tcW w:w="5386" w:type="dxa"/>
            <w:vAlign w:val="center"/>
          </w:tcPr>
          <w:p>
            <w:pPr>
              <w:pStyle w:val="13"/>
            </w:pPr>
            <w:r>
              <w:t>反映及时足额缴纳保险时间</w:t>
            </w:r>
          </w:p>
        </w:tc>
        <w:tc>
          <w:tcPr>
            <w:tcW w:w="2268" w:type="dxa"/>
            <w:vAlign w:val="center"/>
          </w:tcPr>
          <w:p>
            <w:pPr>
              <w:pStyle w:val="13"/>
            </w:pPr>
            <w:r>
              <w:t>12月前</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给予严重精神障碍患者监护人每人每年支付保险的费用</w:t>
            </w:r>
          </w:p>
        </w:tc>
        <w:tc>
          <w:tcPr>
            <w:tcW w:w="2268" w:type="dxa"/>
            <w:vAlign w:val="center"/>
          </w:tcPr>
          <w:p>
            <w:pPr>
              <w:pStyle w:val="13"/>
            </w:pPr>
            <w:r>
              <w:t>100元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提高监护人保障</w:t>
            </w:r>
          </w:p>
        </w:tc>
        <w:tc>
          <w:tcPr>
            <w:tcW w:w="5386" w:type="dxa"/>
            <w:vAlign w:val="center"/>
          </w:tcPr>
          <w:p>
            <w:pPr>
              <w:pStyle w:val="13"/>
            </w:pPr>
            <w:r>
              <w:t>减少监护人损失、增强监护人、当事人社会保障，从而化解事后风险</w:t>
            </w:r>
          </w:p>
        </w:tc>
        <w:tc>
          <w:tcPr>
            <w:tcW w:w="2268" w:type="dxa"/>
            <w:vAlign w:val="center"/>
          </w:tcPr>
          <w:p>
            <w:pPr>
              <w:pStyle w:val="13"/>
            </w:pPr>
            <w:r>
              <w:t>≤80人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减少精神障碍患者产生安全问题</w:t>
            </w:r>
          </w:p>
        </w:tc>
        <w:tc>
          <w:tcPr>
            <w:tcW w:w="5386" w:type="dxa"/>
            <w:vAlign w:val="center"/>
          </w:tcPr>
          <w:p>
            <w:pPr>
              <w:pStyle w:val="13"/>
            </w:pPr>
            <w:r>
              <w:t>预防严重精神障碍患者伤及人身、损坏财物事件发生</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被保险人满意度（%）</w:t>
            </w:r>
          </w:p>
        </w:tc>
        <w:tc>
          <w:tcPr>
            <w:tcW w:w="5386" w:type="dxa"/>
            <w:vAlign w:val="center"/>
          </w:tcPr>
          <w:p>
            <w:pPr>
              <w:pStyle w:val="13"/>
            </w:pPr>
            <w:r>
              <w:t>被保险监护人对保险服务的满意程度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13、综治维稳经费绩效目标表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13032125P000004100345</w:t>
            </w:r>
          </w:p>
        </w:tc>
        <w:tc>
          <w:tcPr>
            <w:tcW w:w="2835" w:type="dxa"/>
            <w:vAlign w:val="center"/>
          </w:tcPr>
          <w:p>
            <w:pPr>
              <w:pStyle w:val="11"/>
            </w:pPr>
            <w:r>
              <w:t>项目名称</w:t>
            </w:r>
          </w:p>
        </w:tc>
        <w:tc>
          <w:tcPr>
            <w:tcW w:w="6095" w:type="dxa"/>
            <w:gridSpan w:val="3"/>
            <w:vAlign w:val="center"/>
          </w:tcPr>
          <w:p>
            <w:pPr>
              <w:pStyle w:val="13"/>
            </w:pPr>
            <w:r>
              <w:t>综治维稳经费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预算数2万元，其中财政资金2万元。主要用于信访维稳。</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1.50</w:t>
            </w:r>
          </w:p>
        </w:tc>
        <w:tc>
          <w:tcPr>
            <w:tcW w:w="2551" w:type="dxa"/>
            <w:vAlign w:val="center"/>
          </w:tcPr>
          <w:p>
            <w:pPr>
              <w:pStyle w:val="14"/>
            </w:pPr>
            <w:r>
              <w:t>1.80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1.通过综合工作协调联动，协助司法机关打击各类刑事犯罪活动，使得妥善处理突发性、群体性事件；搞好村级治安工作、村委会建设、完善村规民约，深化农村平安创建工作</w:t>
            </w:r>
            <w:r>
              <w:tab/>
            </w:r>
            <w:r>
              <w:tab/>
            </w:r>
            <w:r>
              <w:tab/>
            </w:r>
            <w:r>
              <w:tab/>
            </w:r>
            <w:r>
              <w:tab/>
            </w:r>
            <w:r>
              <w:tab/>
            </w:r>
            <w:r>
              <w:tab/>
            </w:r>
          </w:p>
          <w:p>
            <w:pPr>
              <w:pStyle w:val="13"/>
            </w:pPr>
            <w:r>
              <w:t>2.通过开展综治工作，宣传相关政策，加大依法行政的力度，达到维护农业农村工作的稳定效果；加强法制宣传教育、提高公民的法律意识和素质，教育农民知法、懂法和守法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维稳次数</w:t>
            </w:r>
          </w:p>
        </w:tc>
        <w:tc>
          <w:tcPr>
            <w:tcW w:w="5386" w:type="dxa"/>
            <w:vAlign w:val="center"/>
          </w:tcPr>
          <w:p>
            <w:pPr>
              <w:pStyle w:val="13"/>
            </w:pPr>
            <w:r>
              <w:t>反映每年下乡维稳的次数</w:t>
            </w:r>
          </w:p>
        </w:tc>
        <w:tc>
          <w:tcPr>
            <w:tcW w:w="2268" w:type="dxa"/>
            <w:vAlign w:val="center"/>
          </w:tcPr>
          <w:p>
            <w:pPr>
              <w:pStyle w:val="13"/>
            </w:pPr>
            <w:r>
              <w:t>≥100次</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接信访人返青次数</w:t>
            </w:r>
          </w:p>
        </w:tc>
        <w:tc>
          <w:tcPr>
            <w:tcW w:w="5386" w:type="dxa"/>
            <w:vAlign w:val="center"/>
          </w:tcPr>
          <w:p>
            <w:pPr>
              <w:pStyle w:val="13"/>
            </w:pPr>
            <w:r>
              <w:t>反映每年接信访人返青次数</w:t>
            </w:r>
          </w:p>
        </w:tc>
        <w:tc>
          <w:tcPr>
            <w:tcW w:w="2268" w:type="dxa"/>
            <w:vAlign w:val="center"/>
          </w:tcPr>
          <w:p>
            <w:pPr>
              <w:pStyle w:val="13"/>
            </w:pPr>
            <w:r>
              <w:t>≥10次</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反映每年法制宣传教育次数</w:t>
            </w:r>
          </w:p>
        </w:tc>
        <w:tc>
          <w:tcPr>
            <w:tcW w:w="2268" w:type="dxa"/>
            <w:vAlign w:val="center"/>
          </w:tcPr>
          <w:p>
            <w:pPr>
              <w:pStyle w:val="13"/>
            </w:pPr>
            <w:r>
              <w:t>≥10次</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协调督导事项化解率(%)</w:t>
            </w:r>
          </w:p>
        </w:tc>
        <w:tc>
          <w:tcPr>
            <w:tcW w:w="5386" w:type="dxa"/>
            <w:vAlign w:val="center"/>
          </w:tcPr>
          <w:p>
            <w:pPr>
              <w:pStyle w:val="13"/>
            </w:pPr>
            <w:r>
              <w:t>化解事项占督导事项总数的比率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处置的涉稳舆情数占涉稳网络舆情总数的比率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反映完成各项工作及时率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交通费用</w:t>
            </w:r>
          </w:p>
        </w:tc>
        <w:tc>
          <w:tcPr>
            <w:tcW w:w="5386" w:type="dxa"/>
            <w:vAlign w:val="center"/>
          </w:tcPr>
          <w:p>
            <w:pPr>
              <w:pStyle w:val="13"/>
            </w:pPr>
            <w:r>
              <w:t>反映接信访人员的交通费用和下乡的交通费</w:t>
            </w:r>
          </w:p>
        </w:tc>
        <w:tc>
          <w:tcPr>
            <w:tcW w:w="2268" w:type="dxa"/>
            <w:vAlign w:val="center"/>
          </w:tcPr>
          <w:p>
            <w:pPr>
              <w:pStyle w:val="13"/>
            </w:pPr>
            <w:r>
              <w:t>≤1万元</w:t>
            </w:r>
          </w:p>
        </w:tc>
        <w:tc>
          <w:tcPr>
            <w:tcW w:w="127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办公费支出</w:t>
            </w:r>
          </w:p>
        </w:tc>
        <w:tc>
          <w:tcPr>
            <w:tcW w:w="5386" w:type="dxa"/>
            <w:vAlign w:val="center"/>
          </w:tcPr>
          <w:p>
            <w:pPr>
              <w:pStyle w:val="13"/>
            </w:pPr>
            <w:r>
              <w:t>反映用于维稳的办公费支出</w:t>
            </w:r>
          </w:p>
        </w:tc>
        <w:tc>
          <w:tcPr>
            <w:tcW w:w="2268" w:type="dxa"/>
            <w:vAlign w:val="center"/>
          </w:tcPr>
          <w:p>
            <w:pPr>
              <w:pStyle w:val="13"/>
            </w:pPr>
            <w:r>
              <w:t>≤1元</w:t>
            </w:r>
          </w:p>
        </w:tc>
        <w:tc>
          <w:tcPr>
            <w:tcW w:w="127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提高公民的法律意识和素质</w:t>
            </w:r>
          </w:p>
        </w:tc>
        <w:tc>
          <w:tcPr>
            <w:tcW w:w="5386" w:type="dxa"/>
            <w:vAlign w:val="center"/>
          </w:tcPr>
          <w:p>
            <w:pPr>
              <w:pStyle w:val="13"/>
            </w:pPr>
            <w:r>
              <w:t>加强法制宣传教育、提高公民的法律意识和素质，教育农民知法、懂法和守法</w:t>
            </w:r>
          </w:p>
        </w:tc>
        <w:tc>
          <w:tcPr>
            <w:tcW w:w="2268" w:type="dxa"/>
            <w:vAlign w:val="center"/>
          </w:tcPr>
          <w:p>
            <w:pPr>
              <w:pStyle w:val="13"/>
            </w:pPr>
            <w:r>
              <w:t>≥10%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促进社会和谐稳定</w:t>
            </w:r>
          </w:p>
        </w:tc>
        <w:tc>
          <w:tcPr>
            <w:tcW w:w="5386" w:type="dxa"/>
            <w:vAlign w:val="center"/>
          </w:tcPr>
          <w:p>
            <w:pPr>
              <w:pStyle w:val="13"/>
            </w:pPr>
            <w:r>
              <w:t>维护农业农村工作的稳定，促进社会和谐稳定，非访率控制范围之内</w:t>
            </w:r>
          </w:p>
        </w:tc>
        <w:tc>
          <w:tcPr>
            <w:tcW w:w="2268" w:type="dxa"/>
            <w:vAlign w:val="center"/>
          </w:tcPr>
          <w:p>
            <w:pPr>
              <w:pStyle w:val="13"/>
            </w:pPr>
            <w:r>
              <w:t>≤5%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服务对象调查满意率(％)</w:t>
            </w:r>
          </w:p>
        </w:tc>
        <w:tc>
          <w:tcPr>
            <w:tcW w:w="5386" w:type="dxa"/>
            <w:vAlign w:val="center"/>
          </w:tcPr>
          <w:p>
            <w:pPr>
              <w:pStyle w:val="13"/>
            </w:pPr>
            <w:r>
              <w:t>群众满意及比较满意人数占参加调查总人数的比率</w:t>
            </w:r>
          </w:p>
        </w:tc>
        <w:tc>
          <w:tcPr>
            <w:tcW w:w="2268" w:type="dxa"/>
            <w:vAlign w:val="center"/>
          </w:tcPr>
          <w:p>
            <w:pPr>
              <w:pStyle w:val="13"/>
            </w:pPr>
            <w:r>
              <w:t>≥95%</w:t>
            </w:r>
          </w:p>
        </w:tc>
        <w:tc>
          <w:tcPr>
            <w:tcW w:w="1276" w:type="dxa"/>
            <w:vAlign w:val="center"/>
          </w:tcPr>
          <w:p>
            <w:pPr>
              <w:pStyle w:val="13"/>
            </w:pPr>
            <w:r>
              <w:t>调研获得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13.90</w:t>
            </w:r>
          </w:p>
        </w:tc>
        <w:tc>
          <w:tcPr>
            <w:tcW w:w="964" w:type="dxa"/>
            <w:vAlign w:val="center"/>
          </w:tcPr>
          <w:p>
            <w:pPr>
              <w:pStyle w:val="16"/>
            </w:pPr>
            <w:r>
              <w:t>13.90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青龙满族自治县官场乡人民政府本级小计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13.90</w:t>
            </w:r>
          </w:p>
        </w:tc>
        <w:tc>
          <w:tcPr>
            <w:tcW w:w="964" w:type="dxa"/>
            <w:vAlign w:val="center"/>
          </w:tcPr>
          <w:p>
            <w:pPr>
              <w:pStyle w:val="16"/>
            </w:pPr>
            <w:r>
              <w:t>13.90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6.80</w:t>
            </w:r>
          </w:p>
        </w:tc>
        <w:tc>
          <w:tcPr>
            <w:tcW w:w="964" w:type="dxa"/>
            <w:vAlign w:val="center"/>
          </w:tcPr>
          <w:p>
            <w:pPr>
              <w:pStyle w:val="12"/>
            </w:pPr>
            <w:r>
              <w:t>6.80</w:t>
            </w:r>
          </w:p>
        </w:tc>
        <w:tc>
          <w:tcPr>
            <w:tcW w:w="964" w:type="dxa"/>
            <w:vAlign w:val="center"/>
          </w:tcPr>
          <w:p>
            <w:pPr>
              <w:pStyle w:val="12"/>
            </w:pPr>
            <w:r>
              <w:t>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单证印刷服务</w:t>
            </w:r>
          </w:p>
        </w:tc>
        <w:tc>
          <w:tcPr>
            <w:tcW w:w="1134" w:type="dxa"/>
            <w:vAlign w:val="center"/>
          </w:tcPr>
          <w:p>
            <w:pPr>
              <w:pStyle w:val="13"/>
            </w:pPr>
            <w:r>
              <w:t>C23090101</w:t>
            </w:r>
          </w:p>
        </w:tc>
        <w:tc>
          <w:tcPr>
            <w:tcW w:w="709" w:type="dxa"/>
            <w:vAlign w:val="center"/>
          </w:tcPr>
          <w:p>
            <w:pPr>
              <w:pStyle w:val="14"/>
            </w:pPr>
            <w:r>
              <w:t>张</w:t>
            </w:r>
          </w:p>
        </w:tc>
        <w:tc>
          <w:tcPr>
            <w:tcW w:w="850" w:type="dxa"/>
            <w:vAlign w:val="center"/>
          </w:tcPr>
          <w:p>
            <w:pPr>
              <w:pStyle w:val="12"/>
            </w:pPr>
            <w:r>
              <w:t>500</w:t>
            </w:r>
          </w:p>
        </w:tc>
        <w:tc>
          <w:tcPr>
            <w:tcW w:w="850" w:type="dxa"/>
            <w:vAlign w:val="center"/>
          </w:tcPr>
          <w:p>
            <w:pPr>
              <w:pStyle w:val="12"/>
            </w:pPr>
            <w:r>
              <w:t>0.00</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张</w:t>
            </w:r>
          </w:p>
        </w:tc>
        <w:tc>
          <w:tcPr>
            <w:tcW w:w="850" w:type="dxa"/>
            <w:vAlign w:val="center"/>
          </w:tcPr>
          <w:p>
            <w:pPr>
              <w:pStyle w:val="12"/>
            </w:pPr>
            <w:r>
              <w:t>500</w:t>
            </w:r>
          </w:p>
        </w:tc>
        <w:tc>
          <w:tcPr>
            <w:tcW w:w="850" w:type="dxa"/>
            <w:vAlign w:val="center"/>
          </w:tcPr>
          <w:p>
            <w:pPr>
              <w:pStyle w:val="12"/>
            </w:pPr>
            <w:r>
              <w:t>0.00</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2</w:t>
            </w:r>
          </w:p>
        </w:tc>
        <w:tc>
          <w:tcPr>
            <w:tcW w:w="850" w:type="dxa"/>
            <w:vAlign w:val="center"/>
          </w:tcPr>
          <w:p>
            <w:pPr>
              <w:pStyle w:val="12"/>
            </w:pPr>
            <w:r>
              <w:t>0.40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2600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青龙满族自治县官场乡人民政府（含所属单位）上年末固定资产金额为4709988.97万元（详见下表）。本年度拟购置固定资产总额为0.00万元，已按要求列入政府采购预算，详见政府采购预算表。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905青龙满族自治县官场乡人民政府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4709988.97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w:t>
            </w:r>
          </w:p>
        </w:tc>
        <w:tc>
          <w:tcPr>
            <w:tcW w:w="2835" w:type="dxa"/>
            <w:vAlign w:val="center"/>
          </w:tcPr>
          <w:p>
            <w:pPr>
              <w:pStyle w:val="12"/>
            </w:pPr>
            <w:r>
              <w:t>3515410.00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w:t>
            </w:r>
          </w:p>
        </w:tc>
        <w:tc>
          <w:tcPr>
            <w:tcW w:w="2835" w:type="dxa"/>
            <w:vAlign w:val="center"/>
          </w:tcPr>
          <w:p>
            <w:pPr>
              <w:pStyle w:val="12"/>
            </w:pPr>
            <w:r>
              <w:t>3515410.00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298900.00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563</w:t>
            </w:r>
          </w:p>
        </w:tc>
        <w:tc>
          <w:tcPr>
            <w:tcW w:w="2835" w:type="dxa"/>
            <w:vAlign w:val="center"/>
          </w:tcPr>
          <w:p>
            <w:pPr>
              <w:pStyle w:val="12"/>
            </w:pPr>
            <w:r>
              <w:t>895678.97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01E6"/>
    <w:rsid w:val="0FEB5167"/>
    <w:rsid w:val="285679C8"/>
    <w:rsid w:val="5F6D0B5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TotalTime>0</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2025-01-26T16:09:00Z</dcterms:created>
  <dc:creator>Administrator</dc:creator>
  <cp:lastModifiedBy>Administrator</cp:lastModifiedBy>
  <dcterms:modified xsi:type="dcterms:W3CDTF">2025-01-26T08:23:47Z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FBA44469412A40968460D0E907CF604F</vt:lpwstr>
  </property>
</Properties>
</file>