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2158.58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460.00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4891.11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2618.58</w:t>
            </w:r>
          </w:p>
        </w:tc>
        <w:tc>
          <w:tcPr>
            <w:tcW w:w="4535" w:type="dxa"/>
            <w:vAlign w:val="center"/>
          </w:tcPr>
          <w:p>
            <w:pPr>
              <w:pStyle w:val="15"/>
            </w:pPr>
            <w:r>
              <w:t>本年支出合计</w:t>
            </w:r>
          </w:p>
        </w:tc>
        <w:tc>
          <w:tcPr>
            <w:tcW w:w="2126" w:type="dxa"/>
            <w:vAlign w:val="center"/>
          </w:tcPr>
          <w:p>
            <w:pPr>
              <w:pStyle w:val="16"/>
            </w:pPr>
            <w:r>
              <w:t>5640.00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3021.42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5640.00</w:t>
            </w:r>
          </w:p>
        </w:tc>
        <w:tc>
          <w:tcPr>
            <w:tcW w:w="4535" w:type="dxa"/>
            <w:vAlign w:val="center"/>
          </w:tcPr>
          <w:p>
            <w:pPr>
              <w:pStyle w:val="15"/>
            </w:pPr>
            <w:r>
              <w:t>支出总计</w:t>
            </w:r>
          </w:p>
        </w:tc>
        <w:tc>
          <w:tcPr>
            <w:tcW w:w="2126" w:type="dxa"/>
            <w:vAlign w:val="center"/>
          </w:tcPr>
          <w:p>
            <w:pPr>
              <w:pStyle w:val="16"/>
            </w:pPr>
            <w:r>
              <w:t>5640.00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5640.00</w:t>
            </w:r>
          </w:p>
        </w:tc>
        <w:tc>
          <w:tcPr>
            <w:tcW w:w="1134" w:type="dxa"/>
            <w:vAlign w:val="center"/>
          </w:tcPr>
          <w:p>
            <w:pPr>
              <w:pStyle w:val="16"/>
            </w:pPr>
            <w:r>
              <w:t>2618.58</w:t>
            </w:r>
          </w:p>
        </w:tc>
        <w:tc>
          <w:tcPr>
            <w:tcW w:w="1134" w:type="dxa"/>
            <w:vAlign w:val="center"/>
          </w:tcPr>
          <w:p>
            <w:pPr>
              <w:pStyle w:val="16"/>
            </w:pPr>
            <w:r>
              <w:t>2618.58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3021.42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161.10</w:t>
            </w:r>
          </w:p>
        </w:tc>
        <w:tc>
          <w:tcPr>
            <w:tcW w:w="1134" w:type="dxa"/>
            <w:vAlign w:val="center"/>
          </w:tcPr>
          <w:p>
            <w:pPr>
              <w:pStyle w:val="12"/>
            </w:pPr>
            <w:r>
              <w:t>147.54</w:t>
            </w:r>
          </w:p>
        </w:tc>
        <w:tc>
          <w:tcPr>
            <w:tcW w:w="1134" w:type="dxa"/>
            <w:vAlign w:val="center"/>
          </w:tcPr>
          <w:p>
            <w:pPr>
              <w:pStyle w:val="12"/>
            </w:pPr>
            <w:r>
              <w:t>147.54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158.21</w:t>
            </w:r>
          </w:p>
        </w:tc>
        <w:tc>
          <w:tcPr>
            <w:tcW w:w="1134" w:type="dxa"/>
            <w:vAlign w:val="center"/>
          </w:tcPr>
          <w:p>
            <w:pPr>
              <w:pStyle w:val="12"/>
            </w:pPr>
            <w:r>
              <w:t>144.65</w:t>
            </w:r>
          </w:p>
        </w:tc>
        <w:tc>
          <w:tcPr>
            <w:tcW w:w="1134" w:type="dxa"/>
            <w:vAlign w:val="center"/>
          </w:tcPr>
          <w:p>
            <w:pPr>
              <w:pStyle w:val="12"/>
            </w:pPr>
            <w:r>
              <w:t>144.65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39.39</w:t>
            </w:r>
          </w:p>
        </w:tc>
        <w:tc>
          <w:tcPr>
            <w:tcW w:w="1134" w:type="dxa"/>
            <w:vAlign w:val="center"/>
          </w:tcPr>
          <w:p>
            <w:pPr>
              <w:pStyle w:val="12"/>
            </w:pPr>
            <w:r>
              <w:t>39.39</w:t>
            </w:r>
          </w:p>
        </w:tc>
        <w:tc>
          <w:tcPr>
            <w:tcW w:w="1134" w:type="dxa"/>
            <w:vAlign w:val="center"/>
          </w:tcPr>
          <w:p>
            <w:pPr>
              <w:pStyle w:val="12"/>
            </w:pPr>
            <w:r>
              <w:t>39.39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83.66</w:t>
            </w:r>
          </w:p>
        </w:tc>
        <w:tc>
          <w:tcPr>
            <w:tcW w:w="1134" w:type="dxa"/>
            <w:vAlign w:val="center"/>
          </w:tcPr>
          <w:p>
            <w:pPr>
              <w:pStyle w:val="12"/>
            </w:pPr>
            <w:r>
              <w:t>83.57</w:t>
            </w:r>
          </w:p>
        </w:tc>
        <w:tc>
          <w:tcPr>
            <w:tcW w:w="1134" w:type="dxa"/>
            <w:vAlign w:val="center"/>
          </w:tcPr>
          <w:p>
            <w:pPr>
              <w:pStyle w:val="12"/>
            </w:pPr>
            <w:r>
              <w:t>83.57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35.16</w:t>
            </w:r>
          </w:p>
        </w:tc>
        <w:tc>
          <w:tcPr>
            <w:tcW w:w="1134" w:type="dxa"/>
            <w:vAlign w:val="center"/>
          </w:tcPr>
          <w:p>
            <w:pPr>
              <w:pStyle w:val="12"/>
            </w:pPr>
            <w:r>
              <w:t>21.69</w:t>
            </w:r>
          </w:p>
        </w:tc>
        <w:tc>
          <w:tcPr>
            <w:tcW w:w="1134" w:type="dxa"/>
            <w:vAlign w:val="center"/>
          </w:tcPr>
          <w:p>
            <w:pPr>
              <w:pStyle w:val="12"/>
            </w:pPr>
            <w:r>
              <w:t>21.69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62.28</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62.28</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40.38</w:t>
            </w:r>
          </w:p>
        </w:tc>
        <w:tc>
          <w:tcPr>
            <w:tcW w:w="1134" w:type="dxa"/>
            <w:vAlign w:val="center"/>
          </w:tcPr>
          <w:p>
            <w:pPr>
              <w:pStyle w:val="12"/>
            </w:pPr>
            <w:r>
              <w:t>40.38</w:t>
            </w:r>
          </w:p>
        </w:tc>
        <w:tc>
          <w:tcPr>
            <w:tcW w:w="1134" w:type="dxa"/>
            <w:vAlign w:val="center"/>
          </w:tcPr>
          <w:p>
            <w:pPr>
              <w:pStyle w:val="12"/>
            </w:pPr>
            <w:r>
              <w:t>40.38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21.89</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4891.11</w:t>
            </w:r>
          </w:p>
        </w:tc>
        <w:tc>
          <w:tcPr>
            <w:tcW w:w="1134" w:type="dxa"/>
            <w:vAlign w:val="center"/>
          </w:tcPr>
          <w:p>
            <w:pPr>
              <w:pStyle w:val="12"/>
            </w:pPr>
            <w:r>
              <w:t>1918.22</w:t>
            </w:r>
          </w:p>
        </w:tc>
        <w:tc>
          <w:tcPr>
            <w:tcW w:w="1134" w:type="dxa"/>
            <w:vAlign w:val="center"/>
          </w:tcPr>
          <w:p>
            <w:pPr>
              <w:pStyle w:val="12"/>
            </w:pPr>
            <w:r>
              <w:t>1918.22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2972.89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2445.57</w:t>
            </w:r>
          </w:p>
        </w:tc>
        <w:tc>
          <w:tcPr>
            <w:tcW w:w="1134" w:type="dxa"/>
            <w:vAlign w:val="center"/>
          </w:tcPr>
          <w:p>
            <w:pPr>
              <w:pStyle w:val="12"/>
            </w:pPr>
            <w:r>
              <w:t>1574.17</w:t>
            </w:r>
          </w:p>
        </w:tc>
        <w:tc>
          <w:tcPr>
            <w:tcW w:w="1134" w:type="dxa"/>
            <w:vAlign w:val="center"/>
          </w:tcPr>
          <w:p>
            <w:pPr>
              <w:pStyle w:val="12"/>
            </w:pPr>
            <w:r>
              <w:t>1574.17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1335.20</w:t>
            </w:r>
          </w:p>
        </w:tc>
        <w:tc>
          <w:tcPr>
            <w:tcW w:w="1134" w:type="dxa"/>
            <w:vAlign w:val="center"/>
          </w:tcPr>
          <w:p>
            <w:pPr>
              <w:pStyle w:val="12"/>
            </w:pPr>
            <w:r>
              <w:t>1086.87</w:t>
            </w:r>
          </w:p>
        </w:tc>
        <w:tc>
          <w:tcPr>
            <w:tcW w:w="1134" w:type="dxa"/>
            <w:vAlign w:val="center"/>
          </w:tcPr>
          <w:p>
            <w:pPr>
              <w:pStyle w:val="12"/>
            </w:pPr>
            <w:r>
              <w:t>1086.87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215.35</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49.75</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2240108</w:t>
            </w:r>
          </w:p>
        </w:tc>
        <w:tc>
          <w:tcPr>
            <w:tcW w:w="1559" w:type="dxa"/>
            <w:vAlign w:val="center"/>
          </w:tcPr>
          <w:p>
            <w:pPr>
              <w:pStyle w:val="13"/>
            </w:pPr>
            <w:r>
              <w:t>应急救援</w:t>
            </w:r>
          </w:p>
        </w:tc>
        <w:tc>
          <w:tcPr>
            <w:tcW w:w="1134" w:type="dxa"/>
            <w:vAlign w:val="center"/>
          </w:tcPr>
          <w:p>
            <w:pPr>
              <w:pStyle w:val="12"/>
            </w:pPr>
            <w:r>
              <w:t>71.00</w:t>
            </w:r>
          </w:p>
        </w:tc>
        <w:tc>
          <w:tcPr>
            <w:tcW w:w="1134" w:type="dxa"/>
            <w:vAlign w:val="center"/>
          </w:tcPr>
          <w:p>
            <w:pPr>
              <w:pStyle w:val="12"/>
            </w:pPr>
            <w:r>
              <w:t>71.00</w:t>
            </w:r>
          </w:p>
        </w:tc>
        <w:tc>
          <w:tcPr>
            <w:tcW w:w="1134" w:type="dxa"/>
            <w:vAlign w:val="center"/>
          </w:tcPr>
          <w:p>
            <w:pPr>
              <w:pStyle w:val="12"/>
            </w:pPr>
            <w:r>
              <w:t>71.00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762.27</w:t>
            </w:r>
          </w:p>
        </w:tc>
        <w:tc>
          <w:tcPr>
            <w:tcW w:w="1134" w:type="dxa"/>
            <w:vAlign w:val="center"/>
          </w:tcPr>
          <w:p>
            <w:pPr>
              <w:pStyle w:val="12"/>
            </w:pPr>
            <w:r>
              <w:t>400.30</w:t>
            </w:r>
          </w:p>
        </w:tc>
        <w:tc>
          <w:tcPr>
            <w:tcW w:w="1134" w:type="dxa"/>
            <w:vAlign w:val="center"/>
          </w:tcPr>
          <w:p>
            <w:pPr>
              <w:pStyle w:val="12"/>
            </w:pPr>
            <w:r>
              <w:t>400.30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216.22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216.22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22404</w:t>
            </w:r>
          </w:p>
        </w:tc>
        <w:tc>
          <w:tcPr>
            <w:tcW w:w="1559" w:type="dxa"/>
            <w:vAlign w:val="center"/>
          </w:tcPr>
          <w:p>
            <w:pPr>
              <w:pStyle w:val="13"/>
            </w:pPr>
            <w:r>
              <w:t>矿山安全</w:t>
            </w:r>
          </w:p>
        </w:tc>
        <w:tc>
          <w:tcPr>
            <w:tcW w:w="1134" w:type="dxa"/>
            <w:vAlign w:val="center"/>
          </w:tcPr>
          <w:p>
            <w:pPr>
              <w:pStyle w:val="12"/>
            </w:pPr>
            <w:r>
              <w:t>351.49</w:t>
            </w:r>
          </w:p>
        </w:tc>
        <w:tc>
          <w:tcPr>
            <w:tcW w:w="1134" w:type="dxa"/>
            <w:vAlign w:val="center"/>
          </w:tcPr>
          <w:p>
            <w:pPr>
              <w:pStyle w:val="12"/>
            </w:pPr>
            <w:r>
              <w:t>212.27</w:t>
            </w:r>
          </w:p>
        </w:tc>
        <w:tc>
          <w:tcPr>
            <w:tcW w:w="1134" w:type="dxa"/>
            <w:vAlign w:val="center"/>
          </w:tcPr>
          <w:p>
            <w:pPr>
              <w:pStyle w:val="12"/>
            </w:pPr>
            <w:r>
              <w:t>212.27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2240404</w:t>
            </w:r>
          </w:p>
        </w:tc>
        <w:tc>
          <w:tcPr>
            <w:tcW w:w="1559" w:type="dxa"/>
            <w:vAlign w:val="center"/>
          </w:tcPr>
          <w:p>
            <w:pPr>
              <w:pStyle w:val="13"/>
            </w:pPr>
            <w:r>
              <w:t>矿山安全监察事务</w:t>
            </w:r>
          </w:p>
        </w:tc>
        <w:tc>
          <w:tcPr>
            <w:tcW w:w="1134" w:type="dxa"/>
            <w:vAlign w:val="center"/>
          </w:tcPr>
          <w:p>
            <w:pPr>
              <w:pStyle w:val="12"/>
            </w:pPr>
            <w:r>
              <w:t>351.49</w:t>
            </w:r>
          </w:p>
        </w:tc>
        <w:tc>
          <w:tcPr>
            <w:tcW w:w="1134" w:type="dxa"/>
            <w:vAlign w:val="center"/>
          </w:tcPr>
          <w:p>
            <w:pPr>
              <w:pStyle w:val="12"/>
            </w:pPr>
            <w:r>
              <w:t>212.27</w:t>
            </w:r>
          </w:p>
        </w:tc>
        <w:tc>
          <w:tcPr>
            <w:tcW w:w="1134" w:type="dxa"/>
            <w:vAlign w:val="center"/>
          </w:tcPr>
          <w:p>
            <w:pPr>
              <w:pStyle w:val="12"/>
            </w:pPr>
            <w:r>
              <w:t>212.27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1085.84</w:t>
            </w:r>
          </w:p>
        </w:tc>
        <w:tc>
          <w:tcPr>
            <w:tcW w:w="1134" w:type="dxa"/>
            <w:vAlign w:val="center"/>
          </w:tcPr>
          <w:p>
            <w:pPr>
              <w:pStyle w:val="12"/>
            </w:pPr>
            <w:r>
              <w:t>131.78</w:t>
            </w:r>
          </w:p>
        </w:tc>
        <w:tc>
          <w:tcPr>
            <w:tcW w:w="1134" w:type="dxa"/>
            <w:vAlign w:val="center"/>
          </w:tcPr>
          <w:p>
            <w:pPr>
              <w:pStyle w:val="12"/>
            </w:pPr>
            <w:r>
              <w:t>131.78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1085.84</w:t>
            </w:r>
          </w:p>
        </w:tc>
        <w:tc>
          <w:tcPr>
            <w:tcW w:w="1134" w:type="dxa"/>
            <w:vAlign w:val="center"/>
          </w:tcPr>
          <w:p>
            <w:pPr>
              <w:pStyle w:val="12"/>
            </w:pPr>
            <w:r>
              <w:t>131.78</w:t>
            </w:r>
          </w:p>
        </w:tc>
        <w:tc>
          <w:tcPr>
            <w:tcW w:w="1134" w:type="dxa"/>
            <w:vAlign w:val="center"/>
          </w:tcPr>
          <w:p>
            <w:pPr>
              <w:pStyle w:val="12"/>
            </w:pPr>
            <w:r>
              <w:t>131.78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22499</w:t>
            </w:r>
          </w:p>
        </w:tc>
        <w:tc>
          <w:tcPr>
            <w:tcW w:w="1559" w:type="dxa"/>
            <w:vAlign w:val="center"/>
          </w:tcPr>
          <w:p>
            <w:pPr>
              <w:pStyle w:val="13"/>
            </w:pPr>
            <w:r>
              <w:t>其他灾害防治及应急管理支出</w:t>
            </w:r>
          </w:p>
        </w:tc>
        <w:tc>
          <w:tcPr>
            <w:tcW w:w="1134" w:type="dxa"/>
            <w:vAlign w:val="center"/>
          </w:tcPr>
          <w:p>
            <w:pPr>
              <w:pStyle w:val="12"/>
            </w:pPr>
            <w:r>
              <w:t>792.00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2249999</w:t>
            </w:r>
          </w:p>
        </w:tc>
        <w:tc>
          <w:tcPr>
            <w:tcW w:w="1559" w:type="dxa"/>
            <w:vAlign w:val="center"/>
          </w:tcPr>
          <w:p>
            <w:pPr>
              <w:pStyle w:val="13"/>
            </w:pPr>
            <w:r>
              <w:t>其他灾害防治及应急管理支出</w:t>
            </w:r>
          </w:p>
        </w:tc>
        <w:tc>
          <w:tcPr>
            <w:tcW w:w="1134" w:type="dxa"/>
            <w:vAlign w:val="center"/>
          </w:tcPr>
          <w:p>
            <w:pPr>
              <w:pStyle w:val="12"/>
            </w:pPr>
            <w:r>
              <w:t>792.00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5640.00</w:t>
            </w:r>
          </w:p>
        </w:tc>
        <w:tc>
          <w:tcPr>
            <w:tcW w:w="1361" w:type="dxa"/>
            <w:vAlign w:val="center"/>
          </w:tcPr>
          <w:p>
            <w:pPr>
              <w:pStyle w:val="16"/>
            </w:pPr>
            <w:r>
              <w:t>2386.35</w:t>
            </w:r>
          </w:p>
        </w:tc>
        <w:tc>
          <w:tcPr>
            <w:tcW w:w="1361" w:type="dxa"/>
            <w:vAlign w:val="center"/>
          </w:tcPr>
          <w:p>
            <w:pPr>
              <w:pStyle w:val="16"/>
            </w:pPr>
            <w:r>
              <w:t>3253.65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161.10</w:t>
            </w:r>
          </w:p>
        </w:tc>
        <w:tc>
          <w:tcPr>
            <w:tcW w:w="1361" w:type="dxa"/>
            <w:vAlign w:val="center"/>
          </w:tcPr>
          <w:p>
            <w:pPr>
              <w:pStyle w:val="12"/>
            </w:pPr>
            <w:r>
              <w:t>161.10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158.21</w:t>
            </w:r>
          </w:p>
        </w:tc>
        <w:tc>
          <w:tcPr>
            <w:tcW w:w="1361" w:type="dxa"/>
            <w:vAlign w:val="center"/>
          </w:tcPr>
          <w:p>
            <w:pPr>
              <w:pStyle w:val="12"/>
            </w:pPr>
            <w:r>
              <w:t>158.21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39.39</w:t>
            </w:r>
          </w:p>
        </w:tc>
        <w:tc>
          <w:tcPr>
            <w:tcW w:w="1361" w:type="dxa"/>
            <w:vAlign w:val="center"/>
          </w:tcPr>
          <w:p>
            <w:pPr>
              <w:pStyle w:val="12"/>
            </w:pPr>
            <w:r>
              <w:t>39.39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83.66</w:t>
            </w:r>
          </w:p>
        </w:tc>
        <w:tc>
          <w:tcPr>
            <w:tcW w:w="1361" w:type="dxa"/>
            <w:vAlign w:val="center"/>
          </w:tcPr>
          <w:p>
            <w:pPr>
              <w:pStyle w:val="12"/>
            </w:pPr>
            <w:r>
              <w:t>83.66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35.16</w:t>
            </w:r>
          </w:p>
        </w:tc>
        <w:tc>
          <w:tcPr>
            <w:tcW w:w="1361" w:type="dxa"/>
            <w:vAlign w:val="center"/>
          </w:tcPr>
          <w:p>
            <w:pPr>
              <w:pStyle w:val="12"/>
            </w:pPr>
            <w:r>
              <w:t>35.16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2.90</w:t>
            </w:r>
          </w:p>
        </w:tc>
        <w:tc>
          <w:tcPr>
            <w:tcW w:w="1361" w:type="dxa"/>
            <w:vAlign w:val="center"/>
          </w:tcPr>
          <w:p>
            <w:pPr>
              <w:pStyle w:val="12"/>
            </w:pPr>
            <w:r>
              <w:t>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2.90</w:t>
            </w:r>
          </w:p>
        </w:tc>
        <w:tc>
          <w:tcPr>
            <w:tcW w:w="1361" w:type="dxa"/>
            <w:vAlign w:val="center"/>
          </w:tcPr>
          <w:p>
            <w:pPr>
              <w:pStyle w:val="12"/>
            </w:pPr>
            <w:r>
              <w:t>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62.28</w:t>
            </w:r>
          </w:p>
        </w:tc>
        <w:tc>
          <w:tcPr>
            <w:tcW w:w="1361" w:type="dxa"/>
            <w:vAlign w:val="center"/>
          </w:tcPr>
          <w:p>
            <w:pPr>
              <w:pStyle w:val="12"/>
            </w:pPr>
            <w:r>
              <w:t>62.28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62.28</w:t>
            </w:r>
          </w:p>
        </w:tc>
        <w:tc>
          <w:tcPr>
            <w:tcW w:w="1361" w:type="dxa"/>
            <w:vAlign w:val="center"/>
          </w:tcPr>
          <w:p>
            <w:pPr>
              <w:pStyle w:val="12"/>
            </w:pPr>
            <w:r>
              <w:t>62.28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40.38</w:t>
            </w:r>
          </w:p>
        </w:tc>
        <w:tc>
          <w:tcPr>
            <w:tcW w:w="1361" w:type="dxa"/>
            <w:vAlign w:val="center"/>
          </w:tcPr>
          <w:p>
            <w:pPr>
              <w:pStyle w:val="12"/>
            </w:pPr>
            <w:r>
              <w:t>40.38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21.89</w:t>
            </w:r>
          </w:p>
        </w:tc>
        <w:tc>
          <w:tcPr>
            <w:tcW w:w="1361" w:type="dxa"/>
            <w:vAlign w:val="center"/>
          </w:tcPr>
          <w:p>
            <w:pPr>
              <w:pStyle w:val="12"/>
            </w:pPr>
            <w:r>
              <w:t>21.89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4891.11</w:t>
            </w:r>
          </w:p>
        </w:tc>
        <w:tc>
          <w:tcPr>
            <w:tcW w:w="1361" w:type="dxa"/>
            <w:vAlign w:val="center"/>
          </w:tcPr>
          <w:p>
            <w:pPr>
              <w:pStyle w:val="12"/>
            </w:pPr>
            <w:r>
              <w:t>2097.47</w:t>
            </w:r>
          </w:p>
        </w:tc>
        <w:tc>
          <w:tcPr>
            <w:tcW w:w="1361" w:type="dxa"/>
            <w:vAlign w:val="center"/>
          </w:tcPr>
          <w:p>
            <w:pPr>
              <w:pStyle w:val="12"/>
            </w:pPr>
            <w:r>
              <w:t>2793.65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2445.57</w:t>
            </w:r>
          </w:p>
        </w:tc>
        <w:tc>
          <w:tcPr>
            <w:tcW w:w="1361" w:type="dxa"/>
            <w:vAlign w:val="center"/>
          </w:tcPr>
          <w:p>
            <w:pPr>
              <w:pStyle w:val="12"/>
            </w:pPr>
            <w:r>
              <w:t>2097.47</w:t>
            </w:r>
          </w:p>
        </w:tc>
        <w:tc>
          <w:tcPr>
            <w:tcW w:w="1361" w:type="dxa"/>
            <w:vAlign w:val="center"/>
          </w:tcPr>
          <w:p>
            <w:pPr>
              <w:pStyle w:val="12"/>
            </w:pPr>
            <w:r>
              <w:t>348.10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1335.20</w:t>
            </w:r>
          </w:p>
        </w:tc>
        <w:tc>
          <w:tcPr>
            <w:tcW w:w="1361" w:type="dxa"/>
            <w:vAlign w:val="center"/>
          </w:tcPr>
          <w:p>
            <w:pPr>
              <w:pStyle w:val="12"/>
            </w:pPr>
            <w:r>
              <w:t>1335.20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215.35</w:t>
            </w:r>
          </w:p>
        </w:tc>
        <w:tc>
          <w:tcPr>
            <w:tcW w:w="1361" w:type="dxa"/>
            <w:vAlign w:val="center"/>
          </w:tcPr>
          <w:p>
            <w:pPr>
              <w:pStyle w:val="12"/>
            </w:pPr>
          </w:p>
        </w:tc>
        <w:tc>
          <w:tcPr>
            <w:tcW w:w="1361" w:type="dxa"/>
            <w:vAlign w:val="center"/>
          </w:tcPr>
          <w:p>
            <w:pPr>
              <w:pStyle w:val="12"/>
            </w:pPr>
            <w:r>
              <w:t>215.35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49.75</w:t>
            </w:r>
          </w:p>
        </w:tc>
        <w:tc>
          <w:tcPr>
            <w:tcW w:w="1361" w:type="dxa"/>
            <w:vAlign w:val="center"/>
          </w:tcPr>
          <w:p>
            <w:pPr>
              <w:pStyle w:val="12"/>
            </w:pPr>
          </w:p>
        </w:tc>
        <w:tc>
          <w:tcPr>
            <w:tcW w:w="1361" w:type="dxa"/>
            <w:vAlign w:val="center"/>
          </w:tcPr>
          <w:p>
            <w:pPr>
              <w:pStyle w:val="12"/>
            </w:pPr>
            <w:r>
              <w:t>49.75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2240108</w:t>
            </w:r>
          </w:p>
        </w:tc>
        <w:tc>
          <w:tcPr>
            <w:tcW w:w="4535" w:type="dxa"/>
            <w:vAlign w:val="center"/>
          </w:tcPr>
          <w:p>
            <w:pPr>
              <w:pStyle w:val="13"/>
            </w:pPr>
            <w:r>
              <w:t>应急救援</w:t>
            </w: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762.27</w:t>
            </w:r>
          </w:p>
        </w:tc>
        <w:tc>
          <w:tcPr>
            <w:tcW w:w="1361" w:type="dxa"/>
            <w:vAlign w:val="center"/>
          </w:tcPr>
          <w:p>
            <w:pPr>
              <w:pStyle w:val="12"/>
            </w:pPr>
            <w:r>
              <w:t>762.27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22404</w:t>
            </w:r>
          </w:p>
        </w:tc>
        <w:tc>
          <w:tcPr>
            <w:tcW w:w="4535" w:type="dxa"/>
            <w:vAlign w:val="center"/>
          </w:tcPr>
          <w:p>
            <w:pPr>
              <w:pStyle w:val="13"/>
            </w:pPr>
            <w:r>
              <w:t>矿山安全</w:t>
            </w: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2240404</w:t>
            </w:r>
          </w:p>
        </w:tc>
        <w:tc>
          <w:tcPr>
            <w:tcW w:w="4535" w:type="dxa"/>
            <w:vAlign w:val="center"/>
          </w:tcPr>
          <w:p>
            <w:pPr>
              <w:pStyle w:val="13"/>
            </w:pPr>
            <w:r>
              <w:t>矿山安全监察事务</w:t>
            </w: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22499</w:t>
            </w:r>
          </w:p>
        </w:tc>
        <w:tc>
          <w:tcPr>
            <w:tcW w:w="4535" w:type="dxa"/>
            <w:vAlign w:val="center"/>
          </w:tcPr>
          <w:p>
            <w:pPr>
              <w:pStyle w:val="13"/>
            </w:pPr>
            <w:r>
              <w:t>其他灾害防治及应急管理支出</w:t>
            </w: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2249999</w:t>
            </w:r>
          </w:p>
        </w:tc>
        <w:tc>
          <w:tcPr>
            <w:tcW w:w="4535" w:type="dxa"/>
            <w:vAlign w:val="center"/>
          </w:tcPr>
          <w:p>
            <w:pPr>
              <w:pStyle w:val="13"/>
            </w:pPr>
            <w:r>
              <w:t>其他灾害防治及应急管理支出</w:t>
            </w: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2158.58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460.00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161.10</w:t>
            </w:r>
          </w:p>
        </w:tc>
        <w:tc>
          <w:tcPr>
            <w:tcW w:w="1474" w:type="dxa"/>
            <w:vAlign w:val="center"/>
          </w:tcPr>
          <w:p>
            <w:pPr>
              <w:pStyle w:val="12"/>
            </w:pPr>
            <w:r>
              <w:t>161.10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62.28</w:t>
            </w:r>
          </w:p>
        </w:tc>
        <w:tc>
          <w:tcPr>
            <w:tcW w:w="1474" w:type="dxa"/>
            <w:vAlign w:val="center"/>
          </w:tcPr>
          <w:p>
            <w:pPr>
              <w:pStyle w:val="12"/>
            </w:pPr>
            <w:r>
              <w:t>62.28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460.00</w:t>
            </w:r>
          </w:p>
        </w:tc>
        <w:tc>
          <w:tcPr>
            <w:tcW w:w="1474" w:type="dxa"/>
            <w:vAlign w:val="center"/>
          </w:tcPr>
          <w:p>
            <w:pPr>
              <w:pStyle w:val="12"/>
            </w:pPr>
          </w:p>
        </w:tc>
        <w:tc>
          <w:tcPr>
            <w:tcW w:w="1474" w:type="dxa"/>
            <w:vAlign w:val="center"/>
          </w:tcPr>
          <w:p>
            <w:pPr>
              <w:pStyle w:val="12"/>
            </w:pPr>
            <w:r>
              <w:t>460.00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65.51</w:t>
            </w:r>
          </w:p>
        </w:tc>
        <w:tc>
          <w:tcPr>
            <w:tcW w:w="1474" w:type="dxa"/>
            <w:vAlign w:val="center"/>
          </w:tcPr>
          <w:p>
            <w:pPr>
              <w:pStyle w:val="12"/>
            </w:pPr>
            <w:r>
              <w:t>65.51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4891.11</w:t>
            </w:r>
          </w:p>
        </w:tc>
        <w:tc>
          <w:tcPr>
            <w:tcW w:w="1474" w:type="dxa"/>
            <w:vAlign w:val="center"/>
          </w:tcPr>
          <w:p>
            <w:pPr>
              <w:pStyle w:val="12"/>
            </w:pPr>
            <w:r>
              <w:t>4891.11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2618.58</w:t>
            </w:r>
          </w:p>
        </w:tc>
        <w:tc>
          <w:tcPr>
            <w:tcW w:w="3402" w:type="dxa"/>
            <w:vAlign w:val="center"/>
          </w:tcPr>
          <w:p>
            <w:pPr>
              <w:pStyle w:val="15"/>
            </w:pPr>
            <w:r>
              <w:t>本年支出合计</w:t>
            </w:r>
          </w:p>
        </w:tc>
        <w:tc>
          <w:tcPr>
            <w:tcW w:w="1474" w:type="dxa"/>
            <w:vAlign w:val="center"/>
          </w:tcPr>
          <w:p>
            <w:pPr>
              <w:pStyle w:val="16"/>
            </w:pPr>
            <w:r>
              <w:t>5640.00</w:t>
            </w:r>
          </w:p>
        </w:tc>
        <w:tc>
          <w:tcPr>
            <w:tcW w:w="1474" w:type="dxa"/>
            <w:vAlign w:val="center"/>
          </w:tcPr>
          <w:p>
            <w:pPr>
              <w:pStyle w:val="16"/>
            </w:pPr>
            <w:r>
              <w:t>5180.00</w:t>
            </w:r>
          </w:p>
        </w:tc>
        <w:tc>
          <w:tcPr>
            <w:tcW w:w="1474" w:type="dxa"/>
            <w:vAlign w:val="center"/>
          </w:tcPr>
          <w:p>
            <w:pPr>
              <w:pStyle w:val="16"/>
            </w:pPr>
            <w:r>
              <w:t>460.00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3021.42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3021.42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5640.00</w:t>
            </w:r>
          </w:p>
        </w:tc>
        <w:tc>
          <w:tcPr>
            <w:tcW w:w="3402" w:type="dxa"/>
            <w:vAlign w:val="center"/>
          </w:tcPr>
          <w:p>
            <w:pPr>
              <w:pStyle w:val="15"/>
            </w:pPr>
            <w:r>
              <w:t>支出总计</w:t>
            </w:r>
          </w:p>
        </w:tc>
        <w:tc>
          <w:tcPr>
            <w:tcW w:w="1474" w:type="dxa"/>
            <w:vAlign w:val="center"/>
          </w:tcPr>
          <w:p>
            <w:pPr>
              <w:pStyle w:val="16"/>
            </w:pPr>
            <w:r>
              <w:t>5640.00</w:t>
            </w:r>
          </w:p>
        </w:tc>
        <w:tc>
          <w:tcPr>
            <w:tcW w:w="1474" w:type="dxa"/>
            <w:vAlign w:val="center"/>
          </w:tcPr>
          <w:p>
            <w:pPr>
              <w:pStyle w:val="16"/>
            </w:pPr>
            <w:r>
              <w:t>5180.00</w:t>
            </w:r>
          </w:p>
        </w:tc>
        <w:tc>
          <w:tcPr>
            <w:tcW w:w="1474" w:type="dxa"/>
            <w:vAlign w:val="center"/>
          </w:tcPr>
          <w:p>
            <w:pPr>
              <w:pStyle w:val="16"/>
            </w:pPr>
            <w:r>
              <w:t>460.00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5180.00</w:t>
            </w:r>
          </w:p>
        </w:tc>
        <w:tc>
          <w:tcPr>
            <w:tcW w:w="2551" w:type="dxa"/>
            <w:vAlign w:val="center"/>
          </w:tcPr>
          <w:p>
            <w:pPr>
              <w:pStyle w:val="16"/>
            </w:pPr>
            <w:r>
              <w:t>2386.35</w:t>
            </w:r>
          </w:p>
        </w:tc>
        <w:tc>
          <w:tcPr>
            <w:tcW w:w="2551" w:type="dxa"/>
            <w:vAlign w:val="center"/>
          </w:tcPr>
          <w:p>
            <w:pPr>
              <w:pStyle w:val="16"/>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161.10</w:t>
            </w:r>
          </w:p>
        </w:tc>
        <w:tc>
          <w:tcPr>
            <w:tcW w:w="2551" w:type="dxa"/>
            <w:vAlign w:val="center"/>
          </w:tcPr>
          <w:p>
            <w:pPr>
              <w:pStyle w:val="12"/>
            </w:pPr>
            <w:r>
              <w:t>161.10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158.21</w:t>
            </w:r>
          </w:p>
        </w:tc>
        <w:tc>
          <w:tcPr>
            <w:tcW w:w="2551" w:type="dxa"/>
            <w:vAlign w:val="center"/>
          </w:tcPr>
          <w:p>
            <w:pPr>
              <w:pStyle w:val="12"/>
            </w:pPr>
            <w:r>
              <w:t>158.21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39.39</w:t>
            </w:r>
          </w:p>
        </w:tc>
        <w:tc>
          <w:tcPr>
            <w:tcW w:w="2551" w:type="dxa"/>
            <w:vAlign w:val="center"/>
          </w:tcPr>
          <w:p>
            <w:pPr>
              <w:pStyle w:val="12"/>
            </w:pPr>
            <w:r>
              <w:t>39.39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83.66</w:t>
            </w:r>
          </w:p>
        </w:tc>
        <w:tc>
          <w:tcPr>
            <w:tcW w:w="2551" w:type="dxa"/>
            <w:vAlign w:val="center"/>
          </w:tcPr>
          <w:p>
            <w:pPr>
              <w:pStyle w:val="12"/>
            </w:pPr>
            <w:r>
              <w:t>83.66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62.28</w:t>
            </w:r>
          </w:p>
        </w:tc>
        <w:tc>
          <w:tcPr>
            <w:tcW w:w="2551" w:type="dxa"/>
            <w:vAlign w:val="center"/>
          </w:tcPr>
          <w:p>
            <w:pPr>
              <w:pStyle w:val="12"/>
            </w:pPr>
            <w:r>
              <w:t>62.28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62.28</w:t>
            </w:r>
          </w:p>
        </w:tc>
        <w:tc>
          <w:tcPr>
            <w:tcW w:w="2551" w:type="dxa"/>
            <w:vAlign w:val="center"/>
          </w:tcPr>
          <w:p>
            <w:pPr>
              <w:pStyle w:val="12"/>
            </w:pPr>
            <w:r>
              <w:t>62.28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40.38</w:t>
            </w:r>
          </w:p>
        </w:tc>
        <w:tc>
          <w:tcPr>
            <w:tcW w:w="2551" w:type="dxa"/>
            <w:vAlign w:val="center"/>
          </w:tcPr>
          <w:p>
            <w:pPr>
              <w:pStyle w:val="12"/>
            </w:pPr>
            <w:r>
              <w:t>40.38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21.89</w:t>
            </w:r>
          </w:p>
        </w:tc>
        <w:tc>
          <w:tcPr>
            <w:tcW w:w="2551" w:type="dxa"/>
            <w:vAlign w:val="center"/>
          </w:tcPr>
          <w:p>
            <w:pPr>
              <w:pStyle w:val="12"/>
            </w:pPr>
            <w:r>
              <w:t>21.89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4891.11</w:t>
            </w:r>
          </w:p>
        </w:tc>
        <w:tc>
          <w:tcPr>
            <w:tcW w:w="2551" w:type="dxa"/>
            <w:vAlign w:val="center"/>
          </w:tcPr>
          <w:p>
            <w:pPr>
              <w:pStyle w:val="12"/>
            </w:pPr>
            <w:r>
              <w:t>2097.47</w:t>
            </w:r>
          </w:p>
        </w:tc>
        <w:tc>
          <w:tcPr>
            <w:tcW w:w="2551" w:type="dxa"/>
            <w:vAlign w:val="center"/>
          </w:tcPr>
          <w:p>
            <w:pPr>
              <w:pStyle w:val="12"/>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2445.57</w:t>
            </w:r>
          </w:p>
        </w:tc>
        <w:tc>
          <w:tcPr>
            <w:tcW w:w="2551" w:type="dxa"/>
            <w:vAlign w:val="center"/>
          </w:tcPr>
          <w:p>
            <w:pPr>
              <w:pStyle w:val="12"/>
            </w:pPr>
            <w:r>
              <w:t>2097.47</w:t>
            </w:r>
          </w:p>
        </w:tc>
        <w:tc>
          <w:tcPr>
            <w:tcW w:w="2551" w:type="dxa"/>
            <w:vAlign w:val="center"/>
          </w:tcPr>
          <w:p>
            <w:pPr>
              <w:pStyle w:val="12"/>
            </w:pPr>
            <w:r>
              <w:t>348.10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1335.20</w:t>
            </w:r>
          </w:p>
        </w:tc>
        <w:tc>
          <w:tcPr>
            <w:tcW w:w="2551" w:type="dxa"/>
            <w:vAlign w:val="center"/>
          </w:tcPr>
          <w:p>
            <w:pPr>
              <w:pStyle w:val="12"/>
            </w:pPr>
            <w:r>
              <w:t>1335.20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215.35</w:t>
            </w:r>
          </w:p>
        </w:tc>
        <w:tc>
          <w:tcPr>
            <w:tcW w:w="2551" w:type="dxa"/>
            <w:vAlign w:val="center"/>
          </w:tcPr>
          <w:p>
            <w:pPr>
              <w:pStyle w:val="12"/>
            </w:pPr>
          </w:p>
        </w:tc>
        <w:tc>
          <w:tcPr>
            <w:tcW w:w="2551" w:type="dxa"/>
            <w:vAlign w:val="center"/>
          </w:tcPr>
          <w:p>
            <w:pPr>
              <w:pStyle w:val="12"/>
            </w:pPr>
            <w:r>
              <w:t>215.35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49.75</w:t>
            </w:r>
          </w:p>
        </w:tc>
        <w:tc>
          <w:tcPr>
            <w:tcW w:w="2551" w:type="dxa"/>
            <w:vAlign w:val="center"/>
          </w:tcPr>
          <w:p>
            <w:pPr>
              <w:pStyle w:val="12"/>
            </w:pPr>
          </w:p>
        </w:tc>
        <w:tc>
          <w:tcPr>
            <w:tcW w:w="2551" w:type="dxa"/>
            <w:vAlign w:val="center"/>
          </w:tcPr>
          <w:p>
            <w:pPr>
              <w:pStyle w:val="12"/>
            </w:pPr>
            <w:r>
              <w:t>49.75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2240108</w:t>
            </w:r>
          </w:p>
        </w:tc>
        <w:tc>
          <w:tcPr>
            <w:tcW w:w="4535" w:type="dxa"/>
            <w:vAlign w:val="center"/>
          </w:tcPr>
          <w:p>
            <w:pPr>
              <w:pStyle w:val="13"/>
            </w:pPr>
            <w:r>
              <w:t>应急救援</w:t>
            </w:r>
          </w:p>
        </w:tc>
        <w:tc>
          <w:tcPr>
            <w:tcW w:w="2551" w:type="dxa"/>
            <w:vAlign w:val="center"/>
          </w:tcPr>
          <w:p>
            <w:pPr>
              <w:pStyle w:val="12"/>
            </w:pPr>
            <w:r>
              <w:t>71.00</w:t>
            </w:r>
          </w:p>
        </w:tc>
        <w:tc>
          <w:tcPr>
            <w:tcW w:w="2551" w:type="dxa"/>
            <w:vAlign w:val="center"/>
          </w:tcPr>
          <w:p>
            <w:pPr>
              <w:pStyle w:val="12"/>
            </w:pPr>
          </w:p>
        </w:tc>
        <w:tc>
          <w:tcPr>
            <w:tcW w:w="2551" w:type="dxa"/>
            <w:vAlign w:val="center"/>
          </w:tcPr>
          <w:p>
            <w:pPr>
              <w:pStyle w:val="12"/>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762.27</w:t>
            </w:r>
          </w:p>
        </w:tc>
        <w:tc>
          <w:tcPr>
            <w:tcW w:w="2551" w:type="dxa"/>
            <w:vAlign w:val="center"/>
          </w:tcPr>
          <w:p>
            <w:pPr>
              <w:pStyle w:val="12"/>
            </w:pPr>
            <w:r>
              <w:t>762.27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216.22</w:t>
            </w:r>
          </w:p>
        </w:tc>
        <w:tc>
          <w:tcPr>
            <w:tcW w:w="2551" w:type="dxa"/>
            <w:vAlign w:val="center"/>
          </w:tcPr>
          <w:p>
            <w:pPr>
              <w:pStyle w:val="12"/>
            </w:pPr>
          </w:p>
        </w:tc>
        <w:tc>
          <w:tcPr>
            <w:tcW w:w="2551"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216.22</w:t>
            </w:r>
          </w:p>
        </w:tc>
        <w:tc>
          <w:tcPr>
            <w:tcW w:w="2551" w:type="dxa"/>
            <w:vAlign w:val="center"/>
          </w:tcPr>
          <w:p>
            <w:pPr>
              <w:pStyle w:val="12"/>
            </w:pPr>
          </w:p>
        </w:tc>
        <w:tc>
          <w:tcPr>
            <w:tcW w:w="2551"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22404</w:t>
            </w:r>
          </w:p>
        </w:tc>
        <w:tc>
          <w:tcPr>
            <w:tcW w:w="4535" w:type="dxa"/>
            <w:vAlign w:val="center"/>
          </w:tcPr>
          <w:p>
            <w:pPr>
              <w:pStyle w:val="13"/>
            </w:pPr>
            <w:r>
              <w:t>矿山安全</w:t>
            </w:r>
          </w:p>
        </w:tc>
        <w:tc>
          <w:tcPr>
            <w:tcW w:w="2551" w:type="dxa"/>
            <w:vAlign w:val="center"/>
          </w:tcPr>
          <w:p>
            <w:pPr>
              <w:pStyle w:val="12"/>
            </w:pPr>
            <w:r>
              <w:t>351.49</w:t>
            </w:r>
          </w:p>
        </w:tc>
        <w:tc>
          <w:tcPr>
            <w:tcW w:w="2551" w:type="dxa"/>
            <w:vAlign w:val="center"/>
          </w:tcPr>
          <w:p>
            <w:pPr>
              <w:pStyle w:val="12"/>
            </w:pPr>
          </w:p>
        </w:tc>
        <w:tc>
          <w:tcPr>
            <w:tcW w:w="2551" w:type="dxa"/>
            <w:vAlign w:val="center"/>
          </w:tcPr>
          <w:p>
            <w:pPr>
              <w:pStyle w:val="12"/>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2240404</w:t>
            </w:r>
          </w:p>
        </w:tc>
        <w:tc>
          <w:tcPr>
            <w:tcW w:w="4535" w:type="dxa"/>
            <w:vAlign w:val="center"/>
          </w:tcPr>
          <w:p>
            <w:pPr>
              <w:pStyle w:val="13"/>
            </w:pPr>
            <w:r>
              <w:t>矿山安全监察事务</w:t>
            </w:r>
          </w:p>
        </w:tc>
        <w:tc>
          <w:tcPr>
            <w:tcW w:w="2551" w:type="dxa"/>
            <w:vAlign w:val="center"/>
          </w:tcPr>
          <w:p>
            <w:pPr>
              <w:pStyle w:val="12"/>
            </w:pPr>
            <w:r>
              <w:t>351.49</w:t>
            </w:r>
          </w:p>
        </w:tc>
        <w:tc>
          <w:tcPr>
            <w:tcW w:w="2551" w:type="dxa"/>
            <w:vAlign w:val="center"/>
          </w:tcPr>
          <w:p>
            <w:pPr>
              <w:pStyle w:val="12"/>
            </w:pPr>
          </w:p>
        </w:tc>
        <w:tc>
          <w:tcPr>
            <w:tcW w:w="2551" w:type="dxa"/>
            <w:vAlign w:val="center"/>
          </w:tcPr>
          <w:p>
            <w:pPr>
              <w:pStyle w:val="12"/>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1085.84</w:t>
            </w:r>
          </w:p>
        </w:tc>
        <w:tc>
          <w:tcPr>
            <w:tcW w:w="2551" w:type="dxa"/>
            <w:vAlign w:val="center"/>
          </w:tcPr>
          <w:p>
            <w:pPr>
              <w:pStyle w:val="12"/>
            </w:pPr>
          </w:p>
        </w:tc>
        <w:tc>
          <w:tcPr>
            <w:tcW w:w="2551" w:type="dxa"/>
            <w:vAlign w:val="center"/>
          </w:tcPr>
          <w:p>
            <w:pPr>
              <w:pStyle w:val="12"/>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1085.84</w:t>
            </w:r>
          </w:p>
        </w:tc>
        <w:tc>
          <w:tcPr>
            <w:tcW w:w="2551" w:type="dxa"/>
            <w:vAlign w:val="center"/>
          </w:tcPr>
          <w:p>
            <w:pPr>
              <w:pStyle w:val="12"/>
            </w:pPr>
          </w:p>
        </w:tc>
        <w:tc>
          <w:tcPr>
            <w:tcW w:w="2551" w:type="dxa"/>
            <w:vAlign w:val="center"/>
          </w:tcPr>
          <w:p>
            <w:pPr>
              <w:pStyle w:val="12"/>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22499</w:t>
            </w:r>
          </w:p>
        </w:tc>
        <w:tc>
          <w:tcPr>
            <w:tcW w:w="4535" w:type="dxa"/>
            <w:vAlign w:val="center"/>
          </w:tcPr>
          <w:p>
            <w:pPr>
              <w:pStyle w:val="13"/>
            </w:pPr>
            <w:r>
              <w:t>其他灾害防治及应急管理支出</w:t>
            </w:r>
          </w:p>
        </w:tc>
        <w:tc>
          <w:tcPr>
            <w:tcW w:w="2551" w:type="dxa"/>
            <w:vAlign w:val="center"/>
          </w:tcPr>
          <w:p>
            <w:pPr>
              <w:pStyle w:val="12"/>
            </w:pPr>
            <w:r>
              <w:t>792.00</w:t>
            </w:r>
          </w:p>
        </w:tc>
        <w:tc>
          <w:tcPr>
            <w:tcW w:w="2551" w:type="dxa"/>
            <w:vAlign w:val="center"/>
          </w:tcPr>
          <w:p>
            <w:pPr>
              <w:pStyle w:val="12"/>
            </w:pPr>
          </w:p>
        </w:tc>
        <w:tc>
          <w:tcPr>
            <w:tcW w:w="2551" w:type="dxa"/>
            <w:vAlign w:val="center"/>
          </w:tcPr>
          <w:p>
            <w:pPr>
              <w:pStyle w:val="12"/>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2249999</w:t>
            </w:r>
          </w:p>
        </w:tc>
        <w:tc>
          <w:tcPr>
            <w:tcW w:w="4535" w:type="dxa"/>
            <w:vAlign w:val="center"/>
          </w:tcPr>
          <w:p>
            <w:pPr>
              <w:pStyle w:val="13"/>
            </w:pPr>
            <w:r>
              <w:t>其他灾害防治及应急管理支出</w:t>
            </w:r>
          </w:p>
        </w:tc>
        <w:tc>
          <w:tcPr>
            <w:tcW w:w="2551" w:type="dxa"/>
            <w:vAlign w:val="center"/>
          </w:tcPr>
          <w:p>
            <w:pPr>
              <w:pStyle w:val="12"/>
            </w:pPr>
            <w:r>
              <w:t>792.00</w:t>
            </w:r>
          </w:p>
        </w:tc>
        <w:tc>
          <w:tcPr>
            <w:tcW w:w="2551" w:type="dxa"/>
            <w:vAlign w:val="center"/>
          </w:tcPr>
          <w:p>
            <w:pPr>
              <w:pStyle w:val="12"/>
            </w:pPr>
          </w:p>
        </w:tc>
        <w:tc>
          <w:tcPr>
            <w:tcW w:w="2551" w:type="dxa"/>
            <w:vAlign w:val="center"/>
          </w:tcPr>
          <w:p>
            <w:pPr>
              <w:pStyle w:val="12"/>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2386.35</w:t>
            </w:r>
          </w:p>
        </w:tc>
        <w:tc>
          <w:tcPr>
            <w:tcW w:w="2551" w:type="dxa"/>
            <w:vAlign w:val="center"/>
          </w:tcPr>
          <w:p>
            <w:pPr>
              <w:pStyle w:val="16"/>
            </w:pPr>
            <w:r>
              <w:t>2267.58</w:t>
            </w:r>
          </w:p>
        </w:tc>
        <w:tc>
          <w:tcPr>
            <w:tcW w:w="2551" w:type="dxa"/>
            <w:vAlign w:val="center"/>
          </w:tcPr>
          <w:p>
            <w:pPr>
              <w:pStyle w:val="16"/>
            </w:pPr>
            <w:r>
              <w:t>118.77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2225.30</w:t>
            </w:r>
          </w:p>
        </w:tc>
        <w:tc>
          <w:tcPr>
            <w:tcW w:w="2551" w:type="dxa"/>
            <w:vAlign w:val="center"/>
          </w:tcPr>
          <w:p>
            <w:pPr>
              <w:pStyle w:val="12"/>
            </w:pPr>
            <w:r>
              <w:t>2225.30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408.49</w:t>
            </w:r>
          </w:p>
        </w:tc>
        <w:tc>
          <w:tcPr>
            <w:tcW w:w="2551" w:type="dxa"/>
            <w:vAlign w:val="center"/>
          </w:tcPr>
          <w:p>
            <w:pPr>
              <w:pStyle w:val="12"/>
            </w:pPr>
            <w:r>
              <w:t>408.49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79.62</w:t>
            </w:r>
          </w:p>
        </w:tc>
        <w:tc>
          <w:tcPr>
            <w:tcW w:w="2551" w:type="dxa"/>
            <w:vAlign w:val="center"/>
          </w:tcPr>
          <w:p>
            <w:pPr>
              <w:pStyle w:val="12"/>
            </w:pPr>
            <w:r>
              <w:t>79.62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32.86</w:t>
            </w:r>
          </w:p>
        </w:tc>
        <w:tc>
          <w:tcPr>
            <w:tcW w:w="2551" w:type="dxa"/>
            <w:vAlign w:val="center"/>
          </w:tcPr>
          <w:p>
            <w:pPr>
              <w:pStyle w:val="12"/>
            </w:pPr>
            <w:r>
              <w:t>32.86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386.72</w:t>
            </w:r>
          </w:p>
        </w:tc>
        <w:tc>
          <w:tcPr>
            <w:tcW w:w="2551" w:type="dxa"/>
            <w:vAlign w:val="center"/>
          </w:tcPr>
          <w:p>
            <w:pPr>
              <w:pStyle w:val="12"/>
            </w:pPr>
            <w:r>
              <w:t>386.72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83.66</w:t>
            </w:r>
          </w:p>
        </w:tc>
        <w:tc>
          <w:tcPr>
            <w:tcW w:w="2551" w:type="dxa"/>
            <w:vAlign w:val="center"/>
          </w:tcPr>
          <w:p>
            <w:pPr>
              <w:pStyle w:val="12"/>
            </w:pPr>
            <w:r>
              <w:t>83.66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61.60</w:t>
            </w:r>
          </w:p>
        </w:tc>
        <w:tc>
          <w:tcPr>
            <w:tcW w:w="2551" w:type="dxa"/>
            <w:vAlign w:val="center"/>
          </w:tcPr>
          <w:p>
            <w:pPr>
              <w:pStyle w:val="12"/>
            </w:pPr>
            <w:r>
              <w:t>61.60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3.29</w:t>
            </w:r>
          </w:p>
        </w:tc>
        <w:tc>
          <w:tcPr>
            <w:tcW w:w="2551" w:type="dxa"/>
            <w:vAlign w:val="center"/>
          </w:tcPr>
          <w:p>
            <w:pPr>
              <w:pStyle w:val="12"/>
            </w:pPr>
            <w:r>
              <w:t>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1068.39</w:t>
            </w:r>
          </w:p>
        </w:tc>
        <w:tc>
          <w:tcPr>
            <w:tcW w:w="2551" w:type="dxa"/>
            <w:vAlign w:val="center"/>
          </w:tcPr>
          <w:p>
            <w:pPr>
              <w:pStyle w:val="12"/>
            </w:pPr>
            <w:r>
              <w:t>1068.39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118.77</w:t>
            </w:r>
          </w:p>
        </w:tc>
        <w:tc>
          <w:tcPr>
            <w:tcW w:w="2551" w:type="dxa"/>
            <w:vAlign w:val="center"/>
          </w:tcPr>
          <w:p>
            <w:pPr>
              <w:pStyle w:val="12"/>
            </w:pPr>
          </w:p>
        </w:tc>
        <w:tc>
          <w:tcPr>
            <w:tcW w:w="2551" w:type="dxa"/>
            <w:vAlign w:val="center"/>
          </w:tcPr>
          <w:p>
            <w:pPr>
              <w:pStyle w:val="12"/>
            </w:pPr>
            <w:r>
              <w:t>118.77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70.59</w:t>
            </w:r>
          </w:p>
        </w:tc>
        <w:tc>
          <w:tcPr>
            <w:tcW w:w="2551" w:type="dxa"/>
            <w:vAlign w:val="center"/>
          </w:tcPr>
          <w:p>
            <w:pPr>
              <w:pStyle w:val="12"/>
            </w:pPr>
          </w:p>
        </w:tc>
        <w:tc>
          <w:tcPr>
            <w:tcW w:w="2551" w:type="dxa"/>
            <w:vAlign w:val="center"/>
          </w:tcPr>
          <w:p>
            <w:pPr>
              <w:pStyle w:val="12"/>
            </w:pPr>
            <w:r>
              <w:t>70.59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4.07</w:t>
            </w:r>
          </w:p>
        </w:tc>
        <w:tc>
          <w:tcPr>
            <w:tcW w:w="2551" w:type="dxa"/>
            <w:vAlign w:val="center"/>
          </w:tcPr>
          <w:p>
            <w:pPr>
              <w:pStyle w:val="12"/>
            </w:pPr>
          </w:p>
        </w:tc>
        <w:tc>
          <w:tcPr>
            <w:tcW w:w="2551" w:type="dxa"/>
            <w:vAlign w:val="center"/>
          </w:tcPr>
          <w:p>
            <w:pPr>
              <w:pStyle w:val="12"/>
            </w:pPr>
            <w:r>
              <w:t>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8.86</w:t>
            </w:r>
          </w:p>
        </w:tc>
        <w:tc>
          <w:tcPr>
            <w:tcW w:w="2551" w:type="dxa"/>
            <w:vAlign w:val="center"/>
          </w:tcPr>
          <w:p>
            <w:pPr>
              <w:pStyle w:val="12"/>
            </w:pPr>
          </w:p>
        </w:tc>
        <w:tc>
          <w:tcPr>
            <w:tcW w:w="2551" w:type="dxa"/>
            <w:vAlign w:val="center"/>
          </w:tcPr>
          <w:p>
            <w:pPr>
              <w:pStyle w:val="12"/>
            </w:pPr>
            <w:r>
              <w:t>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10.20</w:t>
            </w:r>
          </w:p>
        </w:tc>
        <w:tc>
          <w:tcPr>
            <w:tcW w:w="2551" w:type="dxa"/>
            <w:vAlign w:val="center"/>
          </w:tcPr>
          <w:p>
            <w:pPr>
              <w:pStyle w:val="12"/>
            </w:pPr>
          </w:p>
        </w:tc>
        <w:tc>
          <w:tcPr>
            <w:tcW w:w="2551" w:type="dxa"/>
            <w:vAlign w:val="center"/>
          </w:tcPr>
          <w:p>
            <w:pPr>
              <w:pStyle w:val="12"/>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13.30</w:t>
            </w:r>
          </w:p>
        </w:tc>
        <w:tc>
          <w:tcPr>
            <w:tcW w:w="2551" w:type="dxa"/>
            <w:vAlign w:val="center"/>
          </w:tcPr>
          <w:p>
            <w:pPr>
              <w:pStyle w:val="12"/>
            </w:pPr>
          </w:p>
        </w:tc>
        <w:tc>
          <w:tcPr>
            <w:tcW w:w="2551"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11.01</w:t>
            </w:r>
          </w:p>
        </w:tc>
        <w:tc>
          <w:tcPr>
            <w:tcW w:w="2551" w:type="dxa"/>
            <w:vAlign w:val="center"/>
          </w:tcPr>
          <w:p>
            <w:pPr>
              <w:pStyle w:val="12"/>
            </w:pPr>
            <w:r>
              <w:t>11.01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28.37</w:t>
            </w:r>
          </w:p>
        </w:tc>
        <w:tc>
          <w:tcPr>
            <w:tcW w:w="2551" w:type="dxa"/>
            <w:vAlign w:val="center"/>
          </w:tcPr>
          <w:p>
            <w:pPr>
              <w:pStyle w:val="12"/>
            </w:pPr>
            <w:r>
              <w:t>28.37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460.00</w:t>
            </w:r>
          </w:p>
        </w:tc>
        <w:tc>
          <w:tcPr>
            <w:tcW w:w="2551" w:type="dxa"/>
            <w:vAlign w:val="center"/>
          </w:tcPr>
          <w:p>
            <w:pPr>
              <w:pStyle w:val="16"/>
            </w:pPr>
          </w:p>
        </w:tc>
        <w:tc>
          <w:tcPr>
            <w:tcW w:w="2551" w:type="dxa"/>
            <w:vAlign w:val="center"/>
          </w:tcPr>
          <w:p>
            <w:pPr>
              <w:pStyle w:val="16"/>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3798" w:type="dxa"/>
            <w:vAlign w:val="center"/>
          </w:tcPr>
          <w:p>
            <w:pPr>
              <w:pStyle w:val="15"/>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5</w:t>
            </w:r>
            <w:r>
              <w:t>.40</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r>
              <w:t>5.40</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（一）负责应急管理工作，指导全县各级各部门应对安全生产类、自然灾害类等突发事件和综合防灾减灾救灾工作。负责安全生产综合监督管理和工矿商贸行业安全生产监督管理工作。</w:t>
      </w:r>
    </w:p>
    <w:p>
      <w:pPr>
        <w:pStyle w:val="18"/>
      </w:pPr>
      <w:r>
        <w:t>（二）贯彻执行应急管理、安全生产等政策规定，组织编制县应急体系建设、安全生产和综合防灾减灾规划。</w:t>
      </w:r>
    </w:p>
    <w:p>
      <w:pPr>
        <w:pStyle w:val="1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（七）统筹应急救援力量建设，负责消防、森林火灾扑救、抗洪抢险、地震和地质灾害救援、生产安全事故救援等专业应急救援力量建设，管理县综合性应急救援队伍。</w:t>
      </w:r>
    </w:p>
    <w:p>
      <w:pPr>
        <w:pStyle w:val="18"/>
      </w:pPr>
      <w:r>
        <w:t>（八）负责消防管理工作，指导全县消防监督、火灾预防、火灾扑救等工作。</w:t>
      </w:r>
    </w:p>
    <w:p>
      <w:pPr>
        <w:pStyle w:val="18"/>
      </w:pPr>
      <w:r>
        <w:t>（九）组织开展水旱灾害、地震和地质灾害等防治工作，负责自然灾害综合监测预警工作，指导开展自然灾害综合风险评估工作。</w:t>
      </w:r>
    </w:p>
    <w:p>
      <w:pPr>
        <w:pStyle w:val="18"/>
      </w:pPr>
      <w:r>
        <w:t>（十）组织实施灾害救助工作，开展灾情核查、损失评估、救灾捐赠工作，管理、分配县救灾款物并监督使用。</w:t>
      </w:r>
    </w:p>
    <w:p>
      <w:pPr>
        <w:pStyle w:val="18"/>
      </w:pPr>
      <w:r>
        <w:t>（十一）依法行使县安全生产综合监督管理职权，指导协调、监督检查县有关部门和各乡镇政府（含经济技术开发区、物流产业聚集区）的安全生产工作，组织开展安全生产巡查、考核工作。</w:t>
      </w:r>
    </w:p>
    <w:p>
      <w:pPr>
        <w:pStyle w:val="18"/>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8"/>
      </w:pPr>
      <w:r>
        <w:t>（十三）依法组织指导生产安全事故调查处理，监督事故查处和责任追究落实情况。组织开展自然灾害类突发事件的调查评估工作。</w:t>
      </w:r>
    </w:p>
    <w:p>
      <w:pPr>
        <w:pStyle w:val="18"/>
      </w:pPr>
      <w:r>
        <w:t>（十四）制定应急物资储备和应急救援装备规划并组织实施，会同县粮食和物资储备局等部门建立健全应急物资信息平台和调拨制度，在救灾时统一调度。</w:t>
      </w:r>
    </w:p>
    <w:p>
      <w:pPr>
        <w:pStyle w:val="18"/>
      </w:pPr>
      <w:r>
        <w:t>（十五）负责应急管理、安全生产宣传教育和培训工作，指导协调应急管理、安全生产的科学技术研究、推广应用和信息化建设工作。</w:t>
      </w:r>
    </w:p>
    <w:p>
      <w:pPr>
        <w:pStyle w:val="18"/>
      </w:pPr>
      <w:r>
        <w:t>（十六）组织指导煤炭资源的合理开发和煤炭产业结构调整，承担全县煤矿安全、煤炭生产监管责任，组织开展对煤矿企业执法检查。</w:t>
      </w:r>
    </w:p>
    <w:p>
      <w:pPr>
        <w:pStyle w:val="18"/>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按照预算管理有关规定，目前部门预算的编制实行综合预算管理，即全部收入和支出都反映在预算中。青龙满族自治县应急管理局机关及所属事业单位的收支包含在部门预算中。</w:t>
      </w:r>
    </w:p>
    <w:p>
      <w:pPr>
        <w:pStyle w:val="19"/>
      </w:pPr>
      <w:r>
        <w:t>1、收入说明</w:t>
      </w:r>
    </w:p>
    <w:p>
      <w:pPr>
        <w:pStyle w:val="19"/>
      </w:pPr>
      <w:r>
        <w:t>反映本部门当年全部收入。2025年预算收入5640.00万元，其中：一般公共预算收入2158.58万元，基金预算收入460.00万元，国有资本经营预算收入0.00万元，财政专户核拨收入0.00万元，单位资金收入0.00万元，上年结转结余3021.42万元。</w:t>
      </w:r>
    </w:p>
    <w:p>
      <w:pPr>
        <w:pStyle w:val="19"/>
      </w:pPr>
      <w:r>
        <w:t>2、支出说明</w:t>
      </w:r>
    </w:p>
    <w:p>
      <w:pPr>
        <w:pStyle w:val="19"/>
        <w:rPr>
          <w:rFonts w:hint="eastAsia"/>
          <w:lang w:val="en-US" w:eastAsia="zh-CN"/>
        </w:rPr>
      </w:pPr>
      <w:r>
        <w:t>收支预算总表支出栏、基本支出表、项目支出表按经济分类和支出功能分类科目编制，反映青龙满族自治县应急管理局年度部门预算中支出预算的总体情况。2025年支出预算5640.00万元，其中基本支出2386.35万元，包括人员经费2267.58万元和日常公用经费118.77万元；项目支出3253.65万元，主要为应急灾害风险防治专项经费6万元，非煤矿山隐患排查及应急治理工作经费8.5万元，安全生产监管综合执法专项经费8.5万元，关于下达省级2024年自然灾害救灾资金（冬春临时生活困难救助资金）的通知（冀财建【2024】290号）389.8363万元，关于提前下达2025年非煤矿山综合治理专项资金的通知（冀财建[2024]287号）212.27万元，关于预拨2024年中央自然灾害救灾资金（第七批）的通知（冀财建【2024】159号）51万元，安全生产隐患举报奖励资金30万元，应急救援经费71万元，关于下达2024年安全生产预防和应急救援能力建设补助资金预算（尾矿库风险隐患治理支出）的通知（冀财建[2024]89号））792万元，关于提前下达2024年非煤矿山综合治理专项资金的通知（冀财建[2023]253号）139.22万元，安全生产月活动经费11.25万元，应急避难场所设置经费12万元，关于提前下达2025年自然灾害救助专项资金的通知（冀财建[2024]288号）131.7805万元，防火经费135.165636万元，关于下达增发2023年国债自然灾害应急能力提升工程（应急领域）省级补助资金预算的通知（冀财建【2024】28号）3.9643万元，第一次全国自然灾害综合风险普查专项经费20.55万元</w:t>
      </w:r>
      <w:r>
        <w:rPr>
          <w:rFonts w:hint="eastAsia"/>
          <w:lang w:val="en-US" w:eastAsia="zh-CN"/>
        </w:rPr>
        <w:t>，尾矿库治理资金235.3735万元，尾矿库闭库配套资金360万元，关于下达中央2024年自然灾害救灾资金（冬春临时生活困难救助资金）的通知（冀财建【2024】290号）513.2237万元，补充和更换防火物资资金81.05万元，关于下达增发2023年国债自然灾害应急能力提升工程（应急领域）补助资金预算的通知（冀财建【2024】26号）40.9621万元。</w:t>
      </w:r>
    </w:p>
    <w:p>
      <w:pPr>
        <w:pStyle w:val="19"/>
      </w:pPr>
    </w:p>
    <w:p>
      <w:pPr>
        <w:pStyle w:val="19"/>
      </w:pPr>
      <w:r>
        <w:t>3、比上年增减情况</w:t>
      </w:r>
    </w:p>
    <w:p>
      <w:pPr>
        <w:pStyle w:val="19"/>
      </w:pPr>
      <w:r>
        <w:t>2025年预算收支安排5640.00万元，较2024年预算减少414.53万元，其中：基本支出减少629.92万元，主要为人员经费增加678.71万元；日常公用经费支出增加48.79万元。项目支出增加215.39万元，主要为项目支出增加215.39万元，主要为：国有土地使用权出让收入安排的支出减少202.06万元，农林水支出减少421.53万元，灾害风险防治支出增加132.7999万元，安全监管支出减少28.75万元，应急救援支出增加71万元，其他应急管理支出增加12万元，消防应急救援支出增加66.215636万元，矿山安全监察事务支出减少583.18万元，森林草原防灾减灾支出减少79.734464万元，自然灾害救灾补助支出增加456.6274万元，其他灾害防治及应急管理支出增加792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2025年，我部门机关运行经费共计安排118.77万元，主要用于日常维修、办公用房水电费、办公用房取暖费、办公用房物业管理费等日常运行支出。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bookmarkStart w:id="13" w:name="_Toc_3_3_0000000014"/>
      <w:r>
        <w:t>2025年，我部门财政拨款“三公”经费预算安排</w:t>
      </w:r>
      <w:r>
        <w:rPr>
          <w:rFonts w:hint="eastAsia"/>
          <w:lang w:val="en-US" w:eastAsia="zh-CN"/>
        </w:rPr>
        <w:t>5.40</w:t>
      </w:r>
      <w:r>
        <w:t>万元，其中因公出国（境）费0.00万元；公务用车购置及运维费</w:t>
      </w:r>
      <w:r>
        <w:rPr>
          <w:rFonts w:hint="eastAsia"/>
          <w:lang w:val="en-US" w:eastAsia="zh-CN"/>
        </w:rPr>
        <w:t>5.20</w:t>
      </w:r>
      <w:r>
        <w:t>万元（其中：公务用车购置费为0.00万元，公务用车运维费</w:t>
      </w:r>
      <w:r>
        <w:rPr>
          <w:rFonts w:hint="eastAsia"/>
          <w:lang w:val="en-US" w:eastAsia="zh-CN"/>
        </w:rPr>
        <w:t>5.20</w:t>
      </w:r>
      <w:r>
        <w:t>万元)；公务接待费0.</w:t>
      </w:r>
      <w:r>
        <w:rPr>
          <w:rFonts w:hint="eastAsia"/>
          <w:lang w:val="en-US" w:eastAsia="zh-CN"/>
        </w:rPr>
        <w:t>2</w:t>
      </w:r>
      <w:r>
        <w:t>0万元。与2024年相比减少26.40万元，增减变化的主要原因是我部门坚持厉行节约的原则，尽最大可能减少公务用车使用费用</w:t>
      </w:r>
      <w:r>
        <w:rPr>
          <w:rFonts w:hint="eastAsia"/>
          <w:lang w:eastAsia="zh-CN"/>
        </w:rPr>
        <w:t>。</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部门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组织开展安全生产督导检查及非煤矿山综合治理等工作</w:t>
      </w:r>
    </w:p>
    <w:p>
      <w:pPr>
        <w:pStyle w:val="23"/>
      </w:pPr>
      <w: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3"/>
      </w:pPr>
      <w:r>
        <w:t>绩效指标：印刷执法文书及宣传手册的数量≥500份，进行执法检查的次数≥100次，按照全省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1个，全县矿山企业要接入平台的企业数量≥60家，租用办公楼面积＝2489.70平方米。</w:t>
      </w:r>
    </w:p>
    <w:p>
      <w:pPr>
        <w:pStyle w:val="23"/>
      </w:pPr>
      <w:r>
        <w:t>组织开展应急体系建设工作</w:t>
      </w:r>
    </w:p>
    <w:p>
      <w:pPr>
        <w:pStyle w:val="23"/>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 综合监测预警工作，指导开展自然灾害综合风险评估工作。</w:t>
      </w:r>
    </w:p>
    <w:p>
      <w:pPr>
        <w:pStyle w:val="23"/>
      </w:pPr>
      <w:r>
        <w:t>绩效指标：用于应急防灾减灾宣传单≥1000份，应急预案演练的次数≥1次，年度灾害检查的次数≥50次，自然灾害风险普查尾托第三方=1家，形成自然灾害风险评估报告的数量≥2份，</w:t>
      </w:r>
      <w:bookmarkStart w:id="20" w:name="_GoBack"/>
      <w:bookmarkEnd w:id="20"/>
      <w:r>
        <w:t>新建建筑面积≥2400平方米应急物资储备库1座，需要巡查的塘坝数量52个，需要巡查的水库数量16座。</w:t>
      </w:r>
    </w:p>
    <w:p>
      <w:pPr>
        <w:pStyle w:val="23"/>
      </w:pPr>
      <w:r>
        <w:t>指导监督火灾预防、火灾扑救工作，组织开展自然灾害防御救助工作</w:t>
      </w:r>
    </w:p>
    <w:p>
      <w:pPr>
        <w:pStyle w:val="23"/>
      </w:pPr>
      <w:r>
        <w:t>绩效目标：指导全县消防监督、森林火灾预防、火灾扑救等工作，组织实施灾害救助工作，开展灾情核查、损失评估、救灾捐赠工作，管理、分配省救灾款物并监督使用。</w:t>
      </w:r>
    </w:p>
    <w:p>
      <w:pPr>
        <w:pStyle w:val="23"/>
      </w:pPr>
      <w:r>
        <w:t>绩效指标： 三年来参加政策性农村住房灾害保险补助的户数≥33万户，用于森林防火运转车辆50辆，需要运转的防火营房2个，需要防火工作经费补助的面积数435万亩，购买扑火服≥200套，  购买作训服数量≥200套。提供视频防火服务监控1家。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预算绩效管理</w:t>
      </w:r>
    </w:p>
    <w:p>
      <w:pPr>
        <w:pStyle w:val="24"/>
      </w:pPr>
      <w:r>
        <w:t>绩效目标：全面实施预算预算绩效管理，建立全方位、全过程、全覆盖的预算绩效管理体系。</w:t>
      </w:r>
    </w:p>
    <w:p>
      <w:pPr>
        <w:pStyle w:val="24"/>
      </w:pPr>
      <w:r>
        <w:t>加强支出管理</w:t>
      </w:r>
    </w:p>
    <w:p>
      <w:pPr>
        <w:pStyle w:val="24"/>
      </w:pPr>
      <w: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4"/>
      </w:pPr>
      <w:r>
        <w:t>加强绩效运行监控</w:t>
      </w:r>
    </w:p>
    <w:p>
      <w:pPr>
        <w:pStyle w:val="24"/>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4"/>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4"/>
      </w:pPr>
      <w:r>
        <w:t>2、预算资金执行情况，包括预算资金拨付情况、预算执行单位实际支出情况以及预计结转结余情况。</w:t>
      </w:r>
    </w:p>
    <w:p>
      <w:pPr>
        <w:pStyle w:val="24"/>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4"/>
      </w:pPr>
      <w:r>
        <w:t>做好绩效自评工作</w:t>
      </w:r>
    </w:p>
    <w:p>
      <w:pPr>
        <w:pStyle w:val="24"/>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pPr>
      <w:r>
        <w:t>规范财务资产管理工作</w:t>
      </w:r>
    </w:p>
    <w:p>
      <w:pPr>
        <w:pStyle w:val="24"/>
      </w:pPr>
      <w: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4"/>
      </w:pPr>
      <w:r>
        <w:t>部门采购管理</w:t>
      </w:r>
    </w:p>
    <w:p>
      <w:pPr>
        <w:pStyle w:val="24"/>
      </w:pPr>
      <w:r>
        <w:t>绩效目标：推动部门采购管理体系的制度化、规范化，拓展部门采购产品的范围。</w:t>
      </w:r>
    </w:p>
    <w:p>
      <w:pPr>
        <w:pStyle w:val="24"/>
      </w:pPr>
      <w:r>
        <w:t>加强内部监督</w:t>
      </w:r>
    </w:p>
    <w:p>
      <w:pPr>
        <w:pStyle w:val="24"/>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pPr>
      <w:r>
        <w:t>加强宣传调研</w:t>
      </w:r>
    </w:p>
    <w:p>
      <w:pPr>
        <w:pStyle w:val="24"/>
      </w:pPr>
      <w:r>
        <w:t>为进一步强化各级干部群众的绩效管理意识，我局通过培训加深并统一了科室负责人及项目负责人对预算管理、绩效管理、业务职能与项目管理等方面的理解与认识。</w:t>
      </w:r>
    </w:p>
    <w:p>
      <w:pPr>
        <w:pStyle w:val="24"/>
      </w:pPr>
      <w:r>
        <w:t>加强宣传培训调研。加强人员培训，提高本部门职工业务素质，加强调研工作，提出优化财政资金配置、提高资金使用效益的意见意见，充分利用信息网络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1、安全生产监管综合执法专项经费绩效目标表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13032123P003317100791</w:t>
            </w:r>
          </w:p>
        </w:tc>
        <w:tc>
          <w:tcPr>
            <w:tcW w:w="2835" w:type="dxa"/>
            <w:vAlign w:val="center"/>
          </w:tcPr>
          <w:p>
            <w:pPr>
              <w:pStyle w:val="11"/>
            </w:pPr>
            <w:r>
              <w:t>项目名称</w:t>
            </w:r>
          </w:p>
        </w:tc>
        <w:tc>
          <w:tcPr>
            <w:tcW w:w="6095" w:type="dxa"/>
            <w:gridSpan w:val="3"/>
            <w:vAlign w:val="center"/>
          </w:tcPr>
          <w:p>
            <w:pPr>
              <w:pStyle w:val="13"/>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预算安排2.5万元，其中：财政拨款2.5万元，主要用于安全生产监督检查工作支出。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3"/>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≥100次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≤4.5万元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2、安全生产监管综合执法专项经费绩效目标表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13032125P00334910306W</w:t>
            </w:r>
          </w:p>
        </w:tc>
        <w:tc>
          <w:tcPr>
            <w:tcW w:w="2835" w:type="dxa"/>
            <w:vAlign w:val="center"/>
          </w:tcPr>
          <w:p>
            <w:pPr>
              <w:pStyle w:val="11"/>
            </w:pPr>
            <w:r>
              <w:t>项目名称</w:t>
            </w:r>
          </w:p>
        </w:tc>
        <w:tc>
          <w:tcPr>
            <w:tcW w:w="6095" w:type="dxa"/>
            <w:gridSpan w:val="3"/>
            <w:vAlign w:val="center"/>
          </w:tcPr>
          <w:p>
            <w:pPr>
              <w:pStyle w:val="13"/>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预算安排6万元，其中：财政拨款6万元，主要用于开展安全生产监督检查工作支出。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1.通过开展安全生产监督检查工作，推进安全生产专项整治等重点工作，提升生产经营单位本质安全水平，努力夯实安全生产基础，不断提升安全保障能力和安全监管能力。</w:t>
            </w:r>
          </w:p>
          <w:p>
            <w:pPr>
              <w:pStyle w:val="13"/>
            </w:pPr>
            <w:r>
              <w:t>2.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≥1000份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专家人次</w:t>
            </w:r>
          </w:p>
        </w:tc>
        <w:tc>
          <w:tcPr>
            <w:tcW w:w="5386" w:type="dxa"/>
            <w:vAlign w:val="center"/>
          </w:tcPr>
          <w:p>
            <w:pPr>
              <w:pStyle w:val="13"/>
            </w:pPr>
            <w:r>
              <w:t>反映聘请专家的人次</w:t>
            </w:r>
          </w:p>
        </w:tc>
        <w:tc>
          <w:tcPr>
            <w:tcW w:w="2268" w:type="dxa"/>
            <w:vAlign w:val="center"/>
          </w:tcPr>
          <w:p>
            <w:pPr>
              <w:pStyle w:val="13"/>
            </w:pPr>
            <w:r>
              <w:t>≥10人次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≥297次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≤2万元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5386" w:type="dxa"/>
            <w:vAlign w:val="center"/>
          </w:tcPr>
          <w:p>
            <w:pPr>
              <w:pStyle w:val="13"/>
            </w:pPr>
            <w:r>
              <w:t>反映用于印刷的费用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反映用于人员差旅费费用</w:t>
            </w:r>
          </w:p>
        </w:tc>
        <w:tc>
          <w:tcPr>
            <w:tcW w:w="2268" w:type="dxa"/>
            <w:vAlign w:val="center"/>
          </w:tcPr>
          <w:p>
            <w:pPr>
              <w:pStyle w:val="13"/>
            </w:pPr>
            <w:r>
              <w:t>≤0.5万元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w:t>
            </w:r>
          </w:p>
        </w:tc>
        <w:tc>
          <w:tcPr>
            <w:tcW w:w="5386" w:type="dxa"/>
            <w:vAlign w:val="center"/>
          </w:tcPr>
          <w:p>
            <w:pPr>
              <w:pStyle w:val="13"/>
            </w:pPr>
            <w:r>
              <w:t>反映提供专家的费用</w:t>
            </w:r>
          </w:p>
        </w:tc>
        <w:tc>
          <w:tcPr>
            <w:tcW w:w="2268" w:type="dxa"/>
            <w:vAlign w:val="center"/>
          </w:tcPr>
          <w:p>
            <w:pPr>
              <w:pStyle w:val="13"/>
            </w:pPr>
            <w:r>
              <w:t>≤0.5万元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w:t>
            </w:r>
          </w:p>
        </w:tc>
        <w:tc>
          <w:tcPr>
            <w:tcW w:w="5386" w:type="dxa"/>
            <w:vAlign w:val="center"/>
          </w:tcPr>
          <w:p>
            <w:pPr>
              <w:pStyle w:val="13"/>
            </w:pPr>
            <w:r>
              <w:t>反映用于公车使用费用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反映执法租用社会车辆费用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3、非煤矿山隐患排查及应急治理工作经费绩效目标表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13032123P00331710080C</w:t>
            </w:r>
          </w:p>
        </w:tc>
        <w:tc>
          <w:tcPr>
            <w:tcW w:w="2835" w:type="dxa"/>
            <w:vAlign w:val="center"/>
          </w:tcPr>
          <w:p>
            <w:pPr>
              <w:pStyle w:val="11"/>
            </w:pPr>
            <w:r>
              <w:t>项目名称</w:t>
            </w:r>
          </w:p>
        </w:tc>
        <w:tc>
          <w:tcPr>
            <w:tcW w:w="6095" w:type="dxa"/>
            <w:gridSpan w:val="3"/>
            <w:vAlign w:val="center"/>
          </w:tcPr>
          <w:p>
            <w:pPr>
              <w:pStyle w:val="13"/>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预算安排2.5万元，其中财政拨款2.5万元，主要用于开展非煤矿山隐患排查及应急治理工作支出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1.通过开展非煤矿山隐患排查及应急治理工作，有效防范和减少非煤矿山生产安全事故，全面发现并彻底整改非煤矿山安全生产隐患。</w:t>
            </w:r>
            <w:r>
              <w:tab/>
            </w:r>
            <w:r>
              <w:tab/>
            </w:r>
            <w:r>
              <w:tab/>
            </w:r>
            <w:r>
              <w:tab/>
            </w:r>
            <w:r>
              <w:tab/>
            </w:r>
          </w:p>
          <w:p>
            <w:pPr>
              <w:pStyle w:val="13"/>
            </w:pPr>
            <w:r>
              <w:t>2.通过开展非煤矿山隐患排查及应急治理工作，使我县尾矿库、采空区安全渡汛，确保企业生产和附近居民的生活环境及生命财产安全。</w:t>
            </w:r>
            <w:r>
              <w:tab/>
            </w:r>
          </w:p>
          <w:p>
            <w:pPr>
              <w:pStyle w:val="13"/>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排查整治的次数</w:t>
            </w:r>
          </w:p>
        </w:tc>
        <w:tc>
          <w:tcPr>
            <w:tcW w:w="5386" w:type="dxa"/>
            <w:vAlign w:val="center"/>
          </w:tcPr>
          <w:p>
            <w:pPr>
              <w:pStyle w:val="13"/>
            </w:pPr>
            <w:r>
              <w:t>按照全省安全生产事故隐患大排查大整治攻坚行动次数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排查企业的数量</w:t>
            </w:r>
          </w:p>
        </w:tc>
        <w:tc>
          <w:tcPr>
            <w:tcW w:w="5386" w:type="dxa"/>
            <w:vAlign w:val="center"/>
          </w:tcPr>
          <w:p>
            <w:pPr>
              <w:pStyle w:val="13"/>
            </w:pPr>
            <w:r>
              <w:t>反映行动中排查企业的数量</w:t>
            </w:r>
          </w:p>
        </w:tc>
        <w:tc>
          <w:tcPr>
            <w:tcW w:w="2268" w:type="dxa"/>
            <w:vAlign w:val="center"/>
          </w:tcPr>
          <w:p>
            <w:pPr>
              <w:pStyle w:val="13"/>
            </w:pPr>
            <w:r>
              <w:t>≥50家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隐患排查治理率</w:t>
            </w:r>
          </w:p>
        </w:tc>
        <w:tc>
          <w:tcPr>
            <w:tcW w:w="5386" w:type="dxa"/>
            <w:vAlign w:val="center"/>
          </w:tcPr>
          <w:p>
            <w:pPr>
              <w:pStyle w:val="13"/>
            </w:pPr>
            <w:r>
              <w:t>已治理的隐患数量占总排查隐患数量的比率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排查时间</w:t>
            </w:r>
          </w:p>
        </w:tc>
        <w:tc>
          <w:tcPr>
            <w:tcW w:w="5386" w:type="dxa"/>
            <w:vAlign w:val="center"/>
          </w:tcPr>
          <w:p>
            <w:pPr>
              <w:pStyle w:val="13"/>
            </w:pPr>
            <w:r>
              <w:t>排查整治的时间</w:t>
            </w:r>
          </w:p>
        </w:tc>
        <w:tc>
          <w:tcPr>
            <w:tcW w:w="2268" w:type="dxa"/>
            <w:vAlign w:val="center"/>
          </w:tcPr>
          <w:p>
            <w:pPr>
              <w:pStyle w:val="13"/>
            </w:pPr>
            <w:r>
              <w:t>2023年12月底前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反映用于办公用品采购的支出</w:t>
            </w:r>
          </w:p>
        </w:tc>
        <w:tc>
          <w:tcPr>
            <w:tcW w:w="2268" w:type="dxa"/>
            <w:vAlign w:val="center"/>
          </w:tcPr>
          <w:p>
            <w:pPr>
              <w:pStyle w:val="13"/>
            </w:pPr>
            <w:r>
              <w:t>≤2.5万元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确保煤矿和非煤矿山企业安全生产率</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4、非煤矿山隐患排查及应急治理工作经费绩效目标表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13032125P00334910307G</w:t>
            </w:r>
          </w:p>
        </w:tc>
        <w:tc>
          <w:tcPr>
            <w:tcW w:w="2835" w:type="dxa"/>
            <w:vAlign w:val="center"/>
          </w:tcPr>
          <w:p>
            <w:pPr>
              <w:pStyle w:val="11"/>
            </w:pPr>
            <w:r>
              <w:t>项目名称</w:t>
            </w:r>
          </w:p>
        </w:tc>
        <w:tc>
          <w:tcPr>
            <w:tcW w:w="6095" w:type="dxa"/>
            <w:gridSpan w:val="3"/>
            <w:vAlign w:val="center"/>
          </w:tcPr>
          <w:p>
            <w:pPr>
              <w:pStyle w:val="13"/>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预算安排6万元，其中：财政拨款6万元，主要用于非煤矿山隐患排查及应急治理工作开展支出。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1.通过非煤矿山隐患排查及应急治理工作开展，使全县尾矿库、采空区安全渡汛，确保企业生产和附近居民的生活环境及生命财产安全。</w:t>
            </w:r>
            <w:r>
              <w:tab/>
            </w:r>
          </w:p>
          <w:p>
            <w:pPr>
              <w:pStyle w:val="13"/>
            </w:pPr>
            <w:r>
              <w:t>2.通过非煤矿山隐患排查及应急治理工作开展，对存在危险风险的尾矿库、采空区、边坡等进行治理，对以前年度未完成的尾矿库和采空区治理项目进行完善。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≥3家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度汛尾矿库的数量</w:t>
            </w:r>
          </w:p>
        </w:tc>
        <w:tc>
          <w:tcPr>
            <w:tcW w:w="5386" w:type="dxa"/>
            <w:vAlign w:val="center"/>
          </w:tcPr>
          <w:p>
            <w:pPr>
              <w:pStyle w:val="13"/>
            </w:pPr>
            <w:r>
              <w:t>反映度汛尾矿库的数量</w:t>
            </w:r>
          </w:p>
        </w:tc>
        <w:tc>
          <w:tcPr>
            <w:tcW w:w="2268" w:type="dxa"/>
            <w:vAlign w:val="center"/>
          </w:tcPr>
          <w:p>
            <w:pPr>
              <w:pStyle w:val="13"/>
            </w:pPr>
            <w:r>
              <w:t>≥100家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治理采空区的数量</w:t>
            </w:r>
          </w:p>
        </w:tc>
        <w:tc>
          <w:tcPr>
            <w:tcW w:w="5386" w:type="dxa"/>
            <w:vAlign w:val="center"/>
          </w:tcPr>
          <w:p>
            <w:pPr>
              <w:pStyle w:val="13"/>
            </w:pPr>
            <w:r>
              <w:t>反映治理采空区的数量</w:t>
            </w:r>
          </w:p>
        </w:tc>
        <w:tc>
          <w:tcPr>
            <w:tcW w:w="2268" w:type="dxa"/>
            <w:vAlign w:val="center"/>
          </w:tcPr>
          <w:p>
            <w:pPr>
              <w:pStyle w:val="13"/>
            </w:pPr>
            <w:r>
              <w:t>≥1家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≤200万元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5、应急灾害风险防治专项经费绩效目标表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13032123P00331710082K</w:t>
            </w:r>
          </w:p>
        </w:tc>
        <w:tc>
          <w:tcPr>
            <w:tcW w:w="2835" w:type="dxa"/>
            <w:vAlign w:val="center"/>
          </w:tcPr>
          <w:p>
            <w:pPr>
              <w:pStyle w:val="11"/>
            </w:pPr>
            <w:r>
              <w:t>项目名称</w:t>
            </w:r>
          </w:p>
        </w:tc>
        <w:tc>
          <w:tcPr>
            <w:tcW w:w="6095" w:type="dxa"/>
            <w:gridSpan w:val="3"/>
            <w:vAlign w:val="center"/>
          </w:tcPr>
          <w:p>
            <w:pPr>
              <w:pStyle w:val="13"/>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预算安排2万元，其中财政拨款2万元，主要用于应急灾害风险防治工作运转支出。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1.通过开展应急灾害风险防治工作，使我县应急值守值班、应急预案编制演练、各项灾害防治工作正常开展。</w:t>
            </w:r>
            <w:r>
              <w:tab/>
            </w:r>
          </w:p>
          <w:p>
            <w:pPr>
              <w:pStyle w:val="13"/>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6、应急灾害风险防治专项经费绩效目标表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13032125P003349103084</w:t>
            </w:r>
          </w:p>
        </w:tc>
        <w:tc>
          <w:tcPr>
            <w:tcW w:w="2835" w:type="dxa"/>
            <w:vAlign w:val="center"/>
          </w:tcPr>
          <w:p>
            <w:pPr>
              <w:pStyle w:val="11"/>
            </w:pPr>
            <w:r>
              <w:t>项目名称</w:t>
            </w:r>
          </w:p>
        </w:tc>
        <w:tc>
          <w:tcPr>
            <w:tcW w:w="6095" w:type="dxa"/>
            <w:gridSpan w:val="3"/>
            <w:vAlign w:val="center"/>
          </w:tcPr>
          <w:p>
            <w:pPr>
              <w:pStyle w:val="13"/>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预算安排4万元，其中：财政拨款4万元，主要用于开展应急灾害风险防治工作支出。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1.通过开展应急灾害风险防治工作，使灾情检查、灾害救助工作圆满完成。</w:t>
            </w:r>
            <w:r>
              <w:tab/>
            </w:r>
            <w:r>
              <w:tab/>
            </w:r>
            <w:r>
              <w:tab/>
            </w:r>
            <w:r>
              <w:tab/>
            </w:r>
            <w:r>
              <w:tab/>
            </w:r>
          </w:p>
          <w:p>
            <w:pPr>
              <w:pStyle w:val="13"/>
            </w:pPr>
            <w:r>
              <w:t>2.通过开展应急灾害风险防治工作，使组织协调重要应急物资的储备、调拨和紧急配送，承担救灾款物的管理、分配和监督使用管理工作如期完成。</w:t>
            </w:r>
          </w:p>
          <w:p>
            <w:pPr>
              <w:pStyle w:val="13"/>
            </w:pPr>
            <w:r>
              <w:t>3.通过开展应急灾害风险防治工作，使我县应急值守值班、应急预案编制演练、各项灾害防治工作正常开展。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≤2.5万元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印刷费成本</w:t>
            </w:r>
          </w:p>
        </w:tc>
        <w:tc>
          <w:tcPr>
            <w:tcW w:w="5386" w:type="dxa"/>
            <w:vAlign w:val="center"/>
          </w:tcPr>
          <w:p>
            <w:pPr>
              <w:pStyle w:val="13"/>
            </w:pPr>
            <w:r>
              <w:t>反映用于印刷的费用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公车运行维护费成本</w:t>
            </w:r>
          </w:p>
        </w:tc>
        <w:tc>
          <w:tcPr>
            <w:tcW w:w="5386" w:type="dxa"/>
            <w:vAlign w:val="center"/>
          </w:tcPr>
          <w:p>
            <w:pPr>
              <w:pStyle w:val="13"/>
            </w:pPr>
            <w:r>
              <w:t>反映用于公车使用费用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反映用于租用社会车辆费用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7、安全生产隐患举报奖励资金绩效目标表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13032124P003263100209</w:t>
            </w:r>
          </w:p>
        </w:tc>
        <w:tc>
          <w:tcPr>
            <w:tcW w:w="2835" w:type="dxa"/>
            <w:vAlign w:val="center"/>
          </w:tcPr>
          <w:p>
            <w:pPr>
              <w:pStyle w:val="11"/>
            </w:pPr>
            <w:r>
              <w:t>项目名称</w:t>
            </w:r>
          </w:p>
        </w:tc>
        <w:tc>
          <w:tcPr>
            <w:tcW w:w="6095" w:type="dxa"/>
            <w:gridSpan w:val="3"/>
            <w:vAlign w:val="center"/>
          </w:tcPr>
          <w:p>
            <w:pPr>
              <w:pStyle w:val="13"/>
            </w:pPr>
            <w:r>
              <w:t>安全生产隐患举报奖励资金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预算安排30万元，其中财政拨款30万元，主要用于安全生产隐患举报奖励支出。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25.00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1.通过该项目的实施，使我县及时发现安全生产事故。</w:t>
            </w:r>
          </w:p>
          <w:p>
            <w:pPr>
              <w:pStyle w:val="13"/>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安全生产举报罚没数额</w:t>
            </w:r>
          </w:p>
        </w:tc>
        <w:tc>
          <w:tcPr>
            <w:tcW w:w="5386" w:type="dxa"/>
            <w:vAlign w:val="center"/>
          </w:tcPr>
          <w:p>
            <w:pPr>
              <w:pStyle w:val="13"/>
            </w:pPr>
            <w:r>
              <w:t>反映完成安全生产举报罚没的数额</w:t>
            </w:r>
          </w:p>
        </w:tc>
        <w:tc>
          <w:tcPr>
            <w:tcW w:w="2268" w:type="dxa"/>
            <w:vAlign w:val="center"/>
          </w:tcPr>
          <w:p>
            <w:pPr>
              <w:pStyle w:val="13"/>
            </w:pPr>
            <w:r>
              <w:t>≥100万元</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安全生产举报事故数量</w:t>
            </w:r>
          </w:p>
        </w:tc>
        <w:tc>
          <w:tcPr>
            <w:tcW w:w="5386" w:type="dxa"/>
            <w:vAlign w:val="center"/>
          </w:tcPr>
          <w:p>
            <w:pPr>
              <w:pStyle w:val="13"/>
            </w:pPr>
            <w:r>
              <w:t>反映完成安全生产举报的数量</w:t>
            </w:r>
          </w:p>
        </w:tc>
        <w:tc>
          <w:tcPr>
            <w:tcW w:w="2268" w:type="dxa"/>
            <w:vAlign w:val="center"/>
          </w:tcPr>
          <w:p>
            <w:pPr>
              <w:pStyle w:val="13"/>
            </w:pPr>
            <w:r>
              <w:t>≥1起</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及时发现安全生产事故的比率</w:t>
            </w:r>
          </w:p>
        </w:tc>
        <w:tc>
          <w:tcPr>
            <w:tcW w:w="5386" w:type="dxa"/>
            <w:vAlign w:val="center"/>
          </w:tcPr>
          <w:p>
            <w:pPr>
              <w:pStyle w:val="13"/>
            </w:pPr>
            <w:r>
              <w:t>反映及时发现安全生产事故的比率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完成的举报奖励比率</w:t>
            </w:r>
          </w:p>
        </w:tc>
        <w:tc>
          <w:tcPr>
            <w:tcW w:w="5386" w:type="dxa"/>
            <w:vAlign w:val="center"/>
          </w:tcPr>
          <w:p>
            <w:pPr>
              <w:pStyle w:val="13"/>
            </w:pPr>
            <w:r>
              <w:t>反映完成安全生产举报的奖励比率</w:t>
            </w:r>
          </w:p>
        </w:tc>
        <w:tc>
          <w:tcPr>
            <w:tcW w:w="2268" w:type="dxa"/>
            <w:vAlign w:val="center"/>
          </w:tcPr>
          <w:p>
            <w:pPr>
              <w:pStyle w:val="13"/>
            </w:pPr>
            <w:r>
              <w:t>30%</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完成举报奖励支付时间</w:t>
            </w:r>
          </w:p>
        </w:tc>
        <w:tc>
          <w:tcPr>
            <w:tcW w:w="5386" w:type="dxa"/>
            <w:vAlign w:val="center"/>
          </w:tcPr>
          <w:p>
            <w:pPr>
              <w:pStyle w:val="13"/>
            </w:pPr>
            <w:r>
              <w:t>反映完成完成举报奖励支付时间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举报奖励成本</w:t>
            </w:r>
          </w:p>
        </w:tc>
        <w:tc>
          <w:tcPr>
            <w:tcW w:w="5386" w:type="dxa"/>
            <w:vAlign w:val="center"/>
          </w:tcPr>
          <w:p>
            <w:pPr>
              <w:pStyle w:val="13"/>
            </w:pPr>
            <w:r>
              <w:t>反映完成安全生产举报奖励的成本</w:t>
            </w:r>
          </w:p>
        </w:tc>
        <w:tc>
          <w:tcPr>
            <w:tcW w:w="2268" w:type="dxa"/>
            <w:vAlign w:val="center"/>
          </w:tcPr>
          <w:p>
            <w:pPr>
              <w:pStyle w:val="13"/>
            </w:pPr>
            <w:r>
              <w:t>≤30万元/平方米</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防止全县发生重特大安全生产事故，强化各项安全保障措施落实到位</w:t>
            </w:r>
          </w:p>
        </w:tc>
        <w:tc>
          <w:tcPr>
            <w:tcW w:w="2268" w:type="dxa"/>
            <w:vAlign w:val="center"/>
          </w:tcPr>
          <w:p>
            <w:pPr>
              <w:pStyle w:val="13"/>
            </w:pPr>
            <w:r>
              <w:t>&lt;1事故</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8、安全生产月活动经费绩效目标表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13032124P00331910091M</w:t>
            </w:r>
          </w:p>
        </w:tc>
        <w:tc>
          <w:tcPr>
            <w:tcW w:w="2835" w:type="dxa"/>
            <w:vAlign w:val="center"/>
          </w:tcPr>
          <w:p>
            <w:pPr>
              <w:pStyle w:val="11"/>
            </w:pPr>
            <w:r>
              <w:t>项目名称</w:t>
            </w:r>
          </w:p>
        </w:tc>
        <w:tc>
          <w:tcPr>
            <w:tcW w:w="6095" w:type="dxa"/>
            <w:gridSpan w:val="3"/>
            <w:vAlign w:val="center"/>
          </w:tcPr>
          <w:p>
            <w:pPr>
              <w:pStyle w:val="13"/>
            </w:pPr>
            <w:r>
              <w:t>安全生产月活动经费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11.25</w:t>
            </w:r>
          </w:p>
        </w:tc>
        <w:tc>
          <w:tcPr>
            <w:tcW w:w="2835" w:type="dxa"/>
            <w:vAlign w:val="center"/>
          </w:tcPr>
          <w:p>
            <w:pPr>
              <w:pStyle w:val="11"/>
            </w:pPr>
            <w:r>
              <w:t>其中：财政    资金</w:t>
            </w:r>
          </w:p>
        </w:tc>
        <w:tc>
          <w:tcPr>
            <w:tcW w:w="2551" w:type="dxa"/>
            <w:vAlign w:val="center"/>
          </w:tcPr>
          <w:p>
            <w:pPr>
              <w:pStyle w:val="13"/>
            </w:pPr>
            <w:r>
              <w:t>11.25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预算安排11.25万元，其中：财政拨款11.25万元，主要用于安全生产月活动宣传教育支出。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11.25</w:t>
            </w:r>
          </w:p>
        </w:tc>
        <w:tc>
          <w:tcPr>
            <w:tcW w:w="2835" w:type="dxa"/>
            <w:vAlign w:val="center"/>
          </w:tcPr>
          <w:p>
            <w:pPr>
              <w:pStyle w:val="14"/>
            </w:pPr>
            <w:r>
              <w:t>11.25</w:t>
            </w:r>
          </w:p>
        </w:tc>
        <w:tc>
          <w:tcPr>
            <w:tcW w:w="2551" w:type="dxa"/>
            <w:vAlign w:val="center"/>
          </w:tcPr>
          <w:p>
            <w:pPr>
              <w:pStyle w:val="14"/>
            </w:pPr>
            <w:r>
              <w:t>11.25</w:t>
            </w:r>
          </w:p>
        </w:tc>
        <w:tc>
          <w:tcPr>
            <w:tcW w:w="3544" w:type="dxa"/>
            <w:gridSpan w:val="2"/>
            <w:vAlign w:val="center"/>
          </w:tcPr>
          <w:p>
            <w:pPr>
              <w:pStyle w:val="14"/>
            </w:pPr>
            <w:r>
              <w:t>11.25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1.通过深入开展宣传教育活动，促进安全生产水平提升和安全生产形势好转。</w:t>
            </w:r>
          </w:p>
          <w:p>
            <w:pPr>
              <w:pStyle w:val="13"/>
            </w:pPr>
            <w:r>
              <w:t>2.通过深入开展宣传教育活动，增强全民安全意识，提升公众安全素质。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购买宣传用品数量</w:t>
            </w:r>
          </w:p>
        </w:tc>
        <w:tc>
          <w:tcPr>
            <w:tcW w:w="5386" w:type="dxa"/>
            <w:vAlign w:val="center"/>
          </w:tcPr>
          <w:p>
            <w:pPr>
              <w:pStyle w:val="13"/>
            </w:pPr>
            <w:r>
              <w:t>反映购买宣传用品的数量</w:t>
            </w:r>
          </w:p>
        </w:tc>
        <w:tc>
          <w:tcPr>
            <w:tcW w:w="2268" w:type="dxa"/>
            <w:vAlign w:val="center"/>
          </w:tcPr>
          <w:p>
            <w:pPr>
              <w:pStyle w:val="13"/>
            </w:pPr>
            <w:r>
              <w:t>7500套</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购买制作条幅、绶带、展板等数量</w:t>
            </w:r>
          </w:p>
        </w:tc>
        <w:tc>
          <w:tcPr>
            <w:tcW w:w="5386" w:type="dxa"/>
            <w:vAlign w:val="center"/>
          </w:tcPr>
          <w:p>
            <w:pPr>
              <w:pStyle w:val="13"/>
            </w:pPr>
            <w:r>
              <w:t>反映制作条幅、绶带、展板的数量</w:t>
            </w:r>
          </w:p>
        </w:tc>
        <w:tc>
          <w:tcPr>
            <w:tcW w:w="2268" w:type="dxa"/>
            <w:vAlign w:val="center"/>
          </w:tcPr>
          <w:p>
            <w:pPr>
              <w:pStyle w:val="13"/>
            </w:pPr>
            <w:r>
              <w:t>50块</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安全宣传活动完成率</w:t>
            </w:r>
          </w:p>
        </w:tc>
        <w:tc>
          <w:tcPr>
            <w:tcW w:w="5386" w:type="dxa"/>
            <w:vAlign w:val="center"/>
          </w:tcPr>
          <w:p>
            <w:pPr>
              <w:pStyle w:val="13"/>
            </w:pPr>
            <w:r>
              <w:t>反映对群众安全宣传的比率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安全宣传月活动完成时间</w:t>
            </w:r>
          </w:p>
        </w:tc>
        <w:tc>
          <w:tcPr>
            <w:tcW w:w="5386" w:type="dxa"/>
            <w:vAlign w:val="center"/>
          </w:tcPr>
          <w:p>
            <w:pPr>
              <w:pStyle w:val="13"/>
            </w:pPr>
            <w:r>
              <w:t>反映安全宣传月活动完成时限</w:t>
            </w:r>
          </w:p>
        </w:tc>
        <w:tc>
          <w:tcPr>
            <w:tcW w:w="2268" w:type="dxa"/>
            <w:vAlign w:val="center"/>
          </w:tcPr>
          <w:p>
            <w:pPr>
              <w:pStyle w:val="13"/>
            </w:pPr>
            <w:r>
              <w:t>6月底前完成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购买宣传用品成本</w:t>
            </w:r>
          </w:p>
        </w:tc>
        <w:tc>
          <w:tcPr>
            <w:tcW w:w="5386" w:type="dxa"/>
            <w:vAlign w:val="center"/>
          </w:tcPr>
          <w:p>
            <w:pPr>
              <w:pStyle w:val="13"/>
            </w:pPr>
            <w:r>
              <w:t>反映购买宣传用品的金额</w:t>
            </w:r>
          </w:p>
        </w:tc>
        <w:tc>
          <w:tcPr>
            <w:tcW w:w="2268" w:type="dxa"/>
            <w:vAlign w:val="center"/>
          </w:tcPr>
          <w:p>
            <w:pPr>
              <w:pStyle w:val="13"/>
            </w:pPr>
            <w:r>
              <w:t>11.25万元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安全生产水平提升情况</w:t>
            </w:r>
          </w:p>
        </w:tc>
        <w:tc>
          <w:tcPr>
            <w:tcW w:w="5386" w:type="dxa"/>
            <w:vAlign w:val="center"/>
          </w:tcPr>
          <w:p>
            <w:pPr>
              <w:pStyle w:val="13"/>
            </w:pPr>
            <w:r>
              <w:t>反映企业等安全生产水平情况</w:t>
            </w:r>
          </w:p>
        </w:tc>
        <w:tc>
          <w:tcPr>
            <w:tcW w:w="2268" w:type="dxa"/>
            <w:vAlign w:val="center"/>
          </w:tcPr>
          <w:p>
            <w:pPr>
              <w:pStyle w:val="13"/>
            </w:pPr>
            <w:r>
              <w:t>安全生产形势好转</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群众安全意识提升效果</w:t>
            </w:r>
          </w:p>
        </w:tc>
        <w:tc>
          <w:tcPr>
            <w:tcW w:w="5386" w:type="dxa"/>
            <w:vAlign w:val="center"/>
          </w:tcPr>
          <w:p>
            <w:pPr>
              <w:pStyle w:val="13"/>
            </w:pPr>
            <w:r>
              <w:t>反映群众安全意识提升效果</w:t>
            </w:r>
          </w:p>
        </w:tc>
        <w:tc>
          <w:tcPr>
            <w:tcW w:w="2268" w:type="dxa"/>
            <w:vAlign w:val="center"/>
          </w:tcPr>
          <w:p>
            <w:pPr>
              <w:pStyle w:val="13"/>
            </w:pPr>
            <w:r>
              <w:t>群众安全意识提升</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安全生产宣教活动普及率</w:t>
            </w:r>
          </w:p>
        </w:tc>
        <w:tc>
          <w:tcPr>
            <w:tcW w:w="5386" w:type="dxa"/>
            <w:vAlign w:val="center"/>
          </w:tcPr>
          <w:p>
            <w:pPr>
              <w:pStyle w:val="13"/>
            </w:pPr>
            <w:r>
              <w:t>反映安全生产宣教活动普及比率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9、补充和更换防火物资资金绩效目标表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13032123P00331910035E</w:t>
            </w:r>
          </w:p>
        </w:tc>
        <w:tc>
          <w:tcPr>
            <w:tcW w:w="2835" w:type="dxa"/>
            <w:vAlign w:val="center"/>
          </w:tcPr>
          <w:p>
            <w:pPr>
              <w:pStyle w:val="11"/>
            </w:pPr>
            <w:r>
              <w:t>项目名称</w:t>
            </w:r>
          </w:p>
        </w:tc>
        <w:tc>
          <w:tcPr>
            <w:tcW w:w="6095" w:type="dxa"/>
            <w:gridSpan w:val="3"/>
            <w:vAlign w:val="center"/>
          </w:tcPr>
          <w:p>
            <w:pPr>
              <w:pStyle w:val="13"/>
            </w:pPr>
            <w:r>
              <w:t>补充和更换防火物资资金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81.05</w:t>
            </w:r>
          </w:p>
        </w:tc>
        <w:tc>
          <w:tcPr>
            <w:tcW w:w="2835" w:type="dxa"/>
            <w:vAlign w:val="center"/>
          </w:tcPr>
          <w:p>
            <w:pPr>
              <w:pStyle w:val="11"/>
            </w:pPr>
            <w:r>
              <w:t>其中：财政    资金</w:t>
            </w:r>
          </w:p>
        </w:tc>
        <w:tc>
          <w:tcPr>
            <w:tcW w:w="2551" w:type="dxa"/>
            <w:vAlign w:val="center"/>
          </w:tcPr>
          <w:p>
            <w:pPr>
              <w:pStyle w:val="13"/>
            </w:pPr>
            <w:r>
              <w:t>81.05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预算安排81.05万元，其中财政拨款81.05万元，主要用于森林防火设备及装备购置支出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81.05</w:t>
            </w:r>
          </w:p>
        </w:tc>
        <w:tc>
          <w:tcPr>
            <w:tcW w:w="2835" w:type="dxa"/>
            <w:vAlign w:val="center"/>
          </w:tcPr>
          <w:p>
            <w:pPr>
              <w:pStyle w:val="14"/>
            </w:pPr>
            <w:r>
              <w:t>81.05</w:t>
            </w:r>
          </w:p>
        </w:tc>
        <w:tc>
          <w:tcPr>
            <w:tcW w:w="2551" w:type="dxa"/>
            <w:vAlign w:val="center"/>
          </w:tcPr>
          <w:p>
            <w:pPr>
              <w:pStyle w:val="14"/>
            </w:pPr>
            <w:r>
              <w:t>81.05</w:t>
            </w:r>
          </w:p>
        </w:tc>
        <w:tc>
          <w:tcPr>
            <w:tcW w:w="3544" w:type="dxa"/>
            <w:gridSpan w:val="2"/>
            <w:vAlign w:val="center"/>
          </w:tcPr>
          <w:p>
            <w:pPr>
              <w:pStyle w:val="14"/>
            </w:pPr>
            <w:r>
              <w:t>81.05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1.通过补充和更换防火物资项目的实施，及时对森林防火设物资装备的更新，保证防火工作的正常运转。</w:t>
            </w:r>
            <w:r>
              <w:tab/>
            </w:r>
          </w:p>
          <w:p>
            <w:pPr>
              <w:pStyle w:val="13"/>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普通扑火服</w:t>
            </w:r>
          </w:p>
        </w:tc>
        <w:tc>
          <w:tcPr>
            <w:tcW w:w="5386" w:type="dxa"/>
            <w:vAlign w:val="center"/>
          </w:tcPr>
          <w:p>
            <w:pPr>
              <w:pStyle w:val="13"/>
            </w:pPr>
            <w:r>
              <w:t>购买普通扑火服数量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作训服</w:t>
            </w:r>
          </w:p>
        </w:tc>
        <w:tc>
          <w:tcPr>
            <w:tcW w:w="5386" w:type="dxa"/>
            <w:vAlign w:val="center"/>
          </w:tcPr>
          <w:p>
            <w:pPr>
              <w:pStyle w:val="13"/>
            </w:pPr>
            <w:r>
              <w:t>购买作训服数量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消防物资验收合格率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采购完成的时间</w:t>
            </w:r>
          </w:p>
        </w:tc>
        <w:tc>
          <w:tcPr>
            <w:tcW w:w="2268" w:type="dxa"/>
            <w:vAlign w:val="center"/>
          </w:tcPr>
          <w:p>
            <w:pPr>
              <w:pStyle w:val="13"/>
            </w:pPr>
            <w:r>
              <w:t>2024年度内完成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普通扑火服的单位成本</w:t>
            </w:r>
          </w:p>
        </w:tc>
        <w:tc>
          <w:tcPr>
            <w:tcW w:w="5386" w:type="dxa"/>
            <w:vAlign w:val="center"/>
          </w:tcPr>
          <w:p>
            <w:pPr>
              <w:pStyle w:val="13"/>
            </w:pPr>
            <w:r>
              <w:t>普通扑火服的单位成本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作训服的单位成本</w:t>
            </w:r>
          </w:p>
        </w:tc>
        <w:tc>
          <w:tcPr>
            <w:tcW w:w="5386" w:type="dxa"/>
            <w:vAlign w:val="center"/>
          </w:tcPr>
          <w:p>
            <w:pPr>
              <w:pStyle w:val="13"/>
            </w:pPr>
            <w:r>
              <w:t>作训服的单位成本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10、第一次全国自然灾害综合风险普查专项经费绩效目标表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13032123P003318100345</w:t>
            </w:r>
          </w:p>
        </w:tc>
        <w:tc>
          <w:tcPr>
            <w:tcW w:w="2835" w:type="dxa"/>
            <w:vAlign w:val="center"/>
          </w:tcPr>
          <w:p>
            <w:pPr>
              <w:pStyle w:val="11"/>
            </w:pPr>
            <w:r>
              <w:t>项目名称</w:t>
            </w:r>
          </w:p>
        </w:tc>
        <w:tc>
          <w:tcPr>
            <w:tcW w:w="6095" w:type="dxa"/>
            <w:gridSpan w:val="3"/>
            <w:vAlign w:val="center"/>
          </w:tcPr>
          <w:p>
            <w:pPr>
              <w:pStyle w:val="13"/>
            </w:pPr>
            <w:r>
              <w:t>第一次全国自然灾害综合风险普查专项经费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20.55</w:t>
            </w:r>
          </w:p>
        </w:tc>
        <w:tc>
          <w:tcPr>
            <w:tcW w:w="2835" w:type="dxa"/>
            <w:vAlign w:val="center"/>
          </w:tcPr>
          <w:p>
            <w:pPr>
              <w:pStyle w:val="11"/>
            </w:pPr>
            <w:r>
              <w:t>其中：财政    资金</w:t>
            </w:r>
          </w:p>
        </w:tc>
        <w:tc>
          <w:tcPr>
            <w:tcW w:w="2551" w:type="dxa"/>
            <w:vAlign w:val="center"/>
          </w:tcPr>
          <w:p>
            <w:pPr>
              <w:pStyle w:val="13"/>
            </w:pPr>
            <w:r>
              <w:t>20.55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预算安排20.55万元，其中财政拨款20.55万元，主要用于第一次全国自然灾害风险普查第三方评估费用支出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20.55</w:t>
            </w:r>
          </w:p>
        </w:tc>
        <w:tc>
          <w:tcPr>
            <w:tcW w:w="2835" w:type="dxa"/>
            <w:vAlign w:val="center"/>
          </w:tcPr>
          <w:p>
            <w:pPr>
              <w:pStyle w:val="14"/>
            </w:pPr>
            <w:r>
              <w:t>20.55</w:t>
            </w:r>
          </w:p>
        </w:tc>
        <w:tc>
          <w:tcPr>
            <w:tcW w:w="2551" w:type="dxa"/>
            <w:vAlign w:val="center"/>
          </w:tcPr>
          <w:p>
            <w:pPr>
              <w:pStyle w:val="14"/>
            </w:pPr>
            <w:r>
              <w:t>20.55</w:t>
            </w:r>
          </w:p>
        </w:tc>
        <w:tc>
          <w:tcPr>
            <w:tcW w:w="3544" w:type="dxa"/>
            <w:gridSpan w:val="2"/>
            <w:vAlign w:val="center"/>
          </w:tcPr>
          <w:p>
            <w:pPr>
              <w:pStyle w:val="14"/>
            </w:pPr>
            <w:r>
              <w:t>20.55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3"/>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第三方评估次数</w:t>
            </w:r>
          </w:p>
        </w:tc>
        <w:tc>
          <w:tcPr>
            <w:tcW w:w="5386" w:type="dxa"/>
            <w:vAlign w:val="center"/>
          </w:tcPr>
          <w:p>
            <w:pPr>
              <w:pStyle w:val="13"/>
            </w:pPr>
            <w:r>
              <w:t>反映需第三方对自然灾害评估点进行评估的次数</w:t>
            </w:r>
          </w:p>
        </w:tc>
        <w:tc>
          <w:tcPr>
            <w:tcW w:w="2268" w:type="dxa"/>
            <w:vAlign w:val="center"/>
          </w:tcPr>
          <w:p>
            <w:pPr>
              <w:pStyle w:val="13"/>
            </w:pPr>
            <w:r>
              <w:t>≥1次</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第三方数量</w:t>
            </w:r>
          </w:p>
        </w:tc>
        <w:tc>
          <w:tcPr>
            <w:tcW w:w="5386" w:type="dxa"/>
            <w:vAlign w:val="center"/>
          </w:tcPr>
          <w:p>
            <w:pPr>
              <w:pStyle w:val="13"/>
            </w:pPr>
            <w:r>
              <w:t>反映聘请第三方进行数量</w:t>
            </w:r>
          </w:p>
        </w:tc>
        <w:tc>
          <w:tcPr>
            <w:tcW w:w="2268" w:type="dxa"/>
            <w:vAlign w:val="center"/>
          </w:tcPr>
          <w:p>
            <w:pPr>
              <w:pStyle w:val="13"/>
            </w:pPr>
            <w:r>
              <w:t>≥1家</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评估报告数量</w:t>
            </w:r>
          </w:p>
        </w:tc>
        <w:tc>
          <w:tcPr>
            <w:tcW w:w="5386" w:type="dxa"/>
            <w:vAlign w:val="center"/>
          </w:tcPr>
          <w:p>
            <w:pPr>
              <w:pStyle w:val="13"/>
            </w:pPr>
            <w:r>
              <w:t>形成自然灾害风险评估的数量</w:t>
            </w:r>
          </w:p>
        </w:tc>
        <w:tc>
          <w:tcPr>
            <w:tcW w:w="2268" w:type="dxa"/>
            <w:vAlign w:val="center"/>
          </w:tcPr>
          <w:p>
            <w:pPr>
              <w:pStyle w:val="13"/>
            </w:pPr>
            <w:r>
              <w:t>≥2份</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已整改问题数量占发现问题数量的比例</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普查合格率</w:t>
            </w:r>
          </w:p>
        </w:tc>
        <w:tc>
          <w:tcPr>
            <w:tcW w:w="5386" w:type="dxa"/>
            <w:vAlign w:val="center"/>
          </w:tcPr>
          <w:p>
            <w:pPr>
              <w:pStyle w:val="13"/>
            </w:pPr>
            <w:r>
              <w:t>普查成果整体质量抽查合格率</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检查按时完成率</w:t>
            </w:r>
          </w:p>
        </w:tc>
        <w:tc>
          <w:tcPr>
            <w:tcW w:w="5386" w:type="dxa"/>
            <w:vAlign w:val="center"/>
          </w:tcPr>
          <w:p>
            <w:pPr>
              <w:pStyle w:val="13"/>
            </w:pPr>
            <w:r>
              <w:t>反映各项工作检查完成时间</w:t>
            </w:r>
          </w:p>
        </w:tc>
        <w:tc>
          <w:tcPr>
            <w:tcW w:w="2268" w:type="dxa"/>
            <w:vAlign w:val="center"/>
          </w:tcPr>
          <w:p>
            <w:pPr>
              <w:pStyle w:val="13"/>
            </w:pPr>
            <w:r>
              <w:t>年度内</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业务委托费用</w:t>
            </w:r>
          </w:p>
        </w:tc>
        <w:tc>
          <w:tcPr>
            <w:tcW w:w="5386" w:type="dxa"/>
            <w:vAlign w:val="center"/>
          </w:tcPr>
          <w:p>
            <w:pPr>
              <w:pStyle w:val="13"/>
            </w:pPr>
            <w:r>
              <w:t>反映用于业务委托的费用</w:t>
            </w:r>
          </w:p>
        </w:tc>
        <w:tc>
          <w:tcPr>
            <w:tcW w:w="2268" w:type="dxa"/>
            <w:vAlign w:val="center"/>
          </w:tcPr>
          <w:p>
            <w:pPr>
              <w:pStyle w:val="13"/>
            </w:pPr>
            <w:r>
              <w:t>＝20.55万元</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提升防灾减灾能力</w:t>
            </w:r>
          </w:p>
        </w:tc>
        <w:tc>
          <w:tcPr>
            <w:tcW w:w="5386" w:type="dxa"/>
            <w:vAlign w:val="center"/>
          </w:tcPr>
          <w:p>
            <w:pPr>
              <w:pStyle w:val="13"/>
            </w:pPr>
            <w:r>
              <w:t>提高群众防灾减灾意识和突发灾难避险能力</w:t>
            </w:r>
          </w:p>
        </w:tc>
        <w:tc>
          <w:tcPr>
            <w:tcW w:w="2268" w:type="dxa"/>
            <w:vAlign w:val="center"/>
          </w:tcPr>
          <w:p>
            <w:pPr>
              <w:pStyle w:val="13"/>
            </w:pPr>
            <w:r>
              <w:t>提高减灾能力</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减少自然灾害造成的损失</w:t>
            </w:r>
          </w:p>
        </w:tc>
        <w:tc>
          <w:tcPr>
            <w:tcW w:w="5386" w:type="dxa"/>
            <w:vAlign w:val="center"/>
          </w:tcPr>
          <w:p>
            <w:pPr>
              <w:pStyle w:val="13"/>
            </w:pPr>
            <w:r>
              <w:t>通过自然灾害综合普查成果应用，减少自然灾害损失。</w:t>
            </w:r>
          </w:p>
        </w:tc>
        <w:tc>
          <w:tcPr>
            <w:tcW w:w="2268" w:type="dxa"/>
            <w:vAlign w:val="center"/>
          </w:tcPr>
          <w:p>
            <w:pPr>
              <w:pStyle w:val="13"/>
            </w:pPr>
            <w:r>
              <w:t>自然灾害损失一目下降</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构建人与生态环境和谐关系</w:t>
            </w:r>
          </w:p>
        </w:tc>
        <w:tc>
          <w:tcPr>
            <w:tcW w:w="5386" w:type="dxa"/>
            <w:vAlign w:val="center"/>
          </w:tcPr>
          <w:p>
            <w:pPr>
              <w:pStyle w:val="13"/>
            </w:pPr>
            <w:r>
              <w:t>推进人与生态环境的和谐、协调、永续发展</w:t>
            </w:r>
          </w:p>
        </w:tc>
        <w:tc>
          <w:tcPr>
            <w:tcW w:w="2268" w:type="dxa"/>
            <w:vAlign w:val="center"/>
          </w:tcPr>
          <w:p>
            <w:pPr>
              <w:pStyle w:val="13"/>
            </w:pPr>
            <w:r>
              <w:t>持续促进</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问题整改落实率</w:t>
            </w:r>
          </w:p>
        </w:tc>
        <w:tc>
          <w:tcPr>
            <w:tcW w:w="5386" w:type="dxa"/>
            <w:vAlign w:val="center"/>
          </w:tcPr>
          <w:p>
            <w:pPr>
              <w:pStyle w:val="13"/>
            </w:pPr>
            <w:r>
              <w:t>反映发现问题整改落实情况</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100%满意</w:t>
            </w:r>
          </w:p>
        </w:tc>
        <w:tc>
          <w:tcPr>
            <w:tcW w:w="1276" w:type="dxa"/>
            <w:vAlign w:val="center"/>
          </w:tcPr>
          <w:p>
            <w:pPr>
              <w:pStyle w:val="13"/>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13032123P003319100337</w:t>
            </w:r>
          </w:p>
        </w:tc>
        <w:tc>
          <w:tcPr>
            <w:tcW w:w="2835" w:type="dxa"/>
            <w:vAlign w:val="center"/>
          </w:tcPr>
          <w:p>
            <w:pPr>
              <w:pStyle w:val="11"/>
            </w:pPr>
            <w:r>
              <w:t>项目名称</w:t>
            </w:r>
          </w:p>
        </w:tc>
        <w:tc>
          <w:tcPr>
            <w:tcW w:w="6095" w:type="dxa"/>
            <w:gridSpan w:val="3"/>
            <w:vAlign w:val="center"/>
          </w:tcPr>
          <w:p>
            <w:pPr>
              <w:pStyle w:val="13"/>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26.60</w:t>
            </w:r>
          </w:p>
        </w:tc>
        <w:tc>
          <w:tcPr>
            <w:tcW w:w="2835" w:type="dxa"/>
            <w:vAlign w:val="center"/>
          </w:tcPr>
          <w:p>
            <w:pPr>
              <w:pStyle w:val="11"/>
            </w:pPr>
            <w:r>
              <w:t>其中：财政    资金</w:t>
            </w:r>
          </w:p>
        </w:tc>
        <w:tc>
          <w:tcPr>
            <w:tcW w:w="2551" w:type="dxa"/>
            <w:vAlign w:val="center"/>
          </w:tcPr>
          <w:p>
            <w:pPr>
              <w:pStyle w:val="13"/>
            </w:pPr>
            <w:r>
              <w:t>26.60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预算安排26.598436万元，其中财政拨款26.598436万元，主要用于森林防火运转支出。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26.60</w:t>
            </w:r>
          </w:p>
        </w:tc>
        <w:tc>
          <w:tcPr>
            <w:tcW w:w="2835" w:type="dxa"/>
            <w:vAlign w:val="center"/>
          </w:tcPr>
          <w:p>
            <w:pPr>
              <w:pStyle w:val="14"/>
            </w:pPr>
            <w:r>
              <w:t>26.60</w:t>
            </w:r>
          </w:p>
        </w:tc>
        <w:tc>
          <w:tcPr>
            <w:tcW w:w="2551" w:type="dxa"/>
            <w:vAlign w:val="center"/>
          </w:tcPr>
          <w:p>
            <w:pPr>
              <w:pStyle w:val="14"/>
            </w:pPr>
            <w:r>
              <w:t>26.60</w:t>
            </w:r>
          </w:p>
        </w:tc>
        <w:tc>
          <w:tcPr>
            <w:tcW w:w="3544" w:type="dxa"/>
            <w:gridSpan w:val="2"/>
            <w:vAlign w:val="center"/>
          </w:tcPr>
          <w:p>
            <w:pPr>
              <w:pStyle w:val="14"/>
            </w:pPr>
            <w:r>
              <w:t>26.60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1.通过开展森林防火值班值守及机关通信能力保障工作的开展，保障全县防火工作的正常运转。</w:t>
            </w:r>
            <w:r>
              <w:tab/>
            </w:r>
            <w:r>
              <w:tab/>
            </w:r>
            <w:r>
              <w:tab/>
            </w:r>
            <w:r>
              <w:tab/>
            </w:r>
            <w:r>
              <w:tab/>
            </w:r>
            <w:r>
              <w:tab/>
            </w:r>
          </w:p>
          <w:p>
            <w:pPr>
              <w:pStyle w:val="13"/>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青政常纪【2012】10号方及【2016】17号文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通信网络数量</w:t>
            </w:r>
          </w:p>
        </w:tc>
        <w:tc>
          <w:tcPr>
            <w:tcW w:w="5386" w:type="dxa"/>
            <w:vAlign w:val="center"/>
          </w:tcPr>
          <w:p>
            <w:pPr>
              <w:pStyle w:val="13"/>
            </w:pPr>
            <w:r>
              <w:t>反映用于防火的网络数量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通信电话数量</w:t>
            </w:r>
          </w:p>
        </w:tc>
        <w:tc>
          <w:tcPr>
            <w:tcW w:w="5386" w:type="dxa"/>
            <w:vAlign w:val="center"/>
          </w:tcPr>
          <w:p>
            <w:pPr>
              <w:pStyle w:val="13"/>
            </w:pPr>
            <w:r>
              <w:t>反映用于防火的电话数量</w:t>
            </w:r>
          </w:p>
        </w:tc>
        <w:tc>
          <w:tcPr>
            <w:tcW w:w="2268" w:type="dxa"/>
            <w:vAlign w:val="center"/>
          </w:tcPr>
          <w:p>
            <w:pPr>
              <w:pStyle w:val="13"/>
            </w:pPr>
            <w:r>
              <w:t>2台</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用于值班值守的营房数量</w:t>
            </w:r>
          </w:p>
        </w:tc>
        <w:tc>
          <w:tcPr>
            <w:tcW w:w="5386" w:type="dxa"/>
            <w:vAlign w:val="center"/>
          </w:tcPr>
          <w:p>
            <w:pPr>
              <w:pStyle w:val="13"/>
            </w:pPr>
            <w:r>
              <w:t>反映用于值班值守的营房数量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2024年度内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w:t>
            </w:r>
          </w:p>
        </w:tc>
        <w:tc>
          <w:tcPr>
            <w:tcW w:w="5386" w:type="dxa"/>
            <w:vAlign w:val="center"/>
          </w:tcPr>
          <w:p>
            <w:pPr>
              <w:pStyle w:val="13"/>
            </w:pPr>
            <w:r>
              <w:t>反映发生的办公用品采购费用</w:t>
            </w:r>
          </w:p>
        </w:tc>
        <w:tc>
          <w:tcPr>
            <w:tcW w:w="2268" w:type="dxa"/>
            <w:vAlign w:val="center"/>
          </w:tcPr>
          <w:p>
            <w:pPr>
              <w:pStyle w:val="13"/>
            </w:pPr>
            <w:r>
              <w:t>≤1.83万元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≤6.74万元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网络维护及通信费用</w:t>
            </w:r>
          </w:p>
        </w:tc>
        <w:tc>
          <w:tcPr>
            <w:tcW w:w="5386" w:type="dxa"/>
            <w:vAlign w:val="center"/>
          </w:tcPr>
          <w:p>
            <w:pPr>
              <w:pStyle w:val="13"/>
            </w:pPr>
            <w:r>
              <w:t>反映发生的用于网络运行及保障通信的费用</w:t>
            </w:r>
          </w:p>
        </w:tc>
        <w:tc>
          <w:tcPr>
            <w:tcW w:w="2268" w:type="dxa"/>
            <w:vAlign w:val="center"/>
          </w:tcPr>
          <w:p>
            <w:pPr>
              <w:pStyle w:val="13"/>
            </w:pPr>
            <w:r>
              <w:t>≤0.6万元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w:t>
            </w:r>
          </w:p>
        </w:tc>
        <w:tc>
          <w:tcPr>
            <w:tcW w:w="5386" w:type="dxa"/>
            <w:vAlign w:val="center"/>
          </w:tcPr>
          <w:p>
            <w:pPr>
              <w:pStyle w:val="13"/>
            </w:pPr>
            <w:r>
              <w:t>反映用于营房运转及取暖等电费</w:t>
            </w:r>
          </w:p>
        </w:tc>
        <w:tc>
          <w:tcPr>
            <w:tcW w:w="2268" w:type="dxa"/>
            <w:vAlign w:val="center"/>
          </w:tcPr>
          <w:p>
            <w:pPr>
              <w:pStyle w:val="13"/>
            </w:pPr>
            <w:r>
              <w:t>≤2.57万元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13032124P00326310049H</w:t>
            </w:r>
          </w:p>
        </w:tc>
        <w:tc>
          <w:tcPr>
            <w:tcW w:w="2835" w:type="dxa"/>
            <w:vAlign w:val="center"/>
          </w:tcPr>
          <w:p>
            <w:pPr>
              <w:pStyle w:val="11"/>
            </w:pPr>
            <w:r>
              <w:t>项目名称</w:t>
            </w:r>
          </w:p>
        </w:tc>
        <w:tc>
          <w:tcPr>
            <w:tcW w:w="6095" w:type="dxa"/>
            <w:gridSpan w:val="3"/>
            <w:vAlign w:val="center"/>
          </w:tcPr>
          <w:p>
            <w:pPr>
              <w:pStyle w:val="13"/>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108.57</w:t>
            </w:r>
          </w:p>
        </w:tc>
        <w:tc>
          <w:tcPr>
            <w:tcW w:w="2835" w:type="dxa"/>
            <w:vAlign w:val="center"/>
          </w:tcPr>
          <w:p>
            <w:pPr>
              <w:pStyle w:val="11"/>
            </w:pPr>
            <w:r>
              <w:t>其中：财政    资金</w:t>
            </w:r>
          </w:p>
        </w:tc>
        <w:tc>
          <w:tcPr>
            <w:tcW w:w="2551" w:type="dxa"/>
            <w:vAlign w:val="center"/>
          </w:tcPr>
          <w:p>
            <w:pPr>
              <w:pStyle w:val="13"/>
            </w:pPr>
            <w:r>
              <w:t>108.57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预算安排108.5672万元，其中财政拨款108.5672万元，主要用于森林防火运转经费支出。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108.57</w:t>
            </w:r>
          </w:p>
        </w:tc>
        <w:tc>
          <w:tcPr>
            <w:tcW w:w="2835" w:type="dxa"/>
            <w:vAlign w:val="center"/>
          </w:tcPr>
          <w:p>
            <w:pPr>
              <w:pStyle w:val="14"/>
            </w:pPr>
            <w:r>
              <w:t>108.57</w:t>
            </w:r>
          </w:p>
        </w:tc>
        <w:tc>
          <w:tcPr>
            <w:tcW w:w="2551" w:type="dxa"/>
            <w:vAlign w:val="center"/>
          </w:tcPr>
          <w:p>
            <w:pPr>
              <w:pStyle w:val="14"/>
            </w:pPr>
            <w:r>
              <w:t>108.57</w:t>
            </w:r>
          </w:p>
        </w:tc>
        <w:tc>
          <w:tcPr>
            <w:tcW w:w="3544" w:type="dxa"/>
            <w:gridSpan w:val="2"/>
            <w:vAlign w:val="center"/>
          </w:tcPr>
          <w:p>
            <w:pPr>
              <w:pStyle w:val="14"/>
            </w:pPr>
            <w:r>
              <w:t>108.57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1.通过此项目的实施，加强森林防火值班值守及机关通信能力保障工作的开展，保障全县防火工作的正常运转。</w:t>
            </w:r>
            <w:r>
              <w:tab/>
            </w:r>
            <w:r>
              <w:tab/>
            </w:r>
            <w:r>
              <w:tab/>
            </w:r>
            <w:r>
              <w:tab/>
            </w:r>
          </w:p>
          <w:p>
            <w:pPr>
              <w:pStyle w:val="13"/>
            </w:pPr>
            <w:r>
              <w:t>2.通过此项目的实施，开展对森林防火车辆的维护保养及耗油供应，保障全县防火车辆的正常运转，及时将火灾隐患除到最低。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出差的次数</w:t>
            </w:r>
          </w:p>
        </w:tc>
        <w:tc>
          <w:tcPr>
            <w:tcW w:w="5386" w:type="dxa"/>
            <w:vAlign w:val="center"/>
          </w:tcPr>
          <w:p>
            <w:pPr>
              <w:pStyle w:val="13"/>
            </w:pPr>
            <w:r>
              <w:t>反映开展防火工作出差、下乡的次数</w:t>
            </w:r>
          </w:p>
        </w:tc>
        <w:tc>
          <w:tcPr>
            <w:tcW w:w="2268" w:type="dxa"/>
            <w:vAlign w:val="center"/>
          </w:tcPr>
          <w:p>
            <w:pPr>
              <w:pStyle w:val="13"/>
            </w:pPr>
            <w:r>
              <w:t>≥100次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劳务的数量</w:t>
            </w:r>
          </w:p>
        </w:tc>
        <w:tc>
          <w:tcPr>
            <w:tcW w:w="5386" w:type="dxa"/>
            <w:vAlign w:val="center"/>
          </w:tcPr>
          <w:p>
            <w:pPr>
              <w:pStyle w:val="13"/>
            </w:pPr>
            <w:r>
              <w:t>反映开展防火工作第三方或小工的数量</w:t>
            </w:r>
          </w:p>
        </w:tc>
        <w:tc>
          <w:tcPr>
            <w:tcW w:w="2268" w:type="dxa"/>
            <w:vAlign w:val="center"/>
          </w:tcPr>
          <w:p>
            <w:pPr>
              <w:pStyle w:val="13"/>
            </w:pPr>
            <w:r>
              <w:t>≥5次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年度内</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办公、印刷费用</w:t>
            </w:r>
          </w:p>
        </w:tc>
        <w:tc>
          <w:tcPr>
            <w:tcW w:w="5386" w:type="dxa"/>
            <w:vAlign w:val="center"/>
          </w:tcPr>
          <w:p>
            <w:pPr>
              <w:pStyle w:val="13"/>
            </w:pPr>
            <w:r>
              <w:t>反映发生的办公用品采购、印刷费用</w:t>
            </w:r>
          </w:p>
        </w:tc>
        <w:tc>
          <w:tcPr>
            <w:tcW w:w="2268" w:type="dxa"/>
            <w:vAlign w:val="center"/>
          </w:tcPr>
          <w:p>
            <w:pPr>
              <w:pStyle w:val="13"/>
            </w:pPr>
            <w:r>
              <w:t>≤45万元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≤80万元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差旅费用</w:t>
            </w:r>
          </w:p>
        </w:tc>
        <w:tc>
          <w:tcPr>
            <w:tcW w:w="5386" w:type="dxa"/>
            <w:vAlign w:val="center"/>
          </w:tcPr>
          <w:p>
            <w:pPr>
              <w:pStyle w:val="13"/>
            </w:pPr>
            <w:r>
              <w:t>反映发生的差旅费用</w:t>
            </w:r>
          </w:p>
        </w:tc>
        <w:tc>
          <w:tcPr>
            <w:tcW w:w="2268" w:type="dxa"/>
            <w:vAlign w:val="center"/>
          </w:tcPr>
          <w:p>
            <w:pPr>
              <w:pStyle w:val="13"/>
            </w:pPr>
            <w:r>
              <w:t>≤5万元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劳务费用</w:t>
            </w:r>
          </w:p>
        </w:tc>
        <w:tc>
          <w:tcPr>
            <w:tcW w:w="5386" w:type="dxa"/>
            <w:vAlign w:val="center"/>
          </w:tcPr>
          <w:p>
            <w:pPr>
              <w:pStyle w:val="13"/>
            </w:pPr>
            <w:r>
              <w:t>反映发生的劳务费用</w:t>
            </w:r>
          </w:p>
        </w:tc>
        <w:tc>
          <w:tcPr>
            <w:tcW w:w="2268" w:type="dxa"/>
            <w:vAlign w:val="center"/>
          </w:tcPr>
          <w:p>
            <w:pPr>
              <w:pStyle w:val="13"/>
            </w:pPr>
            <w:r>
              <w:t>≤10万元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13、关于提前下达2024年非煤矿山综合治理专项资金的通知（冀财建[2023]253号）绩效目标表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13032124P00326410026L</w:t>
            </w:r>
          </w:p>
        </w:tc>
        <w:tc>
          <w:tcPr>
            <w:tcW w:w="2835" w:type="dxa"/>
            <w:vAlign w:val="center"/>
          </w:tcPr>
          <w:p>
            <w:pPr>
              <w:pStyle w:val="11"/>
            </w:pPr>
            <w:r>
              <w:t>项目名称</w:t>
            </w:r>
          </w:p>
        </w:tc>
        <w:tc>
          <w:tcPr>
            <w:tcW w:w="6095" w:type="dxa"/>
            <w:gridSpan w:val="3"/>
            <w:vAlign w:val="center"/>
          </w:tcPr>
          <w:p>
            <w:pPr>
              <w:pStyle w:val="13"/>
            </w:pPr>
            <w:r>
              <w:t>关于提前下达2024年非煤矿山综合治理专项资金的通知（冀财建[2023]253号）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139.22</w:t>
            </w:r>
          </w:p>
        </w:tc>
        <w:tc>
          <w:tcPr>
            <w:tcW w:w="2835" w:type="dxa"/>
            <w:vAlign w:val="center"/>
          </w:tcPr>
          <w:p>
            <w:pPr>
              <w:pStyle w:val="11"/>
            </w:pPr>
            <w:r>
              <w:t>其中：财政    资金</w:t>
            </w:r>
          </w:p>
        </w:tc>
        <w:tc>
          <w:tcPr>
            <w:tcW w:w="2551" w:type="dxa"/>
            <w:vAlign w:val="center"/>
          </w:tcPr>
          <w:p>
            <w:pPr>
              <w:pStyle w:val="13"/>
            </w:pPr>
            <w:r>
              <w:t>139.22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预算安排139.22万元，其中财政拨款139.22万元，主要用于2024年非煤矿山综合治理补助支出。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139.22</w:t>
            </w:r>
          </w:p>
        </w:tc>
        <w:tc>
          <w:tcPr>
            <w:tcW w:w="2551" w:type="dxa"/>
            <w:vAlign w:val="center"/>
          </w:tcPr>
          <w:p>
            <w:pPr>
              <w:pStyle w:val="14"/>
            </w:pPr>
            <w:r>
              <w:t>139.22</w:t>
            </w:r>
          </w:p>
        </w:tc>
        <w:tc>
          <w:tcPr>
            <w:tcW w:w="3544" w:type="dxa"/>
            <w:gridSpan w:val="2"/>
            <w:vAlign w:val="center"/>
          </w:tcPr>
          <w:p>
            <w:pPr>
              <w:pStyle w:val="14"/>
            </w:pPr>
            <w:r>
              <w:t>139.22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1.通过非煤矿山综合治理工作，全面发现并彻底整改非煤矿山安全生产风险管控和隐患排查治理。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需要治理的非煤矿山企业数量</w:t>
            </w:r>
          </w:p>
        </w:tc>
        <w:tc>
          <w:tcPr>
            <w:tcW w:w="5386" w:type="dxa"/>
            <w:vAlign w:val="center"/>
          </w:tcPr>
          <w:p>
            <w:pPr>
              <w:pStyle w:val="13"/>
            </w:pPr>
            <w:r>
              <w:t>反映需要治理的非煤矿山企业数量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反映非煤矿山综合治理完成比率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≤139.22万元</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14、关于提前下达2025年非煤矿山综合治理专项资金的通知（冀财建[2024]287号）绩效目标表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13032125P00010210005H</w:t>
            </w:r>
          </w:p>
        </w:tc>
        <w:tc>
          <w:tcPr>
            <w:tcW w:w="2835" w:type="dxa"/>
            <w:vAlign w:val="center"/>
          </w:tcPr>
          <w:p>
            <w:pPr>
              <w:pStyle w:val="11"/>
            </w:pPr>
            <w:r>
              <w:t>项目名称</w:t>
            </w:r>
          </w:p>
        </w:tc>
        <w:tc>
          <w:tcPr>
            <w:tcW w:w="6095" w:type="dxa"/>
            <w:gridSpan w:val="3"/>
            <w:vAlign w:val="center"/>
          </w:tcPr>
          <w:p>
            <w:pPr>
              <w:pStyle w:val="13"/>
            </w:pPr>
            <w:r>
              <w:t>关于提前下达2025年非煤矿山综合治理专项资金的通知（冀财建[2024]287号）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212.27</w:t>
            </w:r>
          </w:p>
        </w:tc>
        <w:tc>
          <w:tcPr>
            <w:tcW w:w="2835" w:type="dxa"/>
            <w:vAlign w:val="center"/>
          </w:tcPr>
          <w:p>
            <w:pPr>
              <w:pStyle w:val="11"/>
            </w:pPr>
            <w:r>
              <w:t>其中：财政    资金</w:t>
            </w:r>
          </w:p>
        </w:tc>
        <w:tc>
          <w:tcPr>
            <w:tcW w:w="2551" w:type="dxa"/>
            <w:vAlign w:val="center"/>
          </w:tcPr>
          <w:p>
            <w:pPr>
              <w:pStyle w:val="13"/>
            </w:pPr>
            <w:r>
              <w:t>212.27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预算安排212.27万元，其中：财政拨款212.27万元，主要用于非煤矿山隐患排查及应急治理工作开展支出。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212.27</w:t>
            </w:r>
          </w:p>
        </w:tc>
        <w:tc>
          <w:tcPr>
            <w:tcW w:w="2835" w:type="dxa"/>
            <w:vAlign w:val="center"/>
          </w:tcPr>
          <w:p>
            <w:pPr>
              <w:pStyle w:val="14"/>
            </w:pPr>
            <w:r>
              <w:t>212.27</w:t>
            </w:r>
          </w:p>
        </w:tc>
        <w:tc>
          <w:tcPr>
            <w:tcW w:w="2551" w:type="dxa"/>
            <w:vAlign w:val="center"/>
          </w:tcPr>
          <w:p>
            <w:pPr>
              <w:pStyle w:val="14"/>
            </w:pPr>
            <w:r>
              <w:t>212.27</w:t>
            </w:r>
          </w:p>
        </w:tc>
        <w:tc>
          <w:tcPr>
            <w:tcW w:w="3544" w:type="dxa"/>
            <w:gridSpan w:val="2"/>
            <w:vAlign w:val="center"/>
          </w:tcPr>
          <w:p>
            <w:pPr>
              <w:pStyle w:val="14"/>
            </w:pPr>
            <w:r>
              <w:t>212.27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1.通过非煤矿山隐患排查及应急治理工作开展，使全县尾矿库、采空区安全渡汛，确保企业生产和附近居民的生活环境及生命财产安全。</w:t>
            </w:r>
          </w:p>
          <w:p>
            <w:pPr>
              <w:pStyle w:val="13"/>
            </w:pPr>
            <w:r>
              <w:t>2.通过非煤矿山隐患排查及应急治理工作开展，对存在危险风险的尾矿库、采空区、边坡等进行治理，对以前年度未完成的尾矿库和采空区治理项目进行完善。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≤212.27万元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15、关于提前下达2025年自然灾害救助专项资金的通知（冀财建[2024]288号）绩效目标表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13032125P00010210003A</w:t>
            </w:r>
          </w:p>
        </w:tc>
        <w:tc>
          <w:tcPr>
            <w:tcW w:w="2835" w:type="dxa"/>
            <w:vAlign w:val="center"/>
          </w:tcPr>
          <w:p>
            <w:pPr>
              <w:pStyle w:val="11"/>
            </w:pPr>
            <w:r>
              <w:t>项目名称</w:t>
            </w:r>
          </w:p>
        </w:tc>
        <w:tc>
          <w:tcPr>
            <w:tcW w:w="6095" w:type="dxa"/>
            <w:gridSpan w:val="3"/>
            <w:vAlign w:val="center"/>
          </w:tcPr>
          <w:p>
            <w:pPr>
              <w:pStyle w:val="13"/>
            </w:pPr>
            <w:r>
              <w:t>关于提前下达2025年自然灾害救助专项资金的通知（冀财建[2024]288号）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131.78</w:t>
            </w:r>
          </w:p>
        </w:tc>
        <w:tc>
          <w:tcPr>
            <w:tcW w:w="2835" w:type="dxa"/>
            <w:vAlign w:val="center"/>
          </w:tcPr>
          <w:p>
            <w:pPr>
              <w:pStyle w:val="11"/>
            </w:pPr>
            <w:r>
              <w:t>其中：财政    资金</w:t>
            </w:r>
          </w:p>
        </w:tc>
        <w:tc>
          <w:tcPr>
            <w:tcW w:w="2551" w:type="dxa"/>
            <w:vAlign w:val="center"/>
          </w:tcPr>
          <w:p>
            <w:pPr>
              <w:pStyle w:val="13"/>
            </w:pPr>
            <w:r>
              <w:t>131.78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项目预算131.7805万元，其中财政资金131.7805万元，用于政策性农房保险补助支出。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131.78</w:t>
            </w:r>
          </w:p>
        </w:tc>
        <w:tc>
          <w:tcPr>
            <w:tcW w:w="2835" w:type="dxa"/>
            <w:vAlign w:val="center"/>
          </w:tcPr>
          <w:p>
            <w:pPr>
              <w:pStyle w:val="14"/>
            </w:pPr>
            <w:r>
              <w:t>131.78</w:t>
            </w:r>
          </w:p>
        </w:tc>
        <w:tc>
          <w:tcPr>
            <w:tcW w:w="2551" w:type="dxa"/>
            <w:vAlign w:val="center"/>
          </w:tcPr>
          <w:p>
            <w:pPr>
              <w:pStyle w:val="14"/>
            </w:pPr>
            <w:r>
              <w:t>131.78</w:t>
            </w:r>
          </w:p>
        </w:tc>
        <w:tc>
          <w:tcPr>
            <w:tcW w:w="3544" w:type="dxa"/>
            <w:gridSpan w:val="2"/>
            <w:vAlign w:val="center"/>
          </w:tcPr>
          <w:p>
            <w:pPr>
              <w:pStyle w:val="14"/>
            </w:pPr>
            <w:r>
              <w:t>131.78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1.通过开展农房政策保险工作，对参加2021-2023年农房保险农户进行参险补助。</w:t>
            </w:r>
            <w:r>
              <w:tab/>
            </w:r>
            <w:r>
              <w:tab/>
            </w:r>
            <w:r>
              <w:tab/>
            </w:r>
            <w:r>
              <w:tab/>
            </w:r>
            <w:r>
              <w:tab/>
            </w:r>
          </w:p>
          <w:p>
            <w:pPr>
              <w:pStyle w:val="13"/>
            </w:pPr>
            <w:r>
              <w:t>2.通过开展农房政策保险工作，提高农村住房防灾减灾能力，保障困难群众住房安全。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反映三年来参加政策性农村住房灾害保险补助的户数</w:t>
            </w:r>
          </w:p>
        </w:tc>
        <w:tc>
          <w:tcPr>
            <w:tcW w:w="2268" w:type="dxa"/>
            <w:vAlign w:val="center"/>
          </w:tcPr>
          <w:p>
            <w:pPr>
              <w:pStyle w:val="13"/>
            </w:pPr>
            <w:r>
              <w:t>≥16.47万户</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反映救助参加农房保险的农户占应救助农户的比率</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救助完成时间</w:t>
            </w:r>
          </w:p>
        </w:tc>
        <w:tc>
          <w:tcPr>
            <w:tcW w:w="5386" w:type="dxa"/>
            <w:vAlign w:val="center"/>
          </w:tcPr>
          <w:p>
            <w:pPr>
              <w:pStyle w:val="13"/>
            </w:pPr>
            <w:r>
              <w:t>反映对受灾农房发放补助的时间</w:t>
            </w:r>
          </w:p>
        </w:tc>
        <w:tc>
          <w:tcPr>
            <w:tcW w:w="2268" w:type="dxa"/>
            <w:vAlign w:val="center"/>
          </w:tcPr>
          <w:p>
            <w:pPr>
              <w:pStyle w:val="13"/>
            </w:pPr>
            <w:r>
              <w:t>一个月内完成救助</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政策性农村住房灾害保险补助配套标准</w:t>
            </w:r>
          </w:p>
        </w:tc>
        <w:tc>
          <w:tcPr>
            <w:tcW w:w="2268" w:type="dxa"/>
            <w:vAlign w:val="center"/>
          </w:tcPr>
          <w:p>
            <w:pPr>
              <w:pStyle w:val="13"/>
            </w:pPr>
            <w:r>
              <w:t>8元</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反映政策性农村住房灾害保险补助累计受益人口数</w:t>
            </w:r>
          </w:p>
        </w:tc>
        <w:tc>
          <w:tcPr>
            <w:tcW w:w="2268" w:type="dxa"/>
            <w:vAlign w:val="center"/>
          </w:tcPr>
          <w:p>
            <w:pPr>
              <w:pStyle w:val="13"/>
            </w:pPr>
            <w:r>
              <w:t>16.47万</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16、关于下达2024年安全生产预防和应急救援能力建设补助资金预算（尾矿库风险隐患治理支出）的通知（冀财建[2024]89号））绩效目标表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13032124P00326310059D</w:t>
            </w:r>
          </w:p>
        </w:tc>
        <w:tc>
          <w:tcPr>
            <w:tcW w:w="2835" w:type="dxa"/>
            <w:vAlign w:val="center"/>
          </w:tcPr>
          <w:p>
            <w:pPr>
              <w:pStyle w:val="11"/>
            </w:pPr>
            <w:r>
              <w:t>项目名称</w:t>
            </w:r>
          </w:p>
        </w:tc>
        <w:tc>
          <w:tcPr>
            <w:tcW w:w="6095" w:type="dxa"/>
            <w:gridSpan w:val="3"/>
            <w:vAlign w:val="center"/>
          </w:tcPr>
          <w:p>
            <w:pPr>
              <w:pStyle w:val="13"/>
            </w:pPr>
            <w:r>
              <w:t>关于下达2024年安全生产预防和应急救援能力建设补助资金预算（尾矿库风险隐患治理支出）的通知（冀财建[2024]89号））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1078.00</w:t>
            </w:r>
          </w:p>
        </w:tc>
        <w:tc>
          <w:tcPr>
            <w:tcW w:w="2835" w:type="dxa"/>
            <w:vAlign w:val="center"/>
          </w:tcPr>
          <w:p>
            <w:pPr>
              <w:pStyle w:val="11"/>
            </w:pPr>
            <w:r>
              <w:t>其中：财政    资金</w:t>
            </w:r>
          </w:p>
        </w:tc>
        <w:tc>
          <w:tcPr>
            <w:tcW w:w="2551" w:type="dxa"/>
            <w:vAlign w:val="center"/>
          </w:tcPr>
          <w:p>
            <w:pPr>
              <w:pStyle w:val="13"/>
            </w:pPr>
            <w:r>
              <w:t>1078.00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预算安排1078万元，其中：财政拨款1078万元，主要用于尾矿库风险隐患治理项目建设支出。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1078.00</w:t>
            </w:r>
          </w:p>
        </w:tc>
        <w:tc>
          <w:tcPr>
            <w:tcW w:w="2835" w:type="dxa"/>
            <w:vAlign w:val="center"/>
          </w:tcPr>
          <w:p>
            <w:pPr>
              <w:pStyle w:val="14"/>
            </w:pPr>
            <w:r>
              <w:t>1078.00</w:t>
            </w:r>
          </w:p>
        </w:tc>
        <w:tc>
          <w:tcPr>
            <w:tcW w:w="2551" w:type="dxa"/>
            <w:vAlign w:val="center"/>
          </w:tcPr>
          <w:p>
            <w:pPr>
              <w:pStyle w:val="14"/>
            </w:pPr>
            <w:r>
              <w:t>1078.00</w:t>
            </w:r>
          </w:p>
        </w:tc>
        <w:tc>
          <w:tcPr>
            <w:tcW w:w="3544" w:type="dxa"/>
            <w:gridSpan w:val="2"/>
            <w:vAlign w:val="center"/>
          </w:tcPr>
          <w:p>
            <w:pPr>
              <w:pStyle w:val="14"/>
            </w:pPr>
            <w:r>
              <w:t>1078.00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1.通过该项目的实施，在全面摸清尾矿库安全环境风险的基础上，按照尾矿库闭库相关法律法规及技术规范，对两座具有风险隐患尾矿库实施闭库销号治理。</w:t>
            </w:r>
          </w:p>
          <w:p>
            <w:pPr>
              <w:pStyle w:val="13"/>
            </w:pPr>
            <w:r>
              <w:t>2.通过该项目的实施，对两座具有风险隐患尾矿库进行坝坡治理、改造排洪系统、改造防渗设施等来提升尾矿库安全风险防控能力。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尾矿库风险隐患治理数量</w:t>
            </w:r>
          </w:p>
        </w:tc>
        <w:tc>
          <w:tcPr>
            <w:tcW w:w="5386" w:type="dxa"/>
            <w:vAlign w:val="center"/>
          </w:tcPr>
          <w:p>
            <w:pPr>
              <w:pStyle w:val="13"/>
            </w:pPr>
            <w:r>
              <w:t>反映需要治理的风险尾矿库</w:t>
            </w:r>
          </w:p>
        </w:tc>
        <w:tc>
          <w:tcPr>
            <w:tcW w:w="2268" w:type="dxa"/>
            <w:vAlign w:val="center"/>
          </w:tcPr>
          <w:p>
            <w:pPr>
              <w:pStyle w:val="13"/>
            </w:pPr>
            <w:r>
              <w:t>2座</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隐患治理率</w:t>
            </w:r>
          </w:p>
        </w:tc>
        <w:tc>
          <w:tcPr>
            <w:tcW w:w="5386" w:type="dxa"/>
            <w:vAlign w:val="center"/>
          </w:tcPr>
          <w:p>
            <w:pPr>
              <w:pStyle w:val="13"/>
            </w:pPr>
            <w:r>
              <w:t>反映隐患治理的尾矿库数量占应治理的尾矿库数量的比率</w:t>
            </w:r>
          </w:p>
        </w:tc>
        <w:tc>
          <w:tcPr>
            <w:tcW w:w="2268" w:type="dxa"/>
            <w:vAlign w:val="center"/>
          </w:tcPr>
          <w:p>
            <w:pPr>
              <w:pStyle w:val="13"/>
            </w:pPr>
            <w:r>
              <w:t>100%</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反映尾矿库治理工程的合格率</w:t>
            </w:r>
          </w:p>
        </w:tc>
        <w:tc>
          <w:tcPr>
            <w:tcW w:w="2268" w:type="dxa"/>
            <w:vAlign w:val="center"/>
          </w:tcPr>
          <w:p>
            <w:pPr>
              <w:pStyle w:val="13"/>
            </w:pPr>
            <w:r>
              <w:t>100%</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坝体抗滑稳定性系数k</w:t>
            </w:r>
          </w:p>
        </w:tc>
        <w:tc>
          <w:tcPr>
            <w:tcW w:w="5386" w:type="dxa"/>
            <w:vAlign w:val="center"/>
          </w:tcPr>
          <w:p>
            <w:pPr>
              <w:pStyle w:val="13"/>
            </w:pPr>
            <w:r>
              <w:t>反映坝体抗滑稳定性系数k的值</w:t>
            </w:r>
          </w:p>
        </w:tc>
        <w:tc>
          <w:tcPr>
            <w:tcW w:w="2268" w:type="dxa"/>
            <w:vAlign w:val="center"/>
          </w:tcPr>
          <w:p>
            <w:pPr>
              <w:pStyle w:val="13"/>
            </w:pPr>
            <w:r>
              <w:t>≥1.55</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防洪设防标准</w:t>
            </w:r>
          </w:p>
        </w:tc>
        <w:tc>
          <w:tcPr>
            <w:tcW w:w="5386" w:type="dxa"/>
            <w:vAlign w:val="center"/>
          </w:tcPr>
          <w:p>
            <w:pPr>
              <w:pStyle w:val="13"/>
            </w:pPr>
            <w:r>
              <w:t>反映防洪设防标准</w:t>
            </w:r>
          </w:p>
        </w:tc>
        <w:tc>
          <w:tcPr>
            <w:tcW w:w="2268" w:type="dxa"/>
            <w:vAlign w:val="center"/>
          </w:tcPr>
          <w:p>
            <w:pPr>
              <w:pStyle w:val="13"/>
            </w:pPr>
            <w:r>
              <w:t>≥500年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建设周期</w:t>
            </w:r>
          </w:p>
        </w:tc>
        <w:tc>
          <w:tcPr>
            <w:tcW w:w="5386" w:type="dxa"/>
            <w:vAlign w:val="center"/>
          </w:tcPr>
          <w:p>
            <w:pPr>
              <w:pStyle w:val="13"/>
            </w:pPr>
            <w:r>
              <w:t>尾矿库治理建设的周期</w:t>
            </w:r>
          </w:p>
        </w:tc>
        <w:tc>
          <w:tcPr>
            <w:tcW w:w="2268" w:type="dxa"/>
            <w:vAlign w:val="center"/>
          </w:tcPr>
          <w:p>
            <w:pPr>
              <w:pStyle w:val="13"/>
            </w:pPr>
            <w:r>
              <w:t>≤1年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完成销号时间</w:t>
            </w:r>
          </w:p>
        </w:tc>
        <w:tc>
          <w:tcPr>
            <w:tcW w:w="5386" w:type="dxa"/>
            <w:vAlign w:val="center"/>
          </w:tcPr>
          <w:p>
            <w:pPr>
              <w:pStyle w:val="13"/>
            </w:pPr>
            <w:r>
              <w:t>尾矿库完成销号的时间</w:t>
            </w:r>
          </w:p>
        </w:tc>
        <w:tc>
          <w:tcPr>
            <w:tcW w:w="2268" w:type="dxa"/>
            <w:vAlign w:val="center"/>
          </w:tcPr>
          <w:p>
            <w:pPr>
              <w:pStyle w:val="13"/>
            </w:pPr>
            <w:r>
              <w:t>≤1年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尾矿库治理补助单位成本</w:t>
            </w:r>
          </w:p>
        </w:tc>
        <w:tc>
          <w:tcPr>
            <w:tcW w:w="5386" w:type="dxa"/>
            <w:vAlign w:val="center"/>
          </w:tcPr>
          <w:p>
            <w:pPr>
              <w:pStyle w:val="13"/>
            </w:pPr>
            <w:r>
              <w:t>反映尾矿库治理补助的单位成本</w:t>
            </w:r>
          </w:p>
        </w:tc>
        <w:tc>
          <w:tcPr>
            <w:tcW w:w="2268" w:type="dxa"/>
            <w:vAlign w:val="center"/>
          </w:tcPr>
          <w:p>
            <w:pPr>
              <w:pStyle w:val="13"/>
            </w:pPr>
            <w:r>
              <w:t>≤539万元</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防渗效果</w:t>
            </w:r>
          </w:p>
        </w:tc>
        <w:tc>
          <w:tcPr>
            <w:tcW w:w="5386" w:type="dxa"/>
            <w:vAlign w:val="center"/>
          </w:tcPr>
          <w:p>
            <w:pPr>
              <w:pStyle w:val="13"/>
            </w:pPr>
            <w:r>
              <w:t>反映尾矿库治理后防渗的效果</w:t>
            </w:r>
          </w:p>
        </w:tc>
        <w:tc>
          <w:tcPr>
            <w:tcW w:w="2268" w:type="dxa"/>
            <w:vAlign w:val="center"/>
          </w:tcPr>
          <w:p>
            <w:pPr>
              <w:pStyle w:val="13"/>
            </w:pPr>
            <w:r>
              <w:t>达标排放</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滩面植被率</w:t>
            </w:r>
          </w:p>
        </w:tc>
        <w:tc>
          <w:tcPr>
            <w:tcW w:w="5386" w:type="dxa"/>
            <w:vAlign w:val="center"/>
          </w:tcPr>
          <w:p>
            <w:pPr>
              <w:pStyle w:val="13"/>
            </w:pPr>
            <w:r>
              <w:t>反映尾矿库治理后滩面植被率</w:t>
            </w:r>
          </w:p>
        </w:tc>
        <w:tc>
          <w:tcPr>
            <w:tcW w:w="2268" w:type="dxa"/>
            <w:vAlign w:val="center"/>
          </w:tcPr>
          <w:p>
            <w:pPr>
              <w:pStyle w:val="13"/>
            </w:pPr>
            <w:r>
              <w:t>≥95%</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17、关于下达省级2024年自然灾害救灾资金（冬春临时生活困难救助资金）的通知（冀财建【2024】290号）绩效目标表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13032124P00326310088D</w:t>
            </w:r>
          </w:p>
        </w:tc>
        <w:tc>
          <w:tcPr>
            <w:tcW w:w="2835" w:type="dxa"/>
            <w:vAlign w:val="center"/>
          </w:tcPr>
          <w:p>
            <w:pPr>
              <w:pStyle w:val="11"/>
            </w:pPr>
            <w:r>
              <w:t>项目名称</w:t>
            </w:r>
          </w:p>
        </w:tc>
        <w:tc>
          <w:tcPr>
            <w:tcW w:w="6095" w:type="dxa"/>
            <w:gridSpan w:val="3"/>
            <w:vAlign w:val="center"/>
          </w:tcPr>
          <w:p>
            <w:pPr>
              <w:pStyle w:val="13"/>
            </w:pPr>
            <w:r>
              <w:t>关于下达省级2024年自然灾害救灾资金（冬春临时生活困难救助资金）的通知（冀财建【2024】290号）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389.84</w:t>
            </w:r>
          </w:p>
        </w:tc>
        <w:tc>
          <w:tcPr>
            <w:tcW w:w="2835" w:type="dxa"/>
            <w:vAlign w:val="center"/>
          </w:tcPr>
          <w:p>
            <w:pPr>
              <w:pStyle w:val="11"/>
            </w:pPr>
            <w:r>
              <w:t>其中：财政    资金</w:t>
            </w:r>
          </w:p>
        </w:tc>
        <w:tc>
          <w:tcPr>
            <w:tcW w:w="2551" w:type="dxa"/>
            <w:vAlign w:val="center"/>
          </w:tcPr>
          <w:p>
            <w:pPr>
              <w:pStyle w:val="13"/>
            </w:pPr>
            <w:r>
              <w:t>389.84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预算安排389.8363万元，其中：财政拨款389.8363万元，主要用于受灾群众冬春临时生活困难救助工作支出。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389.84</w:t>
            </w:r>
          </w:p>
        </w:tc>
        <w:tc>
          <w:tcPr>
            <w:tcW w:w="2835" w:type="dxa"/>
            <w:vAlign w:val="center"/>
          </w:tcPr>
          <w:p>
            <w:pPr>
              <w:pStyle w:val="14"/>
            </w:pPr>
            <w:r>
              <w:t>389.84</w:t>
            </w:r>
          </w:p>
        </w:tc>
        <w:tc>
          <w:tcPr>
            <w:tcW w:w="2551" w:type="dxa"/>
            <w:vAlign w:val="center"/>
          </w:tcPr>
          <w:p>
            <w:pPr>
              <w:pStyle w:val="14"/>
            </w:pPr>
            <w:r>
              <w:t>389.84</w:t>
            </w:r>
          </w:p>
        </w:tc>
        <w:tc>
          <w:tcPr>
            <w:tcW w:w="3544" w:type="dxa"/>
            <w:gridSpan w:val="2"/>
            <w:vAlign w:val="center"/>
          </w:tcPr>
          <w:p>
            <w:pPr>
              <w:pStyle w:val="14"/>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3356户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6714人</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2024年12月底前完成</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1161元/户</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581元/人</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389.84万元</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3356户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18、关于下达增发2023年国债自然灾害应急能力提升工程（应急领域）补助资金预算的通知（冀财建【2024】26号）绩效目标表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13032124P000008100326</w:t>
            </w:r>
          </w:p>
        </w:tc>
        <w:tc>
          <w:tcPr>
            <w:tcW w:w="2835" w:type="dxa"/>
            <w:vAlign w:val="center"/>
          </w:tcPr>
          <w:p>
            <w:pPr>
              <w:pStyle w:val="11"/>
            </w:pPr>
            <w:r>
              <w:t>项目名称</w:t>
            </w:r>
          </w:p>
        </w:tc>
        <w:tc>
          <w:tcPr>
            <w:tcW w:w="6095" w:type="dxa"/>
            <w:gridSpan w:val="3"/>
            <w:vAlign w:val="center"/>
          </w:tcPr>
          <w:p>
            <w:pPr>
              <w:pStyle w:val="13"/>
            </w:pPr>
            <w:r>
              <w:t>关于下达增发2023年国债自然灾害应急能力提升工程（应急领域）补助资金预算的通知（冀财建【2024】26号）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40.96</w:t>
            </w:r>
          </w:p>
        </w:tc>
        <w:tc>
          <w:tcPr>
            <w:tcW w:w="2835" w:type="dxa"/>
            <w:vAlign w:val="center"/>
          </w:tcPr>
          <w:p>
            <w:pPr>
              <w:pStyle w:val="11"/>
            </w:pPr>
            <w:r>
              <w:t>其中：财政    资金</w:t>
            </w:r>
          </w:p>
        </w:tc>
        <w:tc>
          <w:tcPr>
            <w:tcW w:w="2551" w:type="dxa"/>
            <w:vAlign w:val="center"/>
          </w:tcPr>
          <w:p>
            <w:pPr>
              <w:pStyle w:val="13"/>
            </w:pPr>
            <w:r>
              <w:t>40.96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预算金额40.9621万元，其中财政拨款40.9621万元，主要用于增发2023年国债自然灾害应急能力提升工程项目建设支出。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40.96</w:t>
            </w:r>
          </w:p>
        </w:tc>
        <w:tc>
          <w:tcPr>
            <w:tcW w:w="2835" w:type="dxa"/>
            <w:vAlign w:val="center"/>
          </w:tcPr>
          <w:p>
            <w:pPr>
              <w:pStyle w:val="14"/>
            </w:pPr>
            <w:r>
              <w:t>40.96</w:t>
            </w:r>
          </w:p>
        </w:tc>
        <w:tc>
          <w:tcPr>
            <w:tcW w:w="2551" w:type="dxa"/>
            <w:vAlign w:val="center"/>
          </w:tcPr>
          <w:p>
            <w:pPr>
              <w:pStyle w:val="14"/>
            </w:pPr>
            <w:r>
              <w:t>40.96</w:t>
            </w:r>
          </w:p>
        </w:tc>
        <w:tc>
          <w:tcPr>
            <w:tcW w:w="3544" w:type="dxa"/>
            <w:gridSpan w:val="2"/>
            <w:vAlign w:val="center"/>
          </w:tcPr>
          <w:p>
            <w:pPr>
              <w:pStyle w:val="14"/>
            </w:pPr>
            <w:r>
              <w:t>40.96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19、关于下达增发2023年国债自然灾害应急能力提升工程（应急领域）省级补助资金预算的通知（冀财建【2024】28号）绩效目标表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13032124P000010100030</w:t>
            </w:r>
          </w:p>
        </w:tc>
        <w:tc>
          <w:tcPr>
            <w:tcW w:w="2835" w:type="dxa"/>
            <w:vAlign w:val="center"/>
          </w:tcPr>
          <w:p>
            <w:pPr>
              <w:pStyle w:val="11"/>
            </w:pPr>
            <w:r>
              <w:t>项目名称</w:t>
            </w:r>
          </w:p>
        </w:tc>
        <w:tc>
          <w:tcPr>
            <w:tcW w:w="6095" w:type="dxa"/>
            <w:gridSpan w:val="3"/>
            <w:vAlign w:val="center"/>
          </w:tcPr>
          <w:p>
            <w:pPr>
              <w:pStyle w:val="13"/>
            </w:pPr>
            <w:r>
              <w:t>关于下达增发2023年国债自然灾害应急能力提升工程（应急领域）省级补助资金预算的通知（冀财建【2024】28号）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w:t>
            </w:r>
          </w:p>
        </w:tc>
        <w:tc>
          <w:tcPr>
            <w:tcW w:w="2835" w:type="dxa"/>
            <w:vAlign w:val="center"/>
          </w:tcPr>
          <w:p>
            <w:pPr>
              <w:pStyle w:val="11"/>
            </w:pPr>
            <w:r>
              <w:t>其中：财政    资金</w:t>
            </w:r>
          </w:p>
        </w:tc>
        <w:tc>
          <w:tcPr>
            <w:tcW w:w="2551" w:type="dxa"/>
            <w:vAlign w:val="center"/>
          </w:tcPr>
          <w:p>
            <w:pPr>
              <w:pStyle w:val="13"/>
            </w:pPr>
            <w:r>
              <w:t>3.96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预算安排3.9643万元，其中财政拨款3.9643万元，主要用于增发2023年国债自然灾害应急能力提升工程设备购置支出。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3.96</w:t>
            </w:r>
          </w:p>
        </w:tc>
        <w:tc>
          <w:tcPr>
            <w:tcW w:w="2835" w:type="dxa"/>
            <w:vAlign w:val="center"/>
          </w:tcPr>
          <w:p>
            <w:pPr>
              <w:pStyle w:val="14"/>
            </w:pPr>
            <w:r>
              <w:t>3.96</w:t>
            </w:r>
          </w:p>
        </w:tc>
        <w:tc>
          <w:tcPr>
            <w:tcW w:w="2551" w:type="dxa"/>
            <w:vAlign w:val="center"/>
          </w:tcPr>
          <w:p>
            <w:pPr>
              <w:pStyle w:val="14"/>
            </w:pPr>
            <w:r>
              <w:t>3.96</w:t>
            </w:r>
          </w:p>
        </w:tc>
        <w:tc>
          <w:tcPr>
            <w:tcW w:w="3544" w:type="dxa"/>
            <w:gridSpan w:val="2"/>
            <w:vAlign w:val="center"/>
          </w:tcPr>
          <w:p>
            <w:pPr>
              <w:pStyle w:val="14"/>
            </w:pPr>
            <w:r>
              <w:t>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1.通过此项目的实施，对预警指挥项目进行建设，加速我县应急指挥系统建设进程。</w:t>
            </w:r>
          </w:p>
          <w:p>
            <w:pPr>
              <w:pStyle w:val="13"/>
            </w:pPr>
            <w:r>
              <w:t>2.通过此项目的实施，对预警指挥项目进行建设，提升我县防灾减灾救灾能力。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指挥中心音视频改造数量</w:t>
            </w:r>
          </w:p>
        </w:tc>
        <w:tc>
          <w:tcPr>
            <w:tcW w:w="5386" w:type="dxa"/>
            <w:vAlign w:val="center"/>
          </w:tcPr>
          <w:p>
            <w:pPr>
              <w:pStyle w:val="13"/>
            </w:pPr>
            <w:r>
              <w:t>反映指挥中心音视频改造的数量</w:t>
            </w:r>
          </w:p>
        </w:tc>
        <w:tc>
          <w:tcPr>
            <w:tcW w:w="2268" w:type="dxa"/>
            <w:vAlign w:val="center"/>
          </w:tcPr>
          <w:p>
            <w:pPr>
              <w:pStyle w:val="13"/>
            </w:pPr>
            <w:r>
              <w:t>＝1个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设备购置种类</w:t>
            </w:r>
          </w:p>
        </w:tc>
        <w:tc>
          <w:tcPr>
            <w:tcW w:w="5386" w:type="dxa"/>
            <w:vAlign w:val="center"/>
          </w:tcPr>
          <w:p>
            <w:pPr>
              <w:pStyle w:val="13"/>
            </w:pPr>
            <w:r>
              <w:t>反映购置的设备种类</w:t>
            </w:r>
          </w:p>
        </w:tc>
        <w:tc>
          <w:tcPr>
            <w:tcW w:w="2268" w:type="dxa"/>
            <w:vAlign w:val="center"/>
          </w:tcPr>
          <w:p>
            <w:pPr>
              <w:pStyle w:val="13"/>
            </w:pPr>
            <w:r>
              <w:t>≥1类</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设备质量合格率（%）</w:t>
            </w:r>
          </w:p>
        </w:tc>
        <w:tc>
          <w:tcPr>
            <w:tcW w:w="5386" w:type="dxa"/>
            <w:vAlign w:val="center"/>
          </w:tcPr>
          <w:p>
            <w:pPr>
              <w:pStyle w:val="13"/>
            </w:pPr>
            <w:r>
              <w:t>反映购置设备质量合格率情况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设备精确度</w:t>
            </w:r>
          </w:p>
        </w:tc>
        <w:tc>
          <w:tcPr>
            <w:tcW w:w="5386" w:type="dxa"/>
            <w:vAlign w:val="center"/>
          </w:tcPr>
          <w:p>
            <w:pPr>
              <w:pStyle w:val="13"/>
            </w:pPr>
            <w:r>
              <w:t>反映购置设备精确度情况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安装工程验收合格率</w:t>
            </w:r>
          </w:p>
        </w:tc>
        <w:tc>
          <w:tcPr>
            <w:tcW w:w="5386" w:type="dxa"/>
            <w:vAlign w:val="center"/>
          </w:tcPr>
          <w:p>
            <w:pPr>
              <w:pStyle w:val="13"/>
            </w:pPr>
            <w:r>
              <w:t>反映设备安装工程质量情况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设备故障率</w:t>
            </w:r>
          </w:p>
        </w:tc>
        <w:tc>
          <w:tcPr>
            <w:tcW w:w="5386" w:type="dxa"/>
            <w:vAlign w:val="center"/>
          </w:tcPr>
          <w:p>
            <w:pPr>
              <w:pStyle w:val="13"/>
            </w:pPr>
            <w:r>
              <w:t>反映设备故障情况</w:t>
            </w:r>
          </w:p>
        </w:tc>
        <w:tc>
          <w:tcPr>
            <w:tcW w:w="2268" w:type="dxa"/>
            <w:vAlign w:val="center"/>
          </w:tcPr>
          <w:p>
            <w:pPr>
              <w:pStyle w:val="13"/>
            </w:pPr>
            <w:r>
              <w:t>≤5%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反映设备购置工作完成时间</w:t>
            </w:r>
          </w:p>
        </w:tc>
        <w:tc>
          <w:tcPr>
            <w:tcW w:w="2268" w:type="dxa"/>
            <w:vAlign w:val="center"/>
          </w:tcPr>
          <w:p>
            <w:pPr>
              <w:pStyle w:val="13"/>
            </w:pPr>
            <w:r>
              <w:t>2024年底前完成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指挥中心音视频改造单位成本</w:t>
            </w:r>
          </w:p>
        </w:tc>
        <w:tc>
          <w:tcPr>
            <w:tcW w:w="5386" w:type="dxa"/>
            <w:vAlign w:val="center"/>
          </w:tcPr>
          <w:p>
            <w:pPr>
              <w:pStyle w:val="13"/>
            </w:pPr>
            <w:r>
              <w:t>反映指挥中心音视频改造单位成本控制情况</w:t>
            </w:r>
          </w:p>
        </w:tc>
        <w:tc>
          <w:tcPr>
            <w:tcW w:w="2268" w:type="dxa"/>
            <w:vAlign w:val="center"/>
          </w:tcPr>
          <w:p>
            <w:pPr>
              <w:pStyle w:val="13"/>
            </w:pPr>
            <w:r>
              <w:t>≤7.27万元</w:t>
            </w:r>
          </w:p>
        </w:tc>
        <w:tc>
          <w:tcPr>
            <w:tcW w:w="1276" w:type="dxa"/>
            <w:vAlign w:val="center"/>
          </w:tcPr>
          <w:p>
            <w:pPr>
              <w:pStyle w:val="13"/>
            </w:pPr>
            <w:r>
              <w:t>冀财建[2024]28号分析填报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功能保障实际需求程度</w:t>
            </w:r>
          </w:p>
        </w:tc>
        <w:tc>
          <w:tcPr>
            <w:tcW w:w="5386" w:type="dxa"/>
            <w:vAlign w:val="center"/>
          </w:tcPr>
          <w:p>
            <w:pPr>
              <w:pStyle w:val="13"/>
            </w:pPr>
            <w:r>
              <w:t>反映设备功能保障水平</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设备可持续使用时间</w:t>
            </w:r>
          </w:p>
        </w:tc>
        <w:tc>
          <w:tcPr>
            <w:tcW w:w="5386" w:type="dxa"/>
            <w:vAlign w:val="center"/>
          </w:tcPr>
          <w:p>
            <w:pPr>
              <w:pStyle w:val="13"/>
            </w:pPr>
            <w:r>
              <w:t>反映设备正常使用年限</w:t>
            </w:r>
          </w:p>
        </w:tc>
        <w:tc>
          <w:tcPr>
            <w:tcW w:w="2268" w:type="dxa"/>
            <w:vAlign w:val="center"/>
          </w:tcPr>
          <w:p>
            <w:pPr>
              <w:pStyle w:val="13"/>
            </w:pPr>
            <w:r>
              <w:t>≥10年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调查总问卷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20、关于下达中央2024年自然灾害救灾资金（冬春临时生活困难救助资金）的通知（冀财建【2024】290号）绩效目标表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13032124P003263100891</w:t>
            </w:r>
          </w:p>
        </w:tc>
        <w:tc>
          <w:tcPr>
            <w:tcW w:w="2835" w:type="dxa"/>
            <w:vAlign w:val="center"/>
          </w:tcPr>
          <w:p>
            <w:pPr>
              <w:pStyle w:val="11"/>
            </w:pPr>
            <w:r>
              <w:t>项目名称</w:t>
            </w:r>
          </w:p>
        </w:tc>
        <w:tc>
          <w:tcPr>
            <w:tcW w:w="6095" w:type="dxa"/>
            <w:gridSpan w:val="3"/>
            <w:vAlign w:val="center"/>
          </w:tcPr>
          <w:p>
            <w:pPr>
              <w:pStyle w:val="13"/>
            </w:pPr>
            <w:r>
              <w:t>关于下达中央2024年自然灾害救灾资金（冬春临时生活困难救助资金）的通知（冀财建【2024】290号）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513.22</w:t>
            </w:r>
          </w:p>
        </w:tc>
        <w:tc>
          <w:tcPr>
            <w:tcW w:w="2835" w:type="dxa"/>
            <w:vAlign w:val="center"/>
          </w:tcPr>
          <w:p>
            <w:pPr>
              <w:pStyle w:val="11"/>
            </w:pPr>
            <w:r>
              <w:t>其中：财政    资金</w:t>
            </w:r>
          </w:p>
        </w:tc>
        <w:tc>
          <w:tcPr>
            <w:tcW w:w="2551" w:type="dxa"/>
            <w:vAlign w:val="center"/>
          </w:tcPr>
          <w:p>
            <w:pPr>
              <w:pStyle w:val="13"/>
            </w:pPr>
            <w:r>
              <w:t>513.22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预算安排513.2237万元，其中：财政拨款513.2237万元，主要用于受灾群众冬春临时生活困难救助支出。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513.22</w:t>
            </w:r>
          </w:p>
        </w:tc>
        <w:tc>
          <w:tcPr>
            <w:tcW w:w="2835" w:type="dxa"/>
            <w:vAlign w:val="center"/>
          </w:tcPr>
          <w:p>
            <w:pPr>
              <w:pStyle w:val="14"/>
            </w:pPr>
            <w:r>
              <w:t>513.22</w:t>
            </w:r>
          </w:p>
        </w:tc>
        <w:tc>
          <w:tcPr>
            <w:tcW w:w="2551" w:type="dxa"/>
            <w:vAlign w:val="center"/>
          </w:tcPr>
          <w:p>
            <w:pPr>
              <w:pStyle w:val="14"/>
            </w:pPr>
            <w:r>
              <w:t>513.22</w:t>
            </w:r>
          </w:p>
        </w:tc>
        <w:tc>
          <w:tcPr>
            <w:tcW w:w="3544" w:type="dxa"/>
            <w:gridSpan w:val="2"/>
            <w:vAlign w:val="center"/>
          </w:tcPr>
          <w:p>
            <w:pPr>
              <w:pStyle w:val="14"/>
            </w:pPr>
            <w:r>
              <w:t>513.22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4420户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8837人</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2024年12月底前完成</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1161元/户</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581元/人</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513.22万元</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4420户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21、关于预拨2024年中央自然灾害救灾资金（第七批）的通知（冀财建【2024】159号）绩效目标表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13032124P00326310078H</w:t>
            </w:r>
          </w:p>
        </w:tc>
        <w:tc>
          <w:tcPr>
            <w:tcW w:w="2835" w:type="dxa"/>
            <w:vAlign w:val="center"/>
          </w:tcPr>
          <w:p>
            <w:pPr>
              <w:pStyle w:val="11"/>
            </w:pPr>
            <w:r>
              <w:t>项目名称</w:t>
            </w:r>
          </w:p>
        </w:tc>
        <w:tc>
          <w:tcPr>
            <w:tcW w:w="6095" w:type="dxa"/>
            <w:gridSpan w:val="3"/>
            <w:vAlign w:val="center"/>
          </w:tcPr>
          <w:p>
            <w:pPr>
              <w:pStyle w:val="13"/>
            </w:pPr>
            <w:r>
              <w:t>关于预拨2024年中央自然灾害救灾资金（第七批）的通知（冀财建【2024】159号）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预算安排51万元，其中：财政拨款51万元，主要用于开展应急抢险和倒损民房修复工作支出。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51.00</w:t>
            </w:r>
          </w:p>
        </w:tc>
        <w:tc>
          <w:tcPr>
            <w:tcW w:w="2835" w:type="dxa"/>
            <w:vAlign w:val="center"/>
          </w:tcPr>
          <w:p>
            <w:pPr>
              <w:pStyle w:val="14"/>
            </w:pPr>
            <w:r>
              <w:t>51.00</w:t>
            </w:r>
          </w:p>
        </w:tc>
        <w:tc>
          <w:tcPr>
            <w:tcW w:w="2551" w:type="dxa"/>
            <w:vAlign w:val="center"/>
          </w:tcPr>
          <w:p>
            <w:pPr>
              <w:pStyle w:val="14"/>
            </w:pPr>
            <w:r>
              <w:t>51.00</w:t>
            </w:r>
          </w:p>
        </w:tc>
        <w:tc>
          <w:tcPr>
            <w:tcW w:w="3544" w:type="dxa"/>
            <w:gridSpan w:val="2"/>
            <w:vAlign w:val="center"/>
          </w:tcPr>
          <w:p>
            <w:pPr>
              <w:pStyle w:val="14"/>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1.通过设计和增加应急避难场所示意图等公共标志物，保障社会生活稳定。</w:t>
            </w:r>
          </w:p>
          <w:p>
            <w:pPr>
              <w:pStyle w:val="13"/>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因灾倒损重点农房数量</w:t>
            </w:r>
          </w:p>
        </w:tc>
        <w:tc>
          <w:tcPr>
            <w:tcW w:w="5386" w:type="dxa"/>
            <w:vAlign w:val="center"/>
          </w:tcPr>
          <w:p>
            <w:pPr>
              <w:pStyle w:val="13"/>
            </w:pPr>
            <w:r>
              <w:t>反映因灾倒损重点农房的数量</w:t>
            </w:r>
          </w:p>
        </w:tc>
        <w:tc>
          <w:tcPr>
            <w:tcW w:w="2268" w:type="dxa"/>
            <w:vAlign w:val="center"/>
          </w:tcPr>
          <w:p>
            <w:pPr>
              <w:pStyle w:val="13"/>
            </w:pPr>
            <w:r>
              <w:t>15座</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因灾倒损一般农房数量</w:t>
            </w:r>
          </w:p>
        </w:tc>
        <w:tc>
          <w:tcPr>
            <w:tcW w:w="5386" w:type="dxa"/>
            <w:vAlign w:val="center"/>
          </w:tcPr>
          <w:p>
            <w:pPr>
              <w:pStyle w:val="13"/>
            </w:pPr>
            <w:r>
              <w:t>反映因灾倒损一般农房的数量</w:t>
            </w:r>
          </w:p>
        </w:tc>
        <w:tc>
          <w:tcPr>
            <w:tcW w:w="2268" w:type="dxa"/>
            <w:vAlign w:val="center"/>
          </w:tcPr>
          <w:p>
            <w:pPr>
              <w:pStyle w:val="13"/>
            </w:pPr>
            <w:r>
              <w:t>40座</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灾害救助完成率</w:t>
            </w:r>
          </w:p>
        </w:tc>
        <w:tc>
          <w:tcPr>
            <w:tcW w:w="5386" w:type="dxa"/>
            <w:vAlign w:val="center"/>
          </w:tcPr>
          <w:p>
            <w:pPr>
              <w:pStyle w:val="13"/>
            </w:pPr>
            <w:r>
              <w:t>反映对受灾户救助的比率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灾害救助完成时间</w:t>
            </w:r>
          </w:p>
        </w:tc>
        <w:tc>
          <w:tcPr>
            <w:tcW w:w="5386" w:type="dxa"/>
            <w:vAlign w:val="center"/>
          </w:tcPr>
          <w:p>
            <w:pPr>
              <w:pStyle w:val="13"/>
            </w:pPr>
            <w:r>
              <w:t>反映对受灾户进行补助完成时限</w:t>
            </w:r>
          </w:p>
        </w:tc>
        <w:tc>
          <w:tcPr>
            <w:tcW w:w="2268" w:type="dxa"/>
            <w:vAlign w:val="center"/>
          </w:tcPr>
          <w:p>
            <w:pPr>
              <w:pStyle w:val="13"/>
            </w:pPr>
            <w:r>
              <w:t>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补助资金发放成本</w:t>
            </w:r>
          </w:p>
        </w:tc>
        <w:tc>
          <w:tcPr>
            <w:tcW w:w="5386" w:type="dxa"/>
            <w:vAlign w:val="center"/>
          </w:tcPr>
          <w:p>
            <w:pPr>
              <w:pStyle w:val="13"/>
            </w:pPr>
            <w:r>
              <w:t>反映每户发放的补助资金金额</w:t>
            </w:r>
          </w:p>
        </w:tc>
        <w:tc>
          <w:tcPr>
            <w:tcW w:w="2268" w:type="dxa"/>
            <w:vAlign w:val="center"/>
          </w:tcPr>
          <w:p>
            <w:pPr>
              <w:pStyle w:val="13"/>
            </w:pPr>
            <w:r>
              <w:t>0.92万元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减少受灾农户生活成本</w:t>
            </w:r>
          </w:p>
        </w:tc>
        <w:tc>
          <w:tcPr>
            <w:tcW w:w="5386" w:type="dxa"/>
            <w:vAlign w:val="center"/>
          </w:tcPr>
          <w:p>
            <w:pPr>
              <w:pStyle w:val="13"/>
            </w:pPr>
            <w:r>
              <w:t>反映受灾农户减少的生活成本</w:t>
            </w:r>
          </w:p>
        </w:tc>
        <w:tc>
          <w:tcPr>
            <w:tcW w:w="2268" w:type="dxa"/>
            <w:vAlign w:val="center"/>
          </w:tcPr>
          <w:p>
            <w:pPr>
              <w:pStyle w:val="13"/>
            </w:pPr>
            <w:r>
              <w:t>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救助受灾农户</w:t>
            </w:r>
          </w:p>
        </w:tc>
        <w:tc>
          <w:tcPr>
            <w:tcW w:w="5386" w:type="dxa"/>
            <w:vAlign w:val="center"/>
          </w:tcPr>
          <w:p>
            <w:pPr>
              <w:pStyle w:val="13"/>
            </w:pPr>
            <w:r>
              <w:t>反映受救助的受灾农户户数</w:t>
            </w:r>
          </w:p>
        </w:tc>
        <w:tc>
          <w:tcPr>
            <w:tcW w:w="2268" w:type="dxa"/>
            <w:vAlign w:val="center"/>
          </w:tcPr>
          <w:p>
            <w:pPr>
              <w:pStyle w:val="13"/>
            </w:pPr>
            <w:r>
              <w:t>户</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防止农户因自然灾害返贫比率</w:t>
            </w:r>
          </w:p>
        </w:tc>
        <w:tc>
          <w:tcPr>
            <w:tcW w:w="5386" w:type="dxa"/>
            <w:vAlign w:val="center"/>
          </w:tcPr>
          <w:p>
            <w:pPr>
              <w:pStyle w:val="13"/>
            </w:pPr>
            <w:r>
              <w:t>反映防止农户因自然灾害返贫比率</w:t>
            </w:r>
          </w:p>
        </w:tc>
        <w:tc>
          <w:tcPr>
            <w:tcW w:w="2268" w:type="dxa"/>
            <w:vAlign w:val="center"/>
          </w:tcPr>
          <w:p>
            <w:pPr>
              <w:pStyle w:val="13"/>
            </w:pPr>
            <w:r>
              <w:t>≥95%</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22、尾矿库闭库配套资金绩效目标表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13032125P00011610153W</w:t>
            </w:r>
          </w:p>
        </w:tc>
        <w:tc>
          <w:tcPr>
            <w:tcW w:w="2835" w:type="dxa"/>
            <w:vAlign w:val="center"/>
          </w:tcPr>
          <w:p>
            <w:pPr>
              <w:pStyle w:val="11"/>
            </w:pPr>
            <w:r>
              <w:t>项目名称</w:t>
            </w:r>
          </w:p>
        </w:tc>
        <w:tc>
          <w:tcPr>
            <w:tcW w:w="6095" w:type="dxa"/>
            <w:gridSpan w:val="3"/>
            <w:vAlign w:val="center"/>
          </w:tcPr>
          <w:p>
            <w:pPr>
              <w:pStyle w:val="13"/>
            </w:pPr>
            <w:r>
              <w:t>尾矿库闭库配套资金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预算安排360万元，其中：财政拨款360万元，主要用于尾矿库闭库配套资金支出。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270.00</w:t>
            </w:r>
          </w:p>
        </w:tc>
        <w:tc>
          <w:tcPr>
            <w:tcW w:w="3544" w:type="dxa"/>
            <w:gridSpan w:val="2"/>
            <w:vAlign w:val="center"/>
          </w:tcPr>
          <w:p>
            <w:pPr>
              <w:pStyle w:val="14"/>
            </w:pPr>
            <w:r>
              <w:t>360.00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1.通过对该项目的实施，及时发现并消除选厂存在的安全生产隐患，防止发生安全生产事故。</w:t>
            </w:r>
          </w:p>
          <w:p>
            <w:pPr>
              <w:pStyle w:val="13"/>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23、尾矿库治理资金绩效目标表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13032123P00331810032X</w:t>
            </w:r>
          </w:p>
        </w:tc>
        <w:tc>
          <w:tcPr>
            <w:tcW w:w="2835" w:type="dxa"/>
            <w:vAlign w:val="center"/>
          </w:tcPr>
          <w:p>
            <w:pPr>
              <w:pStyle w:val="11"/>
            </w:pPr>
            <w:r>
              <w:t>项目名称</w:t>
            </w:r>
          </w:p>
        </w:tc>
        <w:tc>
          <w:tcPr>
            <w:tcW w:w="6095" w:type="dxa"/>
            <w:gridSpan w:val="3"/>
            <w:vAlign w:val="center"/>
          </w:tcPr>
          <w:p>
            <w:pPr>
              <w:pStyle w:val="13"/>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135.37</w:t>
            </w:r>
          </w:p>
        </w:tc>
        <w:tc>
          <w:tcPr>
            <w:tcW w:w="2835" w:type="dxa"/>
            <w:vAlign w:val="center"/>
          </w:tcPr>
          <w:p>
            <w:pPr>
              <w:pStyle w:val="11"/>
            </w:pPr>
            <w:r>
              <w:t>其中：财政    资金</w:t>
            </w:r>
          </w:p>
        </w:tc>
        <w:tc>
          <w:tcPr>
            <w:tcW w:w="2551" w:type="dxa"/>
            <w:vAlign w:val="center"/>
          </w:tcPr>
          <w:p>
            <w:pPr>
              <w:pStyle w:val="13"/>
            </w:pPr>
            <w:r>
              <w:t>135.37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预算安排135.3735万元，其中：财政拨款135.3735万元，主要用于尾矿库治理支出。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135.37</w:t>
            </w:r>
          </w:p>
        </w:tc>
        <w:tc>
          <w:tcPr>
            <w:tcW w:w="2835" w:type="dxa"/>
            <w:vAlign w:val="center"/>
          </w:tcPr>
          <w:p>
            <w:pPr>
              <w:pStyle w:val="14"/>
            </w:pPr>
            <w:r>
              <w:t>135.37</w:t>
            </w:r>
          </w:p>
        </w:tc>
        <w:tc>
          <w:tcPr>
            <w:tcW w:w="2551" w:type="dxa"/>
            <w:vAlign w:val="center"/>
          </w:tcPr>
          <w:p>
            <w:pPr>
              <w:pStyle w:val="14"/>
            </w:pPr>
            <w:r>
              <w:t>135.37</w:t>
            </w:r>
          </w:p>
        </w:tc>
        <w:tc>
          <w:tcPr>
            <w:tcW w:w="3544" w:type="dxa"/>
            <w:gridSpan w:val="2"/>
            <w:vAlign w:val="center"/>
          </w:tcPr>
          <w:p>
            <w:pPr>
              <w:pStyle w:val="14"/>
            </w:pPr>
            <w:r>
              <w:t>135.37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1.通过该项目的实施，对存在危险风险的尾矿库进行治理，全面发现并彻底整改非煤矿山安全生产风险管控和隐患排查治理。</w:t>
            </w:r>
          </w:p>
          <w:p>
            <w:pPr>
              <w:pStyle w:val="13"/>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≤135.37万元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24、尾矿库治理资金绩效目标表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13032125P00011610117U</w:t>
            </w:r>
          </w:p>
        </w:tc>
        <w:tc>
          <w:tcPr>
            <w:tcW w:w="2835" w:type="dxa"/>
            <w:vAlign w:val="center"/>
          </w:tcPr>
          <w:p>
            <w:pPr>
              <w:pStyle w:val="11"/>
            </w:pPr>
            <w:r>
              <w:t>项目名称</w:t>
            </w:r>
          </w:p>
        </w:tc>
        <w:tc>
          <w:tcPr>
            <w:tcW w:w="6095" w:type="dxa"/>
            <w:gridSpan w:val="3"/>
            <w:vAlign w:val="center"/>
          </w:tcPr>
          <w:p>
            <w:pPr>
              <w:pStyle w:val="13"/>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预算安排100万元，其中：财政拨款100万元，主要用于尾矿库安全生产风险管控和隐患排查治理支出。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1.通过对该项目的实施，及时发现并消除选厂存在的安全生产隐患，防止发生安全生产事故。</w:t>
            </w:r>
          </w:p>
          <w:p>
            <w:pPr>
              <w:pStyle w:val="13"/>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25、应急避难场所设置经费绩效目标表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13032124P00331910089N</w:t>
            </w:r>
          </w:p>
        </w:tc>
        <w:tc>
          <w:tcPr>
            <w:tcW w:w="2835" w:type="dxa"/>
            <w:vAlign w:val="center"/>
          </w:tcPr>
          <w:p>
            <w:pPr>
              <w:pStyle w:val="11"/>
            </w:pPr>
            <w:r>
              <w:t>项目名称</w:t>
            </w:r>
          </w:p>
        </w:tc>
        <w:tc>
          <w:tcPr>
            <w:tcW w:w="6095" w:type="dxa"/>
            <w:gridSpan w:val="3"/>
            <w:vAlign w:val="center"/>
          </w:tcPr>
          <w:p>
            <w:pPr>
              <w:pStyle w:val="13"/>
            </w:pPr>
            <w:r>
              <w:t>应急避难场所设置经费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预算安排12万元，其中：财政拨款12万元，主要用于应急避难场所设置支出。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12.00</w:t>
            </w:r>
          </w:p>
        </w:tc>
        <w:tc>
          <w:tcPr>
            <w:tcW w:w="2551" w:type="dxa"/>
            <w:vAlign w:val="center"/>
          </w:tcPr>
          <w:p>
            <w:pPr>
              <w:pStyle w:val="14"/>
            </w:pPr>
            <w:r>
              <w:t>12.00</w:t>
            </w:r>
          </w:p>
        </w:tc>
        <w:tc>
          <w:tcPr>
            <w:tcW w:w="3544" w:type="dxa"/>
            <w:gridSpan w:val="2"/>
            <w:vAlign w:val="center"/>
          </w:tcPr>
          <w:p>
            <w:pPr>
              <w:pStyle w:val="14"/>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1.通过设计和增加应急避难场所示意图等公共标志物，保障社会生活稳定。</w:t>
            </w:r>
          </w:p>
          <w:p>
            <w:pPr>
              <w:pStyle w:val="13"/>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避难场所示意图数量</w:t>
            </w:r>
          </w:p>
        </w:tc>
        <w:tc>
          <w:tcPr>
            <w:tcW w:w="5386" w:type="dxa"/>
            <w:vAlign w:val="center"/>
          </w:tcPr>
          <w:p>
            <w:pPr>
              <w:pStyle w:val="13"/>
            </w:pPr>
            <w:r>
              <w:t>反映应安装示意图的数量</w:t>
            </w:r>
          </w:p>
        </w:tc>
        <w:tc>
          <w:tcPr>
            <w:tcW w:w="2268" w:type="dxa"/>
            <w:vAlign w:val="center"/>
          </w:tcPr>
          <w:p>
            <w:pPr>
              <w:pStyle w:val="13"/>
            </w:pPr>
            <w:r>
              <w:t>23座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避难场所标志数量</w:t>
            </w:r>
          </w:p>
        </w:tc>
        <w:tc>
          <w:tcPr>
            <w:tcW w:w="5386" w:type="dxa"/>
            <w:vAlign w:val="center"/>
          </w:tcPr>
          <w:p>
            <w:pPr>
              <w:pStyle w:val="13"/>
            </w:pPr>
            <w:r>
              <w:t>反映应安装标志的数量</w:t>
            </w:r>
          </w:p>
        </w:tc>
        <w:tc>
          <w:tcPr>
            <w:tcW w:w="2268" w:type="dxa"/>
            <w:vAlign w:val="center"/>
          </w:tcPr>
          <w:p>
            <w:pPr>
              <w:pStyle w:val="13"/>
            </w:pPr>
            <w:r>
              <w:t>63座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安装设置完成率</w:t>
            </w:r>
          </w:p>
        </w:tc>
        <w:tc>
          <w:tcPr>
            <w:tcW w:w="5386" w:type="dxa"/>
            <w:vAlign w:val="center"/>
          </w:tcPr>
          <w:p>
            <w:pPr>
              <w:pStyle w:val="13"/>
            </w:pPr>
            <w:r>
              <w:t>反映设置安装完成的比率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避难场所设置安装完成时间</w:t>
            </w:r>
          </w:p>
        </w:tc>
        <w:tc>
          <w:tcPr>
            <w:tcW w:w="5386" w:type="dxa"/>
            <w:vAlign w:val="center"/>
          </w:tcPr>
          <w:p>
            <w:pPr>
              <w:pStyle w:val="13"/>
            </w:pPr>
            <w:r>
              <w:t>反映对避难设置安装的完成时限</w:t>
            </w:r>
          </w:p>
        </w:tc>
        <w:tc>
          <w:tcPr>
            <w:tcW w:w="2268" w:type="dxa"/>
            <w:vAlign w:val="center"/>
          </w:tcPr>
          <w:p>
            <w:pPr>
              <w:pStyle w:val="13"/>
            </w:pPr>
            <w:r>
              <w:t>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增加避难场所示意图的单位成本</w:t>
            </w:r>
          </w:p>
        </w:tc>
        <w:tc>
          <w:tcPr>
            <w:tcW w:w="5386" w:type="dxa"/>
            <w:vAlign w:val="center"/>
          </w:tcPr>
          <w:p>
            <w:pPr>
              <w:pStyle w:val="13"/>
            </w:pPr>
            <w:r>
              <w:t>反映每个避难场所示意图的金额</w:t>
            </w:r>
          </w:p>
        </w:tc>
        <w:tc>
          <w:tcPr>
            <w:tcW w:w="2268" w:type="dxa"/>
            <w:vAlign w:val="center"/>
          </w:tcPr>
          <w:p>
            <w:pPr>
              <w:pStyle w:val="13"/>
            </w:pPr>
            <w:r>
              <w:t>0.52万元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增加避难场所标志的单位成本</w:t>
            </w:r>
          </w:p>
        </w:tc>
        <w:tc>
          <w:tcPr>
            <w:tcW w:w="5386" w:type="dxa"/>
            <w:vAlign w:val="center"/>
          </w:tcPr>
          <w:p>
            <w:pPr>
              <w:pStyle w:val="13"/>
            </w:pPr>
            <w:r>
              <w:t>反映每个避难场所标志的金额</w:t>
            </w:r>
          </w:p>
        </w:tc>
        <w:tc>
          <w:tcPr>
            <w:tcW w:w="2268" w:type="dxa"/>
            <w:vAlign w:val="center"/>
          </w:tcPr>
          <w:p>
            <w:pPr>
              <w:pStyle w:val="13"/>
            </w:pPr>
            <w:r>
              <w:t>0.2万元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安装避难场所设置的成本</w:t>
            </w:r>
          </w:p>
        </w:tc>
        <w:tc>
          <w:tcPr>
            <w:tcW w:w="5386" w:type="dxa"/>
            <w:vAlign w:val="center"/>
          </w:tcPr>
          <w:p>
            <w:pPr>
              <w:pStyle w:val="13"/>
            </w:pPr>
            <w:r>
              <w:t>反映安装避难场所设置的成本</w:t>
            </w:r>
          </w:p>
        </w:tc>
        <w:tc>
          <w:tcPr>
            <w:tcW w:w="2268" w:type="dxa"/>
            <w:vAlign w:val="center"/>
          </w:tcPr>
          <w:p>
            <w:pPr>
              <w:pStyle w:val="13"/>
            </w:pPr>
            <w:r>
              <w:t>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安装避难场所设置数量</w:t>
            </w:r>
          </w:p>
        </w:tc>
        <w:tc>
          <w:tcPr>
            <w:tcW w:w="5386" w:type="dxa"/>
            <w:vAlign w:val="center"/>
          </w:tcPr>
          <w:p>
            <w:pPr>
              <w:pStyle w:val="13"/>
            </w:pPr>
            <w:r>
              <w:t>反映安装避难场所设置的数量</w:t>
            </w:r>
          </w:p>
        </w:tc>
        <w:tc>
          <w:tcPr>
            <w:tcW w:w="2268" w:type="dxa"/>
            <w:vAlign w:val="center"/>
          </w:tcPr>
          <w:p>
            <w:pPr>
              <w:pStyle w:val="13"/>
            </w:pPr>
            <w:r>
              <w:t>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应急避难场所指示率</w:t>
            </w:r>
          </w:p>
        </w:tc>
        <w:tc>
          <w:tcPr>
            <w:tcW w:w="5386" w:type="dxa"/>
            <w:vAlign w:val="center"/>
          </w:tcPr>
          <w:p>
            <w:pPr>
              <w:pStyle w:val="13"/>
            </w:pPr>
            <w:r>
              <w:t>反映应急避难场所设置的指示效率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26、应急救援经费绩效目标表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13032125P00010210004X</w:t>
            </w:r>
          </w:p>
        </w:tc>
        <w:tc>
          <w:tcPr>
            <w:tcW w:w="2835" w:type="dxa"/>
            <w:vAlign w:val="center"/>
          </w:tcPr>
          <w:p>
            <w:pPr>
              <w:pStyle w:val="11"/>
            </w:pPr>
            <w:r>
              <w:t>项目名称</w:t>
            </w:r>
          </w:p>
        </w:tc>
        <w:tc>
          <w:tcPr>
            <w:tcW w:w="6095" w:type="dxa"/>
            <w:gridSpan w:val="3"/>
            <w:vAlign w:val="center"/>
          </w:tcPr>
          <w:p>
            <w:pPr>
              <w:pStyle w:val="13"/>
            </w:pPr>
            <w:r>
              <w:t>应急救援经费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71.00</w:t>
            </w:r>
          </w:p>
        </w:tc>
        <w:tc>
          <w:tcPr>
            <w:tcW w:w="2835" w:type="dxa"/>
            <w:vAlign w:val="center"/>
          </w:tcPr>
          <w:p>
            <w:pPr>
              <w:pStyle w:val="11"/>
            </w:pPr>
            <w:r>
              <w:t>其中：财政    资金</w:t>
            </w:r>
          </w:p>
        </w:tc>
        <w:tc>
          <w:tcPr>
            <w:tcW w:w="2551" w:type="dxa"/>
            <w:vAlign w:val="center"/>
          </w:tcPr>
          <w:p>
            <w:pPr>
              <w:pStyle w:val="13"/>
            </w:pPr>
            <w:r>
              <w:t>71.00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预算安排71万元，其中：财政拨款71万元，主要用于防汛防火支出。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30.00</w:t>
            </w:r>
          </w:p>
        </w:tc>
        <w:tc>
          <w:tcPr>
            <w:tcW w:w="2551" w:type="dxa"/>
            <w:vAlign w:val="center"/>
          </w:tcPr>
          <w:p>
            <w:pPr>
              <w:pStyle w:val="14"/>
            </w:pPr>
            <w:r>
              <w:t>50.00</w:t>
            </w:r>
          </w:p>
        </w:tc>
        <w:tc>
          <w:tcPr>
            <w:tcW w:w="3544" w:type="dxa"/>
            <w:gridSpan w:val="2"/>
            <w:vAlign w:val="center"/>
          </w:tcPr>
          <w:p>
            <w:pPr>
              <w:pStyle w:val="14"/>
            </w:pPr>
            <w:r>
              <w:t>71.00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1.通过开展应急救援工作，使组织协调重要应急物资的储备、调拨和紧急配送，承担救灾款物的管理、分配和监督使用管理工作如期完成。</w:t>
            </w:r>
          </w:p>
          <w:p>
            <w:pPr>
              <w:pStyle w:val="13"/>
            </w:pPr>
            <w:r>
              <w:t>2.通过开展应急救援工作，值守值班、应急预案编制演练、各项灾害防治工作正常开展。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印刷费成本</w:t>
            </w:r>
          </w:p>
        </w:tc>
        <w:tc>
          <w:tcPr>
            <w:tcW w:w="5386" w:type="dxa"/>
            <w:vAlign w:val="center"/>
          </w:tcPr>
          <w:p>
            <w:pPr>
              <w:pStyle w:val="13"/>
            </w:pPr>
            <w:r>
              <w:t>反映用于印刷的费用</w:t>
            </w:r>
          </w:p>
        </w:tc>
        <w:tc>
          <w:tcPr>
            <w:tcW w:w="2268" w:type="dxa"/>
            <w:vAlign w:val="center"/>
          </w:tcPr>
          <w:p>
            <w:pPr>
              <w:pStyle w:val="13"/>
            </w:pPr>
            <w:r>
              <w:t>≤6万元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公车运行维护费成本</w:t>
            </w:r>
          </w:p>
        </w:tc>
        <w:tc>
          <w:tcPr>
            <w:tcW w:w="5386" w:type="dxa"/>
            <w:vAlign w:val="center"/>
          </w:tcPr>
          <w:p>
            <w:pPr>
              <w:pStyle w:val="13"/>
            </w:pPr>
            <w:r>
              <w:t>反映用于公车使用费用</w:t>
            </w:r>
          </w:p>
        </w:tc>
        <w:tc>
          <w:tcPr>
            <w:tcW w:w="2268" w:type="dxa"/>
            <w:vAlign w:val="center"/>
          </w:tcPr>
          <w:p>
            <w:pPr>
              <w:pStyle w:val="13"/>
            </w:pPr>
            <w:r>
              <w:t>≤30万元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反映用于租用社会车辆费用</w:t>
            </w:r>
          </w:p>
        </w:tc>
        <w:tc>
          <w:tcPr>
            <w:tcW w:w="2268" w:type="dxa"/>
            <w:vAlign w:val="center"/>
          </w:tcPr>
          <w:p>
            <w:pPr>
              <w:pStyle w:val="13"/>
            </w:pPr>
            <w:r>
              <w:t>≤20万元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426青龙满族自治县应急管理局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50.73</w:t>
            </w:r>
          </w:p>
        </w:tc>
        <w:tc>
          <w:tcPr>
            <w:tcW w:w="964" w:type="dxa"/>
            <w:vAlign w:val="center"/>
          </w:tcPr>
          <w:p>
            <w:pPr>
              <w:pStyle w:val="16"/>
            </w:pPr>
            <w:r>
              <w:t>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44.93</w:t>
            </w:r>
          </w:p>
        </w:tc>
        <w:tc>
          <w:tcPr>
            <w:tcW w:w="964" w:type="dxa"/>
            <w:vAlign w:val="center"/>
          </w:tcPr>
          <w:p>
            <w:pPr>
              <w:pStyle w:val="16"/>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青龙满族自治县应急管理局本级小计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50.73</w:t>
            </w:r>
          </w:p>
        </w:tc>
        <w:tc>
          <w:tcPr>
            <w:tcW w:w="964" w:type="dxa"/>
            <w:vAlign w:val="center"/>
          </w:tcPr>
          <w:p>
            <w:pPr>
              <w:pStyle w:val="16"/>
            </w:pPr>
            <w:r>
              <w:t>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44.93</w:t>
            </w:r>
          </w:p>
        </w:tc>
        <w:tc>
          <w:tcPr>
            <w:tcW w:w="964" w:type="dxa"/>
            <w:vAlign w:val="center"/>
          </w:tcPr>
          <w:p>
            <w:pPr>
              <w:pStyle w:val="16"/>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关于下达增发2023年国债自然灾害应急能力提升工程（应急领域）补助资金预算的通知（冀财建【2024】26号）</w:t>
            </w:r>
          </w:p>
        </w:tc>
        <w:tc>
          <w:tcPr>
            <w:tcW w:w="964" w:type="dxa"/>
            <w:vAlign w:val="center"/>
          </w:tcPr>
          <w:p>
            <w:pPr>
              <w:pStyle w:val="12"/>
            </w:pPr>
            <w:r>
              <w:t>40.96</w:t>
            </w:r>
          </w:p>
        </w:tc>
        <w:tc>
          <w:tcPr>
            <w:tcW w:w="1134" w:type="dxa"/>
            <w:vAlign w:val="center"/>
          </w:tcPr>
          <w:p>
            <w:pPr>
              <w:pStyle w:val="13"/>
            </w:pPr>
            <w:r>
              <w:t>应急救援设备类</w:t>
            </w:r>
          </w:p>
        </w:tc>
        <w:tc>
          <w:tcPr>
            <w:tcW w:w="1134" w:type="dxa"/>
            <w:vAlign w:val="center"/>
          </w:tcPr>
          <w:p>
            <w:pPr>
              <w:pStyle w:val="13"/>
            </w:pPr>
            <w:r>
              <w:t>A02340800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40.96</w:t>
            </w:r>
          </w:p>
        </w:tc>
        <w:tc>
          <w:tcPr>
            <w:tcW w:w="964" w:type="dxa"/>
            <w:vAlign w:val="center"/>
          </w:tcPr>
          <w:p>
            <w:pPr>
              <w:pStyle w:val="12"/>
            </w:pPr>
            <w:r>
              <w:t>40.96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40.96</w:t>
            </w:r>
          </w:p>
        </w:tc>
        <w:tc>
          <w:tcPr>
            <w:tcW w:w="964" w:type="dxa"/>
            <w:vAlign w:val="center"/>
          </w:tcPr>
          <w:p>
            <w:pPr>
              <w:pStyle w:val="12"/>
            </w:pPr>
            <w:r>
              <w:t>40.96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关于下达增发2023年国债自然灾害应急能力提升工程（应急领域）省级补助资金预算的通知（冀财建【2024】28号）</w:t>
            </w:r>
          </w:p>
        </w:tc>
        <w:tc>
          <w:tcPr>
            <w:tcW w:w="964" w:type="dxa"/>
            <w:vAlign w:val="center"/>
          </w:tcPr>
          <w:p>
            <w:pPr>
              <w:pStyle w:val="12"/>
            </w:pPr>
            <w:r>
              <w:t>3.96</w:t>
            </w:r>
          </w:p>
        </w:tc>
        <w:tc>
          <w:tcPr>
            <w:tcW w:w="1134" w:type="dxa"/>
            <w:vAlign w:val="center"/>
          </w:tcPr>
          <w:p>
            <w:pPr>
              <w:pStyle w:val="13"/>
            </w:pPr>
            <w:r>
              <w:t>应急救援设备类</w:t>
            </w:r>
          </w:p>
        </w:tc>
        <w:tc>
          <w:tcPr>
            <w:tcW w:w="1134" w:type="dxa"/>
            <w:vAlign w:val="center"/>
          </w:tcPr>
          <w:p>
            <w:pPr>
              <w:pStyle w:val="13"/>
            </w:pPr>
            <w:r>
              <w:t>A02340800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3.96</w:t>
            </w:r>
          </w:p>
        </w:tc>
        <w:tc>
          <w:tcPr>
            <w:tcW w:w="964" w:type="dxa"/>
            <w:vAlign w:val="center"/>
          </w:tcPr>
          <w:p>
            <w:pPr>
              <w:pStyle w:val="12"/>
            </w:pPr>
            <w:r>
              <w:t>3.96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3.96</w:t>
            </w:r>
          </w:p>
        </w:tc>
        <w:tc>
          <w:tcPr>
            <w:tcW w:w="964" w:type="dxa"/>
            <w:vAlign w:val="center"/>
          </w:tcPr>
          <w:p>
            <w:pPr>
              <w:pStyle w:val="12"/>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青龙满族自治县应急管理局（含所属单位）上年末固定资产金额为1063.23万元（详见下表）。本年度拟购置固定资产总额为0.00万元，已按要求列入政府采购预算，详见政府采购预算表。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426青龙满族自治县应急管理局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1063.23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318.60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1032</w:t>
            </w:r>
          </w:p>
        </w:tc>
        <w:tc>
          <w:tcPr>
            <w:tcW w:w="2835" w:type="dxa"/>
            <w:vAlign w:val="center"/>
          </w:tcPr>
          <w:p>
            <w:pPr>
              <w:pStyle w:val="12"/>
            </w:pPr>
            <w:r>
              <w:t>646.95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黑体">
    <w:altName w:val="宋体"/>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713585"/>
    <w:rsid w:val="395253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2025-01-24T15:00:00Z</dcterms:created>
  <dc:creator>Administrator</dc:creator>
  <cp:lastModifiedBy>Administrator</cp:lastModifiedBy>
  <dcterms:modified xsi:type="dcterms:W3CDTF">2025-01-24T07:01:33Z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FF23DC264F644962B7D43A668F5552F3</vt:lpwstr>
  </property>
</Properties>
</file>