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bookmarkStart w:id="1" w:name="_GoBack"/>
      <w:bookmarkEnd w:id="1"/>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单位项目预算安排情况及绩效目标</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val="en-US" w:eastAsia="zh-CN"/>
        </w:rPr>
        <w:t>63</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9</w:t>
      </w:r>
    </w:p>
    <w:p>
      <w:pPr>
        <w:pStyle w:val="2"/>
        <w:tabs>
          <w:tab w:val="right" w:leader="dot" w:pos="14562"/>
        </w:tabs>
      </w:pP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1619.59</w:t>
            </w:r>
          </w:p>
        </w:tc>
        <w:tc>
          <w:tcPr>
            <w:tcW w:w="4535" w:type="dxa"/>
            <w:vAlign w:val="center"/>
          </w:tcPr>
          <w:p>
            <w:pPr>
              <w:pStyle w:val="12"/>
            </w:pPr>
            <w:r>
              <w:t>一、一般公共服务支出</w:t>
            </w:r>
          </w:p>
        </w:tc>
        <w:tc>
          <w:tcPr>
            <w:tcW w:w="2126" w:type="dxa"/>
            <w:vAlign w:val="center"/>
          </w:tcPr>
          <w:p>
            <w:pPr>
              <w:pStyle w:val="11"/>
            </w:pPr>
            <w:r>
              <w:t>1242.16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40.50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1660.09</w:t>
            </w:r>
          </w:p>
        </w:tc>
        <w:tc>
          <w:tcPr>
            <w:tcW w:w="4535" w:type="dxa"/>
            <w:vAlign w:val="center"/>
          </w:tcPr>
          <w:p>
            <w:pPr>
              <w:pStyle w:val="14"/>
            </w:pPr>
            <w:r>
              <w:t>本年支出合计</w:t>
            </w:r>
          </w:p>
        </w:tc>
        <w:tc>
          <w:tcPr>
            <w:tcW w:w="2126" w:type="dxa"/>
            <w:vAlign w:val="center"/>
          </w:tcPr>
          <w:p>
            <w:pPr>
              <w:pStyle w:val="15"/>
            </w:pPr>
            <w:r>
              <w:t>1757.23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97.14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1757.23</w:t>
            </w:r>
          </w:p>
        </w:tc>
        <w:tc>
          <w:tcPr>
            <w:tcW w:w="4535" w:type="dxa"/>
            <w:vAlign w:val="center"/>
          </w:tcPr>
          <w:p>
            <w:pPr>
              <w:pStyle w:val="14"/>
            </w:pPr>
            <w:r>
              <w:t>支出总计</w:t>
            </w:r>
          </w:p>
        </w:tc>
        <w:tc>
          <w:tcPr>
            <w:tcW w:w="2126" w:type="dxa"/>
            <w:vAlign w:val="center"/>
          </w:tcPr>
          <w:p>
            <w:pPr>
              <w:pStyle w:val="15"/>
            </w:pPr>
            <w:r>
              <w:t>1757.23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1757.23</w:t>
            </w:r>
          </w:p>
        </w:tc>
        <w:tc>
          <w:tcPr>
            <w:tcW w:w="1134" w:type="dxa"/>
            <w:vAlign w:val="center"/>
          </w:tcPr>
          <w:p>
            <w:pPr>
              <w:pStyle w:val="15"/>
            </w:pPr>
            <w:r>
              <w:t>1660.09</w:t>
            </w:r>
          </w:p>
        </w:tc>
        <w:tc>
          <w:tcPr>
            <w:tcW w:w="1134" w:type="dxa"/>
            <w:vAlign w:val="center"/>
          </w:tcPr>
          <w:p>
            <w:pPr>
              <w:pStyle w:val="15"/>
            </w:pPr>
            <w:r>
              <w:t>1660.09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1242.16</w:t>
            </w:r>
          </w:p>
        </w:tc>
        <w:tc>
          <w:tcPr>
            <w:tcW w:w="1134" w:type="dxa"/>
            <w:vAlign w:val="center"/>
          </w:tcPr>
          <w:p>
            <w:pPr>
              <w:pStyle w:val="11"/>
            </w:pPr>
            <w:r>
              <w:t>1181.02</w:t>
            </w:r>
          </w:p>
        </w:tc>
        <w:tc>
          <w:tcPr>
            <w:tcW w:w="1134" w:type="dxa"/>
            <w:vAlign w:val="center"/>
          </w:tcPr>
          <w:p>
            <w:pPr>
              <w:pStyle w:val="11"/>
            </w:pPr>
            <w:r>
              <w:t>1181.02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1242.16</w:t>
            </w:r>
          </w:p>
        </w:tc>
        <w:tc>
          <w:tcPr>
            <w:tcW w:w="1134" w:type="dxa"/>
            <w:vAlign w:val="center"/>
          </w:tcPr>
          <w:p>
            <w:pPr>
              <w:pStyle w:val="11"/>
            </w:pPr>
            <w:r>
              <w:t>1181.02</w:t>
            </w:r>
          </w:p>
        </w:tc>
        <w:tc>
          <w:tcPr>
            <w:tcW w:w="1134" w:type="dxa"/>
            <w:vAlign w:val="center"/>
          </w:tcPr>
          <w:p>
            <w:pPr>
              <w:pStyle w:val="11"/>
            </w:pPr>
            <w:r>
              <w:t>1181.02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765.29</w:t>
            </w:r>
          </w:p>
        </w:tc>
        <w:tc>
          <w:tcPr>
            <w:tcW w:w="1134" w:type="dxa"/>
            <w:vAlign w:val="center"/>
          </w:tcPr>
          <w:p>
            <w:pPr>
              <w:pStyle w:val="11"/>
            </w:pPr>
            <w:r>
              <w:t>745.15</w:t>
            </w:r>
          </w:p>
        </w:tc>
        <w:tc>
          <w:tcPr>
            <w:tcW w:w="1134" w:type="dxa"/>
            <w:vAlign w:val="center"/>
          </w:tcPr>
          <w:p>
            <w:pPr>
              <w:pStyle w:val="11"/>
            </w:pPr>
            <w:r>
              <w:t>745.15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58.00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32.00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2013812</w:t>
            </w:r>
          </w:p>
        </w:tc>
        <w:tc>
          <w:tcPr>
            <w:tcW w:w="1559" w:type="dxa"/>
            <w:vAlign w:val="center"/>
          </w:tcPr>
          <w:p>
            <w:pPr>
              <w:pStyle w:val="12"/>
            </w:pPr>
            <w:r>
              <w:t>药品事务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378.87</w:t>
            </w:r>
          </w:p>
        </w:tc>
        <w:tc>
          <w:tcPr>
            <w:tcW w:w="1134" w:type="dxa"/>
            <w:vAlign w:val="center"/>
          </w:tcPr>
          <w:p>
            <w:pPr>
              <w:pStyle w:val="11"/>
            </w:pPr>
            <w:r>
              <w:t>378.87</w:t>
            </w:r>
          </w:p>
        </w:tc>
        <w:tc>
          <w:tcPr>
            <w:tcW w:w="1134" w:type="dxa"/>
            <w:vAlign w:val="center"/>
          </w:tcPr>
          <w:p>
            <w:pPr>
              <w:pStyle w:val="11"/>
            </w:pPr>
            <w:r>
              <w:t>378.87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269.84</w:t>
            </w:r>
          </w:p>
        </w:tc>
        <w:tc>
          <w:tcPr>
            <w:tcW w:w="1134" w:type="dxa"/>
            <w:vAlign w:val="center"/>
          </w:tcPr>
          <w:p>
            <w:pPr>
              <w:pStyle w:val="11"/>
            </w:pPr>
            <w:r>
              <w:t>269.84</w:t>
            </w:r>
          </w:p>
        </w:tc>
        <w:tc>
          <w:tcPr>
            <w:tcW w:w="1134" w:type="dxa"/>
            <w:vAlign w:val="center"/>
          </w:tcPr>
          <w:p>
            <w:pPr>
              <w:pStyle w:val="11"/>
            </w:pPr>
            <w:r>
              <w:t>269.84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242.12</w:t>
            </w:r>
          </w:p>
        </w:tc>
        <w:tc>
          <w:tcPr>
            <w:tcW w:w="1134" w:type="dxa"/>
            <w:vAlign w:val="center"/>
          </w:tcPr>
          <w:p>
            <w:pPr>
              <w:pStyle w:val="11"/>
            </w:pPr>
            <w:r>
              <w:t>242.12</w:t>
            </w:r>
          </w:p>
        </w:tc>
        <w:tc>
          <w:tcPr>
            <w:tcW w:w="1134" w:type="dxa"/>
            <w:vAlign w:val="center"/>
          </w:tcPr>
          <w:p>
            <w:pPr>
              <w:pStyle w:val="11"/>
            </w:pPr>
            <w:r>
              <w:t>242.12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93.53</w:t>
            </w:r>
          </w:p>
        </w:tc>
        <w:tc>
          <w:tcPr>
            <w:tcW w:w="1134" w:type="dxa"/>
            <w:vAlign w:val="center"/>
          </w:tcPr>
          <w:p>
            <w:pPr>
              <w:pStyle w:val="11"/>
            </w:pPr>
            <w:r>
              <w:t>93.53</w:t>
            </w:r>
          </w:p>
        </w:tc>
        <w:tc>
          <w:tcPr>
            <w:tcW w:w="1134" w:type="dxa"/>
            <w:vAlign w:val="center"/>
          </w:tcPr>
          <w:p>
            <w:pPr>
              <w:pStyle w:val="11"/>
            </w:pPr>
            <w:r>
              <w:t>93.53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148.59</w:t>
            </w:r>
          </w:p>
        </w:tc>
        <w:tc>
          <w:tcPr>
            <w:tcW w:w="1134" w:type="dxa"/>
            <w:vAlign w:val="center"/>
          </w:tcPr>
          <w:p>
            <w:pPr>
              <w:pStyle w:val="11"/>
            </w:pPr>
            <w:r>
              <w:t>148.59</w:t>
            </w:r>
          </w:p>
        </w:tc>
        <w:tc>
          <w:tcPr>
            <w:tcW w:w="1134" w:type="dxa"/>
            <w:vAlign w:val="center"/>
          </w:tcPr>
          <w:p>
            <w:pPr>
              <w:pStyle w:val="11"/>
            </w:pPr>
            <w:r>
              <w:t>148.59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27.72</w:t>
            </w:r>
          </w:p>
        </w:tc>
        <w:tc>
          <w:tcPr>
            <w:tcW w:w="1134" w:type="dxa"/>
            <w:vAlign w:val="center"/>
          </w:tcPr>
          <w:p>
            <w:pPr>
              <w:pStyle w:val="11"/>
            </w:pPr>
            <w:r>
              <w:t>27.72</w:t>
            </w:r>
          </w:p>
        </w:tc>
        <w:tc>
          <w:tcPr>
            <w:tcW w:w="1134" w:type="dxa"/>
            <w:vAlign w:val="center"/>
          </w:tcPr>
          <w:p>
            <w:pPr>
              <w:pStyle w:val="11"/>
            </w:pPr>
            <w:r>
              <w:t>27.72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27.72</w:t>
            </w:r>
          </w:p>
        </w:tc>
        <w:tc>
          <w:tcPr>
            <w:tcW w:w="1134" w:type="dxa"/>
            <w:vAlign w:val="center"/>
          </w:tcPr>
          <w:p>
            <w:pPr>
              <w:pStyle w:val="11"/>
            </w:pPr>
            <w:r>
              <w:t>27.72</w:t>
            </w:r>
          </w:p>
        </w:tc>
        <w:tc>
          <w:tcPr>
            <w:tcW w:w="1134" w:type="dxa"/>
            <w:vAlign w:val="center"/>
          </w:tcPr>
          <w:p>
            <w:pPr>
              <w:pStyle w:val="11"/>
            </w:pPr>
            <w:r>
              <w:t>27.72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80.42</w:t>
            </w:r>
          </w:p>
        </w:tc>
        <w:tc>
          <w:tcPr>
            <w:tcW w:w="1134" w:type="dxa"/>
            <w:vAlign w:val="center"/>
          </w:tcPr>
          <w:p>
            <w:pPr>
              <w:pStyle w:val="11"/>
            </w:pPr>
            <w:r>
              <w:t>80.42</w:t>
            </w:r>
          </w:p>
        </w:tc>
        <w:tc>
          <w:tcPr>
            <w:tcW w:w="1134" w:type="dxa"/>
            <w:vAlign w:val="center"/>
          </w:tcPr>
          <w:p>
            <w:pPr>
              <w:pStyle w:val="11"/>
            </w:pPr>
            <w:r>
              <w:t>80.42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80.42</w:t>
            </w:r>
          </w:p>
        </w:tc>
        <w:tc>
          <w:tcPr>
            <w:tcW w:w="1134" w:type="dxa"/>
            <w:vAlign w:val="center"/>
          </w:tcPr>
          <w:p>
            <w:pPr>
              <w:pStyle w:val="11"/>
            </w:pPr>
            <w:r>
              <w:t>80.42</w:t>
            </w:r>
          </w:p>
        </w:tc>
        <w:tc>
          <w:tcPr>
            <w:tcW w:w="1134" w:type="dxa"/>
            <w:vAlign w:val="center"/>
          </w:tcPr>
          <w:p>
            <w:pPr>
              <w:pStyle w:val="11"/>
            </w:pPr>
            <w:r>
              <w:t>80.42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46.71</w:t>
            </w:r>
          </w:p>
        </w:tc>
        <w:tc>
          <w:tcPr>
            <w:tcW w:w="1134" w:type="dxa"/>
            <w:vAlign w:val="center"/>
          </w:tcPr>
          <w:p>
            <w:pPr>
              <w:pStyle w:val="11"/>
            </w:pPr>
            <w:r>
              <w:t>46.71</w:t>
            </w:r>
          </w:p>
        </w:tc>
        <w:tc>
          <w:tcPr>
            <w:tcW w:w="1134" w:type="dxa"/>
            <w:vAlign w:val="center"/>
          </w:tcPr>
          <w:p>
            <w:pPr>
              <w:pStyle w:val="11"/>
            </w:pPr>
            <w:r>
              <w:t>46.71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33.70</w:t>
            </w:r>
          </w:p>
        </w:tc>
        <w:tc>
          <w:tcPr>
            <w:tcW w:w="1134" w:type="dxa"/>
            <w:vAlign w:val="center"/>
          </w:tcPr>
          <w:p>
            <w:pPr>
              <w:pStyle w:val="11"/>
            </w:pPr>
            <w:r>
              <w:t>33.70</w:t>
            </w:r>
          </w:p>
        </w:tc>
        <w:tc>
          <w:tcPr>
            <w:tcW w:w="1134" w:type="dxa"/>
            <w:vAlign w:val="center"/>
          </w:tcPr>
          <w:p>
            <w:pPr>
              <w:pStyle w:val="11"/>
            </w:pPr>
            <w:r>
              <w:t>33.70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48.00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48.00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48.00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r>
              <w:t>76.32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1757.23</w:t>
            </w:r>
          </w:p>
        </w:tc>
        <w:tc>
          <w:tcPr>
            <w:tcW w:w="1361" w:type="dxa"/>
            <w:vAlign w:val="center"/>
          </w:tcPr>
          <w:p>
            <w:pPr>
              <w:pStyle w:val="15"/>
            </w:pPr>
            <w:r>
              <w:t>1570.73</w:t>
            </w:r>
          </w:p>
        </w:tc>
        <w:tc>
          <w:tcPr>
            <w:tcW w:w="1361" w:type="dxa"/>
            <w:vAlign w:val="center"/>
          </w:tcPr>
          <w:p>
            <w:pPr>
              <w:pStyle w:val="15"/>
            </w:pPr>
            <w:r>
              <w:t>186.50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1242.16</w:t>
            </w:r>
          </w:p>
        </w:tc>
        <w:tc>
          <w:tcPr>
            <w:tcW w:w="1361" w:type="dxa"/>
            <w:vAlign w:val="center"/>
          </w:tcPr>
          <w:p>
            <w:pPr>
              <w:pStyle w:val="11"/>
            </w:pPr>
            <w:r>
              <w:t>1144.16</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1242.16</w:t>
            </w:r>
          </w:p>
        </w:tc>
        <w:tc>
          <w:tcPr>
            <w:tcW w:w="1361" w:type="dxa"/>
            <w:vAlign w:val="center"/>
          </w:tcPr>
          <w:p>
            <w:pPr>
              <w:pStyle w:val="11"/>
            </w:pPr>
            <w:r>
              <w:t>1144.16</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765.29</w:t>
            </w:r>
          </w:p>
        </w:tc>
        <w:tc>
          <w:tcPr>
            <w:tcW w:w="1361" w:type="dxa"/>
            <w:vAlign w:val="center"/>
          </w:tcPr>
          <w:p>
            <w:pPr>
              <w:pStyle w:val="11"/>
            </w:pPr>
            <w:r>
              <w:t>765.29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2013812</w:t>
            </w:r>
          </w:p>
        </w:tc>
        <w:tc>
          <w:tcPr>
            <w:tcW w:w="4535" w:type="dxa"/>
            <w:vAlign w:val="center"/>
          </w:tcPr>
          <w:p>
            <w:pPr>
              <w:pStyle w:val="12"/>
            </w:pPr>
            <w:r>
              <w:t>药品事务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378.87</w:t>
            </w:r>
          </w:p>
        </w:tc>
        <w:tc>
          <w:tcPr>
            <w:tcW w:w="1361" w:type="dxa"/>
            <w:vAlign w:val="center"/>
          </w:tcPr>
          <w:p>
            <w:pPr>
              <w:pStyle w:val="11"/>
            </w:pPr>
            <w:r>
              <w:t>378.87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269.84</w:t>
            </w:r>
          </w:p>
        </w:tc>
        <w:tc>
          <w:tcPr>
            <w:tcW w:w="1361" w:type="dxa"/>
            <w:vAlign w:val="center"/>
          </w:tcPr>
          <w:p>
            <w:pPr>
              <w:pStyle w:val="11"/>
            </w:pPr>
            <w:r>
              <w:t>269.84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242.12</w:t>
            </w:r>
          </w:p>
        </w:tc>
        <w:tc>
          <w:tcPr>
            <w:tcW w:w="1361" w:type="dxa"/>
            <w:vAlign w:val="center"/>
          </w:tcPr>
          <w:p>
            <w:pPr>
              <w:pStyle w:val="11"/>
            </w:pPr>
            <w:r>
              <w:t>242.12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93.53</w:t>
            </w:r>
          </w:p>
        </w:tc>
        <w:tc>
          <w:tcPr>
            <w:tcW w:w="1361" w:type="dxa"/>
            <w:vAlign w:val="center"/>
          </w:tcPr>
          <w:p>
            <w:pPr>
              <w:pStyle w:val="11"/>
            </w:pPr>
            <w:r>
              <w:t>93.53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148.59</w:t>
            </w:r>
          </w:p>
        </w:tc>
        <w:tc>
          <w:tcPr>
            <w:tcW w:w="1361" w:type="dxa"/>
            <w:vAlign w:val="center"/>
          </w:tcPr>
          <w:p>
            <w:pPr>
              <w:pStyle w:val="11"/>
            </w:pPr>
            <w:r>
              <w:t>148.59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27.72</w:t>
            </w:r>
          </w:p>
        </w:tc>
        <w:tc>
          <w:tcPr>
            <w:tcW w:w="1361" w:type="dxa"/>
            <w:vAlign w:val="center"/>
          </w:tcPr>
          <w:p>
            <w:pPr>
              <w:pStyle w:val="11"/>
            </w:pPr>
            <w:r>
              <w:t>27.72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27.72</w:t>
            </w:r>
          </w:p>
        </w:tc>
        <w:tc>
          <w:tcPr>
            <w:tcW w:w="1361" w:type="dxa"/>
            <w:vAlign w:val="center"/>
          </w:tcPr>
          <w:p>
            <w:pPr>
              <w:pStyle w:val="11"/>
            </w:pPr>
            <w:r>
              <w:t>27.72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80.42</w:t>
            </w:r>
          </w:p>
        </w:tc>
        <w:tc>
          <w:tcPr>
            <w:tcW w:w="1361" w:type="dxa"/>
            <w:vAlign w:val="center"/>
          </w:tcPr>
          <w:p>
            <w:pPr>
              <w:pStyle w:val="11"/>
            </w:pPr>
            <w:r>
              <w:t>80.42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80.42</w:t>
            </w:r>
          </w:p>
        </w:tc>
        <w:tc>
          <w:tcPr>
            <w:tcW w:w="1361" w:type="dxa"/>
            <w:vAlign w:val="center"/>
          </w:tcPr>
          <w:p>
            <w:pPr>
              <w:pStyle w:val="11"/>
            </w:pPr>
            <w:r>
              <w:t>80.42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46.71</w:t>
            </w:r>
          </w:p>
        </w:tc>
        <w:tc>
          <w:tcPr>
            <w:tcW w:w="1361" w:type="dxa"/>
            <w:vAlign w:val="center"/>
          </w:tcPr>
          <w:p>
            <w:pPr>
              <w:pStyle w:val="11"/>
            </w:pPr>
            <w:r>
              <w:t>46.71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33.70</w:t>
            </w:r>
          </w:p>
        </w:tc>
        <w:tc>
          <w:tcPr>
            <w:tcW w:w="1361" w:type="dxa"/>
            <w:vAlign w:val="center"/>
          </w:tcPr>
          <w:p>
            <w:pPr>
              <w:pStyle w:val="11"/>
            </w:pPr>
            <w:r>
              <w:t>33.70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76.32</w:t>
            </w:r>
          </w:p>
        </w:tc>
        <w:tc>
          <w:tcPr>
            <w:tcW w:w="1361" w:type="dxa"/>
            <w:vAlign w:val="center"/>
          </w:tcPr>
          <w:p>
            <w:pPr>
              <w:pStyle w:val="11"/>
            </w:pPr>
            <w:r>
              <w:t>76.32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76.32</w:t>
            </w:r>
          </w:p>
        </w:tc>
        <w:tc>
          <w:tcPr>
            <w:tcW w:w="1361" w:type="dxa"/>
            <w:vAlign w:val="center"/>
          </w:tcPr>
          <w:p>
            <w:pPr>
              <w:pStyle w:val="11"/>
            </w:pPr>
            <w:r>
              <w:t>76.32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76.32</w:t>
            </w:r>
          </w:p>
        </w:tc>
        <w:tc>
          <w:tcPr>
            <w:tcW w:w="1361" w:type="dxa"/>
            <w:vAlign w:val="center"/>
          </w:tcPr>
          <w:p>
            <w:pPr>
              <w:pStyle w:val="11"/>
            </w:pPr>
            <w:r>
              <w:t>76.32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1619.59</w:t>
            </w:r>
          </w:p>
        </w:tc>
        <w:tc>
          <w:tcPr>
            <w:tcW w:w="3402" w:type="dxa"/>
            <w:vAlign w:val="center"/>
          </w:tcPr>
          <w:p>
            <w:pPr>
              <w:pStyle w:val="12"/>
            </w:pPr>
            <w:r>
              <w:t>一、一般公共服务支出</w:t>
            </w:r>
          </w:p>
        </w:tc>
        <w:tc>
          <w:tcPr>
            <w:tcW w:w="1474" w:type="dxa"/>
            <w:vAlign w:val="center"/>
          </w:tcPr>
          <w:p>
            <w:pPr>
              <w:pStyle w:val="11"/>
            </w:pPr>
            <w:r>
              <w:t>1242.16</w:t>
            </w:r>
          </w:p>
        </w:tc>
        <w:tc>
          <w:tcPr>
            <w:tcW w:w="1474" w:type="dxa"/>
            <w:vAlign w:val="center"/>
          </w:tcPr>
          <w:p>
            <w:pPr>
              <w:pStyle w:val="11"/>
            </w:pPr>
            <w:r>
              <w:t>1242.16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40.50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269.84</w:t>
            </w:r>
          </w:p>
        </w:tc>
        <w:tc>
          <w:tcPr>
            <w:tcW w:w="1474" w:type="dxa"/>
            <w:vAlign w:val="center"/>
          </w:tcPr>
          <w:p>
            <w:pPr>
              <w:pStyle w:val="11"/>
            </w:pPr>
            <w:r>
              <w:t>269.84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80.42</w:t>
            </w:r>
          </w:p>
        </w:tc>
        <w:tc>
          <w:tcPr>
            <w:tcW w:w="1474" w:type="dxa"/>
            <w:vAlign w:val="center"/>
          </w:tcPr>
          <w:p>
            <w:pPr>
              <w:pStyle w:val="11"/>
            </w:pPr>
            <w:r>
              <w:t>80.42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40.50</w:t>
            </w:r>
          </w:p>
        </w:tc>
        <w:tc>
          <w:tcPr>
            <w:tcW w:w="1474" w:type="dxa"/>
            <w:vAlign w:val="center"/>
          </w:tcPr>
          <w:p>
            <w:pPr>
              <w:pStyle w:val="11"/>
            </w:pPr>
          </w:p>
        </w:tc>
        <w:tc>
          <w:tcPr>
            <w:tcW w:w="1474" w:type="dxa"/>
            <w:vAlign w:val="center"/>
          </w:tcPr>
          <w:p>
            <w:pPr>
              <w:pStyle w:val="11"/>
            </w:pPr>
            <w:r>
              <w:t>40.50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48.00</w:t>
            </w:r>
          </w:p>
        </w:tc>
        <w:tc>
          <w:tcPr>
            <w:tcW w:w="1474" w:type="dxa"/>
            <w:vAlign w:val="center"/>
          </w:tcPr>
          <w:p>
            <w:pPr>
              <w:pStyle w:val="11"/>
            </w:pPr>
            <w:r>
              <w:t>48.00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76.32</w:t>
            </w:r>
          </w:p>
        </w:tc>
        <w:tc>
          <w:tcPr>
            <w:tcW w:w="1474" w:type="dxa"/>
            <w:vAlign w:val="center"/>
          </w:tcPr>
          <w:p>
            <w:pPr>
              <w:pStyle w:val="11"/>
            </w:pPr>
            <w:r>
              <w:t>76.32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1660.09</w:t>
            </w:r>
          </w:p>
        </w:tc>
        <w:tc>
          <w:tcPr>
            <w:tcW w:w="3402" w:type="dxa"/>
            <w:vAlign w:val="center"/>
          </w:tcPr>
          <w:p>
            <w:pPr>
              <w:pStyle w:val="14"/>
            </w:pPr>
            <w:r>
              <w:t>本年支出合计</w:t>
            </w:r>
          </w:p>
        </w:tc>
        <w:tc>
          <w:tcPr>
            <w:tcW w:w="1474" w:type="dxa"/>
            <w:vAlign w:val="center"/>
          </w:tcPr>
          <w:p>
            <w:pPr>
              <w:pStyle w:val="15"/>
            </w:pPr>
            <w:r>
              <w:t>1757.23</w:t>
            </w:r>
          </w:p>
        </w:tc>
        <w:tc>
          <w:tcPr>
            <w:tcW w:w="1474" w:type="dxa"/>
            <w:vAlign w:val="center"/>
          </w:tcPr>
          <w:p>
            <w:pPr>
              <w:pStyle w:val="15"/>
            </w:pPr>
            <w:r>
              <w:t>1716.73</w:t>
            </w:r>
          </w:p>
        </w:tc>
        <w:tc>
          <w:tcPr>
            <w:tcW w:w="1474" w:type="dxa"/>
            <w:vAlign w:val="center"/>
          </w:tcPr>
          <w:p>
            <w:pPr>
              <w:pStyle w:val="15"/>
            </w:pPr>
            <w:r>
              <w:t>40.50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97.14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97.14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1757.23</w:t>
            </w:r>
          </w:p>
        </w:tc>
        <w:tc>
          <w:tcPr>
            <w:tcW w:w="3402" w:type="dxa"/>
            <w:vAlign w:val="center"/>
          </w:tcPr>
          <w:p>
            <w:pPr>
              <w:pStyle w:val="14"/>
            </w:pPr>
            <w:r>
              <w:t>支出总计</w:t>
            </w:r>
          </w:p>
        </w:tc>
        <w:tc>
          <w:tcPr>
            <w:tcW w:w="1474" w:type="dxa"/>
            <w:vAlign w:val="center"/>
          </w:tcPr>
          <w:p>
            <w:pPr>
              <w:pStyle w:val="15"/>
            </w:pPr>
            <w:r>
              <w:t>1757.23</w:t>
            </w:r>
          </w:p>
        </w:tc>
        <w:tc>
          <w:tcPr>
            <w:tcW w:w="1474" w:type="dxa"/>
            <w:vAlign w:val="center"/>
          </w:tcPr>
          <w:p>
            <w:pPr>
              <w:pStyle w:val="15"/>
            </w:pPr>
            <w:r>
              <w:t>1716.73</w:t>
            </w:r>
          </w:p>
        </w:tc>
        <w:tc>
          <w:tcPr>
            <w:tcW w:w="1474" w:type="dxa"/>
            <w:vAlign w:val="center"/>
          </w:tcPr>
          <w:p>
            <w:pPr>
              <w:pStyle w:val="15"/>
            </w:pPr>
            <w:r>
              <w:t>40.50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1716.73</w:t>
            </w:r>
          </w:p>
        </w:tc>
        <w:tc>
          <w:tcPr>
            <w:tcW w:w="2551" w:type="dxa"/>
            <w:vAlign w:val="center"/>
          </w:tcPr>
          <w:p>
            <w:pPr>
              <w:pStyle w:val="15"/>
            </w:pPr>
            <w:r>
              <w:t>1570.73</w:t>
            </w:r>
          </w:p>
        </w:tc>
        <w:tc>
          <w:tcPr>
            <w:tcW w:w="2551" w:type="dxa"/>
            <w:vAlign w:val="center"/>
          </w:tcPr>
          <w:p>
            <w:pPr>
              <w:pStyle w:val="15"/>
            </w:pPr>
            <w:r>
              <w:t>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1242.16</w:t>
            </w:r>
          </w:p>
        </w:tc>
        <w:tc>
          <w:tcPr>
            <w:tcW w:w="2551" w:type="dxa"/>
            <w:vAlign w:val="center"/>
          </w:tcPr>
          <w:p>
            <w:pPr>
              <w:pStyle w:val="11"/>
            </w:pPr>
            <w:r>
              <w:t>1144.16</w:t>
            </w:r>
          </w:p>
        </w:tc>
        <w:tc>
          <w:tcPr>
            <w:tcW w:w="2551" w:type="dxa"/>
            <w:vAlign w:val="center"/>
          </w:tcPr>
          <w:p>
            <w:pPr>
              <w:pStyle w:val="11"/>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1242.16</w:t>
            </w:r>
          </w:p>
        </w:tc>
        <w:tc>
          <w:tcPr>
            <w:tcW w:w="2551" w:type="dxa"/>
            <w:vAlign w:val="center"/>
          </w:tcPr>
          <w:p>
            <w:pPr>
              <w:pStyle w:val="11"/>
            </w:pPr>
            <w:r>
              <w:t>1144.16</w:t>
            </w:r>
          </w:p>
        </w:tc>
        <w:tc>
          <w:tcPr>
            <w:tcW w:w="2551" w:type="dxa"/>
            <w:vAlign w:val="center"/>
          </w:tcPr>
          <w:p>
            <w:pPr>
              <w:pStyle w:val="11"/>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765.29</w:t>
            </w:r>
          </w:p>
        </w:tc>
        <w:tc>
          <w:tcPr>
            <w:tcW w:w="2551" w:type="dxa"/>
            <w:vAlign w:val="center"/>
          </w:tcPr>
          <w:p>
            <w:pPr>
              <w:pStyle w:val="11"/>
            </w:pPr>
            <w:r>
              <w:t>765.29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58.00</w:t>
            </w:r>
          </w:p>
        </w:tc>
        <w:tc>
          <w:tcPr>
            <w:tcW w:w="2551" w:type="dxa"/>
            <w:vAlign w:val="center"/>
          </w:tcPr>
          <w:p>
            <w:pPr>
              <w:pStyle w:val="11"/>
            </w:pPr>
          </w:p>
        </w:tc>
        <w:tc>
          <w:tcPr>
            <w:tcW w:w="2551" w:type="dxa"/>
            <w:vAlign w:val="center"/>
          </w:tcPr>
          <w:p>
            <w:pPr>
              <w:pStyle w:val="11"/>
            </w:pPr>
            <w: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2013812</w:t>
            </w:r>
          </w:p>
        </w:tc>
        <w:tc>
          <w:tcPr>
            <w:tcW w:w="4535" w:type="dxa"/>
            <w:vAlign w:val="center"/>
          </w:tcPr>
          <w:p>
            <w:pPr>
              <w:pStyle w:val="12"/>
            </w:pPr>
            <w:r>
              <w:t>药品事务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378.87</w:t>
            </w:r>
          </w:p>
        </w:tc>
        <w:tc>
          <w:tcPr>
            <w:tcW w:w="2551" w:type="dxa"/>
            <w:vAlign w:val="center"/>
          </w:tcPr>
          <w:p>
            <w:pPr>
              <w:pStyle w:val="11"/>
            </w:pPr>
            <w:r>
              <w:t>378.87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269.84</w:t>
            </w:r>
          </w:p>
        </w:tc>
        <w:tc>
          <w:tcPr>
            <w:tcW w:w="2551" w:type="dxa"/>
            <w:vAlign w:val="center"/>
          </w:tcPr>
          <w:p>
            <w:pPr>
              <w:pStyle w:val="11"/>
            </w:pPr>
            <w:r>
              <w:t>269.84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242.12</w:t>
            </w:r>
          </w:p>
        </w:tc>
        <w:tc>
          <w:tcPr>
            <w:tcW w:w="2551" w:type="dxa"/>
            <w:vAlign w:val="center"/>
          </w:tcPr>
          <w:p>
            <w:pPr>
              <w:pStyle w:val="11"/>
            </w:pPr>
            <w:r>
              <w:t>242.12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93.53</w:t>
            </w:r>
          </w:p>
        </w:tc>
        <w:tc>
          <w:tcPr>
            <w:tcW w:w="2551" w:type="dxa"/>
            <w:vAlign w:val="center"/>
          </w:tcPr>
          <w:p>
            <w:pPr>
              <w:pStyle w:val="11"/>
            </w:pPr>
            <w:r>
              <w:t>93.53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148.59</w:t>
            </w:r>
          </w:p>
        </w:tc>
        <w:tc>
          <w:tcPr>
            <w:tcW w:w="2551" w:type="dxa"/>
            <w:vAlign w:val="center"/>
          </w:tcPr>
          <w:p>
            <w:pPr>
              <w:pStyle w:val="11"/>
            </w:pPr>
            <w:r>
              <w:t>148.59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27.72</w:t>
            </w:r>
          </w:p>
        </w:tc>
        <w:tc>
          <w:tcPr>
            <w:tcW w:w="2551" w:type="dxa"/>
            <w:vAlign w:val="center"/>
          </w:tcPr>
          <w:p>
            <w:pPr>
              <w:pStyle w:val="11"/>
            </w:pPr>
            <w:r>
              <w:t>27.72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27.72</w:t>
            </w:r>
          </w:p>
        </w:tc>
        <w:tc>
          <w:tcPr>
            <w:tcW w:w="2551" w:type="dxa"/>
            <w:vAlign w:val="center"/>
          </w:tcPr>
          <w:p>
            <w:pPr>
              <w:pStyle w:val="11"/>
            </w:pPr>
            <w:r>
              <w:t>27.72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80.42</w:t>
            </w:r>
          </w:p>
        </w:tc>
        <w:tc>
          <w:tcPr>
            <w:tcW w:w="2551" w:type="dxa"/>
            <w:vAlign w:val="center"/>
          </w:tcPr>
          <w:p>
            <w:pPr>
              <w:pStyle w:val="11"/>
            </w:pPr>
            <w:r>
              <w:t>80.42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80.42</w:t>
            </w:r>
          </w:p>
        </w:tc>
        <w:tc>
          <w:tcPr>
            <w:tcW w:w="2551" w:type="dxa"/>
            <w:vAlign w:val="center"/>
          </w:tcPr>
          <w:p>
            <w:pPr>
              <w:pStyle w:val="11"/>
            </w:pPr>
            <w:r>
              <w:t>80.42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46.71</w:t>
            </w:r>
          </w:p>
        </w:tc>
        <w:tc>
          <w:tcPr>
            <w:tcW w:w="2551" w:type="dxa"/>
            <w:vAlign w:val="center"/>
          </w:tcPr>
          <w:p>
            <w:pPr>
              <w:pStyle w:val="11"/>
            </w:pPr>
            <w:r>
              <w:t>46.71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33.70</w:t>
            </w:r>
          </w:p>
        </w:tc>
        <w:tc>
          <w:tcPr>
            <w:tcW w:w="2551" w:type="dxa"/>
            <w:vAlign w:val="center"/>
          </w:tcPr>
          <w:p>
            <w:pPr>
              <w:pStyle w:val="11"/>
            </w:pPr>
            <w:r>
              <w:t>33.70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76.32</w:t>
            </w:r>
          </w:p>
        </w:tc>
        <w:tc>
          <w:tcPr>
            <w:tcW w:w="2551" w:type="dxa"/>
            <w:vAlign w:val="center"/>
          </w:tcPr>
          <w:p>
            <w:pPr>
              <w:pStyle w:val="11"/>
            </w:pPr>
            <w:r>
              <w:t>76.32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76.32</w:t>
            </w:r>
          </w:p>
        </w:tc>
        <w:tc>
          <w:tcPr>
            <w:tcW w:w="2551" w:type="dxa"/>
            <w:vAlign w:val="center"/>
          </w:tcPr>
          <w:p>
            <w:pPr>
              <w:pStyle w:val="11"/>
            </w:pPr>
            <w:r>
              <w:t>76.32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76.32</w:t>
            </w:r>
          </w:p>
        </w:tc>
        <w:tc>
          <w:tcPr>
            <w:tcW w:w="2551" w:type="dxa"/>
            <w:vAlign w:val="center"/>
          </w:tcPr>
          <w:p>
            <w:pPr>
              <w:pStyle w:val="11"/>
            </w:pPr>
            <w:r>
              <w:t>76.32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1570.73</w:t>
            </w:r>
          </w:p>
        </w:tc>
        <w:tc>
          <w:tcPr>
            <w:tcW w:w="2551" w:type="dxa"/>
            <w:vAlign w:val="center"/>
          </w:tcPr>
          <w:p>
            <w:pPr>
              <w:pStyle w:val="15"/>
            </w:pPr>
            <w:r>
              <w:t>1402.67</w:t>
            </w:r>
          </w:p>
        </w:tc>
        <w:tc>
          <w:tcPr>
            <w:tcW w:w="2551" w:type="dxa"/>
            <w:vAlign w:val="center"/>
          </w:tcPr>
          <w:p>
            <w:pPr>
              <w:pStyle w:val="15"/>
            </w:pPr>
            <w:r>
              <w:t>168.06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1281.42</w:t>
            </w:r>
          </w:p>
        </w:tc>
        <w:tc>
          <w:tcPr>
            <w:tcW w:w="2551" w:type="dxa"/>
            <w:vAlign w:val="center"/>
          </w:tcPr>
          <w:p>
            <w:pPr>
              <w:pStyle w:val="11"/>
            </w:pPr>
            <w:r>
              <w:t>1281.42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559.00</w:t>
            </w:r>
          </w:p>
        </w:tc>
        <w:tc>
          <w:tcPr>
            <w:tcW w:w="2551" w:type="dxa"/>
            <w:vAlign w:val="center"/>
          </w:tcPr>
          <w:p>
            <w:pPr>
              <w:pStyle w:val="11"/>
            </w:pPr>
            <w:r>
              <w:t>559.00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198.89</w:t>
            </w:r>
          </w:p>
        </w:tc>
        <w:tc>
          <w:tcPr>
            <w:tcW w:w="2551" w:type="dxa"/>
            <w:vAlign w:val="center"/>
          </w:tcPr>
          <w:p>
            <w:pPr>
              <w:pStyle w:val="11"/>
            </w:pPr>
            <w:r>
              <w:t>198.89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75.16</w:t>
            </w:r>
          </w:p>
        </w:tc>
        <w:tc>
          <w:tcPr>
            <w:tcW w:w="2551" w:type="dxa"/>
            <w:vAlign w:val="center"/>
          </w:tcPr>
          <w:p>
            <w:pPr>
              <w:pStyle w:val="11"/>
            </w:pPr>
            <w:r>
              <w:t>75.16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138.41</w:t>
            </w:r>
          </w:p>
        </w:tc>
        <w:tc>
          <w:tcPr>
            <w:tcW w:w="2551" w:type="dxa"/>
            <w:vAlign w:val="center"/>
          </w:tcPr>
          <w:p>
            <w:pPr>
              <w:pStyle w:val="11"/>
            </w:pPr>
            <w:r>
              <w:t>138.41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148.59</w:t>
            </w:r>
          </w:p>
        </w:tc>
        <w:tc>
          <w:tcPr>
            <w:tcW w:w="2551" w:type="dxa"/>
            <w:vAlign w:val="center"/>
          </w:tcPr>
          <w:p>
            <w:pPr>
              <w:pStyle w:val="11"/>
            </w:pPr>
            <w:r>
              <w:t>148.59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80.42</w:t>
            </w:r>
          </w:p>
        </w:tc>
        <w:tc>
          <w:tcPr>
            <w:tcW w:w="2551" w:type="dxa"/>
            <w:vAlign w:val="center"/>
          </w:tcPr>
          <w:p>
            <w:pPr>
              <w:pStyle w:val="11"/>
            </w:pPr>
            <w:r>
              <w:t>80.42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4.64</w:t>
            </w:r>
          </w:p>
        </w:tc>
        <w:tc>
          <w:tcPr>
            <w:tcW w:w="2551" w:type="dxa"/>
            <w:vAlign w:val="center"/>
          </w:tcPr>
          <w:p>
            <w:pPr>
              <w:pStyle w:val="11"/>
            </w:pPr>
            <w:r>
              <w:t>4.64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76.32</w:t>
            </w:r>
          </w:p>
        </w:tc>
        <w:tc>
          <w:tcPr>
            <w:tcW w:w="2551" w:type="dxa"/>
            <w:vAlign w:val="center"/>
          </w:tcPr>
          <w:p>
            <w:pPr>
              <w:pStyle w:val="11"/>
            </w:pPr>
            <w:r>
              <w:t>76.32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168.06</w:t>
            </w:r>
          </w:p>
        </w:tc>
        <w:tc>
          <w:tcPr>
            <w:tcW w:w="2551" w:type="dxa"/>
            <w:vAlign w:val="center"/>
          </w:tcPr>
          <w:p>
            <w:pPr>
              <w:pStyle w:val="11"/>
            </w:pPr>
          </w:p>
        </w:tc>
        <w:tc>
          <w:tcPr>
            <w:tcW w:w="2551" w:type="dxa"/>
            <w:vAlign w:val="center"/>
          </w:tcPr>
          <w:p>
            <w:pPr>
              <w:pStyle w:val="11"/>
            </w:pPr>
            <w:r>
              <w:t>168.06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10.09</w:t>
            </w:r>
          </w:p>
        </w:tc>
        <w:tc>
          <w:tcPr>
            <w:tcW w:w="2551" w:type="dxa"/>
            <w:vAlign w:val="center"/>
          </w:tcPr>
          <w:p>
            <w:pPr>
              <w:pStyle w:val="11"/>
            </w:pPr>
          </w:p>
        </w:tc>
        <w:tc>
          <w:tcPr>
            <w:tcW w:w="2551" w:type="dxa"/>
            <w:vAlign w:val="center"/>
          </w:tcPr>
          <w:p>
            <w:pPr>
              <w:pStyle w:val="11"/>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53.49</w:t>
            </w:r>
          </w:p>
        </w:tc>
        <w:tc>
          <w:tcPr>
            <w:tcW w:w="2551" w:type="dxa"/>
            <w:vAlign w:val="center"/>
          </w:tcPr>
          <w:p>
            <w:pPr>
              <w:pStyle w:val="11"/>
            </w:pPr>
          </w:p>
        </w:tc>
        <w:tc>
          <w:tcPr>
            <w:tcW w:w="2551" w:type="dxa"/>
            <w:vAlign w:val="center"/>
          </w:tcPr>
          <w:p>
            <w:pPr>
              <w:pStyle w:val="11"/>
            </w:pPr>
            <w:r>
              <w:t>53.49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44.82</w:t>
            </w:r>
          </w:p>
        </w:tc>
        <w:tc>
          <w:tcPr>
            <w:tcW w:w="2551" w:type="dxa"/>
            <w:vAlign w:val="center"/>
          </w:tcPr>
          <w:p>
            <w:pPr>
              <w:pStyle w:val="11"/>
            </w:pPr>
          </w:p>
        </w:tc>
        <w:tc>
          <w:tcPr>
            <w:tcW w:w="2551" w:type="dxa"/>
            <w:vAlign w:val="center"/>
          </w:tcPr>
          <w:p>
            <w:pPr>
              <w:pStyle w:val="11"/>
            </w:pPr>
            <w:r>
              <w:t>44.82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121.25</w:t>
            </w:r>
          </w:p>
        </w:tc>
        <w:tc>
          <w:tcPr>
            <w:tcW w:w="2551" w:type="dxa"/>
            <w:vAlign w:val="center"/>
          </w:tcPr>
          <w:p>
            <w:pPr>
              <w:pStyle w:val="11"/>
            </w:pPr>
            <w:r>
              <w:t>121.25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11.04</w:t>
            </w:r>
          </w:p>
        </w:tc>
        <w:tc>
          <w:tcPr>
            <w:tcW w:w="2551" w:type="dxa"/>
            <w:vAlign w:val="center"/>
          </w:tcPr>
          <w:p>
            <w:pPr>
              <w:pStyle w:val="11"/>
            </w:pPr>
            <w:r>
              <w:t>11.04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82.49</w:t>
            </w:r>
          </w:p>
        </w:tc>
        <w:tc>
          <w:tcPr>
            <w:tcW w:w="2551" w:type="dxa"/>
            <w:vAlign w:val="center"/>
          </w:tcPr>
          <w:p>
            <w:pPr>
              <w:pStyle w:val="11"/>
            </w:pPr>
            <w:r>
              <w:t>82.49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27.72</w:t>
            </w:r>
          </w:p>
        </w:tc>
        <w:tc>
          <w:tcPr>
            <w:tcW w:w="2551" w:type="dxa"/>
            <w:vAlign w:val="center"/>
          </w:tcPr>
          <w:p>
            <w:pPr>
              <w:pStyle w:val="11"/>
            </w:pPr>
            <w:r>
              <w:t>27.72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40.50</w:t>
            </w:r>
          </w:p>
        </w:tc>
        <w:tc>
          <w:tcPr>
            <w:tcW w:w="2551" w:type="dxa"/>
            <w:vAlign w:val="center"/>
          </w:tcPr>
          <w:p>
            <w:pPr>
              <w:pStyle w:val="15"/>
            </w:pPr>
          </w:p>
        </w:tc>
        <w:tc>
          <w:tcPr>
            <w:tcW w:w="2551" w:type="dxa"/>
            <w:vAlign w:val="center"/>
          </w:tcPr>
          <w:p>
            <w:pPr>
              <w:pStyle w:val="15"/>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1</w:t>
            </w:r>
          </w:p>
        </w:tc>
        <w:tc>
          <w:tcPr>
            <w:tcW w:w="3798" w:type="dxa"/>
            <w:vAlign w:val="center"/>
          </w:tcPr>
          <w:p>
            <w:pPr>
              <w:pStyle w:val="14"/>
              <w:ind w:firstLine="0" w:firstLineChars="0"/>
            </w:pPr>
            <w:r>
              <w:t>“三公”经费小计</w:t>
            </w:r>
          </w:p>
        </w:tc>
        <w:tc>
          <w:tcPr>
            <w:tcW w:w="2381" w:type="dxa"/>
            <w:vAlign w:val="center"/>
          </w:tcPr>
          <w:p>
            <w:pPr>
              <w:pStyle w:val="11"/>
              <w:ind w:firstLine="0" w:firstLineChars="0"/>
              <w:jc w:val="center"/>
            </w:pPr>
            <w:r>
              <w:rPr>
                <w:rFonts w:hint="eastAsia"/>
                <w:lang w:val="en-US" w:eastAsia="zh-CN"/>
              </w:rPr>
              <w:t>30.90</w:t>
            </w:r>
          </w:p>
        </w:tc>
        <w:tc>
          <w:tcPr>
            <w:tcW w:w="2381" w:type="dxa"/>
            <w:vAlign w:val="center"/>
          </w:tcPr>
          <w:p>
            <w:pPr>
              <w:pStyle w:val="11"/>
              <w:ind w:firstLine="0" w:firstLineChars="0"/>
              <w:jc w:val="center"/>
            </w:pPr>
            <w:r>
              <w:rPr>
                <w:rFonts w:hint="eastAsia"/>
                <w:lang w:val="en-US" w:eastAsia="zh-CN"/>
              </w:rPr>
              <w:t>30.90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2</w:t>
            </w:r>
          </w:p>
        </w:tc>
        <w:tc>
          <w:tcPr>
            <w:tcW w:w="3798" w:type="dxa"/>
            <w:vAlign w:val="center"/>
          </w:tcPr>
          <w:p>
            <w:pPr>
              <w:pStyle w:val="12"/>
              <w:ind w:firstLine="0" w:firstLineChars="0"/>
            </w:pPr>
            <w:r>
              <w:t>一、因公出国（境）费</w:t>
            </w:r>
          </w:p>
        </w:tc>
        <w:tc>
          <w:tcPr>
            <w:tcW w:w="2381" w:type="dxa"/>
            <w:vAlign w:val="center"/>
          </w:tcPr>
          <w:p>
            <w:pPr>
              <w:pStyle w:val="11"/>
              <w:ind w:firstLine="0" w:firstLineChars="0"/>
              <w:jc w:val="center"/>
            </w:pPr>
          </w:p>
        </w:tc>
        <w:tc>
          <w:tcPr>
            <w:tcW w:w="2381" w:type="dxa"/>
            <w:vAlign w:val="center"/>
          </w:tcPr>
          <w:p>
            <w:pPr>
              <w:pStyle w:val="11"/>
              <w:ind w:firstLine="0" w:firstLineChars="0"/>
              <w:jc w:val="center"/>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3</w:t>
            </w:r>
          </w:p>
        </w:tc>
        <w:tc>
          <w:tcPr>
            <w:tcW w:w="3798" w:type="dxa"/>
            <w:vAlign w:val="center"/>
          </w:tcPr>
          <w:p>
            <w:pPr>
              <w:pStyle w:val="12"/>
              <w:ind w:firstLine="0" w:firstLineChars="0"/>
            </w:pPr>
            <w:r>
              <w:t xml:space="preserve">    其中：教学科研人员因公出国（境）费</w:t>
            </w:r>
          </w:p>
        </w:tc>
        <w:tc>
          <w:tcPr>
            <w:tcW w:w="2381" w:type="dxa"/>
            <w:vAlign w:val="center"/>
          </w:tcPr>
          <w:p>
            <w:pPr>
              <w:pStyle w:val="11"/>
              <w:ind w:firstLine="0" w:firstLineChars="0"/>
              <w:jc w:val="center"/>
            </w:pPr>
          </w:p>
        </w:tc>
        <w:tc>
          <w:tcPr>
            <w:tcW w:w="2381" w:type="dxa"/>
            <w:vAlign w:val="center"/>
          </w:tcPr>
          <w:p>
            <w:pPr>
              <w:pStyle w:val="11"/>
              <w:ind w:firstLine="0" w:firstLineChars="0"/>
              <w:jc w:val="center"/>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4</w:t>
            </w:r>
          </w:p>
        </w:tc>
        <w:tc>
          <w:tcPr>
            <w:tcW w:w="3798" w:type="dxa"/>
            <w:vAlign w:val="center"/>
          </w:tcPr>
          <w:p>
            <w:pPr>
              <w:pStyle w:val="12"/>
              <w:ind w:firstLine="0" w:firstLineChars="0"/>
            </w:pPr>
            <w:r>
              <w:t xml:space="preserve">          其他因公出国（境）费</w:t>
            </w:r>
          </w:p>
        </w:tc>
        <w:tc>
          <w:tcPr>
            <w:tcW w:w="2381" w:type="dxa"/>
            <w:vAlign w:val="center"/>
          </w:tcPr>
          <w:p>
            <w:pPr>
              <w:pStyle w:val="11"/>
              <w:ind w:firstLine="0" w:firstLineChars="0"/>
              <w:jc w:val="center"/>
            </w:pPr>
          </w:p>
        </w:tc>
        <w:tc>
          <w:tcPr>
            <w:tcW w:w="2381" w:type="dxa"/>
            <w:vAlign w:val="center"/>
          </w:tcPr>
          <w:p>
            <w:pPr>
              <w:pStyle w:val="11"/>
              <w:ind w:firstLine="0" w:firstLineChars="0"/>
              <w:jc w:val="center"/>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5</w:t>
            </w:r>
          </w:p>
        </w:tc>
        <w:tc>
          <w:tcPr>
            <w:tcW w:w="3798" w:type="dxa"/>
            <w:vAlign w:val="center"/>
          </w:tcPr>
          <w:p>
            <w:pPr>
              <w:pStyle w:val="12"/>
              <w:ind w:firstLine="0" w:firstLineChars="0"/>
            </w:pPr>
            <w:r>
              <w:t>二、公务用车购置及运维费</w:t>
            </w:r>
          </w:p>
        </w:tc>
        <w:tc>
          <w:tcPr>
            <w:tcW w:w="2381" w:type="dxa"/>
            <w:vAlign w:val="center"/>
          </w:tcPr>
          <w:p>
            <w:pPr>
              <w:pStyle w:val="11"/>
              <w:ind w:firstLine="0" w:firstLineChars="0"/>
              <w:jc w:val="center"/>
            </w:pPr>
            <w:r>
              <w:rPr>
                <w:rFonts w:hint="eastAsia"/>
                <w:lang w:val="en-US" w:eastAsia="zh-CN"/>
              </w:rPr>
              <w:t>29.50</w:t>
            </w:r>
          </w:p>
        </w:tc>
        <w:tc>
          <w:tcPr>
            <w:tcW w:w="2381" w:type="dxa"/>
            <w:vAlign w:val="center"/>
          </w:tcPr>
          <w:p>
            <w:pPr>
              <w:pStyle w:val="11"/>
              <w:ind w:firstLine="0" w:firstLineChars="0"/>
              <w:jc w:val="center"/>
            </w:pPr>
            <w:r>
              <w:rPr>
                <w:rFonts w:hint="eastAsia"/>
                <w:lang w:val="en-US" w:eastAsia="zh-CN"/>
              </w:rPr>
              <w:t>29.50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6</w:t>
            </w:r>
          </w:p>
        </w:tc>
        <w:tc>
          <w:tcPr>
            <w:tcW w:w="3798" w:type="dxa"/>
            <w:vAlign w:val="center"/>
          </w:tcPr>
          <w:p>
            <w:pPr>
              <w:pStyle w:val="12"/>
              <w:ind w:firstLine="0" w:firstLineChars="0"/>
            </w:pPr>
            <w:r>
              <w:t xml:space="preserve">    其中：公务用车购置费</w:t>
            </w:r>
          </w:p>
        </w:tc>
        <w:tc>
          <w:tcPr>
            <w:tcW w:w="2381" w:type="dxa"/>
            <w:vAlign w:val="center"/>
          </w:tcPr>
          <w:p>
            <w:pPr>
              <w:pStyle w:val="11"/>
              <w:ind w:firstLine="0" w:firstLineChars="0"/>
              <w:jc w:val="center"/>
            </w:pPr>
          </w:p>
        </w:tc>
        <w:tc>
          <w:tcPr>
            <w:tcW w:w="2381" w:type="dxa"/>
            <w:vAlign w:val="center"/>
          </w:tcPr>
          <w:p>
            <w:pPr>
              <w:pStyle w:val="11"/>
              <w:ind w:firstLine="0" w:firstLineChars="0"/>
              <w:jc w:val="center"/>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7</w:t>
            </w:r>
          </w:p>
        </w:tc>
        <w:tc>
          <w:tcPr>
            <w:tcW w:w="3798" w:type="dxa"/>
            <w:vAlign w:val="center"/>
          </w:tcPr>
          <w:p>
            <w:pPr>
              <w:pStyle w:val="12"/>
              <w:ind w:firstLine="0" w:firstLineChars="0"/>
            </w:pPr>
            <w:r>
              <w:t xml:space="preserve">          公务用车运行维护费</w:t>
            </w:r>
          </w:p>
        </w:tc>
        <w:tc>
          <w:tcPr>
            <w:tcW w:w="2381" w:type="dxa"/>
            <w:vAlign w:val="center"/>
          </w:tcPr>
          <w:p>
            <w:pPr>
              <w:pStyle w:val="11"/>
              <w:ind w:firstLine="0" w:firstLineChars="0"/>
              <w:jc w:val="center"/>
            </w:pPr>
            <w:r>
              <w:rPr>
                <w:rFonts w:hint="eastAsia"/>
                <w:lang w:val="en-US" w:eastAsia="zh-CN"/>
              </w:rPr>
              <w:t>29.50</w:t>
            </w:r>
          </w:p>
        </w:tc>
        <w:tc>
          <w:tcPr>
            <w:tcW w:w="2381" w:type="dxa"/>
            <w:vAlign w:val="center"/>
          </w:tcPr>
          <w:p>
            <w:pPr>
              <w:pStyle w:val="11"/>
              <w:ind w:firstLine="0" w:firstLineChars="0"/>
              <w:jc w:val="center"/>
            </w:pPr>
            <w:r>
              <w:rPr>
                <w:rFonts w:hint="eastAsia"/>
                <w:lang w:val="en-US" w:eastAsia="zh-CN"/>
              </w:rPr>
              <w:t>29.50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8</w:t>
            </w:r>
          </w:p>
        </w:tc>
        <w:tc>
          <w:tcPr>
            <w:tcW w:w="3798" w:type="dxa"/>
            <w:vAlign w:val="center"/>
          </w:tcPr>
          <w:p>
            <w:pPr>
              <w:pStyle w:val="12"/>
              <w:ind w:firstLine="0" w:firstLineChars="0"/>
            </w:pPr>
            <w:r>
              <w:t>三、公务接待费</w:t>
            </w:r>
          </w:p>
        </w:tc>
        <w:tc>
          <w:tcPr>
            <w:tcW w:w="2381" w:type="dxa"/>
            <w:vAlign w:val="center"/>
          </w:tcPr>
          <w:p>
            <w:pPr>
              <w:pStyle w:val="11"/>
              <w:ind w:firstLine="0" w:firstLineChars="0"/>
              <w:jc w:val="center"/>
            </w:pPr>
            <w:r>
              <w:rPr>
                <w:rFonts w:hint="eastAsia"/>
                <w:lang w:val="en-US" w:eastAsia="zh-CN"/>
              </w:rPr>
              <w:t>1.40</w:t>
            </w:r>
          </w:p>
        </w:tc>
        <w:tc>
          <w:tcPr>
            <w:tcW w:w="2381" w:type="dxa"/>
            <w:vAlign w:val="center"/>
          </w:tcPr>
          <w:p>
            <w:pPr>
              <w:pStyle w:val="11"/>
              <w:ind w:firstLine="0" w:firstLineChars="0"/>
              <w:jc w:val="center"/>
            </w:pPr>
            <w:r>
              <w:rPr>
                <w:rFonts w:hint="eastAsia"/>
                <w:lang w:val="en-US" w:eastAsia="zh-CN"/>
              </w:rPr>
              <w:t>1.40</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青龙满族自治县市场监督管理局本级2025年单位预算信息公开情况说明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按照《中华人民共和国预算法》、《地方预决算公开操作规程》和《关于进一步推进预算公开工作的实施意见》规定，现将青龙满族自治县市场监督管理局本级2025年单位预算公开如下：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负责全县市场综合监督管理。贯彻落实国家、省、市有关市场监督管理的规章、政策和标准,组织实施质量强县战略、食品安全战略、标准化战略、知识产权战略,拟订并组织实施有关规划,规范和维护市场秩序,营造诚实守信、公平竞争的市场环境。</w:t>
      </w:r>
    </w:p>
    <w:p>
      <w:pPr>
        <w:pStyle w:val="22"/>
      </w:pPr>
      <w:r>
        <w:t>(二)负责全县各类市场主体的登记事项监督管理。建立市场主体信息公示和共享机制,依法公示和共享有关信息,加强信用监管,推动市场主体信用体系建设。</w:t>
      </w:r>
    </w:p>
    <w:p>
      <w:pPr>
        <w:pStyle w:val="22"/>
      </w:pPr>
      <w:r>
        <w:t>(三)负责全县市场监管综合执法工作。负责全县市场监管综合执法队伍整合与建设,推动实行统一的市场监管;按职责查处违法案件;规范市场监管行政执法行为。</w:t>
      </w:r>
    </w:p>
    <w:p>
      <w:pPr>
        <w:pStyle w:val="22"/>
      </w:pPr>
      <w:r>
        <w:t>(四)负责反垄断统一执法。组织推进竞争政策实施,指导实施公平竞争审查制度;依授权对经营者实施集中、垄断协议、滥用市场支配地位、滥用行政权力排除、限制竞争等违法行为进行调查。</w:t>
      </w:r>
    </w:p>
    <w:p>
      <w:pPr>
        <w:pStyle w:val="22"/>
      </w:pPr>
      <w:r>
        <w:t>(五)负责监督管理市场秩序。依法监督管理全县市场交易、网络商品交易等行为;依法查处价格收费违法违规、不正当竞争、违法直销、传销、侵犯商标专利知识产权和制售假冒伪劣行为;指导全县广告业发展,监督管理广告活动;依法查处无证照生产经营行为;指导县消费者协会开展消费维权工作。</w:t>
      </w:r>
    </w:p>
    <w:p>
      <w:pPr>
        <w:pStyle w:val="22"/>
      </w:pPr>
      <w:r>
        <w:t>(六)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22"/>
      </w:pPr>
      <w:r>
        <w:t>(七)负责全县产品质量安全监督管理。承担县级产品质量安全风险监控、监督抽查工作;组织实施质量分级制度、质量安全追溯制度。</w:t>
      </w:r>
    </w:p>
    <w:p>
      <w:pPr>
        <w:pStyle w:val="22"/>
      </w:pPr>
      <w:r>
        <w:t>(八)负责全县特种设备安全监察。负责特种设备安全监察、监督工作,监督检查高耗能特种设备节能标准和锅炉环境保护标准的执行情况。</w:t>
      </w:r>
    </w:p>
    <w:p>
      <w:pPr>
        <w:pStyle w:val="22"/>
      </w:pPr>
      <w:r>
        <w:t>(九)负责食品安全监督管理综合协调。组织实施国家、省、市食品安全政策;推动健全食品安全地方党政同责和跨部门协调联动机制;负责食品安全应急体系建设,配合有关部门做好重大食品安全事件应急处置和调查处理工作;建立健全食品安全信息统一公布和重要信息直报制度;承担县食品安全委员会日常工作。</w:t>
      </w:r>
    </w:p>
    <w:p>
      <w:pPr>
        <w:pStyle w:val="22"/>
      </w:pPr>
      <w:r>
        <w:t>(十)负责食品安全监督管理。建立覆盖食品生产、流通消费全过程的监督检查制度和隐患排查治理机制,防范区域性、系统性食品安全风险;推动落实食品生产经营者主体责任,健全食品安全追溯体系;参与食品安全风险监测,组织开展食品安全监督抽检、核查处置和风险预警、风险交流工作;组织实施特殊食品监督管理;负责重大活动食品安全保障。</w:t>
      </w:r>
    </w:p>
    <w:p>
      <w:pPr>
        <w:pStyle w:val="22"/>
      </w:pPr>
      <w:r>
        <w:t>(十一)负责药品安全监督管理。负责药品(含中药、民族药,下同)、医疗器械和化妆品质量安全监督管理;负责药品、医疗器械和化妆品上市后的风险管理;组织开展对药品、医疗器械和化妆品行业人员的安全宣传、教育培训;推动诚信体系建设;推动健全药品、医疗器械和化妆品安全监管信息化建设；负责药品、医疗器械和化妆品的不良反应监测。</w:t>
      </w:r>
    </w:p>
    <w:p>
      <w:pPr>
        <w:pStyle w:val="22"/>
      </w:pPr>
      <w:r>
        <w:t>(十二)负责统一管理全县计量工作。推行法定计量单位和国家计量制度,管理计量器具及量值传递和比对工作;规范、监督商品量和市场计量行为。</w:t>
      </w:r>
    </w:p>
    <w:p>
      <w:pPr>
        <w:pStyle w:val="22"/>
      </w:pPr>
      <w:r>
        <w:t>(十三)负责统一管理全县标准化工作。依法承担组织制定县级地方标准,承担县级地方标准的立项、编号、批准发布工作;宣传贯彻强制性、推荐性国家标准和行业、地方标准;依法协调指导和监督团体标准、企业标准制定工作。组织开展采用国际标准工作。</w:t>
      </w:r>
    </w:p>
    <w:p>
      <w:pPr>
        <w:pStyle w:val="22"/>
      </w:pPr>
      <w:r>
        <w:t>(十四)负责统一管理全县检验检测工作。推进全县检验检测机构整合和改革工作,规范检验检测市场,推动完善检验检测体系,指导协调检验检测行业发展。</w:t>
      </w:r>
    </w:p>
    <w:p>
      <w:pPr>
        <w:pStyle w:val="22"/>
      </w:pPr>
      <w:r>
        <w:t>(十五)负责统一管理、监督和协调全县认证认可工作。组织贯彻实施国家统一的认证认可和合格评定监督管理制度。</w:t>
      </w:r>
    </w:p>
    <w:p>
      <w:pPr>
        <w:pStyle w:val="22"/>
      </w:pPr>
      <w:r>
        <w:t>(十六)负责知识产权保护工作。拟订和实施强化知识产权创造、保护和运用的政策措施和发展规划;组织实施原产地地理标志统一认定制度;贯彻落实保护商标、专利、原产地地理标志、集成电路布图设计等知识产权的法律法规;按照国家和省、市知识产权保护体系建设方案,推动建设知识产权保护体系;负责指导商标、专利执法工作,负责知识产权争议处理、维权援助和纠纷调处。</w:t>
      </w:r>
    </w:p>
    <w:p>
      <w:pPr>
        <w:pStyle w:val="22"/>
      </w:pPr>
      <w:r>
        <w:t>(十七)负责促进知识产权运用。落实知识产权运用和规范交易的政策,促进知识产权转移转化;规范知识产权无形资产评估工作;制定实施知识产权中介服务发展与监管的政策措施。</w:t>
      </w:r>
    </w:p>
    <w:p>
      <w:pPr>
        <w:pStyle w:val="22"/>
      </w:pPr>
      <w:r>
        <w:t>(十八)负责建立知识产权公共服务体系。建设便企利民、互联互通的全县知识产权信息公共服平台,推动商标、专利等知识产权信息的传播利用。</w:t>
      </w:r>
    </w:p>
    <w:p>
      <w:pPr>
        <w:pStyle w:val="22"/>
      </w:pPr>
      <w:r>
        <w:t>(十九)负责全县市场监督管理科技和信息化建设、新闻宣传、对外交流与合作;按规定承担技术性贸易措施有关工作。负责协调处理涉外知识产权事宜。</w:t>
      </w:r>
    </w:p>
    <w:p>
      <w:pPr>
        <w:pStyle w:val="22"/>
      </w:pPr>
      <w:r>
        <w:t>(二十)落实行业主管部门的安全生产监管职责,各股室落实各自分管领域的安全生产监管职责。</w:t>
      </w:r>
    </w:p>
    <w:p>
      <w:pPr>
        <w:pStyle w:val="22"/>
      </w:pPr>
      <w:r>
        <w:t>(二十ー)完成县委、县政府交办的其他任务。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青龙满族自治县市场监督管理局本级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w:t>
      </w:r>
      <w:r>
        <w:rPr>
          <w:rFonts w:hint="eastAsia"/>
          <w:lang w:eastAsia="zh-CN"/>
        </w:rPr>
        <w:t>单位</w:t>
      </w:r>
      <w:r>
        <w:t>预算的编制实行综合预算管理，即全部收入和支出都反映在预算中。</w:t>
      </w:r>
    </w:p>
    <w:p>
      <w:pPr>
        <w:pStyle w:val="23"/>
      </w:pPr>
      <w:r>
        <w:t>1、收入说明</w:t>
      </w:r>
    </w:p>
    <w:p>
      <w:pPr>
        <w:pStyle w:val="23"/>
      </w:pPr>
      <w:r>
        <w:t>反映本</w:t>
      </w:r>
      <w:r>
        <w:rPr>
          <w:rFonts w:hint="eastAsia"/>
          <w:lang w:eastAsia="zh-CN"/>
        </w:rPr>
        <w:t>单位</w:t>
      </w:r>
      <w:r>
        <w:t>当年全部收入。2025年预算收入1757.23万元，其中：一般公共预算收入1619.59万元，基金预算收入40.50万元，国有资本经营预算收入0.00万元，财政专户核拨收入0.00万元，单位资金收入0.00万元，上年结转结余97.14万元。</w:t>
      </w:r>
    </w:p>
    <w:p>
      <w:pPr>
        <w:pStyle w:val="23"/>
      </w:pPr>
      <w:r>
        <w:t>2、支出说明</w:t>
      </w:r>
    </w:p>
    <w:p>
      <w:pPr>
        <w:pStyle w:val="23"/>
      </w:pPr>
      <w:r>
        <w:t>收支预算总表支出栏、基本支出表、项目支出表按经济分类和支出功能分类科目编制，反映青龙满族自治县市场监督管理局</w:t>
      </w:r>
      <w:r>
        <w:rPr>
          <w:rFonts w:hint="eastAsia"/>
          <w:lang w:eastAsia="zh-CN"/>
        </w:rPr>
        <w:t>本级</w:t>
      </w:r>
      <w:r>
        <w:t>年度</w:t>
      </w:r>
      <w:r>
        <w:rPr>
          <w:rFonts w:hint="eastAsia"/>
          <w:lang w:eastAsia="zh-CN"/>
        </w:rPr>
        <w:t>单位</w:t>
      </w:r>
      <w:r>
        <w:t>预算中支出预算的总体情况。2025年支出预算1757.23万元，其中基本支出1570.73万元，包括人员经费1402.67万元和日常公用经费168.06万元；项目支出186.50万元，主要为本年预算产品质量计量检验检测经费4万元、企业监管 “双随机、一公开” 工作经费2万元、“质量强县”工作经费3万元、执法办案工作经费10万元、食品安全工作经费12万元、煤炭成品油化肥抽检经费10万元、煤质检查站工作经费（木头凳检查站）5万元、知识产权宣传经费3万元、药品化妆品医疗器械监管工作经费5万元、“助企引智”奖励资金3万元、关于提前下达2025年市场监管专项补助经费的通知（冀财行[2024]89号）12万元、检测实验室建设经费40.50万元；上年结转食品安全工作经费36万元、煤质检查站工作经费（木头凳检查站）5万元、煤炭成品油化肥抽检经费12万元、执法办案工作经费1万元、执法服装购置费21万元、普法宣传及人民调解工作经费2万元。</w:t>
      </w:r>
    </w:p>
    <w:p>
      <w:pPr>
        <w:pStyle w:val="23"/>
      </w:pPr>
      <w:r>
        <w:t>3、比上年增减情况</w:t>
      </w:r>
    </w:p>
    <w:p>
      <w:pPr>
        <w:pStyle w:val="23"/>
      </w:pPr>
      <w:r>
        <w:t>2025年预算收支安排1757.23万元，较2024年预算减少138.59万元，其中：基本支出减少84.38万元，主要为主要为人员经费支出减少39.14万元，日常公用经费支出减少45.24万元。项目支出减少54.21万元，主要为本级项目支出预算减少52.6万元，上级转移支付资金预算减少1万元，2024年项目支出结转结余数比2023年结转结余数减少0.61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w:t>
      </w:r>
      <w:r>
        <w:rPr>
          <w:rFonts w:hint="eastAsia"/>
          <w:lang w:eastAsia="zh-CN"/>
        </w:rPr>
        <w:t>单位</w:t>
      </w:r>
      <w:r>
        <w:t>机关运行经费共计安排168.06万元，</w:t>
      </w:r>
      <w:r>
        <w:rPr>
          <w:rFonts w:hint="eastAsia" w:ascii="Times New Roman" w:hAnsi="Times New Roman" w:eastAsia="方正仿宋_GBK" w:cs="Times New Roman"/>
          <w:sz w:val="28"/>
          <w:szCs w:val="24"/>
          <w:lang w:val="en-US" w:eastAsia="zh-CN" w:bidi="ar-SA"/>
        </w:rPr>
        <w:t>其中当年机关运行经费</w:t>
      </w:r>
      <w:r>
        <w:rPr>
          <w:rFonts w:hint="eastAsia" w:cs="Times New Roman"/>
          <w:sz w:val="28"/>
          <w:szCs w:val="24"/>
          <w:lang w:val="en-US" w:eastAsia="zh-CN" w:bidi="ar-SA"/>
        </w:rPr>
        <w:t>147.92</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主要用于</w:t>
      </w:r>
      <w:r>
        <w:rPr>
          <w:rFonts w:hint="eastAsia" w:ascii="Times New Roman" w:hAnsi="Times New Roman" w:eastAsia="方正仿宋_GBK" w:cs="Times New Roman"/>
          <w:sz w:val="28"/>
          <w:szCs w:val="24"/>
          <w:lang w:val="en-US" w:eastAsia="uk-UA" w:bidi="ar-SA"/>
        </w:rPr>
        <w:t>办公费</w:t>
      </w: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万元、手</w:t>
      </w:r>
      <w:r>
        <w:rPr>
          <w:rFonts w:hint="eastAsia" w:ascii="Times New Roman" w:hAnsi="Times New Roman" w:eastAsia="方正仿宋_GBK" w:cs="Times New Roman"/>
          <w:sz w:val="28"/>
          <w:szCs w:val="24"/>
          <w:lang w:val="en-US" w:eastAsia="uk-UA" w:bidi="ar-SA"/>
        </w:rPr>
        <w:t>续费</w:t>
      </w:r>
      <w:r>
        <w:rPr>
          <w:rFonts w:ascii="Times New Roman" w:hAnsi="Times New Roman" w:eastAsia="方正仿宋_GBK" w:cs="Times New Roman"/>
          <w:sz w:val="28"/>
          <w:szCs w:val="24"/>
          <w:lang w:val="en-US" w:eastAsia="uk-UA" w:bidi="ar-SA"/>
        </w:rPr>
        <w:t>0.1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万元、印刷</w:t>
      </w:r>
      <w:r>
        <w:rPr>
          <w:rFonts w:hint="eastAsia" w:ascii="Times New Roman" w:hAnsi="Times New Roman" w:eastAsia="方正仿宋_GBK" w:cs="Times New Roman"/>
          <w:sz w:val="28"/>
          <w:szCs w:val="24"/>
          <w:lang w:val="en-US" w:eastAsia="uk-UA" w:bidi="ar-SA"/>
        </w:rPr>
        <w:t>费2</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w:t>
      </w:r>
      <w:r>
        <w:rPr>
          <w:rFonts w:hint="eastAsia" w:cs="Times New Roman"/>
          <w:sz w:val="28"/>
          <w:szCs w:val="24"/>
          <w:lang w:val="en-US" w:eastAsia="zh-CN" w:bidi="ar-SA"/>
        </w:rPr>
        <w:t>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ascii="Times New Roman" w:hAnsi="Times New Roman" w:eastAsia="方正仿宋_GBK" w:cs="Times New Roman"/>
          <w:sz w:val="28"/>
          <w:szCs w:val="24"/>
          <w:lang w:val="en-US" w:eastAsia="uk-UA" w:bidi="ar-SA"/>
        </w:rPr>
        <w:t>10万元、</w:t>
      </w:r>
      <w:r>
        <w:rPr>
          <w:rFonts w:hint="eastAsia" w:ascii="Times New Roman" w:hAnsi="Times New Roman" w:eastAsia="方正仿宋_GBK" w:cs="Times New Roman"/>
          <w:sz w:val="28"/>
          <w:szCs w:val="24"/>
          <w:lang w:val="en-US" w:eastAsia="uk-UA" w:bidi="ar-SA"/>
        </w:rPr>
        <w:t>邮电费</w:t>
      </w:r>
      <w:r>
        <w:rPr>
          <w:rFonts w:hint="eastAsia" w:cs="Times New Roman"/>
          <w:sz w:val="28"/>
          <w:szCs w:val="24"/>
          <w:lang w:val="en-US" w:eastAsia="zh-CN" w:bidi="ar-SA"/>
        </w:rPr>
        <w:t>3.5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ascii="Times New Roman" w:hAnsi="Times New Roman" w:eastAsia="方正仿宋_GBK" w:cs="Times New Roman"/>
          <w:sz w:val="28"/>
          <w:szCs w:val="24"/>
          <w:lang w:val="en-US" w:eastAsia="uk-UA" w:bidi="ar-SA"/>
        </w:rPr>
        <w:t>45万元、差旅</w:t>
      </w:r>
      <w:r>
        <w:rPr>
          <w:rFonts w:hint="eastAsia" w:ascii="Times New Roman" w:hAnsi="Times New Roman" w:eastAsia="方正仿宋_GBK" w:cs="Times New Roman"/>
          <w:sz w:val="28"/>
          <w:szCs w:val="24"/>
          <w:lang w:val="en-US" w:eastAsia="uk-UA" w:bidi="ar-SA"/>
        </w:rPr>
        <w:t>费5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咨询费1万元、</w:t>
      </w:r>
      <w:r>
        <w:rPr>
          <w:rFonts w:hint="eastAsia" w:ascii="Times New Roman" w:hAnsi="Times New Roman" w:eastAsia="方正仿宋_GBK" w:cs="Times New Roman"/>
          <w:sz w:val="28"/>
          <w:szCs w:val="24"/>
          <w:lang w:val="en-US" w:eastAsia="zh-CN" w:bidi="ar-SA"/>
        </w:rPr>
        <w:t>培训费1万元、</w:t>
      </w:r>
      <w:r>
        <w:rPr>
          <w:rFonts w:ascii="Times New Roman" w:hAnsi="Times New Roman" w:eastAsia="方正仿宋_GBK" w:cs="Times New Roman"/>
          <w:sz w:val="28"/>
          <w:szCs w:val="24"/>
          <w:lang w:val="en-US" w:eastAsia="uk-UA" w:bidi="ar-SA"/>
        </w:rPr>
        <w:t>公</w:t>
      </w:r>
      <w:r>
        <w:rPr>
          <w:rFonts w:hint="eastAsia" w:ascii="Times New Roman" w:hAnsi="Times New Roman" w:eastAsia="方正仿宋_GBK" w:cs="Times New Roman"/>
          <w:sz w:val="28"/>
          <w:szCs w:val="24"/>
          <w:lang w:val="en-US" w:eastAsia="uk-UA" w:bidi="ar-SA"/>
        </w:rPr>
        <w:t>务接待费1.</w:t>
      </w:r>
      <w:r>
        <w:rPr>
          <w:rFonts w:hint="eastAsia" w:cs="Times New Roman"/>
          <w:sz w:val="28"/>
          <w:szCs w:val="24"/>
          <w:lang w:val="en-US" w:eastAsia="zh-CN" w:bidi="ar-SA"/>
        </w:rPr>
        <w:t>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劳务费</w:t>
      </w:r>
      <w:r>
        <w:rPr>
          <w:rFonts w:hint="eastAsia" w:cs="Times New Roman"/>
          <w:sz w:val="28"/>
          <w:szCs w:val="24"/>
          <w:lang w:val="en-US" w:eastAsia="zh-CN" w:bidi="ar-SA"/>
        </w:rPr>
        <w:t>2.7</w:t>
      </w:r>
      <w:r>
        <w:rPr>
          <w:rFonts w:ascii="Times New Roman" w:hAnsi="Times New Roman" w:eastAsia="方正仿宋_GBK" w:cs="Times New Roman"/>
          <w:sz w:val="28"/>
          <w:szCs w:val="24"/>
          <w:lang w:val="en-US" w:eastAsia="uk-UA" w:bidi="ar-SA"/>
        </w:rPr>
        <w:t>万元、公</w:t>
      </w:r>
      <w:r>
        <w:rPr>
          <w:rFonts w:hint="eastAsia" w:ascii="Times New Roman" w:hAnsi="Times New Roman" w:eastAsia="方正仿宋_GBK" w:cs="Times New Roman"/>
          <w:sz w:val="28"/>
          <w:szCs w:val="24"/>
          <w:lang w:val="en-US" w:eastAsia="uk-UA" w:bidi="ar-SA"/>
        </w:rPr>
        <w:t>务用车运行维护费</w:t>
      </w:r>
      <w:r>
        <w:rPr>
          <w:rFonts w:hint="eastAsia" w:ascii="Times New Roman" w:hAnsi="Times New Roman" w:eastAsia="方正仿宋_GBK" w:cs="Times New Roman"/>
          <w:sz w:val="28"/>
          <w:szCs w:val="24"/>
          <w:lang w:val="en-US" w:eastAsia="zh-CN" w:bidi="ar-SA"/>
        </w:rPr>
        <w:t>15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网络运行维护费5万元、</w:t>
      </w:r>
      <w:r>
        <w:rPr>
          <w:rFonts w:ascii="Times New Roman" w:hAnsi="Times New Roman" w:eastAsia="方正仿宋_GBK" w:cs="Times New Roman"/>
          <w:sz w:val="28"/>
          <w:szCs w:val="24"/>
          <w:lang w:val="en-US" w:eastAsia="uk-UA" w:bidi="ar-SA"/>
        </w:rPr>
        <w:t>其他交通</w:t>
      </w:r>
      <w:r>
        <w:rPr>
          <w:rFonts w:hint="eastAsia" w:ascii="Times New Roman" w:hAnsi="Times New Roman" w:eastAsia="方正仿宋_GBK" w:cs="Times New Roman"/>
          <w:sz w:val="28"/>
          <w:szCs w:val="24"/>
          <w:lang w:val="en-US" w:eastAsia="uk-UA" w:bidi="ar-SA"/>
        </w:rPr>
        <w:t>费用（公务员车改补贴）</w:t>
      </w:r>
      <w:r>
        <w:rPr>
          <w:rFonts w:hint="eastAsia" w:cs="Times New Roman"/>
          <w:sz w:val="28"/>
          <w:szCs w:val="24"/>
          <w:lang w:val="en-US" w:eastAsia="zh-CN" w:bidi="ar-SA"/>
        </w:rPr>
        <w:t>44.82</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；上年结转机关运行经费</w:t>
      </w:r>
      <w:r>
        <w:rPr>
          <w:rFonts w:hint="eastAsia" w:cs="Times New Roman"/>
          <w:sz w:val="28"/>
          <w:szCs w:val="24"/>
          <w:lang w:val="en-US" w:eastAsia="zh-CN" w:bidi="ar-SA"/>
        </w:rPr>
        <w:t>20.14</w:t>
      </w:r>
      <w:r>
        <w:rPr>
          <w:rFonts w:hint="eastAsia" w:ascii="Times New Roman" w:hAnsi="Times New Roman" w:eastAsia="方正仿宋_GBK" w:cs="Times New Roman"/>
          <w:sz w:val="28"/>
          <w:szCs w:val="24"/>
          <w:lang w:val="en-US" w:eastAsia="zh-CN" w:bidi="ar-SA"/>
        </w:rPr>
        <w:t>万元，主要用于</w:t>
      </w:r>
      <w:r>
        <w:rPr>
          <w:rFonts w:hint="eastAsia" w:ascii="Times New Roman" w:hAnsi="Times New Roman" w:eastAsia="方正仿宋_GBK" w:cs="Times New Roman"/>
          <w:sz w:val="28"/>
          <w:szCs w:val="24"/>
          <w:lang w:val="en-US" w:eastAsia="uk-UA" w:bidi="ar-SA"/>
        </w:rPr>
        <w:t>办公费</w:t>
      </w:r>
      <w:r>
        <w:rPr>
          <w:rFonts w:hint="eastAsia" w:cs="Times New Roman"/>
          <w:sz w:val="28"/>
          <w:szCs w:val="24"/>
          <w:lang w:val="en-US" w:eastAsia="zh-CN" w:bidi="ar-SA"/>
        </w:rPr>
        <w:t>0.09</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hint="eastAsia" w:cs="Times New Roman"/>
          <w:sz w:val="28"/>
          <w:szCs w:val="24"/>
          <w:lang w:val="en-US" w:eastAsia="zh-CN" w:bidi="ar-SA"/>
        </w:rPr>
        <w:t>0.23</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hint="eastAsia" w:cs="Times New Roman"/>
          <w:sz w:val="28"/>
          <w:szCs w:val="24"/>
          <w:lang w:val="en-US" w:eastAsia="zh-CN" w:bidi="ar-SA"/>
        </w:rPr>
        <w:t>2.8</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邮电费</w:t>
      </w:r>
      <w:r>
        <w:rPr>
          <w:rFonts w:hint="eastAsia" w:cs="Times New Roman"/>
          <w:sz w:val="28"/>
          <w:szCs w:val="24"/>
          <w:lang w:val="en-US" w:eastAsia="zh-CN" w:bidi="ar-SA"/>
        </w:rPr>
        <w:t>0.42</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hint="eastAsia" w:cs="Times New Roman"/>
          <w:sz w:val="28"/>
          <w:szCs w:val="24"/>
          <w:lang w:val="en-US" w:eastAsia="zh-CN" w:bidi="ar-SA"/>
        </w:rPr>
        <w:t>8.5</w:t>
      </w:r>
      <w:r>
        <w:rPr>
          <w:rFonts w:ascii="Times New Roman" w:hAnsi="Times New Roman" w:eastAsia="方正仿宋_GBK" w:cs="Times New Roman"/>
          <w:sz w:val="28"/>
          <w:szCs w:val="24"/>
          <w:lang w:val="en-US" w:eastAsia="uk-UA" w:bidi="ar-SA"/>
        </w:rPr>
        <w:t>万元、</w:t>
      </w:r>
      <w:r>
        <w:rPr>
          <w:rFonts w:hint="eastAsia" w:cs="Times New Roman"/>
          <w:sz w:val="28"/>
          <w:szCs w:val="24"/>
          <w:lang w:val="en-US" w:eastAsia="zh-CN" w:bidi="ar-SA"/>
        </w:rPr>
        <w:t>印刷费2万元、手续费0.1万元、培训费1万元、差旅费5万元</w:t>
      </w:r>
      <w:r>
        <w:rPr>
          <w:rFonts w:ascii="Times New Roman" w:hAnsi="Times New Roman" w:eastAsia="方正仿宋_GBK" w:cs="Times New Roman"/>
          <w:sz w:val="28"/>
          <w:szCs w:val="24"/>
          <w:lang w:val="en-US" w:eastAsia="uk-UA" w:bidi="ar-SA"/>
        </w:rPr>
        <w:t>等日常运行支出</w:t>
      </w:r>
      <w:r>
        <w:rPr>
          <w:rFonts w:hint="eastAsia" w:ascii="Times New Roman" w:hAnsi="Times New Roman" w:eastAsia="方正仿宋_GBK" w:cs="Times New Roman"/>
          <w:sz w:val="28"/>
          <w:szCs w:val="24"/>
          <w:lang w:val="en-US" w:eastAsia="zh-CN" w:bidi="ar-SA"/>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2025年，我</w:t>
      </w:r>
      <w:r>
        <w:rPr>
          <w:rFonts w:hint="eastAsia"/>
          <w:lang w:eastAsia="zh-CN"/>
        </w:rPr>
        <w:t>单位</w:t>
      </w:r>
      <w:r>
        <w:t>财政拨款“三公”经费预算安排</w:t>
      </w:r>
      <w:r>
        <w:rPr>
          <w:rFonts w:hint="eastAsia"/>
          <w:lang w:val="en-US" w:eastAsia="zh-CN"/>
        </w:rPr>
        <w:t>30.90</w:t>
      </w:r>
      <w:r>
        <w:t>万元，其中因公出国（境）费0.00万元；公务用车购置及运维费</w:t>
      </w:r>
      <w:r>
        <w:rPr>
          <w:rFonts w:hint="eastAsia"/>
          <w:lang w:val="en-US" w:eastAsia="zh-CN"/>
        </w:rPr>
        <w:t>29.50</w:t>
      </w:r>
      <w:r>
        <w:t>万元（其中：公务用车购置费为0.00万元，公务用车运维费</w:t>
      </w:r>
      <w:r>
        <w:rPr>
          <w:rFonts w:hint="eastAsia"/>
          <w:lang w:val="en-US" w:eastAsia="zh-CN"/>
        </w:rPr>
        <w:t>29.50</w:t>
      </w:r>
      <w:r>
        <w:t>万元)；公务接待费</w:t>
      </w:r>
      <w:r>
        <w:rPr>
          <w:rFonts w:hint="eastAsia"/>
          <w:lang w:val="en-US" w:eastAsia="zh-CN"/>
        </w:rPr>
        <w:t>1.40</w:t>
      </w:r>
      <w:r>
        <w:t>万元。与2024年相比减少</w:t>
      </w:r>
      <w:r>
        <w:rPr>
          <w:rFonts w:hint="eastAsia"/>
          <w:lang w:val="en-US" w:eastAsia="zh-CN"/>
        </w:rPr>
        <w:t>18.26</w:t>
      </w:r>
      <w:r>
        <w:t>万元，</w:t>
      </w:r>
      <w:r>
        <w:rPr>
          <w:rFonts w:hint="eastAsia"/>
          <w:lang w:eastAsia="zh-CN"/>
        </w:rPr>
        <w:t>下降</w:t>
      </w:r>
      <w:r>
        <w:rPr>
          <w:rFonts w:hint="eastAsia"/>
          <w:lang w:val="en-US" w:eastAsia="zh-CN"/>
        </w:rPr>
        <w:t>37.14%</w:t>
      </w:r>
      <w:r>
        <w:rPr>
          <w:rFonts w:hint="eastAsia"/>
          <w:lang w:eastAsia="zh-CN"/>
        </w:rPr>
        <w:t>。其中公务用车购置及运维费</w:t>
      </w:r>
      <w:r>
        <w:rPr>
          <w:rFonts w:hint="eastAsia"/>
          <w:lang w:val="en-US" w:eastAsia="zh-CN"/>
        </w:rPr>
        <w:t>29.50万元，同比减少8.10万元，下降21.54%，</w:t>
      </w:r>
      <w:r>
        <w:t>主要原因一是我</w:t>
      </w:r>
      <w:r>
        <w:rPr>
          <w:rFonts w:hint="eastAsia"/>
          <w:lang w:eastAsia="zh-CN"/>
        </w:rPr>
        <w:t>单位</w:t>
      </w:r>
      <w:r>
        <w:t>认真贯彻落实中央八项规定要求，严格执行公务用车管理办法，严格控制公务用车运行维护费，二是2025年无公务用车购置费预算</w:t>
      </w:r>
      <w:r>
        <w:rPr>
          <w:rFonts w:hint="eastAsia"/>
          <w:lang w:eastAsia="zh-CN"/>
        </w:rPr>
        <w:t>；</w:t>
      </w:r>
      <w:r>
        <w:t>公务接待费1.4万元，同比减少0.16万元，下降了10.26%，主要原因是我</w:t>
      </w:r>
      <w:r>
        <w:rPr>
          <w:rFonts w:hint="eastAsia"/>
          <w:lang w:eastAsia="zh-CN"/>
        </w:rPr>
        <w:t>单位</w:t>
      </w:r>
      <w:r>
        <w:t>严格落实了《党政机关厉行节约反对浪费条例》，规范公务接待活动，严格审批、严控标准，大力压缩公务接待费支出。</w:t>
      </w:r>
    </w:p>
    <w:p>
      <w:pPr>
        <w:pStyle w:val="20"/>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1、“质量强县”工作经费绩效目标表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13032125P003349100159</w:t>
            </w:r>
          </w:p>
        </w:tc>
        <w:tc>
          <w:tcPr>
            <w:tcW w:w="2835" w:type="dxa"/>
            <w:vAlign w:val="center"/>
          </w:tcPr>
          <w:p>
            <w:pPr>
              <w:pStyle w:val="10"/>
            </w:pPr>
            <w:r>
              <w:t>项目名称</w:t>
            </w:r>
          </w:p>
        </w:tc>
        <w:tc>
          <w:tcPr>
            <w:tcW w:w="6095" w:type="dxa"/>
            <w:gridSpan w:val="3"/>
            <w:vAlign w:val="center"/>
          </w:tcPr>
          <w:p>
            <w:pPr>
              <w:pStyle w:val="12"/>
            </w:pPr>
            <w:r>
              <w:t>“质量强县”工作经费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预算资金3万元。其中：财政资金3万元，其他资金0万元。主要用于燃油费、办公费支出。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1.通过着力解决质量发展不平衡不充分问题，不断满足人民日益增长的质量需求，全面提升我县经济、文化、社会、生态、城乡建设管理、政府服务质量水平。</w:t>
            </w:r>
          </w:p>
          <w:p>
            <w:pPr>
              <w:pStyle w:val="12"/>
            </w:pPr>
            <w:r>
              <w:t>2.通过加快推动我县经济发展质量变革、效率变革、动力变革，促进标准、质量、品牌、信誉联动提升。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监督检查次数（次）</w:t>
            </w:r>
          </w:p>
        </w:tc>
        <w:tc>
          <w:tcPr>
            <w:tcW w:w="5386" w:type="dxa"/>
            <w:vAlign w:val="center"/>
          </w:tcPr>
          <w:p>
            <w:pPr>
              <w:pStyle w:val="12"/>
            </w:pPr>
            <w:r>
              <w:t>每年对重点行业市场主体开展监督检查的次数</w:t>
            </w:r>
          </w:p>
        </w:tc>
        <w:tc>
          <w:tcPr>
            <w:tcW w:w="2268" w:type="dxa"/>
            <w:vAlign w:val="center"/>
          </w:tcPr>
          <w:p>
            <w:pPr>
              <w:pStyle w:val="12"/>
            </w:pPr>
            <w:r>
              <w:t>≥5次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宣传条幅</w:t>
            </w:r>
          </w:p>
        </w:tc>
        <w:tc>
          <w:tcPr>
            <w:tcW w:w="5386" w:type="dxa"/>
            <w:vAlign w:val="center"/>
          </w:tcPr>
          <w:p>
            <w:pPr>
              <w:pStyle w:val="12"/>
            </w:pPr>
            <w:r>
              <w:t>用于质量强县等工作宣传</w:t>
            </w:r>
          </w:p>
        </w:tc>
        <w:tc>
          <w:tcPr>
            <w:tcW w:w="2268" w:type="dxa"/>
            <w:vAlign w:val="center"/>
          </w:tcPr>
          <w:p>
            <w:pPr>
              <w:pStyle w:val="12"/>
            </w:pPr>
            <w:r>
              <w:t>≥100条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反映考核次数</w:t>
            </w:r>
          </w:p>
        </w:tc>
        <w:tc>
          <w:tcPr>
            <w:tcW w:w="2268" w:type="dxa"/>
            <w:vAlign w:val="center"/>
          </w:tcPr>
          <w:p>
            <w:pPr>
              <w:pStyle w:val="12"/>
            </w:pPr>
            <w:r>
              <w:t>≥1次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考核材料套数</w:t>
            </w:r>
          </w:p>
        </w:tc>
        <w:tc>
          <w:tcPr>
            <w:tcW w:w="5386" w:type="dxa"/>
            <w:vAlign w:val="center"/>
          </w:tcPr>
          <w:p>
            <w:pPr>
              <w:pStyle w:val="12"/>
            </w:pPr>
            <w:r>
              <w:t>质量全县考核材料套数</w:t>
            </w:r>
          </w:p>
        </w:tc>
        <w:tc>
          <w:tcPr>
            <w:tcW w:w="2268" w:type="dxa"/>
            <w:vAlign w:val="center"/>
          </w:tcPr>
          <w:p>
            <w:pPr>
              <w:pStyle w:val="12"/>
            </w:pPr>
            <w:r>
              <w:t>≥2套</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调研次数</w:t>
            </w:r>
          </w:p>
        </w:tc>
        <w:tc>
          <w:tcPr>
            <w:tcW w:w="5386" w:type="dxa"/>
            <w:vAlign w:val="center"/>
          </w:tcPr>
          <w:p>
            <w:pPr>
              <w:pStyle w:val="12"/>
            </w:pPr>
            <w:r>
              <w:t>进入企业调研</w:t>
            </w:r>
          </w:p>
        </w:tc>
        <w:tc>
          <w:tcPr>
            <w:tcW w:w="2268" w:type="dxa"/>
            <w:vAlign w:val="center"/>
          </w:tcPr>
          <w:p>
            <w:pPr>
              <w:pStyle w:val="12"/>
            </w:pPr>
            <w:r>
              <w:t>≥5次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考核合格率</w:t>
            </w:r>
          </w:p>
        </w:tc>
        <w:tc>
          <w:tcPr>
            <w:tcW w:w="5386" w:type="dxa"/>
            <w:vAlign w:val="center"/>
          </w:tcPr>
          <w:p>
            <w:pPr>
              <w:pStyle w:val="12"/>
            </w:pPr>
            <w:r>
              <w:t>反映考核合格情况</w:t>
            </w:r>
          </w:p>
        </w:tc>
        <w:tc>
          <w:tcPr>
            <w:tcW w:w="2268" w:type="dxa"/>
            <w:vAlign w:val="center"/>
          </w:tcPr>
          <w:p>
            <w:pPr>
              <w:pStyle w:val="12"/>
            </w:pPr>
            <w:r>
              <w:t>≥90%</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对流通领域商品违法案件处罚率</w:t>
            </w:r>
          </w:p>
        </w:tc>
        <w:tc>
          <w:tcPr>
            <w:tcW w:w="5386" w:type="dxa"/>
            <w:vAlign w:val="center"/>
          </w:tcPr>
          <w:p>
            <w:pPr>
              <w:pStyle w:val="12"/>
            </w:pPr>
            <w:r>
              <w:t>处罚企业数占违规企业数的比例</w:t>
            </w:r>
          </w:p>
        </w:tc>
        <w:tc>
          <w:tcPr>
            <w:tcW w:w="2268" w:type="dxa"/>
            <w:vAlign w:val="center"/>
          </w:tcPr>
          <w:p>
            <w:pPr>
              <w:pStyle w:val="12"/>
            </w:pPr>
            <w:r>
              <w:t>≥90%</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按计划有序推进工作进展，保证完成年度工作计划</w:t>
            </w:r>
          </w:p>
        </w:tc>
        <w:tc>
          <w:tcPr>
            <w:tcW w:w="2268" w:type="dxa"/>
            <w:vAlign w:val="center"/>
          </w:tcPr>
          <w:p>
            <w:pPr>
              <w:pStyle w:val="12"/>
            </w:pPr>
            <w:r>
              <w:t>2025年度</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反映办公费成本</w:t>
            </w:r>
          </w:p>
        </w:tc>
        <w:tc>
          <w:tcPr>
            <w:tcW w:w="2268" w:type="dxa"/>
            <w:vAlign w:val="center"/>
          </w:tcPr>
          <w:p>
            <w:pPr>
              <w:pStyle w:val="12"/>
            </w:pPr>
            <w:r>
              <w:t>≤1万元</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车辆运行维护费</w:t>
            </w:r>
          </w:p>
        </w:tc>
        <w:tc>
          <w:tcPr>
            <w:tcW w:w="5386" w:type="dxa"/>
            <w:vAlign w:val="center"/>
          </w:tcPr>
          <w:p>
            <w:pPr>
              <w:pStyle w:val="12"/>
            </w:pPr>
            <w:r>
              <w:t>反映车辆运行维护费用</w:t>
            </w:r>
          </w:p>
        </w:tc>
        <w:tc>
          <w:tcPr>
            <w:tcW w:w="2268" w:type="dxa"/>
            <w:vAlign w:val="center"/>
          </w:tcPr>
          <w:p>
            <w:pPr>
              <w:pStyle w:val="12"/>
            </w:pPr>
            <w:r>
              <w:t>≤2万元</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视频媒体宣传次数</w:t>
            </w:r>
          </w:p>
        </w:tc>
        <w:tc>
          <w:tcPr>
            <w:tcW w:w="5386" w:type="dxa"/>
            <w:vAlign w:val="center"/>
          </w:tcPr>
          <w:p>
            <w:pPr>
              <w:pStyle w:val="12"/>
            </w:pPr>
            <w:r>
              <w:t>反映媒体宣传情况</w:t>
            </w:r>
          </w:p>
        </w:tc>
        <w:tc>
          <w:tcPr>
            <w:tcW w:w="2268" w:type="dxa"/>
            <w:vAlign w:val="center"/>
          </w:tcPr>
          <w:p>
            <w:pPr>
              <w:pStyle w:val="12"/>
            </w:pPr>
            <w:r>
              <w:t>≥1次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立案查处率（%）</w:t>
            </w:r>
          </w:p>
        </w:tc>
        <w:tc>
          <w:tcPr>
            <w:tcW w:w="5386" w:type="dxa"/>
            <w:vAlign w:val="center"/>
          </w:tcPr>
          <w:p>
            <w:pPr>
              <w:pStyle w:val="12"/>
            </w:pPr>
            <w:r>
              <w:t>立案查处的问题数量占发现问题数量的比率</w:t>
            </w:r>
          </w:p>
        </w:tc>
        <w:tc>
          <w:tcPr>
            <w:tcW w:w="2268" w:type="dxa"/>
            <w:vAlign w:val="center"/>
          </w:tcPr>
          <w:p>
            <w:pPr>
              <w:pStyle w:val="12"/>
            </w:pPr>
            <w:r>
              <w:t>≥90%</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市场主体满意度</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2、产品质量、计量检验检测经费绩效目标表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13032125P00334910012E</w:t>
            </w:r>
          </w:p>
        </w:tc>
        <w:tc>
          <w:tcPr>
            <w:tcW w:w="2835" w:type="dxa"/>
            <w:vAlign w:val="center"/>
          </w:tcPr>
          <w:p>
            <w:pPr>
              <w:pStyle w:val="10"/>
            </w:pPr>
            <w:r>
              <w:t>项目名称</w:t>
            </w:r>
          </w:p>
        </w:tc>
        <w:tc>
          <w:tcPr>
            <w:tcW w:w="6095" w:type="dxa"/>
            <w:gridSpan w:val="3"/>
            <w:vAlign w:val="center"/>
          </w:tcPr>
          <w:p>
            <w:pPr>
              <w:pStyle w:val="12"/>
            </w:pPr>
            <w:r>
              <w:t>产品质量、计量检验检测经费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预算资金4万元。其中：财政资金4万元，其他资金0万元。主要用于产品质量、计量检测费支出。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1.通过加大产品质量监管打击力度、宣传力度和共治力度，严厉查处质量违法行为，促进质量提升。</w:t>
            </w:r>
          </w:p>
          <w:p>
            <w:pPr>
              <w:pStyle w:val="12"/>
            </w:pPr>
            <w:r>
              <w:t>2.通过对全县工业产品质量安全监督、标准化、计量、特种设备及建材相关产品质量监督管理，提高质量管理水平，提升产品质量。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重点计量器具校验次数</w:t>
            </w:r>
          </w:p>
        </w:tc>
        <w:tc>
          <w:tcPr>
            <w:tcW w:w="5386" w:type="dxa"/>
            <w:vAlign w:val="center"/>
          </w:tcPr>
          <w:p>
            <w:pPr>
              <w:pStyle w:val="12"/>
            </w:pPr>
            <w:r>
              <w:t>对重点管理计量器具，每年进行校准的次数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特种设备监察户数</w:t>
            </w:r>
          </w:p>
        </w:tc>
        <w:tc>
          <w:tcPr>
            <w:tcW w:w="5386" w:type="dxa"/>
            <w:vAlign w:val="center"/>
          </w:tcPr>
          <w:p>
            <w:pPr>
              <w:pStyle w:val="12"/>
            </w:pPr>
            <w:r>
              <w:t>监察特种设备户数</w:t>
            </w:r>
          </w:p>
        </w:tc>
        <w:tc>
          <w:tcPr>
            <w:tcW w:w="2268" w:type="dxa"/>
            <w:vAlign w:val="center"/>
          </w:tcPr>
          <w:p>
            <w:pPr>
              <w:pStyle w:val="12"/>
            </w:pPr>
            <w:r>
              <w:t>≥160家</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流通领域商品检测抽查批次</w:t>
            </w:r>
          </w:p>
        </w:tc>
        <w:tc>
          <w:tcPr>
            <w:tcW w:w="5386" w:type="dxa"/>
            <w:vAlign w:val="center"/>
          </w:tcPr>
          <w:p>
            <w:pPr>
              <w:pStyle w:val="12"/>
            </w:pPr>
            <w:r>
              <w:t>抽查流通领域商品批次</w:t>
            </w:r>
          </w:p>
        </w:tc>
        <w:tc>
          <w:tcPr>
            <w:tcW w:w="2268" w:type="dxa"/>
            <w:vAlign w:val="center"/>
          </w:tcPr>
          <w:p>
            <w:pPr>
              <w:pStyle w:val="12"/>
            </w:pPr>
            <w:r>
              <w:t>≥5批次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重点管理计量器具检定率</w:t>
            </w:r>
          </w:p>
        </w:tc>
        <w:tc>
          <w:tcPr>
            <w:tcW w:w="5386" w:type="dxa"/>
            <w:vAlign w:val="center"/>
          </w:tcPr>
          <w:p>
            <w:pPr>
              <w:pStyle w:val="12"/>
            </w:pPr>
            <w:r>
              <w:t>重点管理计量器具检定实际完成情况占应完成情况的比例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特种设备定检实际完成情况占应完成情况的比例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工作任务按时完成率</w:t>
            </w:r>
          </w:p>
        </w:tc>
        <w:tc>
          <w:tcPr>
            <w:tcW w:w="5386" w:type="dxa"/>
            <w:vAlign w:val="center"/>
          </w:tcPr>
          <w:p>
            <w:pPr>
              <w:pStyle w:val="12"/>
            </w:pPr>
            <w:r>
              <w:t>反映是否按时完成工作任务</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公用经费成本</w:t>
            </w:r>
          </w:p>
        </w:tc>
        <w:tc>
          <w:tcPr>
            <w:tcW w:w="5386" w:type="dxa"/>
            <w:vAlign w:val="center"/>
          </w:tcPr>
          <w:p>
            <w:pPr>
              <w:pStyle w:val="12"/>
            </w:pPr>
            <w:r>
              <w:t>反映日常检查检测公用经费成本</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计量准确率</w:t>
            </w:r>
          </w:p>
        </w:tc>
        <w:tc>
          <w:tcPr>
            <w:tcW w:w="5386" w:type="dxa"/>
            <w:vAlign w:val="center"/>
          </w:tcPr>
          <w:p>
            <w:pPr>
              <w:pStyle w:val="12"/>
            </w:pPr>
            <w:r>
              <w:t>反映计量准确度的比例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违法企业处理率（%）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3、煤炭、成品油、化肥抽检经费绩效目标表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13032125P00334910007L</w:t>
            </w:r>
          </w:p>
        </w:tc>
        <w:tc>
          <w:tcPr>
            <w:tcW w:w="2835" w:type="dxa"/>
            <w:vAlign w:val="center"/>
          </w:tcPr>
          <w:p>
            <w:pPr>
              <w:pStyle w:val="10"/>
            </w:pPr>
            <w:r>
              <w:t>项目名称</w:t>
            </w:r>
          </w:p>
        </w:tc>
        <w:tc>
          <w:tcPr>
            <w:tcW w:w="6095" w:type="dxa"/>
            <w:gridSpan w:val="3"/>
            <w:vAlign w:val="center"/>
          </w:tcPr>
          <w:p>
            <w:pPr>
              <w:pStyle w:val="12"/>
            </w:pPr>
            <w:r>
              <w:t>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预算资金10万元。其中：财政资金10万元，其他资金0万元。主要用于煤炭、成品油、化肥抽检经费。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1.通过对流通领域重点商品农资、成品油、煤炭的多批次抽检，不断提升我县流通领域商品质量水平，改善空气质量，保护农民利益，更好的维护正常的市场经济秩序。</w:t>
            </w:r>
          </w:p>
          <w:p>
            <w:pPr>
              <w:pStyle w:val="12"/>
            </w:pPr>
            <w:r>
              <w:t>2.通过对流通领域重点商品农资、成品油、煤炭的多批次抽检，限制不合格商品流入我县。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抽检企业数量</w:t>
            </w:r>
          </w:p>
        </w:tc>
        <w:tc>
          <w:tcPr>
            <w:tcW w:w="5386" w:type="dxa"/>
            <w:vAlign w:val="center"/>
          </w:tcPr>
          <w:p>
            <w:pPr>
              <w:pStyle w:val="12"/>
            </w:pPr>
            <w:r>
              <w:t>年抽检企业数量</w:t>
            </w:r>
          </w:p>
        </w:tc>
        <w:tc>
          <w:tcPr>
            <w:tcW w:w="2268" w:type="dxa"/>
            <w:vAlign w:val="center"/>
          </w:tcPr>
          <w:p>
            <w:pPr>
              <w:pStyle w:val="12"/>
            </w:pPr>
            <w:r>
              <w:t>≥80家</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成品油、煤碳、化肥抽检批次</w:t>
            </w:r>
          </w:p>
        </w:tc>
        <w:tc>
          <w:tcPr>
            <w:tcW w:w="2268" w:type="dxa"/>
            <w:vAlign w:val="center"/>
          </w:tcPr>
          <w:p>
            <w:pPr>
              <w:pStyle w:val="12"/>
            </w:pPr>
            <w:r>
              <w:t>≥400批次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产品检验完成时限</w:t>
            </w:r>
          </w:p>
        </w:tc>
        <w:tc>
          <w:tcPr>
            <w:tcW w:w="5386" w:type="dxa"/>
            <w:vAlign w:val="center"/>
          </w:tcPr>
          <w:p>
            <w:pPr>
              <w:pStyle w:val="12"/>
            </w:pPr>
            <w:r>
              <w:t>抽检产品完成检验时间</w:t>
            </w:r>
          </w:p>
        </w:tc>
        <w:tc>
          <w:tcPr>
            <w:tcW w:w="2268" w:type="dxa"/>
            <w:vAlign w:val="center"/>
          </w:tcPr>
          <w:p>
            <w:pPr>
              <w:pStyle w:val="12"/>
            </w:pPr>
            <w:r>
              <w:t>2025年12月31日前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每批次的检验成本</w:t>
            </w:r>
          </w:p>
        </w:tc>
        <w:tc>
          <w:tcPr>
            <w:tcW w:w="2268" w:type="dxa"/>
            <w:vAlign w:val="center"/>
          </w:tcPr>
          <w:p>
            <w:pPr>
              <w:pStyle w:val="12"/>
            </w:pPr>
            <w:r>
              <w:t>≤1000元/批次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农资、成品油、煤炭不合格降低率</w:t>
            </w:r>
          </w:p>
        </w:tc>
        <w:tc>
          <w:tcPr>
            <w:tcW w:w="5386" w:type="dxa"/>
            <w:vAlign w:val="center"/>
          </w:tcPr>
          <w:p>
            <w:pPr>
              <w:pStyle w:val="12"/>
            </w:pPr>
            <w:r>
              <w:t>农资、农产品、成品油、煤炭等抽检不合格率同比降低情况同去年不合格率比率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环境改善率</w:t>
            </w:r>
          </w:p>
        </w:tc>
        <w:tc>
          <w:tcPr>
            <w:tcW w:w="5386" w:type="dxa"/>
            <w:vAlign w:val="center"/>
          </w:tcPr>
          <w:p>
            <w:pPr>
              <w:pStyle w:val="12"/>
            </w:pPr>
            <w:r>
              <w:t>改善空气质量，预防大气污染，提高人居环境质量。</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检验服务对象满意度</w:t>
            </w:r>
          </w:p>
        </w:tc>
        <w:tc>
          <w:tcPr>
            <w:tcW w:w="5386" w:type="dxa"/>
            <w:vAlign w:val="center"/>
          </w:tcPr>
          <w:p>
            <w:pPr>
              <w:pStyle w:val="12"/>
            </w:pPr>
            <w:r>
              <w:t>检验服务对象对检验结果满意度</w:t>
            </w:r>
          </w:p>
        </w:tc>
        <w:tc>
          <w:tcPr>
            <w:tcW w:w="2268" w:type="dxa"/>
            <w:vAlign w:val="center"/>
          </w:tcPr>
          <w:p>
            <w:pPr>
              <w:pStyle w:val="12"/>
            </w:pPr>
            <w:r>
              <w:t>≥90%</w:t>
            </w:r>
          </w:p>
        </w:tc>
        <w:tc>
          <w:tcPr>
            <w:tcW w:w="1276" w:type="dxa"/>
            <w:vAlign w:val="center"/>
          </w:tcPr>
          <w:p>
            <w:pPr>
              <w:pStyle w:val="12"/>
            </w:pPr>
            <w:r>
              <w:t>调查统计结果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4、煤质检查站工作经费（木头凳检查站）绩效目标表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13032125P003349100132</w:t>
            </w:r>
          </w:p>
        </w:tc>
        <w:tc>
          <w:tcPr>
            <w:tcW w:w="2835" w:type="dxa"/>
            <w:vAlign w:val="center"/>
          </w:tcPr>
          <w:p>
            <w:pPr>
              <w:pStyle w:val="10"/>
            </w:pPr>
            <w:r>
              <w:t>项目名称</w:t>
            </w:r>
          </w:p>
        </w:tc>
        <w:tc>
          <w:tcPr>
            <w:tcW w:w="6095" w:type="dxa"/>
            <w:gridSpan w:val="3"/>
            <w:vAlign w:val="center"/>
          </w:tcPr>
          <w:p>
            <w:pPr>
              <w:pStyle w:val="12"/>
            </w:pPr>
            <w:r>
              <w:t>煤质检查站工作经费（木头凳检查站）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预算资金5万元。其中：财政资金5万元，其他资金0万元。主要用于木头凳检查站人员差旅费支出。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1.通过散煤管控治理，实现燃煤质量的明显好转，促进我省空气质量的不断提升。</w:t>
            </w:r>
          </w:p>
          <w:p>
            <w:pPr>
              <w:pStyle w:val="12"/>
            </w:pPr>
            <w:r>
              <w:t>2.通过深入持续的入省散煤质量检查工作，探索便捷、有效的煤炭运输环节质量管控方法，建立权责清晰、运行顺畅、执行有力、科学长效的工作体系，严控不合格散煤输入我省。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木头凳煤质检查站人数</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检查站数量</w:t>
            </w:r>
          </w:p>
        </w:tc>
        <w:tc>
          <w:tcPr>
            <w:tcW w:w="5386" w:type="dxa"/>
            <w:vAlign w:val="center"/>
          </w:tcPr>
          <w:p>
            <w:pPr>
              <w:pStyle w:val="12"/>
            </w:pPr>
            <w:r>
              <w:t>煤质检查站数量</w:t>
            </w:r>
          </w:p>
        </w:tc>
        <w:tc>
          <w:tcPr>
            <w:tcW w:w="2268" w:type="dxa"/>
            <w:vAlign w:val="center"/>
          </w:tcPr>
          <w:p>
            <w:pPr>
              <w:pStyle w:val="12"/>
            </w:pPr>
            <w:r>
              <w:t>1个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反映补助资金到位情况</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煤质检查站人员差旅费用发放时间</w:t>
            </w:r>
          </w:p>
        </w:tc>
        <w:tc>
          <w:tcPr>
            <w:tcW w:w="2268" w:type="dxa"/>
            <w:vAlign w:val="center"/>
          </w:tcPr>
          <w:p>
            <w:pPr>
              <w:pStyle w:val="12"/>
            </w:pPr>
            <w:r>
              <w:t>按季度发放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交通补助标准</w:t>
            </w:r>
          </w:p>
        </w:tc>
        <w:tc>
          <w:tcPr>
            <w:tcW w:w="5386" w:type="dxa"/>
            <w:vAlign w:val="center"/>
          </w:tcPr>
          <w:p>
            <w:pPr>
              <w:pStyle w:val="12"/>
            </w:pPr>
            <w:r>
              <w:t>反映交通补助的标准</w:t>
            </w:r>
          </w:p>
        </w:tc>
        <w:tc>
          <w:tcPr>
            <w:tcW w:w="2268" w:type="dxa"/>
            <w:vAlign w:val="center"/>
          </w:tcPr>
          <w:p>
            <w:pPr>
              <w:pStyle w:val="12"/>
            </w:pPr>
            <w:r>
              <w:t>≤50元/人/天</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伙食补助标准</w:t>
            </w:r>
          </w:p>
        </w:tc>
        <w:tc>
          <w:tcPr>
            <w:tcW w:w="5386" w:type="dxa"/>
            <w:vAlign w:val="center"/>
          </w:tcPr>
          <w:p>
            <w:pPr>
              <w:pStyle w:val="12"/>
            </w:pPr>
            <w:r>
              <w:t>反映伙食费的补助标准</w:t>
            </w:r>
          </w:p>
        </w:tc>
        <w:tc>
          <w:tcPr>
            <w:tcW w:w="2268" w:type="dxa"/>
            <w:vAlign w:val="center"/>
          </w:tcPr>
          <w:p>
            <w:pPr>
              <w:pStyle w:val="12"/>
            </w:pPr>
            <w:r>
              <w:t>≤25元/人/天</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提高散煤质量检查工作效率</w:t>
            </w:r>
          </w:p>
        </w:tc>
        <w:tc>
          <w:tcPr>
            <w:tcW w:w="5386" w:type="dxa"/>
            <w:vAlign w:val="center"/>
          </w:tcPr>
          <w:p>
            <w:pPr>
              <w:pStyle w:val="12"/>
            </w:pPr>
            <w:r>
              <w:t>提高散煤质量检查工作效率，实现燃煤质量的明显好转</w:t>
            </w:r>
          </w:p>
        </w:tc>
        <w:tc>
          <w:tcPr>
            <w:tcW w:w="2268" w:type="dxa"/>
            <w:vAlign w:val="center"/>
          </w:tcPr>
          <w:p>
            <w:pPr>
              <w:pStyle w:val="12"/>
            </w:pPr>
            <w:r>
              <w:t>≥30%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环境改善率</w:t>
            </w:r>
          </w:p>
        </w:tc>
        <w:tc>
          <w:tcPr>
            <w:tcW w:w="5386" w:type="dxa"/>
            <w:vAlign w:val="center"/>
          </w:tcPr>
          <w:p>
            <w:pPr>
              <w:pStyle w:val="12"/>
            </w:pPr>
            <w:r>
              <w:t>改善空气质量，预防大气污染，提高人居环境质量。</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5、食品安全工作经费绩效目标表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13032125P003349100088</w:t>
            </w:r>
          </w:p>
        </w:tc>
        <w:tc>
          <w:tcPr>
            <w:tcW w:w="2835" w:type="dxa"/>
            <w:vAlign w:val="center"/>
          </w:tcPr>
          <w:p>
            <w:pPr>
              <w:pStyle w:val="10"/>
            </w:pPr>
            <w:r>
              <w:t>项目名称</w:t>
            </w:r>
          </w:p>
        </w:tc>
        <w:tc>
          <w:tcPr>
            <w:tcW w:w="6095" w:type="dxa"/>
            <w:gridSpan w:val="3"/>
            <w:vAlign w:val="center"/>
          </w:tcPr>
          <w:p>
            <w:pPr>
              <w:pStyle w:val="12"/>
            </w:pPr>
            <w:r>
              <w:t>食品安全工作经费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预算资金15万元。其中：财政资金15万元，其他资金0万元。主要用于食品检验检测费支出。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7.50</w:t>
            </w:r>
          </w:p>
        </w:tc>
        <w:tc>
          <w:tcPr>
            <w:tcW w:w="2551" w:type="dxa"/>
            <w:vAlign w:val="center"/>
          </w:tcPr>
          <w:p>
            <w:pPr>
              <w:pStyle w:val="13"/>
            </w:pPr>
            <w:r>
              <w:t>12.00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1.通过组织食品安全抽检活动，加大食品安全工作执法力度，确保食品生产、流通、消费环节不出现重大事故，为维护良好的市场竞争环境提供有力的法律保障。</w:t>
            </w:r>
          </w:p>
          <w:p>
            <w:pPr>
              <w:pStyle w:val="12"/>
            </w:pPr>
            <w:r>
              <w:t>2.通过完成国家、省、市关于食品安全城市创建考核工作任务，为维护良好的市场竞争环境提供有力的法律保障。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检查监督频次</w:t>
            </w:r>
          </w:p>
        </w:tc>
        <w:tc>
          <w:tcPr>
            <w:tcW w:w="5386" w:type="dxa"/>
            <w:vAlign w:val="center"/>
          </w:tcPr>
          <w:p>
            <w:pPr>
              <w:pStyle w:val="12"/>
            </w:pPr>
            <w:r>
              <w:t>食品生产经营单位的日常监督管理频次</w:t>
            </w:r>
          </w:p>
        </w:tc>
        <w:tc>
          <w:tcPr>
            <w:tcW w:w="2268" w:type="dxa"/>
            <w:vAlign w:val="center"/>
          </w:tcPr>
          <w:p>
            <w:pPr>
              <w:pStyle w:val="12"/>
            </w:pPr>
            <w:r>
              <w:t>≥200次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食品安全抽检批次数</w:t>
            </w:r>
          </w:p>
        </w:tc>
        <w:tc>
          <w:tcPr>
            <w:tcW w:w="5386" w:type="dxa"/>
            <w:vAlign w:val="center"/>
          </w:tcPr>
          <w:p>
            <w:pPr>
              <w:pStyle w:val="12"/>
            </w:pPr>
            <w:r>
              <w:t>食品安全抽检次数</w:t>
            </w:r>
          </w:p>
        </w:tc>
        <w:tc>
          <w:tcPr>
            <w:tcW w:w="2268" w:type="dxa"/>
            <w:vAlign w:val="center"/>
          </w:tcPr>
          <w:p>
            <w:pPr>
              <w:pStyle w:val="12"/>
            </w:pPr>
            <w:r>
              <w:t>≥1940批次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重大活动保障人次</w:t>
            </w:r>
          </w:p>
        </w:tc>
        <w:tc>
          <w:tcPr>
            <w:tcW w:w="5386" w:type="dxa"/>
            <w:vAlign w:val="center"/>
          </w:tcPr>
          <w:p>
            <w:pPr>
              <w:pStyle w:val="12"/>
            </w:pPr>
            <w:r>
              <w:t>省级领导、重大活动、两会食品安全的保障人次</w:t>
            </w:r>
          </w:p>
        </w:tc>
        <w:tc>
          <w:tcPr>
            <w:tcW w:w="2268" w:type="dxa"/>
            <w:vAlign w:val="center"/>
          </w:tcPr>
          <w:p>
            <w:pPr>
              <w:pStyle w:val="12"/>
            </w:pPr>
            <w:r>
              <w:t>≥10000人次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补助协管人员数</w:t>
            </w:r>
          </w:p>
        </w:tc>
        <w:tc>
          <w:tcPr>
            <w:tcW w:w="5386" w:type="dxa"/>
            <w:vAlign w:val="center"/>
          </w:tcPr>
          <w:p>
            <w:pPr>
              <w:pStyle w:val="12"/>
            </w:pPr>
            <w:r>
              <w:t>需要补助的基层协管员数</w:t>
            </w:r>
          </w:p>
        </w:tc>
        <w:tc>
          <w:tcPr>
            <w:tcW w:w="2268" w:type="dxa"/>
            <w:vAlign w:val="center"/>
          </w:tcPr>
          <w:p>
            <w:pPr>
              <w:pStyle w:val="12"/>
            </w:pPr>
            <w:r>
              <w:t>406人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2025年度</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抽检单位成本</w:t>
            </w:r>
          </w:p>
        </w:tc>
        <w:tc>
          <w:tcPr>
            <w:tcW w:w="5386" w:type="dxa"/>
            <w:vAlign w:val="center"/>
          </w:tcPr>
          <w:p>
            <w:pPr>
              <w:pStyle w:val="12"/>
            </w:pPr>
            <w:r>
              <w:t>抽检单位成本</w:t>
            </w:r>
          </w:p>
        </w:tc>
        <w:tc>
          <w:tcPr>
            <w:tcW w:w="2268" w:type="dxa"/>
            <w:vAlign w:val="center"/>
          </w:tcPr>
          <w:p>
            <w:pPr>
              <w:pStyle w:val="12"/>
            </w:pPr>
            <w:r>
              <w:t>≤750元/批次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人员补助单位成本</w:t>
            </w:r>
          </w:p>
        </w:tc>
        <w:tc>
          <w:tcPr>
            <w:tcW w:w="5386" w:type="dxa"/>
            <w:vAlign w:val="center"/>
          </w:tcPr>
          <w:p>
            <w:pPr>
              <w:pStyle w:val="12"/>
            </w:pPr>
            <w:r>
              <w:t>协管员每人每年补助金额</w:t>
            </w:r>
          </w:p>
        </w:tc>
        <w:tc>
          <w:tcPr>
            <w:tcW w:w="2268" w:type="dxa"/>
            <w:vAlign w:val="center"/>
          </w:tcPr>
          <w:p>
            <w:pPr>
              <w:pStyle w:val="12"/>
            </w:pPr>
            <w:r>
              <w:t>100元/年/人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不发生重大食品安全事故率</w:t>
            </w:r>
          </w:p>
        </w:tc>
        <w:tc>
          <w:tcPr>
            <w:tcW w:w="5386" w:type="dxa"/>
            <w:vAlign w:val="center"/>
          </w:tcPr>
          <w:p>
            <w:pPr>
              <w:pStyle w:val="12"/>
            </w:pPr>
            <w:r>
              <w:t>保障食品安全，不发生重大食品安全事故</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违法企业处理率（%）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群众满意度效益指标</w:t>
            </w:r>
          </w:p>
        </w:tc>
        <w:tc>
          <w:tcPr>
            <w:tcW w:w="5386" w:type="dxa"/>
            <w:vAlign w:val="center"/>
          </w:tcPr>
          <w:p>
            <w:pPr>
              <w:pStyle w:val="12"/>
            </w:pPr>
            <w:r>
              <w:t>调查群众中满意度比率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6、药品、化妆品、医疗器械监管工作经费绩效目标表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13032125P003349100107</w:t>
            </w:r>
          </w:p>
        </w:tc>
        <w:tc>
          <w:tcPr>
            <w:tcW w:w="2835" w:type="dxa"/>
            <w:vAlign w:val="center"/>
          </w:tcPr>
          <w:p>
            <w:pPr>
              <w:pStyle w:val="10"/>
            </w:pPr>
            <w:r>
              <w:t>项目名称</w:t>
            </w:r>
          </w:p>
        </w:tc>
        <w:tc>
          <w:tcPr>
            <w:tcW w:w="6095" w:type="dxa"/>
            <w:gridSpan w:val="3"/>
            <w:vAlign w:val="center"/>
          </w:tcPr>
          <w:p>
            <w:pPr>
              <w:pStyle w:val="12"/>
            </w:pPr>
            <w:r>
              <w:t>药品、化妆品、医疗器械监管工作经费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预算资金5万元。其中：财政资金5万元，其他资金0万元。主要用于宣传印刷费、燃油费、 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1.通过药品、化妆品、医疗器械安全监管知识培训，提高监管人员专业水平和综合素质。</w:t>
            </w:r>
          </w:p>
          <w:p>
            <w:pPr>
              <w:pStyle w:val="12"/>
            </w:pPr>
            <w:r>
              <w:t>2.通过药品、化妆品、医疗器械安全知识宣传，提升人民群众“两品一械”安全知识普及率。</w:t>
            </w:r>
          </w:p>
          <w:p>
            <w:pPr>
              <w:pStyle w:val="12"/>
            </w:pPr>
            <w:r>
              <w:t>3.通过药品、化妆品、医疗器械安全监管专项整治行动，加强“两品一械”企业监管力度、提升人民群众对我县“两品一械”安全满意度。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药品流通环节（连锁门店）监管企业数</w:t>
            </w:r>
          </w:p>
        </w:tc>
        <w:tc>
          <w:tcPr>
            <w:tcW w:w="5386" w:type="dxa"/>
            <w:vAlign w:val="center"/>
          </w:tcPr>
          <w:p>
            <w:pPr>
              <w:pStyle w:val="12"/>
            </w:pPr>
            <w:r>
              <w:t>反映每年对药品流通环节（连锁门店）监管企业数量</w:t>
            </w:r>
          </w:p>
        </w:tc>
        <w:tc>
          <w:tcPr>
            <w:tcW w:w="2268" w:type="dxa"/>
            <w:vAlign w:val="center"/>
          </w:tcPr>
          <w:p>
            <w:pPr>
              <w:pStyle w:val="12"/>
            </w:pPr>
            <w:r>
              <w:t>≥180家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检查医疗器械经营企业数</w:t>
            </w:r>
          </w:p>
        </w:tc>
        <w:tc>
          <w:tcPr>
            <w:tcW w:w="5386" w:type="dxa"/>
            <w:vAlign w:val="center"/>
          </w:tcPr>
          <w:p>
            <w:pPr>
              <w:pStyle w:val="12"/>
            </w:pPr>
            <w:r>
              <w:t>反映每年检查医疗器械经营企业数量</w:t>
            </w:r>
          </w:p>
        </w:tc>
        <w:tc>
          <w:tcPr>
            <w:tcW w:w="2268" w:type="dxa"/>
            <w:vAlign w:val="center"/>
          </w:tcPr>
          <w:p>
            <w:pPr>
              <w:pStyle w:val="12"/>
            </w:pPr>
            <w:r>
              <w:t>≥300家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检查医疗机构数</w:t>
            </w:r>
          </w:p>
        </w:tc>
        <w:tc>
          <w:tcPr>
            <w:tcW w:w="5386" w:type="dxa"/>
            <w:vAlign w:val="center"/>
          </w:tcPr>
          <w:p>
            <w:pPr>
              <w:pStyle w:val="12"/>
            </w:pPr>
            <w:r>
              <w:t>反映每年检查医疗机构数量</w:t>
            </w:r>
          </w:p>
        </w:tc>
        <w:tc>
          <w:tcPr>
            <w:tcW w:w="2268" w:type="dxa"/>
            <w:vAlign w:val="center"/>
          </w:tcPr>
          <w:p>
            <w:pPr>
              <w:pStyle w:val="12"/>
            </w:pPr>
            <w:r>
              <w:t>≥800家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检查化妆品经营企业数</w:t>
            </w:r>
          </w:p>
        </w:tc>
        <w:tc>
          <w:tcPr>
            <w:tcW w:w="5386" w:type="dxa"/>
            <w:vAlign w:val="center"/>
          </w:tcPr>
          <w:p>
            <w:pPr>
              <w:pStyle w:val="12"/>
            </w:pPr>
            <w:r>
              <w:t>反映每年检查化妆品经营企业数量</w:t>
            </w:r>
          </w:p>
        </w:tc>
        <w:tc>
          <w:tcPr>
            <w:tcW w:w="2268" w:type="dxa"/>
            <w:vAlign w:val="center"/>
          </w:tcPr>
          <w:p>
            <w:pPr>
              <w:pStyle w:val="12"/>
            </w:pPr>
            <w:r>
              <w:t>≥300家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药械妆不良反映监测报告数</w:t>
            </w:r>
          </w:p>
        </w:tc>
        <w:tc>
          <w:tcPr>
            <w:tcW w:w="5386" w:type="dxa"/>
            <w:vAlign w:val="center"/>
          </w:tcPr>
          <w:p>
            <w:pPr>
              <w:pStyle w:val="12"/>
            </w:pPr>
            <w:r>
              <w:t>反映每年药械妆不良反映监测报告数量</w:t>
            </w:r>
          </w:p>
        </w:tc>
        <w:tc>
          <w:tcPr>
            <w:tcW w:w="2268" w:type="dxa"/>
            <w:vAlign w:val="center"/>
          </w:tcPr>
          <w:p>
            <w:pPr>
              <w:pStyle w:val="12"/>
            </w:pPr>
            <w:r>
              <w:t>≥90家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“两品一械”在岗培训人数</w:t>
            </w:r>
          </w:p>
        </w:tc>
        <w:tc>
          <w:tcPr>
            <w:tcW w:w="5386" w:type="dxa"/>
            <w:vAlign w:val="center"/>
          </w:tcPr>
          <w:p>
            <w:pPr>
              <w:pStyle w:val="12"/>
            </w:pPr>
            <w:r>
              <w:t>反映每年对“两品一械”在岗人员培训数量</w:t>
            </w:r>
          </w:p>
        </w:tc>
        <w:tc>
          <w:tcPr>
            <w:tcW w:w="2268" w:type="dxa"/>
            <w:vAlign w:val="center"/>
          </w:tcPr>
          <w:p>
            <w:pPr>
              <w:pStyle w:val="12"/>
            </w:pPr>
            <w:r>
              <w:t>≥30家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开展药品用药安全月活动</w:t>
            </w:r>
          </w:p>
        </w:tc>
        <w:tc>
          <w:tcPr>
            <w:tcW w:w="5386" w:type="dxa"/>
            <w:vAlign w:val="center"/>
          </w:tcPr>
          <w:p>
            <w:pPr>
              <w:pStyle w:val="12"/>
            </w:pPr>
            <w:r>
              <w:t>反映每年开展药品用药安全月活动次数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不合格产品处置率</w:t>
            </w:r>
          </w:p>
        </w:tc>
        <w:tc>
          <w:tcPr>
            <w:tcW w:w="5386" w:type="dxa"/>
            <w:vAlign w:val="center"/>
          </w:tcPr>
          <w:p>
            <w:pPr>
              <w:pStyle w:val="12"/>
            </w:pPr>
            <w:r>
              <w:t>反映检查出不合格产品处置比率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药品、化妆品、医疗器械不良反应病例报告核实率</w:t>
            </w:r>
          </w:p>
        </w:tc>
        <w:tc>
          <w:tcPr>
            <w:tcW w:w="5386" w:type="dxa"/>
            <w:vAlign w:val="center"/>
          </w:tcPr>
          <w:p>
            <w:pPr>
              <w:pStyle w:val="12"/>
            </w:pPr>
            <w:r>
              <w:t>反映每年对药品、化妆品、医疗器械不良反应病例报告核实比率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药品监管人员培训覆盖率</w:t>
            </w:r>
          </w:p>
        </w:tc>
        <w:tc>
          <w:tcPr>
            <w:tcW w:w="5386" w:type="dxa"/>
            <w:vAlign w:val="center"/>
          </w:tcPr>
          <w:p>
            <w:pPr>
              <w:pStyle w:val="12"/>
            </w:pPr>
            <w:r>
              <w:t>反映每年对药品监管人员培训比率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监管任务完成时间</w:t>
            </w:r>
          </w:p>
        </w:tc>
        <w:tc>
          <w:tcPr>
            <w:tcW w:w="2268" w:type="dxa"/>
            <w:vAlign w:val="center"/>
          </w:tcPr>
          <w:p>
            <w:pPr>
              <w:pStyle w:val="12"/>
            </w:pPr>
            <w:r>
              <w:t>2025年12月31日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宣传成本</w:t>
            </w:r>
          </w:p>
        </w:tc>
        <w:tc>
          <w:tcPr>
            <w:tcW w:w="5386" w:type="dxa"/>
            <w:vAlign w:val="center"/>
          </w:tcPr>
          <w:p>
            <w:pPr>
              <w:pStyle w:val="12"/>
            </w:pPr>
            <w:r>
              <w:t>宣传册印刷支出</w:t>
            </w:r>
          </w:p>
        </w:tc>
        <w:tc>
          <w:tcPr>
            <w:tcW w:w="2268" w:type="dxa"/>
            <w:vAlign w:val="center"/>
          </w:tcPr>
          <w:p>
            <w:pPr>
              <w:pStyle w:val="12"/>
            </w:pPr>
            <w:r>
              <w:t>≤2元/本</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监督检查成本</w:t>
            </w:r>
          </w:p>
        </w:tc>
        <w:tc>
          <w:tcPr>
            <w:tcW w:w="5386" w:type="dxa"/>
            <w:vAlign w:val="center"/>
          </w:tcPr>
          <w:p>
            <w:pPr>
              <w:pStyle w:val="12"/>
            </w:pPr>
            <w:r>
              <w:t>监督检查过程中发生的办公经费</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监督检查成本</w:t>
            </w:r>
          </w:p>
        </w:tc>
        <w:tc>
          <w:tcPr>
            <w:tcW w:w="5386" w:type="dxa"/>
            <w:vAlign w:val="center"/>
          </w:tcPr>
          <w:p>
            <w:pPr>
              <w:pStyle w:val="12"/>
            </w:pPr>
            <w:r>
              <w:t>监督检查过程中发生的车辆燃油费</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“两品一械”总体安全水平提升率</w:t>
            </w:r>
          </w:p>
        </w:tc>
        <w:tc>
          <w:tcPr>
            <w:tcW w:w="5386" w:type="dxa"/>
            <w:vAlign w:val="center"/>
          </w:tcPr>
          <w:p>
            <w:pPr>
              <w:pStyle w:val="12"/>
            </w:pPr>
            <w:r>
              <w:t>反映“两品一械”总体安全水平提升比率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“两品一械”安全知识普及率</w:t>
            </w:r>
          </w:p>
        </w:tc>
        <w:tc>
          <w:tcPr>
            <w:tcW w:w="5386" w:type="dxa"/>
            <w:vAlign w:val="center"/>
          </w:tcPr>
          <w:p>
            <w:pPr>
              <w:pStyle w:val="12"/>
            </w:pPr>
            <w:r>
              <w:t>反映人民群众“两品一械”安全知识普及比率</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反映公众对药品、化妆品、医疗器械监管满意度</w:t>
            </w:r>
          </w:p>
        </w:tc>
        <w:tc>
          <w:tcPr>
            <w:tcW w:w="2268" w:type="dxa"/>
            <w:vAlign w:val="center"/>
          </w:tcPr>
          <w:p>
            <w:pPr>
              <w:pStyle w:val="12"/>
            </w:pPr>
            <w:r>
              <w:t>≥80%</w:t>
            </w:r>
          </w:p>
        </w:tc>
        <w:tc>
          <w:tcPr>
            <w:tcW w:w="1276" w:type="dxa"/>
            <w:vAlign w:val="center"/>
          </w:tcPr>
          <w:p>
            <w:pPr>
              <w:pStyle w:val="12"/>
            </w:pPr>
            <w:r>
              <w:t>调查统计结果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7、知识产权宣传经费绩效目标表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13032125P00334910014M</w:t>
            </w:r>
          </w:p>
        </w:tc>
        <w:tc>
          <w:tcPr>
            <w:tcW w:w="2835" w:type="dxa"/>
            <w:vAlign w:val="center"/>
          </w:tcPr>
          <w:p>
            <w:pPr>
              <w:pStyle w:val="10"/>
            </w:pPr>
            <w:r>
              <w:t>项目名称</w:t>
            </w:r>
          </w:p>
        </w:tc>
        <w:tc>
          <w:tcPr>
            <w:tcW w:w="6095" w:type="dxa"/>
            <w:gridSpan w:val="3"/>
            <w:vAlign w:val="center"/>
          </w:tcPr>
          <w:p>
            <w:pPr>
              <w:pStyle w:val="12"/>
            </w:pPr>
            <w:r>
              <w:t>知识产权宣传经费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预算资金3万元。其中：财政资金3万元，其他资金0万元。主要用于宣传印刷费、燃油费、 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2.50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1.通过知识产权宣传活动，提高公众对知识产权领域认知率，改善市场营销环境，持续提升知识产权保护效果。</w:t>
            </w:r>
          </w:p>
          <w:p>
            <w:pPr>
              <w:pStyle w:val="12"/>
            </w:pPr>
            <w:r>
              <w:t>2.通过知识产权宣传活动，提高企业对知识产权保护意识，不断提升知识产权创造质量。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知识产权宣传对接企业数</w:t>
            </w:r>
          </w:p>
        </w:tc>
        <w:tc>
          <w:tcPr>
            <w:tcW w:w="5386" w:type="dxa"/>
            <w:vAlign w:val="center"/>
          </w:tcPr>
          <w:p>
            <w:pPr>
              <w:pStyle w:val="12"/>
            </w:pPr>
            <w:r>
              <w:t>反映每年针知识产权信息进企业促创新对接企业数量</w:t>
            </w:r>
          </w:p>
        </w:tc>
        <w:tc>
          <w:tcPr>
            <w:tcW w:w="2268" w:type="dxa"/>
            <w:vAlign w:val="center"/>
          </w:tcPr>
          <w:p>
            <w:pPr>
              <w:pStyle w:val="12"/>
            </w:pPr>
            <w:r>
              <w:t>≥160家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知识产权宣传册印刷数量</w:t>
            </w:r>
          </w:p>
        </w:tc>
        <w:tc>
          <w:tcPr>
            <w:tcW w:w="5386" w:type="dxa"/>
            <w:vAlign w:val="center"/>
          </w:tcPr>
          <w:p>
            <w:pPr>
              <w:pStyle w:val="12"/>
            </w:pPr>
            <w:r>
              <w:t>知识产权宣传册印刷数量</w:t>
            </w:r>
          </w:p>
        </w:tc>
        <w:tc>
          <w:tcPr>
            <w:tcW w:w="2268" w:type="dxa"/>
            <w:vAlign w:val="center"/>
          </w:tcPr>
          <w:p>
            <w:pPr>
              <w:pStyle w:val="12"/>
            </w:pPr>
            <w:r>
              <w:t>≥1000本</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宣传条幅数</w:t>
            </w:r>
          </w:p>
        </w:tc>
        <w:tc>
          <w:tcPr>
            <w:tcW w:w="5386" w:type="dxa"/>
            <w:vAlign w:val="center"/>
          </w:tcPr>
          <w:p>
            <w:pPr>
              <w:pStyle w:val="12"/>
            </w:pPr>
            <w:r>
              <w:t>印刷宣传用条幅数量</w:t>
            </w:r>
          </w:p>
        </w:tc>
        <w:tc>
          <w:tcPr>
            <w:tcW w:w="2268" w:type="dxa"/>
            <w:vAlign w:val="center"/>
          </w:tcPr>
          <w:p>
            <w:pPr>
              <w:pStyle w:val="12"/>
            </w:pPr>
            <w:r>
              <w:t>≥100条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宣传用车数量</w:t>
            </w:r>
          </w:p>
        </w:tc>
        <w:tc>
          <w:tcPr>
            <w:tcW w:w="5386" w:type="dxa"/>
            <w:vAlign w:val="center"/>
          </w:tcPr>
          <w:p>
            <w:pPr>
              <w:pStyle w:val="12"/>
            </w:pPr>
            <w:r>
              <w:t>知识产权宣传用车数量</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宣传用滚动大屏数量</w:t>
            </w:r>
          </w:p>
        </w:tc>
        <w:tc>
          <w:tcPr>
            <w:tcW w:w="5386" w:type="dxa"/>
            <w:vAlign w:val="center"/>
          </w:tcPr>
          <w:p>
            <w:pPr>
              <w:pStyle w:val="12"/>
            </w:pPr>
            <w:r>
              <w:t>知识产权宣传用广场滚动大屏数量</w:t>
            </w:r>
          </w:p>
        </w:tc>
        <w:tc>
          <w:tcPr>
            <w:tcW w:w="2268" w:type="dxa"/>
            <w:vAlign w:val="center"/>
          </w:tcPr>
          <w:p>
            <w:pPr>
              <w:pStyle w:val="12"/>
            </w:pPr>
            <w:r>
              <w:t>2块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宣传册合格率</w:t>
            </w:r>
          </w:p>
        </w:tc>
        <w:tc>
          <w:tcPr>
            <w:tcW w:w="5386" w:type="dxa"/>
            <w:vAlign w:val="center"/>
          </w:tcPr>
          <w:p>
            <w:pPr>
              <w:pStyle w:val="12"/>
            </w:pPr>
            <w:r>
              <w:t>宣传册合格数量占印刷总数量的比率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车辆运行安全率</w:t>
            </w:r>
          </w:p>
        </w:tc>
        <w:tc>
          <w:tcPr>
            <w:tcW w:w="5386" w:type="dxa"/>
            <w:vAlign w:val="center"/>
          </w:tcPr>
          <w:p>
            <w:pPr>
              <w:pStyle w:val="12"/>
            </w:pPr>
            <w:r>
              <w:t>反映宣传车辆运行的安全率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知识产权宣传完成时间</w:t>
            </w:r>
          </w:p>
        </w:tc>
        <w:tc>
          <w:tcPr>
            <w:tcW w:w="2268" w:type="dxa"/>
            <w:vAlign w:val="center"/>
          </w:tcPr>
          <w:p>
            <w:pPr>
              <w:pStyle w:val="12"/>
            </w:pPr>
            <w:r>
              <w:t>2025年度</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宣传册印刷支出</w:t>
            </w:r>
          </w:p>
        </w:tc>
        <w:tc>
          <w:tcPr>
            <w:tcW w:w="2268" w:type="dxa"/>
            <w:vAlign w:val="center"/>
          </w:tcPr>
          <w:p>
            <w:pPr>
              <w:pStyle w:val="12"/>
            </w:pPr>
            <w:r>
              <w:t>≤2元/本</w:t>
            </w:r>
          </w:p>
          <w:p>
            <w:pPr>
              <w:pStyle w:val="12"/>
            </w:pP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宣传用大屏使用费</w:t>
            </w:r>
          </w:p>
        </w:tc>
        <w:tc>
          <w:tcPr>
            <w:tcW w:w="2268" w:type="dxa"/>
            <w:vAlign w:val="center"/>
          </w:tcPr>
          <w:p>
            <w:pPr>
              <w:pStyle w:val="12"/>
            </w:pPr>
            <w:r>
              <w:t>≤4000元/块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宣传条幅印刷费用</w:t>
            </w:r>
          </w:p>
        </w:tc>
        <w:tc>
          <w:tcPr>
            <w:tcW w:w="2268" w:type="dxa"/>
            <w:vAlign w:val="center"/>
          </w:tcPr>
          <w:p>
            <w:pPr>
              <w:pStyle w:val="12"/>
            </w:pPr>
            <w:r>
              <w:t>≤40元/条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燃油费</w:t>
            </w:r>
          </w:p>
        </w:tc>
        <w:tc>
          <w:tcPr>
            <w:tcW w:w="5386" w:type="dxa"/>
            <w:vAlign w:val="center"/>
          </w:tcPr>
          <w:p>
            <w:pPr>
              <w:pStyle w:val="12"/>
            </w:pPr>
            <w:r>
              <w:t>反映为宣传工作而使用车辆费用</w:t>
            </w:r>
          </w:p>
        </w:tc>
        <w:tc>
          <w:tcPr>
            <w:tcW w:w="2268" w:type="dxa"/>
            <w:vAlign w:val="center"/>
          </w:tcPr>
          <w:p>
            <w:pPr>
              <w:pStyle w:val="12"/>
            </w:pPr>
            <w:r>
              <w:t>≤1.6万元/辆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知识产权知晓率</w:t>
            </w:r>
          </w:p>
        </w:tc>
        <w:tc>
          <w:tcPr>
            <w:tcW w:w="5386" w:type="dxa"/>
            <w:vAlign w:val="center"/>
          </w:tcPr>
          <w:p>
            <w:pPr>
              <w:pStyle w:val="12"/>
            </w:pPr>
            <w:r>
              <w:t>反映公众对知识产权领域知晓比率</w:t>
            </w:r>
          </w:p>
        </w:tc>
        <w:tc>
          <w:tcPr>
            <w:tcW w:w="2268" w:type="dxa"/>
            <w:vAlign w:val="center"/>
          </w:tcPr>
          <w:p>
            <w:pPr>
              <w:pStyle w:val="12"/>
            </w:pPr>
            <w:r>
              <w:t>≥60%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违法企业处理率（%）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8、执法办案工作经费绩效目标表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13032125P00334910011T</w:t>
            </w:r>
          </w:p>
        </w:tc>
        <w:tc>
          <w:tcPr>
            <w:tcW w:w="2835" w:type="dxa"/>
            <w:vAlign w:val="center"/>
          </w:tcPr>
          <w:p>
            <w:pPr>
              <w:pStyle w:val="10"/>
            </w:pPr>
            <w:r>
              <w:t>项目名称</w:t>
            </w:r>
          </w:p>
        </w:tc>
        <w:tc>
          <w:tcPr>
            <w:tcW w:w="6095" w:type="dxa"/>
            <w:gridSpan w:val="3"/>
            <w:vAlign w:val="center"/>
          </w:tcPr>
          <w:p>
            <w:pPr>
              <w:pStyle w:val="12"/>
            </w:pPr>
            <w:r>
              <w:t>执法办案工作经费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预算资金10万元。其中：财政资金10万元，其他资金0万元。主要用于燃油费、 差旅费、办公费支出。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1.通过查处严重损害群众利益和破坏市场秩序的大案要案，维护公平竞争的市场秩序。</w:t>
            </w:r>
          </w:p>
          <w:p>
            <w:pPr>
              <w:pStyle w:val="12"/>
            </w:pPr>
            <w:r>
              <w:t>2.通过组织开展专项执法行动，依法查处各类市场违法行为。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执法监督检查企业数</w:t>
            </w:r>
          </w:p>
        </w:tc>
        <w:tc>
          <w:tcPr>
            <w:tcW w:w="5386" w:type="dxa"/>
            <w:vAlign w:val="center"/>
          </w:tcPr>
          <w:p>
            <w:pPr>
              <w:pStyle w:val="12"/>
            </w:pPr>
            <w:r>
              <w:t>反映市场监管部门对企业开展执法检查企业数量</w:t>
            </w:r>
          </w:p>
        </w:tc>
        <w:tc>
          <w:tcPr>
            <w:tcW w:w="2268" w:type="dxa"/>
            <w:vAlign w:val="center"/>
          </w:tcPr>
          <w:p>
            <w:pPr>
              <w:pStyle w:val="12"/>
            </w:pPr>
            <w:r>
              <w:t>≥300户</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执法用车数量</w:t>
            </w:r>
          </w:p>
        </w:tc>
        <w:tc>
          <w:tcPr>
            <w:tcW w:w="5386" w:type="dxa"/>
            <w:vAlign w:val="center"/>
          </w:tcPr>
          <w:p>
            <w:pPr>
              <w:pStyle w:val="12"/>
            </w:pPr>
            <w:r>
              <w:t>执法办案过程中所需的执法用车数量</w:t>
            </w:r>
          </w:p>
        </w:tc>
        <w:tc>
          <w:tcPr>
            <w:tcW w:w="2268" w:type="dxa"/>
            <w:vAlign w:val="center"/>
          </w:tcPr>
          <w:p>
            <w:pPr>
              <w:pStyle w:val="12"/>
            </w:pPr>
            <w:r>
              <w:t>≥5辆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执法案件查处率</w:t>
            </w:r>
          </w:p>
        </w:tc>
        <w:tc>
          <w:tcPr>
            <w:tcW w:w="5386" w:type="dxa"/>
            <w:vAlign w:val="center"/>
          </w:tcPr>
          <w:p>
            <w:pPr>
              <w:pStyle w:val="12"/>
            </w:pPr>
            <w:r>
              <w:t>反映对各类违法案件查处工作情况，查处案件数占受理案件数比率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车辆运行安全率</w:t>
            </w:r>
          </w:p>
        </w:tc>
        <w:tc>
          <w:tcPr>
            <w:tcW w:w="5386" w:type="dxa"/>
            <w:vAlign w:val="center"/>
          </w:tcPr>
          <w:p>
            <w:pPr>
              <w:pStyle w:val="12"/>
            </w:pPr>
            <w:r>
              <w:t>反映执法车辆运行的安全率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执法案件完成时间</w:t>
            </w:r>
          </w:p>
        </w:tc>
        <w:tc>
          <w:tcPr>
            <w:tcW w:w="2268" w:type="dxa"/>
            <w:vAlign w:val="center"/>
          </w:tcPr>
          <w:p>
            <w:pPr>
              <w:pStyle w:val="12"/>
            </w:pPr>
            <w:r>
              <w:t>2025年度</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燃油费</w:t>
            </w:r>
          </w:p>
        </w:tc>
        <w:tc>
          <w:tcPr>
            <w:tcW w:w="5386" w:type="dxa"/>
            <w:vAlign w:val="center"/>
          </w:tcPr>
          <w:p>
            <w:pPr>
              <w:pStyle w:val="12"/>
            </w:pPr>
            <w:r>
              <w:t>反映为工作而使用执法用车费用</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5386" w:type="dxa"/>
            <w:vAlign w:val="center"/>
          </w:tcPr>
          <w:p>
            <w:pPr>
              <w:pStyle w:val="12"/>
            </w:pPr>
            <w:r>
              <w:t>反映县内每次每天伙食费补助金额</w:t>
            </w:r>
          </w:p>
        </w:tc>
        <w:tc>
          <w:tcPr>
            <w:tcW w:w="2268" w:type="dxa"/>
            <w:vAlign w:val="center"/>
          </w:tcPr>
          <w:p>
            <w:pPr>
              <w:pStyle w:val="12"/>
            </w:pPr>
            <w:r>
              <w:t>≤30元/人/天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用于执法案件办公费</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被投诉的执法办案行为次数占执法办案总数的比率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9、“助企引智”奖励资金绩效目标表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13032125P00011610157B</w:t>
            </w:r>
          </w:p>
        </w:tc>
        <w:tc>
          <w:tcPr>
            <w:tcW w:w="2835" w:type="dxa"/>
            <w:vAlign w:val="center"/>
          </w:tcPr>
          <w:p>
            <w:pPr>
              <w:pStyle w:val="10"/>
            </w:pPr>
            <w:r>
              <w:t>项目名称</w:t>
            </w:r>
          </w:p>
        </w:tc>
        <w:tc>
          <w:tcPr>
            <w:tcW w:w="6095" w:type="dxa"/>
            <w:gridSpan w:val="3"/>
            <w:vAlign w:val="center"/>
          </w:tcPr>
          <w:p>
            <w:pPr>
              <w:pStyle w:val="12"/>
            </w:pPr>
            <w:r>
              <w:t>“助企引智”奖励资金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预算资金3万元，其中财政拨款资金3万元，其他资金0万元。主要用于“助企引智”企业奖励资金。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1.通过“助企引智”奖励，为“质量强县”提供更有力的政策支持。</w:t>
            </w:r>
          </w:p>
          <w:p>
            <w:pPr>
              <w:pStyle w:val="12"/>
            </w:pPr>
            <w:r>
              <w:t>2.通过“助企引智”奖励，促进本县域企业科技创新和发展，全面提升全县质量管理水平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奖励企业数量</w:t>
            </w:r>
          </w:p>
        </w:tc>
        <w:tc>
          <w:tcPr>
            <w:tcW w:w="5386" w:type="dxa"/>
            <w:vAlign w:val="center"/>
          </w:tcPr>
          <w:p>
            <w:pPr>
              <w:pStyle w:val="12"/>
            </w:pPr>
            <w:r>
              <w:t>奖励企业数量</w:t>
            </w:r>
          </w:p>
        </w:tc>
        <w:tc>
          <w:tcPr>
            <w:tcW w:w="2268" w:type="dxa"/>
            <w:vAlign w:val="center"/>
          </w:tcPr>
          <w:p>
            <w:pPr>
              <w:pStyle w:val="12"/>
            </w:pPr>
            <w:r>
              <w:t>1个</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引进专家数量</w:t>
            </w:r>
          </w:p>
        </w:tc>
        <w:tc>
          <w:tcPr>
            <w:tcW w:w="5386" w:type="dxa"/>
            <w:vAlign w:val="center"/>
          </w:tcPr>
          <w:p>
            <w:pPr>
              <w:pStyle w:val="12"/>
            </w:pPr>
            <w:r>
              <w:t>引进国外专家数量</w:t>
            </w:r>
          </w:p>
        </w:tc>
        <w:tc>
          <w:tcPr>
            <w:tcW w:w="2268" w:type="dxa"/>
            <w:vAlign w:val="center"/>
          </w:tcPr>
          <w:p>
            <w:pPr>
              <w:pStyle w:val="12"/>
            </w:pPr>
            <w:r>
              <w:t>2个</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奖励发放率</w:t>
            </w:r>
          </w:p>
        </w:tc>
        <w:tc>
          <w:tcPr>
            <w:tcW w:w="5386" w:type="dxa"/>
            <w:vAlign w:val="center"/>
          </w:tcPr>
          <w:p>
            <w:pPr>
              <w:pStyle w:val="12"/>
            </w:pPr>
            <w:r>
              <w:t>发放给企业奖励金比率</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奖励发放及时率</w:t>
            </w:r>
          </w:p>
        </w:tc>
        <w:tc>
          <w:tcPr>
            <w:tcW w:w="5386" w:type="dxa"/>
            <w:vAlign w:val="center"/>
          </w:tcPr>
          <w:p>
            <w:pPr>
              <w:pStyle w:val="12"/>
            </w:pPr>
            <w:r>
              <w:t>发放给企业奖励资金及时性</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项目完成时间</w:t>
            </w:r>
          </w:p>
        </w:tc>
        <w:tc>
          <w:tcPr>
            <w:tcW w:w="2268" w:type="dxa"/>
            <w:vAlign w:val="center"/>
          </w:tcPr>
          <w:p>
            <w:pPr>
              <w:pStyle w:val="12"/>
            </w:pPr>
            <w:r>
              <w:t>2025年度</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奖励资金数额</w:t>
            </w:r>
          </w:p>
        </w:tc>
        <w:tc>
          <w:tcPr>
            <w:tcW w:w="5386" w:type="dxa"/>
            <w:vAlign w:val="center"/>
          </w:tcPr>
          <w:p>
            <w:pPr>
              <w:pStyle w:val="12"/>
            </w:pPr>
            <w:r>
              <w:t>发放给“助企引智”企业奖金数</w:t>
            </w:r>
          </w:p>
        </w:tc>
        <w:tc>
          <w:tcPr>
            <w:tcW w:w="2268" w:type="dxa"/>
            <w:vAlign w:val="center"/>
          </w:tcPr>
          <w:p>
            <w:pPr>
              <w:pStyle w:val="12"/>
            </w:pPr>
            <w:r>
              <w:t>3万元</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质量管理水平提升率</w:t>
            </w:r>
          </w:p>
        </w:tc>
        <w:tc>
          <w:tcPr>
            <w:tcW w:w="5386" w:type="dxa"/>
            <w:vAlign w:val="center"/>
          </w:tcPr>
          <w:p>
            <w:pPr>
              <w:pStyle w:val="12"/>
            </w:pPr>
            <w:r>
              <w:t>企业质量管理水平提升比率</w:t>
            </w:r>
          </w:p>
        </w:tc>
        <w:tc>
          <w:tcPr>
            <w:tcW w:w="2268" w:type="dxa"/>
            <w:vAlign w:val="center"/>
          </w:tcPr>
          <w:p>
            <w:pPr>
              <w:pStyle w:val="12"/>
            </w:pPr>
            <w:r>
              <w:t>≥20%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提升企业产品合格率</w:t>
            </w:r>
          </w:p>
        </w:tc>
        <w:tc>
          <w:tcPr>
            <w:tcW w:w="5386" w:type="dxa"/>
            <w:vAlign w:val="center"/>
          </w:tcPr>
          <w:p>
            <w:pPr>
              <w:pStyle w:val="12"/>
            </w:pPr>
            <w:r>
              <w:t>提升企业产品合格比率</w:t>
            </w:r>
          </w:p>
        </w:tc>
        <w:tc>
          <w:tcPr>
            <w:tcW w:w="2268" w:type="dxa"/>
            <w:vAlign w:val="center"/>
          </w:tcPr>
          <w:p>
            <w:pPr>
              <w:pStyle w:val="12"/>
            </w:pPr>
            <w:r>
              <w:t>≥3%</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受益企业对政府服务满族度</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10、关于提前下达2025年市场监管专项补助经费的通知（冀财行[2024]89号）绩效目标表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13032125P00333110001A</w:t>
            </w:r>
          </w:p>
        </w:tc>
        <w:tc>
          <w:tcPr>
            <w:tcW w:w="2835" w:type="dxa"/>
            <w:vAlign w:val="center"/>
          </w:tcPr>
          <w:p>
            <w:pPr>
              <w:pStyle w:val="10"/>
            </w:pPr>
            <w:r>
              <w:t>项目名称</w:t>
            </w:r>
          </w:p>
        </w:tc>
        <w:tc>
          <w:tcPr>
            <w:tcW w:w="6095" w:type="dxa"/>
            <w:gridSpan w:val="3"/>
            <w:vAlign w:val="center"/>
          </w:tcPr>
          <w:p>
            <w:pPr>
              <w:pStyle w:val="12"/>
            </w:pPr>
            <w:r>
              <w:t>关于提前下达2025年市场监管专项补助经费的通知（冀财行[2024]89号）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预算资金12万元。其中财政资金12万元，其他资金0万元。主要用于基层所建设提升、特种设备监管能力提升等方面支出。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1.通过开展特种设备检验检测，确保特种设备安全。</w:t>
            </w:r>
          </w:p>
          <w:p>
            <w:pPr>
              <w:pStyle w:val="12"/>
            </w:pPr>
            <w:r>
              <w:t>2.通过改善执法装备，提升市场监管部门执法能力。</w:t>
            </w:r>
          </w:p>
          <w:p>
            <w:pPr>
              <w:pStyle w:val="12"/>
            </w:pPr>
            <w:r>
              <w:t>3.通过加强基层所标准化建设，提升正规化建设，改善基层所装备水平和办公条件，实现基础设施标准化，提高工作效率，提升监管效能。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监督执法数量</w:t>
            </w:r>
          </w:p>
        </w:tc>
        <w:tc>
          <w:tcPr>
            <w:tcW w:w="5386" w:type="dxa"/>
            <w:vAlign w:val="center"/>
          </w:tcPr>
          <w:p>
            <w:pPr>
              <w:pStyle w:val="12"/>
            </w:pPr>
            <w:r>
              <w:t>每年开展监管执法次数</w:t>
            </w:r>
          </w:p>
        </w:tc>
        <w:tc>
          <w:tcPr>
            <w:tcW w:w="2268" w:type="dxa"/>
            <w:vAlign w:val="center"/>
          </w:tcPr>
          <w:p>
            <w:pPr>
              <w:pStyle w:val="12"/>
            </w:pPr>
            <w:r>
              <w:t>≥5次</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特种设备检验检测批次</w:t>
            </w:r>
          </w:p>
        </w:tc>
        <w:tc>
          <w:tcPr>
            <w:tcW w:w="5386" w:type="dxa"/>
            <w:vAlign w:val="center"/>
          </w:tcPr>
          <w:p>
            <w:pPr>
              <w:pStyle w:val="12"/>
            </w:pPr>
            <w:r>
              <w:t>每年对特种设备检验检测批次</w:t>
            </w:r>
          </w:p>
        </w:tc>
        <w:tc>
          <w:tcPr>
            <w:tcW w:w="2268" w:type="dxa"/>
            <w:vAlign w:val="center"/>
          </w:tcPr>
          <w:p>
            <w:pPr>
              <w:pStyle w:val="12"/>
            </w:pPr>
            <w:r>
              <w:t>≥10批次</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开展执法行动占总布置行动数的比率</w:t>
            </w:r>
          </w:p>
        </w:tc>
        <w:tc>
          <w:tcPr>
            <w:tcW w:w="2268" w:type="dxa"/>
            <w:vAlign w:val="center"/>
          </w:tcPr>
          <w:p>
            <w:pPr>
              <w:pStyle w:val="12"/>
            </w:pPr>
            <w:r>
              <w:t>≥95%</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特种设备检验检测完成率</w:t>
            </w:r>
          </w:p>
        </w:tc>
        <w:tc>
          <w:tcPr>
            <w:tcW w:w="5386" w:type="dxa"/>
            <w:vAlign w:val="center"/>
          </w:tcPr>
          <w:p>
            <w:pPr>
              <w:pStyle w:val="12"/>
            </w:pPr>
            <w:r>
              <w:t>特种设备检验检测完成批次占计划批次的比率</w:t>
            </w:r>
          </w:p>
        </w:tc>
        <w:tc>
          <w:tcPr>
            <w:tcW w:w="2268" w:type="dxa"/>
            <w:vAlign w:val="center"/>
          </w:tcPr>
          <w:p>
            <w:pPr>
              <w:pStyle w:val="12"/>
            </w:pPr>
            <w:r>
              <w:t>≥95%</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监督执法完成时限</w:t>
            </w:r>
          </w:p>
        </w:tc>
        <w:tc>
          <w:tcPr>
            <w:tcW w:w="5386" w:type="dxa"/>
            <w:vAlign w:val="center"/>
          </w:tcPr>
          <w:p>
            <w:pPr>
              <w:pStyle w:val="12"/>
            </w:pPr>
            <w:r>
              <w:t>开展监督执法行动完成时间</w:t>
            </w:r>
          </w:p>
        </w:tc>
        <w:tc>
          <w:tcPr>
            <w:tcW w:w="2268" w:type="dxa"/>
            <w:vAlign w:val="center"/>
          </w:tcPr>
          <w:p>
            <w:pPr>
              <w:pStyle w:val="12"/>
            </w:pPr>
            <w:r>
              <w:t>2025年12月31日前</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特种设备检验检测完成时限</w:t>
            </w:r>
          </w:p>
        </w:tc>
        <w:tc>
          <w:tcPr>
            <w:tcW w:w="5386" w:type="dxa"/>
            <w:vAlign w:val="center"/>
          </w:tcPr>
          <w:p>
            <w:pPr>
              <w:pStyle w:val="12"/>
            </w:pPr>
            <w:r>
              <w:t>特种设备检验检测完成时间</w:t>
            </w:r>
          </w:p>
        </w:tc>
        <w:tc>
          <w:tcPr>
            <w:tcW w:w="2268" w:type="dxa"/>
            <w:vAlign w:val="center"/>
          </w:tcPr>
          <w:p>
            <w:pPr>
              <w:pStyle w:val="12"/>
            </w:pPr>
            <w:r>
              <w:t>2025年12月31日前</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监督执法平均成本</w:t>
            </w:r>
          </w:p>
        </w:tc>
        <w:tc>
          <w:tcPr>
            <w:tcW w:w="5386" w:type="dxa"/>
            <w:vAlign w:val="center"/>
          </w:tcPr>
          <w:p>
            <w:pPr>
              <w:pStyle w:val="12"/>
            </w:pPr>
            <w:r>
              <w:t>开展监督执法所需成本</w:t>
            </w:r>
          </w:p>
        </w:tc>
        <w:tc>
          <w:tcPr>
            <w:tcW w:w="2268" w:type="dxa"/>
            <w:vAlign w:val="center"/>
          </w:tcPr>
          <w:p>
            <w:pPr>
              <w:pStyle w:val="12"/>
            </w:pPr>
            <w:r>
              <w:t>≤10万元</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检验检测批次成本</w:t>
            </w:r>
          </w:p>
        </w:tc>
        <w:tc>
          <w:tcPr>
            <w:tcW w:w="5386" w:type="dxa"/>
            <w:vAlign w:val="center"/>
          </w:tcPr>
          <w:p>
            <w:pPr>
              <w:pStyle w:val="12"/>
            </w:pPr>
            <w:r>
              <w:t>开展检验检测每批次单位成本</w:t>
            </w:r>
          </w:p>
        </w:tc>
        <w:tc>
          <w:tcPr>
            <w:tcW w:w="2268" w:type="dxa"/>
            <w:vAlign w:val="center"/>
          </w:tcPr>
          <w:p>
            <w:pPr>
              <w:pStyle w:val="12"/>
            </w:pPr>
            <w:r>
              <w:t>≤0.19万元</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每年发生重大案件次数</w:t>
            </w:r>
          </w:p>
        </w:tc>
        <w:tc>
          <w:tcPr>
            <w:tcW w:w="2268" w:type="dxa"/>
            <w:vAlign w:val="center"/>
          </w:tcPr>
          <w:p>
            <w:pPr>
              <w:pStyle w:val="12"/>
            </w:pPr>
            <w:r>
              <w:t>0次</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万台特种设备死亡率</w:t>
            </w:r>
          </w:p>
        </w:tc>
        <w:tc>
          <w:tcPr>
            <w:tcW w:w="5386" w:type="dxa"/>
            <w:vAlign w:val="center"/>
          </w:tcPr>
          <w:p>
            <w:pPr>
              <w:pStyle w:val="12"/>
            </w:pPr>
            <w:r>
              <w:t>每万台特种设备造成的死亡人数</w:t>
            </w:r>
          </w:p>
        </w:tc>
        <w:tc>
          <w:tcPr>
            <w:tcW w:w="2268" w:type="dxa"/>
            <w:vAlign w:val="center"/>
          </w:tcPr>
          <w:p>
            <w:pPr>
              <w:pStyle w:val="12"/>
            </w:pPr>
            <w:r>
              <w:t>&lt;0.36人</w:t>
            </w:r>
          </w:p>
        </w:tc>
        <w:tc>
          <w:tcPr>
            <w:tcW w:w="1276" w:type="dxa"/>
            <w:vAlign w:val="center"/>
          </w:tcPr>
          <w:p>
            <w:pPr>
              <w:pStyle w:val="12"/>
            </w:pPr>
            <w:r>
              <w:t>省级专项资金文件及年初工作计划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社会反馈意见对市场监管工作满意度</w:t>
            </w:r>
          </w:p>
        </w:tc>
        <w:tc>
          <w:tcPr>
            <w:tcW w:w="2268" w:type="dxa"/>
            <w:vAlign w:val="center"/>
          </w:tcPr>
          <w:p>
            <w:pPr>
              <w:pStyle w:val="12"/>
            </w:pPr>
            <w:r>
              <w:t>≥90%</w:t>
            </w:r>
          </w:p>
        </w:tc>
        <w:tc>
          <w:tcPr>
            <w:tcW w:w="1276" w:type="dxa"/>
            <w:vAlign w:val="center"/>
          </w:tcPr>
          <w:p>
            <w:pPr>
              <w:pStyle w:val="12"/>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11、检测实验室建设经费绩效目标表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13032125P00333110005Q</w:t>
            </w:r>
          </w:p>
        </w:tc>
        <w:tc>
          <w:tcPr>
            <w:tcW w:w="2835" w:type="dxa"/>
            <w:vAlign w:val="center"/>
          </w:tcPr>
          <w:p>
            <w:pPr>
              <w:pStyle w:val="10"/>
            </w:pPr>
            <w:r>
              <w:t>项目名称</w:t>
            </w:r>
          </w:p>
        </w:tc>
        <w:tc>
          <w:tcPr>
            <w:tcW w:w="6095" w:type="dxa"/>
            <w:gridSpan w:val="3"/>
            <w:vAlign w:val="center"/>
          </w:tcPr>
          <w:p>
            <w:pPr>
              <w:pStyle w:val="12"/>
            </w:pPr>
            <w:r>
              <w:t>检测实验室建设经费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w:t>
            </w:r>
          </w:p>
        </w:tc>
        <w:tc>
          <w:tcPr>
            <w:tcW w:w="2835" w:type="dxa"/>
            <w:vAlign w:val="center"/>
          </w:tcPr>
          <w:p>
            <w:pPr>
              <w:pStyle w:val="10"/>
            </w:pPr>
            <w:r>
              <w:t>其中：财政    资金</w:t>
            </w:r>
          </w:p>
        </w:tc>
        <w:tc>
          <w:tcPr>
            <w:tcW w:w="2551" w:type="dxa"/>
            <w:vAlign w:val="center"/>
          </w:tcPr>
          <w:p>
            <w:pPr>
              <w:pStyle w:val="12"/>
            </w:pPr>
            <w:r>
              <w:t>40.50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预算资金40.5万元，其中财政资金40.5万元，其他资金0万元。主要用于检测实验室改造、办公设备购置、专用设备购置等支出。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1.通过开展服务商标注册,形成创新能力强、服务水平高、市场竞争力强的知名品牌,充分发挥质量认证在市场经济条件下传递信任、服务于经济发展方面的作用。</w:t>
            </w:r>
          </w:p>
          <w:p>
            <w:pPr>
              <w:pStyle w:val="12"/>
            </w:pPr>
            <w:r>
              <w:t>2.通过完善实验室建设，扶持全县检验检测认证事业发展,增强品牌意识。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改造实验室数量</w:t>
            </w:r>
          </w:p>
        </w:tc>
        <w:tc>
          <w:tcPr>
            <w:tcW w:w="5386" w:type="dxa"/>
            <w:vAlign w:val="center"/>
          </w:tcPr>
          <w:p>
            <w:pPr>
              <w:pStyle w:val="12"/>
            </w:pPr>
            <w:r>
              <w:t>改造实验室数量</w:t>
            </w:r>
          </w:p>
        </w:tc>
        <w:tc>
          <w:tcPr>
            <w:tcW w:w="2268" w:type="dxa"/>
            <w:vAlign w:val="center"/>
          </w:tcPr>
          <w:p>
            <w:pPr>
              <w:pStyle w:val="12"/>
            </w:pPr>
            <w:r>
              <w:t>≥9间</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反映购置设备的数量</w:t>
            </w:r>
          </w:p>
        </w:tc>
        <w:tc>
          <w:tcPr>
            <w:tcW w:w="2268" w:type="dxa"/>
            <w:vAlign w:val="center"/>
          </w:tcPr>
          <w:p>
            <w:pPr>
              <w:pStyle w:val="12"/>
            </w:pPr>
            <w:r>
              <w:t>≥20个</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配套设施完成率</w:t>
            </w:r>
          </w:p>
        </w:tc>
        <w:tc>
          <w:tcPr>
            <w:tcW w:w="5386" w:type="dxa"/>
            <w:vAlign w:val="center"/>
          </w:tcPr>
          <w:p>
            <w:pPr>
              <w:pStyle w:val="12"/>
            </w:pPr>
            <w:r>
              <w:t>实际完成工配套量占计划完成配套设施量的比率</w:t>
            </w:r>
          </w:p>
        </w:tc>
        <w:tc>
          <w:tcPr>
            <w:tcW w:w="2268" w:type="dxa"/>
            <w:vAlign w:val="center"/>
          </w:tcPr>
          <w:p>
            <w:pPr>
              <w:pStyle w:val="12"/>
            </w:pPr>
            <w:r>
              <w:t>≥80%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采购设备合格率</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反映购置设备正常运转情况</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按计划完工率</w:t>
            </w:r>
          </w:p>
        </w:tc>
        <w:tc>
          <w:tcPr>
            <w:tcW w:w="5386" w:type="dxa"/>
            <w:vAlign w:val="center"/>
          </w:tcPr>
          <w:p>
            <w:pPr>
              <w:pStyle w:val="12"/>
            </w:pPr>
            <w:r>
              <w:t>实验室改造完成时间</w:t>
            </w:r>
          </w:p>
        </w:tc>
        <w:tc>
          <w:tcPr>
            <w:tcW w:w="2268" w:type="dxa"/>
            <w:vAlign w:val="center"/>
          </w:tcPr>
          <w:p>
            <w:pPr>
              <w:pStyle w:val="12"/>
            </w:pPr>
            <w:r>
              <w:t>2025年度</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实验室改造成本</w:t>
            </w:r>
          </w:p>
        </w:tc>
        <w:tc>
          <w:tcPr>
            <w:tcW w:w="5386" w:type="dxa"/>
            <w:vAlign w:val="center"/>
          </w:tcPr>
          <w:p>
            <w:pPr>
              <w:pStyle w:val="12"/>
            </w:pPr>
            <w:r>
              <w:t>改造实验室成本</w:t>
            </w:r>
          </w:p>
        </w:tc>
        <w:tc>
          <w:tcPr>
            <w:tcW w:w="2268" w:type="dxa"/>
            <w:vAlign w:val="center"/>
          </w:tcPr>
          <w:p>
            <w:pPr>
              <w:pStyle w:val="12"/>
            </w:pPr>
            <w:r>
              <w:t>≤3万元</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专用设备购置成本</w:t>
            </w:r>
          </w:p>
        </w:tc>
        <w:tc>
          <w:tcPr>
            <w:tcW w:w="5386" w:type="dxa"/>
            <w:vAlign w:val="center"/>
          </w:tcPr>
          <w:p>
            <w:pPr>
              <w:pStyle w:val="12"/>
            </w:pPr>
            <w:r>
              <w:t>燃气表检定装置购置成本</w:t>
            </w:r>
          </w:p>
        </w:tc>
        <w:tc>
          <w:tcPr>
            <w:tcW w:w="2268" w:type="dxa"/>
            <w:vAlign w:val="center"/>
          </w:tcPr>
          <w:p>
            <w:pPr>
              <w:pStyle w:val="12"/>
            </w:pPr>
            <w:r>
              <w:t>≤27.5万元</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办公设备购置成本</w:t>
            </w:r>
          </w:p>
        </w:tc>
        <w:tc>
          <w:tcPr>
            <w:tcW w:w="5386" w:type="dxa"/>
            <w:vAlign w:val="center"/>
          </w:tcPr>
          <w:p>
            <w:pPr>
              <w:pStyle w:val="12"/>
            </w:pPr>
            <w:r>
              <w:t>购置电脑、打印机、样品柜等成本</w:t>
            </w:r>
          </w:p>
        </w:tc>
        <w:tc>
          <w:tcPr>
            <w:tcW w:w="2268" w:type="dxa"/>
            <w:vAlign w:val="center"/>
          </w:tcPr>
          <w:p>
            <w:pPr>
              <w:pStyle w:val="12"/>
            </w:pPr>
            <w:r>
              <w:t>≤8万元</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检定证书成本</w:t>
            </w:r>
          </w:p>
        </w:tc>
        <w:tc>
          <w:tcPr>
            <w:tcW w:w="5386" w:type="dxa"/>
            <w:vAlign w:val="center"/>
          </w:tcPr>
          <w:p>
            <w:pPr>
              <w:pStyle w:val="12"/>
            </w:pPr>
            <w:r>
              <w:t>出具检定证书成本</w:t>
            </w:r>
          </w:p>
        </w:tc>
        <w:tc>
          <w:tcPr>
            <w:tcW w:w="2268" w:type="dxa"/>
            <w:vAlign w:val="center"/>
          </w:tcPr>
          <w:p>
            <w:pPr>
              <w:pStyle w:val="12"/>
            </w:pPr>
            <w:r>
              <w:t>≤2万元</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检测数据准确度</w:t>
            </w:r>
          </w:p>
        </w:tc>
        <w:tc>
          <w:tcPr>
            <w:tcW w:w="5386" w:type="dxa"/>
            <w:vAlign w:val="center"/>
          </w:tcPr>
          <w:p>
            <w:pPr>
              <w:pStyle w:val="12"/>
            </w:pPr>
            <w:r>
              <w:t>准确数据量占总检测数据量的比例</w:t>
            </w:r>
          </w:p>
        </w:tc>
        <w:tc>
          <w:tcPr>
            <w:tcW w:w="2268" w:type="dxa"/>
            <w:vAlign w:val="center"/>
          </w:tcPr>
          <w:p>
            <w:pPr>
              <w:pStyle w:val="12"/>
            </w:pPr>
            <w:r>
              <w:t>≥95%</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提升管理水平及业务技能</w:t>
            </w:r>
          </w:p>
        </w:tc>
        <w:tc>
          <w:tcPr>
            <w:tcW w:w="5386" w:type="dxa"/>
            <w:vAlign w:val="center"/>
          </w:tcPr>
          <w:p>
            <w:pPr>
              <w:pStyle w:val="12"/>
            </w:pPr>
            <w:r>
              <w:t>提升管理水平及业务技能</w:t>
            </w:r>
          </w:p>
        </w:tc>
        <w:tc>
          <w:tcPr>
            <w:tcW w:w="2268" w:type="dxa"/>
            <w:vAlign w:val="center"/>
          </w:tcPr>
          <w:p>
            <w:pPr>
              <w:pStyle w:val="12"/>
            </w:pPr>
            <w:r>
              <w:t>≥70%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受益对象对检验结果满意度</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12、煤炭、成品油、化肥抽检经费绩效目标表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13032123P003319100072</w:t>
            </w:r>
          </w:p>
        </w:tc>
        <w:tc>
          <w:tcPr>
            <w:tcW w:w="2835" w:type="dxa"/>
            <w:vAlign w:val="center"/>
          </w:tcPr>
          <w:p>
            <w:pPr>
              <w:pStyle w:val="10"/>
            </w:pPr>
            <w:r>
              <w:t>项目名称</w:t>
            </w:r>
          </w:p>
        </w:tc>
        <w:tc>
          <w:tcPr>
            <w:tcW w:w="6095" w:type="dxa"/>
            <w:gridSpan w:val="3"/>
            <w:vAlign w:val="center"/>
          </w:tcPr>
          <w:p>
            <w:pPr>
              <w:pStyle w:val="12"/>
            </w:pPr>
            <w:r>
              <w:t>煤炭、成品油、化肥抽检经费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预算数12万元。其中：财政资金12万元，其他资金0万元。主要用于煤炭、成品油、化肥抽样检测费。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1.通过对流通领域重点商品农资、成品油、煤炭的多批次抽检，限制不合格商品流入我县。</w:t>
            </w:r>
          </w:p>
          <w:p>
            <w:pPr>
              <w:pStyle w:val="12"/>
            </w:pPr>
            <w:r>
              <w:t>2.通过处罚经营不合格产品的单位和个人，不断提升我县流通领域商品质量水平，改善空气质量，保护农民利益，更好的维护正常的市场经济秩序。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抽检企业数量</w:t>
            </w:r>
          </w:p>
        </w:tc>
        <w:tc>
          <w:tcPr>
            <w:tcW w:w="5386" w:type="dxa"/>
            <w:vAlign w:val="center"/>
          </w:tcPr>
          <w:p>
            <w:pPr>
              <w:pStyle w:val="12"/>
            </w:pPr>
            <w:r>
              <w:t>年抽检企业数量</w:t>
            </w:r>
          </w:p>
        </w:tc>
        <w:tc>
          <w:tcPr>
            <w:tcW w:w="2268" w:type="dxa"/>
            <w:vAlign w:val="center"/>
          </w:tcPr>
          <w:p>
            <w:pPr>
              <w:pStyle w:val="12"/>
            </w:pPr>
            <w:r>
              <w:t>≥10家</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成品油、煤碳、化肥抽检批次</w:t>
            </w:r>
          </w:p>
        </w:tc>
        <w:tc>
          <w:tcPr>
            <w:tcW w:w="2268" w:type="dxa"/>
            <w:vAlign w:val="center"/>
          </w:tcPr>
          <w:p>
            <w:pPr>
              <w:pStyle w:val="12"/>
            </w:pPr>
            <w:r>
              <w:t>≥120批次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检验完成及时性</w:t>
            </w:r>
          </w:p>
        </w:tc>
        <w:tc>
          <w:tcPr>
            <w:tcW w:w="5386" w:type="dxa"/>
            <w:vAlign w:val="center"/>
          </w:tcPr>
          <w:p>
            <w:pPr>
              <w:pStyle w:val="12"/>
            </w:pPr>
            <w:r>
              <w:t>按年度计划时限完成抽检工作</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批次检测费用</w:t>
            </w:r>
          </w:p>
        </w:tc>
        <w:tc>
          <w:tcPr>
            <w:tcW w:w="5386" w:type="dxa"/>
            <w:vAlign w:val="center"/>
          </w:tcPr>
          <w:p>
            <w:pPr>
              <w:pStyle w:val="12"/>
            </w:pPr>
            <w:r>
              <w:t>每批次的检验成本</w:t>
            </w:r>
          </w:p>
        </w:tc>
        <w:tc>
          <w:tcPr>
            <w:tcW w:w="2268" w:type="dxa"/>
            <w:vAlign w:val="center"/>
          </w:tcPr>
          <w:p>
            <w:pPr>
              <w:pStyle w:val="12"/>
            </w:pPr>
            <w:r>
              <w:t>≤1000元/批次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农资、成品油、煤炭不合格降低率</w:t>
            </w:r>
          </w:p>
        </w:tc>
        <w:tc>
          <w:tcPr>
            <w:tcW w:w="5386" w:type="dxa"/>
            <w:vAlign w:val="center"/>
          </w:tcPr>
          <w:p>
            <w:pPr>
              <w:pStyle w:val="12"/>
            </w:pPr>
            <w:r>
              <w:t>农资、农产品、成品油、煤炭等抽检不合格率同比降低情况同去年不合格率比率</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环境改善率</w:t>
            </w:r>
          </w:p>
        </w:tc>
        <w:tc>
          <w:tcPr>
            <w:tcW w:w="5386" w:type="dxa"/>
            <w:vAlign w:val="center"/>
          </w:tcPr>
          <w:p>
            <w:pPr>
              <w:pStyle w:val="12"/>
            </w:pPr>
            <w:r>
              <w:t>改善空气质量，预防大气污染，提高人居环境质量。</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检验对象满意度</w:t>
            </w:r>
          </w:p>
        </w:tc>
        <w:tc>
          <w:tcPr>
            <w:tcW w:w="5386" w:type="dxa"/>
            <w:vAlign w:val="center"/>
          </w:tcPr>
          <w:p>
            <w:pPr>
              <w:pStyle w:val="12"/>
            </w:pPr>
            <w:r>
              <w:t>检验服务对象对检验结果满意度</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13、煤质检查站工作经费（木头凳检查站）绩效目标表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13032123P00331910008M</w:t>
            </w:r>
          </w:p>
        </w:tc>
        <w:tc>
          <w:tcPr>
            <w:tcW w:w="2835" w:type="dxa"/>
            <w:vAlign w:val="center"/>
          </w:tcPr>
          <w:p>
            <w:pPr>
              <w:pStyle w:val="10"/>
            </w:pPr>
            <w:r>
              <w:t>项目名称</w:t>
            </w:r>
          </w:p>
        </w:tc>
        <w:tc>
          <w:tcPr>
            <w:tcW w:w="6095" w:type="dxa"/>
            <w:gridSpan w:val="3"/>
            <w:vAlign w:val="center"/>
          </w:tcPr>
          <w:p>
            <w:pPr>
              <w:pStyle w:val="12"/>
            </w:pPr>
            <w:r>
              <w:t>煤质检查站工作经费（木头凳检查站）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预算数5万元。其中：财政资金5万元，其他资金0万元。主要用于煤质检查站工作人员交通补助和伙食补助费用。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1.通过深入持续的入省散煤质量检查工作，建立权责清晰科学长效的工作体系，严控不合格散煤输入我省。</w:t>
            </w:r>
          </w:p>
          <w:p>
            <w:pPr>
              <w:pStyle w:val="12"/>
            </w:pPr>
            <w:r>
              <w:t>2.通过散煤管控治理，实现燃煤质量的明显好转，促进我省空气质量的不断提升。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木头凳煤质检查站人数</w:t>
            </w:r>
          </w:p>
        </w:tc>
        <w:tc>
          <w:tcPr>
            <w:tcW w:w="2268" w:type="dxa"/>
            <w:vAlign w:val="center"/>
          </w:tcPr>
          <w:p>
            <w:pPr>
              <w:pStyle w:val="12"/>
            </w:pPr>
            <w:r>
              <w:t>5人</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检查站数量</w:t>
            </w:r>
          </w:p>
        </w:tc>
        <w:tc>
          <w:tcPr>
            <w:tcW w:w="5386" w:type="dxa"/>
            <w:vAlign w:val="center"/>
          </w:tcPr>
          <w:p>
            <w:pPr>
              <w:pStyle w:val="12"/>
            </w:pPr>
            <w:r>
              <w:t>媒质检查站数量</w:t>
            </w:r>
          </w:p>
        </w:tc>
        <w:tc>
          <w:tcPr>
            <w:tcW w:w="2268" w:type="dxa"/>
            <w:vAlign w:val="center"/>
          </w:tcPr>
          <w:p>
            <w:pPr>
              <w:pStyle w:val="12"/>
            </w:pPr>
            <w:r>
              <w:t>1个</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≥95%</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煤检工作达标率</w:t>
            </w:r>
          </w:p>
        </w:tc>
        <w:tc>
          <w:tcPr>
            <w:tcW w:w="5386" w:type="dxa"/>
            <w:vAlign w:val="center"/>
          </w:tcPr>
          <w:p>
            <w:pPr>
              <w:pStyle w:val="12"/>
            </w:pPr>
            <w:r>
              <w:t>反映散煤质量检查工作达标情况</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煤检工作完成及时性</w:t>
            </w:r>
          </w:p>
        </w:tc>
        <w:tc>
          <w:tcPr>
            <w:tcW w:w="5386" w:type="dxa"/>
            <w:vAlign w:val="center"/>
          </w:tcPr>
          <w:p>
            <w:pPr>
              <w:pStyle w:val="12"/>
            </w:pPr>
            <w:r>
              <w:t>散煤检查工作的及时程度</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交通补助标准</w:t>
            </w:r>
          </w:p>
        </w:tc>
        <w:tc>
          <w:tcPr>
            <w:tcW w:w="5386" w:type="dxa"/>
            <w:vAlign w:val="center"/>
          </w:tcPr>
          <w:p>
            <w:pPr>
              <w:pStyle w:val="12"/>
            </w:pPr>
            <w:r>
              <w:t>反映交通补助的标准</w:t>
            </w:r>
          </w:p>
        </w:tc>
        <w:tc>
          <w:tcPr>
            <w:tcW w:w="2268" w:type="dxa"/>
            <w:vAlign w:val="center"/>
          </w:tcPr>
          <w:p>
            <w:pPr>
              <w:pStyle w:val="12"/>
            </w:pPr>
            <w:r>
              <w:t>≤50元/人/天</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伙食补助标准</w:t>
            </w:r>
          </w:p>
        </w:tc>
        <w:tc>
          <w:tcPr>
            <w:tcW w:w="5386" w:type="dxa"/>
            <w:vAlign w:val="center"/>
          </w:tcPr>
          <w:p>
            <w:pPr>
              <w:pStyle w:val="12"/>
            </w:pPr>
            <w:r>
              <w:t>反映伙食费的补助标准</w:t>
            </w:r>
          </w:p>
        </w:tc>
        <w:tc>
          <w:tcPr>
            <w:tcW w:w="2268" w:type="dxa"/>
            <w:vAlign w:val="center"/>
          </w:tcPr>
          <w:p>
            <w:pPr>
              <w:pStyle w:val="12"/>
            </w:pPr>
            <w:r>
              <w:t>≤25元/人/天</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提高散煤质量检查工作效率</w:t>
            </w:r>
          </w:p>
        </w:tc>
        <w:tc>
          <w:tcPr>
            <w:tcW w:w="5386" w:type="dxa"/>
            <w:vAlign w:val="center"/>
          </w:tcPr>
          <w:p>
            <w:pPr>
              <w:pStyle w:val="12"/>
            </w:pPr>
            <w:r>
              <w:t>提高散煤质量检查工作效率，实现燃煤质量的明显好转，更好的改善空气质量</w:t>
            </w:r>
          </w:p>
        </w:tc>
        <w:tc>
          <w:tcPr>
            <w:tcW w:w="2268" w:type="dxa"/>
            <w:vAlign w:val="center"/>
          </w:tcPr>
          <w:p>
            <w:pPr>
              <w:pStyle w:val="12"/>
            </w:pPr>
            <w:r>
              <w:t>≥30%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14、普法宣传及人民调解工作经费绩效目标表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13032123P003319100020</w:t>
            </w:r>
          </w:p>
        </w:tc>
        <w:tc>
          <w:tcPr>
            <w:tcW w:w="2835" w:type="dxa"/>
            <w:vAlign w:val="center"/>
          </w:tcPr>
          <w:p>
            <w:pPr>
              <w:pStyle w:val="10"/>
            </w:pPr>
            <w:r>
              <w:t>项目名称</w:t>
            </w:r>
          </w:p>
        </w:tc>
        <w:tc>
          <w:tcPr>
            <w:tcW w:w="6095" w:type="dxa"/>
            <w:gridSpan w:val="3"/>
            <w:vAlign w:val="center"/>
          </w:tcPr>
          <w:p>
            <w:pPr>
              <w:pStyle w:val="12"/>
            </w:pPr>
            <w:r>
              <w:t>普法宣传及人民调解工作经费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预算数2万元。其中：财政资金2万元，其他资金0万元。主要用于调解委员会人员工资等。</w:t>
            </w:r>
            <w:r>
              <w:tab/>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1.通过法律宣传，进一步提高全民的法律意识和法律素质，自觉形成全社会尊法学法守法用法的浓厚氛围，为构建富裕美丽幸福新青龙创造良好的法治环境。</w:t>
            </w:r>
          </w:p>
          <w:p>
            <w:pPr>
              <w:pStyle w:val="12"/>
            </w:pPr>
            <w:r>
              <w:t>2.通过对消费者矛盾纠纷的调解处置，做到切实加强人民调解组织网络和队伍建设、健全完善人民调解工作制度、强化矛盾纠纷预防和化解工作、健全完善人民调解、行政调解和司法调解衔接机制、强化人民调解工作的组织领导和保障机制。</w:t>
            </w:r>
          </w:p>
          <w:p>
            <w:pPr>
              <w:pStyle w:val="12"/>
            </w:pPr>
            <w:r>
              <w:t>3.通过对消费者矛盾纠纷的调解处置，有效化解消费矛盾纠纷，提高执法工作效率。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普法宣传活动次数</w:t>
            </w:r>
          </w:p>
        </w:tc>
        <w:tc>
          <w:tcPr>
            <w:tcW w:w="5386" w:type="dxa"/>
            <w:vAlign w:val="center"/>
          </w:tcPr>
          <w:p>
            <w:pPr>
              <w:pStyle w:val="12"/>
            </w:pPr>
            <w:r>
              <w:t>普法宣传次数</w:t>
            </w:r>
          </w:p>
        </w:tc>
        <w:tc>
          <w:tcPr>
            <w:tcW w:w="2268" w:type="dxa"/>
            <w:vAlign w:val="center"/>
          </w:tcPr>
          <w:p>
            <w:pPr>
              <w:pStyle w:val="12"/>
            </w:pPr>
            <w:r>
              <w:t>≥5次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职工人数</w:t>
            </w:r>
          </w:p>
        </w:tc>
        <w:tc>
          <w:tcPr>
            <w:tcW w:w="5386" w:type="dxa"/>
            <w:vAlign w:val="center"/>
          </w:tcPr>
          <w:p>
            <w:pPr>
              <w:pStyle w:val="12"/>
            </w:pPr>
            <w:r>
              <w:t>人民调解委员会职工人数</w:t>
            </w:r>
          </w:p>
        </w:tc>
        <w:tc>
          <w:tcPr>
            <w:tcW w:w="2268" w:type="dxa"/>
            <w:vAlign w:val="center"/>
          </w:tcPr>
          <w:p>
            <w:pPr>
              <w:pStyle w:val="12"/>
            </w:pPr>
            <w:r>
              <w:t>3人</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区域覆盖率</w:t>
            </w:r>
          </w:p>
        </w:tc>
        <w:tc>
          <w:tcPr>
            <w:tcW w:w="5386" w:type="dxa"/>
            <w:vAlign w:val="center"/>
          </w:tcPr>
          <w:p>
            <w:pPr>
              <w:pStyle w:val="12"/>
            </w:pPr>
            <w:r>
              <w:t>反映普法宣传区域覆盖情况</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宣传活动完成率</w:t>
            </w:r>
          </w:p>
        </w:tc>
        <w:tc>
          <w:tcPr>
            <w:tcW w:w="5386" w:type="dxa"/>
            <w:vAlign w:val="center"/>
          </w:tcPr>
          <w:p>
            <w:pPr>
              <w:pStyle w:val="12"/>
            </w:pPr>
            <w:r>
              <w:t>宣传活动完成次数与计划开展次数的比率</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消费投诉办结率</w:t>
            </w:r>
          </w:p>
        </w:tc>
        <w:tc>
          <w:tcPr>
            <w:tcW w:w="5386" w:type="dxa"/>
            <w:vAlign w:val="center"/>
          </w:tcPr>
          <w:p>
            <w:pPr>
              <w:pStyle w:val="12"/>
            </w:pPr>
            <w:r>
              <w:t>反映消费投诉的办结情况，办结消费投诉数占总投诉数的比率</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宣传时间</w:t>
            </w:r>
          </w:p>
        </w:tc>
        <w:tc>
          <w:tcPr>
            <w:tcW w:w="5386" w:type="dxa"/>
            <w:vAlign w:val="center"/>
          </w:tcPr>
          <w:p>
            <w:pPr>
              <w:pStyle w:val="12"/>
            </w:pPr>
            <w:r>
              <w:t>普法宣传活动完成时间</w:t>
            </w:r>
          </w:p>
        </w:tc>
        <w:tc>
          <w:tcPr>
            <w:tcW w:w="2268" w:type="dxa"/>
            <w:vAlign w:val="center"/>
          </w:tcPr>
          <w:p>
            <w:pPr>
              <w:pStyle w:val="12"/>
            </w:pPr>
            <w:r>
              <w:t>2025年度</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w:t>
            </w:r>
          </w:p>
        </w:tc>
        <w:tc>
          <w:tcPr>
            <w:tcW w:w="5386" w:type="dxa"/>
            <w:vAlign w:val="center"/>
          </w:tcPr>
          <w:p>
            <w:pPr>
              <w:pStyle w:val="12"/>
            </w:pPr>
            <w:r>
              <w:t>调解委员会人员工资数</w:t>
            </w:r>
          </w:p>
        </w:tc>
        <w:tc>
          <w:tcPr>
            <w:tcW w:w="2268" w:type="dxa"/>
            <w:vAlign w:val="center"/>
          </w:tcPr>
          <w:p>
            <w:pPr>
              <w:pStyle w:val="12"/>
            </w:pPr>
            <w:r>
              <w:t>1500元/月</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人员经费执行月数</w:t>
            </w:r>
          </w:p>
        </w:tc>
        <w:tc>
          <w:tcPr>
            <w:tcW w:w="5386" w:type="dxa"/>
            <w:vAlign w:val="center"/>
          </w:tcPr>
          <w:p>
            <w:pPr>
              <w:pStyle w:val="12"/>
            </w:pPr>
            <w:r>
              <w:t>发放人员工资月数</w:t>
            </w:r>
          </w:p>
        </w:tc>
        <w:tc>
          <w:tcPr>
            <w:tcW w:w="2268" w:type="dxa"/>
            <w:vAlign w:val="center"/>
          </w:tcPr>
          <w:p>
            <w:pPr>
              <w:pStyle w:val="12"/>
            </w:pPr>
            <w:r>
              <w:t>≤5个月</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运行维护费</w:t>
            </w:r>
          </w:p>
        </w:tc>
        <w:tc>
          <w:tcPr>
            <w:tcW w:w="5386" w:type="dxa"/>
            <w:vAlign w:val="center"/>
          </w:tcPr>
          <w:p>
            <w:pPr>
              <w:pStyle w:val="12"/>
            </w:pPr>
            <w:r>
              <w:t>普法宣传活动用执法车费用</w:t>
            </w:r>
          </w:p>
        </w:tc>
        <w:tc>
          <w:tcPr>
            <w:tcW w:w="2268" w:type="dxa"/>
            <w:vAlign w:val="center"/>
          </w:tcPr>
          <w:p>
            <w:pPr>
              <w:pStyle w:val="12"/>
            </w:pPr>
            <w:r>
              <w:t>≤3万元</w:t>
            </w:r>
          </w:p>
        </w:tc>
        <w:tc>
          <w:tcPr>
            <w:tcW w:w="1276" w:type="dxa"/>
            <w:vAlign w:val="center"/>
          </w:tcPr>
          <w:p>
            <w:pPr>
              <w:pStyle w:val="12"/>
            </w:pPr>
            <w:r>
              <w:t>2024年初工作计划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消费者投诉案件下降率</w:t>
            </w:r>
          </w:p>
        </w:tc>
        <w:tc>
          <w:tcPr>
            <w:tcW w:w="5386" w:type="dxa"/>
            <w:vAlign w:val="center"/>
          </w:tcPr>
          <w:p>
            <w:pPr>
              <w:pStyle w:val="12"/>
            </w:pPr>
            <w:r>
              <w:t>消费者投诉案件下降比率</w:t>
            </w:r>
          </w:p>
        </w:tc>
        <w:tc>
          <w:tcPr>
            <w:tcW w:w="2268" w:type="dxa"/>
            <w:vAlign w:val="center"/>
          </w:tcPr>
          <w:p>
            <w:pPr>
              <w:pStyle w:val="12"/>
            </w:pPr>
            <w:r>
              <w:t>≥10%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15、企业监管“双随机、一公开”工作经费绩效目标表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13032125P000116100038</w:t>
            </w:r>
          </w:p>
        </w:tc>
        <w:tc>
          <w:tcPr>
            <w:tcW w:w="2835" w:type="dxa"/>
            <w:vAlign w:val="center"/>
          </w:tcPr>
          <w:p>
            <w:pPr>
              <w:pStyle w:val="10"/>
            </w:pPr>
            <w:r>
              <w:t>项目名称</w:t>
            </w:r>
          </w:p>
        </w:tc>
        <w:tc>
          <w:tcPr>
            <w:tcW w:w="6095" w:type="dxa"/>
            <w:gridSpan w:val="3"/>
            <w:vAlign w:val="center"/>
          </w:tcPr>
          <w:p>
            <w:pPr>
              <w:pStyle w:val="12"/>
            </w:pPr>
            <w:r>
              <w:t>企业监管“双随机、一公开”工作经费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预算资金2万元。其中：财政资金2万元，其他资金0万元。主要用于印刷费、燃油费、 差旅费支出。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1.通过将未年报市场主体列入经营异常，限制其经营活动，对违法市场主体产生震慑作用，维护市场良好运行秩序。</w:t>
            </w:r>
          </w:p>
          <w:p>
            <w:pPr>
              <w:pStyle w:val="12"/>
            </w:pPr>
            <w:r>
              <w:t>2.通过宣传、培训、抽查、列入经营异常名录，使全县市场主体在法定时间内全部进行年报公示。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对各执法单位进行法制培训</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宣传卡片数量</w:t>
            </w:r>
          </w:p>
        </w:tc>
        <w:tc>
          <w:tcPr>
            <w:tcW w:w="5386" w:type="dxa"/>
            <w:vAlign w:val="center"/>
          </w:tcPr>
          <w:p>
            <w:pPr>
              <w:pStyle w:val="12"/>
            </w:pPr>
            <w:r>
              <w:t>宣传“双随机、一公开”资料的印制数量</w:t>
            </w:r>
          </w:p>
        </w:tc>
        <w:tc>
          <w:tcPr>
            <w:tcW w:w="2268" w:type="dxa"/>
            <w:vAlign w:val="center"/>
          </w:tcPr>
          <w:p>
            <w:pPr>
              <w:pStyle w:val="12"/>
            </w:pPr>
            <w:r>
              <w:t>≥10000份</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市场主体年报完成率</w:t>
            </w:r>
          </w:p>
        </w:tc>
        <w:tc>
          <w:tcPr>
            <w:tcW w:w="5386" w:type="dxa"/>
            <w:vAlign w:val="center"/>
          </w:tcPr>
          <w:p>
            <w:pPr>
              <w:pStyle w:val="12"/>
            </w:pPr>
            <w:r>
              <w:t>完成年报的市场主体数量占全部市场主体数量的比率</w:t>
            </w:r>
          </w:p>
        </w:tc>
        <w:tc>
          <w:tcPr>
            <w:tcW w:w="2268" w:type="dxa"/>
            <w:vAlign w:val="center"/>
          </w:tcPr>
          <w:p>
            <w:pPr>
              <w:pStyle w:val="12"/>
            </w:pPr>
            <w:r>
              <w:t>≥97%</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市场主体抽查率</w:t>
            </w:r>
          </w:p>
        </w:tc>
        <w:tc>
          <w:tcPr>
            <w:tcW w:w="5386" w:type="dxa"/>
            <w:vAlign w:val="center"/>
          </w:tcPr>
          <w:p>
            <w:pPr>
              <w:pStyle w:val="12"/>
            </w:pPr>
            <w:r>
              <w:t>抽查企业数占计划抽查企业个数的比率</w:t>
            </w:r>
          </w:p>
        </w:tc>
        <w:tc>
          <w:tcPr>
            <w:tcW w:w="2268" w:type="dxa"/>
            <w:vAlign w:val="center"/>
          </w:tcPr>
          <w:p>
            <w:pPr>
              <w:pStyle w:val="12"/>
            </w:pPr>
            <w:r>
              <w:t>≥70%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宣传册验收合格率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培训时间</w:t>
            </w:r>
          </w:p>
        </w:tc>
        <w:tc>
          <w:tcPr>
            <w:tcW w:w="5386" w:type="dxa"/>
            <w:vAlign w:val="center"/>
          </w:tcPr>
          <w:p>
            <w:pPr>
              <w:pStyle w:val="12"/>
            </w:pPr>
            <w:r>
              <w:t>对执法单位法制培训时间</w:t>
            </w:r>
          </w:p>
        </w:tc>
        <w:tc>
          <w:tcPr>
            <w:tcW w:w="2268" w:type="dxa"/>
            <w:vAlign w:val="center"/>
          </w:tcPr>
          <w:p>
            <w:pPr>
              <w:pStyle w:val="12"/>
            </w:pPr>
            <w:r>
              <w:t>2025年10月前完成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市场主体抽查时间</w:t>
            </w:r>
          </w:p>
        </w:tc>
        <w:tc>
          <w:tcPr>
            <w:tcW w:w="5386" w:type="dxa"/>
            <w:vAlign w:val="center"/>
          </w:tcPr>
          <w:p>
            <w:pPr>
              <w:pStyle w:val="12"/>
            </w:pPr>
            <w:r>
              <w:t>对市场主体年报情况抽查的时间</w:t>
            </w:r>
          </w:p>
        </w:tc>
        <w:tc>
          <w:tcPr>
            <w:tcW w:w="2268" w:type="dxa"/>
            <w:vAlign w:val="center"/>
          </w:tcPr>
          <w:p>
            <w:pPr>
              <w:pStyle w:val="12"/>
            </w:pPr>
            <w:r>
              <w:t>2025年7月前完成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宣传卡片单位成本</w:t>
            </w:r>
          </w:p>
        </w:tc>
        <w:tc>
          <w:tcPr>
            <w:tcW w:w="5386" w:type="dxa"/>
            <w:vAlign w:val="center"/>
          </w:tcPr>
          <w:p>
            <w:pPr>
              <w:pStyle w:val="12"/>
            </w:pPr>
            <w:r>
              <w:t>印制宣传卡片的单位成本</w:t>
            </w:r>
          </w:p>
        </w:tc>
        <w:tc>
          <w:tcPr>
            <w:tcW w:w="2268" w:type="dxa"/>
            <w:vAlign w:val="center"/>
          </w:tcPr>
          <w:p>
            <w:pPr>
              <w:pStyle w:val="12"/>
            </w:pPr>
            <w:r>
              <w:t>≤0.3元/份</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其他办公成本</w:t>
            </w:r>
          </w:p>
        </w:tc>
        <w:tc>
          <w:tcPr>
            <w:tcW w:w="5386" w:type="dxa"/>
            <w:vAlign w:val="center"/>
          </w:tcPr>
          <w:p>
            <w:pPr>
              <w:pStyle w:val="12"/>
            </w:pPr>
            <w:r>
              <w:t>用于跨部门抽查、邮电及差旅等费用</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社会发展稳定率</w:t>
            </w:r>
          </w:p>
        </w:tc>
        <w:tc>
          <w:tcPr>
            <w:tcW w:w="5386" w:type="dxa"/>
            <w:vAlign w:val="center"/>
          </w:tcPr>
          <w:p>
            <w:pPr>
              <w:pStyle w:val="12"/>
            </w:pPr>
            <w:r>
              <w:t>推进了基层执法监管的公平性、规范性和有效性，同时切实降低制度性交易成本，更加有利于营造公平竞争的市场环境和法治化便利化的营商环境。</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违法企业处理率（%）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市场主体满意度效益指标</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16、食品安全工作经费绩效目标表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13032123P00331910006E</w:t>
            </w:r>
          </w:p>
        </w:tc>
        <w:tc>
          <w:tcPr>
            <w:tcW w:w="2835" w:type="dxa"/>
            <w:vAlign w:val="center"/>
          </w:tcPr>
          <w:p>
            <w:pPr>
              <w:pStyle w:val="10"/>
            </w:pPr>
            <w:r>
              <w:t>项目名称</w:t>
            </w:r>
          </w:p>
        </w:tc>
        <w:tc>
          <w:tcPr>
            <w:tcW w:w="6095" w:type="dxa"/>
            <w:gridSpan w:val="3"/>
            <w:vAlign w:val="center"/>
          </w:tcPr>
          <w:p>
            <w:pPr>
              <w:pStyle w:val="12"/>
            </w:pPr>
            <w:r>
              <w:t>食品安全工作经费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预算数36万元。其中：财政资金36万元，其他资金0万元。主要用于食品检测费。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3.40</w:t>
            </w:r>
          </w:p>
        </w:tc>
        <w:tc>
          <w:tcPr>
            <w:tcW w:w="2835" w:type="dxa"/>
            <w:vAlign w:val="center"/>
          </w:tcPr>
          <w:p>
            <w:pPr>
              <w:pStyle w:val="13"/>
            </w:pPr>
            <w:r>
              <w:t>6.80</w:t>
            </w:r>
          </w:p>
        </w:tc>
        <w:tc>
          <w:tcPr>
            <w:tcW w:w="2551" w:type="dxa"/>
            <w:vAlign w:val="center"/>
          </w:tcPr>
          <w:p>
            <w:pPr>
              <w:pStyle w:val="13"/>
            </w:pPr>
            <w:r>
              <w:t>11.00</w:t>
            </w:r>
          </w:p>
        </w:tc>
        <w:tc>
          <w:tcPr>
            <w:tcW w:w="3544" w:type="dxa"/>
            <w:gridSpan w:val="2"/>
            <w:vAlign w:val="center"/>
          </w:tcPr>
          <w:p>
            <w:pPr>
              <w:pStyle w:val="13"/>
            </w:pPr>
            <w:r>
              <w:t>13.61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1.通过完成国家、省、市关于食品安全城市创建考核工作任务，为维护良好的市场竞争环境提供有力的法律保障。</w:t>
            </w:r>
          </w:p>
          <w:p>
            <w:pPr>
              <w:pStyle w:val="12"/>
            </w:pPr>
            <w:r>
              <w:t>2.通过加大食品安全工作执法力度，确保食品生产、流通、消费环节不出现重大事故。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检查监督频次</w:t>
            </w:r>
          </w:p>
        </w:tc>
        <w:tc>
          <w:tcPr>
            <w:tcW w:w="5386" w:type="dxa"/>
            <w:vAlign w:val="center"/>
          </w:tcPr>
          <w:p>
            <w:pPr>
              <w:pStyle w:val="12"/>
            </w:pPr>
            <w:r>
              <w:t>食品生产经营单位的日常监督管理频次</w:t>
            </w:r>
          </w:p>
        </w:tc>
        <w:tc>
          <w:tcPr>
            <w:tcW w:w="2268" w:type="dxa"/>
            <w:vAlign w:val="center"/>
          </w:tcPr>
          <w:p>
            <w:pPr>
              <w:pStyle w:val="12"/>
            </w:pPr>
            <w:r>
              <w:t>≥225次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食品安全抽检次数</w:t>
            </w:r>
          </w:p>
        </w:tc>
        <w:tc>
          <w:tcPr>
            <w:tcW w:w="5386" w:type="dxa"/>
            <w:vAlign w:val="center"/>
          </w:tcPr>
          <w:p>
            <w:pPr>
              <w:pStyle w:val="12"/>
            </w:pPr>
            <w:r>
              <w:t>食品安全抽检次数</w:t>
            </w:r>
          </w:p>
        </w:tc>
        <w:tc>
          <w:tcPr>
            <w:tcW w:w="2268" w:type="dxa"/>
            <w:vAlign w:val="center"/>
          </w:tcPr>
          <w:p>
            <w:pPr>
              <w:pStyle w:val="12"/>
            </w:pPr>
            <w:r>
              <w:t>≥500批次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重大活动保障人次</w:t>
            </w:r>
          </w:p>
        </w:tc>
        <w:tc>
          <w:tcPr>
            <w:tcW w:w="5386" w:type="dxa"/>
            <w:vAlign w:val="center"/>
          </w:tcPr>
          <w:p>
            <w:pPr>
              <w:pStyle w:val="12"/>
            </w:pPr>
            <w:r>
              <w:t>省级领导、重大活动、两会食品安全的保障人次</w:t>
            </w:r>
          </w:p>
        </w:tc>
        <w:tc>
          <w:tcPr>
            <w:tcW w:w="2268" w:type="dxa"/>
            <w:vAlign w:val="center"/>
          </w:tcPr>
          <w:p>
            <w:pPr>
              <w:pStyle w:val="12"/>
            </w:pPr>
            <w:r>
              <w:t>≥3000人次</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2025年度</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抽检单位成本</w:t>
            </w:r>
          </w:p>
        </w:tc>
        <w:tc>
          <w:tcPr>
            <w:tcW w:w="5386" w:type="dxa"/>
            <w:vAlign w:val="center"/>
          </w:tcPr>
          <w:p>
            <w:pPr>
              <w:pStyle w:val="12"/>
            </w:pPr>
            <w:r>
              <w:t>抽检单位成本</w:t>
            </w:r>
          </w:p>
        </w:tc>
        <w:tc>
          <w:tcPr>
            <w:tcW w:w="2268" w:type="dxa"/>
            <w:vAlign w:val="center"/>
          </w:tcPr>
          <w:p>
            <w:pPr>
              <w:pStyle w:val="12"/>
            </w:pPr>
            <w:r>
              <w:t>≤720元/份</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不发生重大食品安全事故率</w:t>
            </w:r>
          </w:p>
        </w:tc>
        <w:tc>
          <w:tcPr>
            <w:tcW w:w="5386" w:type="dxa"/>
            <w:vAlign w:val="center"/>
          </w:tcPr>
          <w:p>
            <w:pPr>
              <w:pStyle w:val="12"/>
            </w:pPr>
            <w:r>
              <w:t>保障食品安全，不发生重大食品安全事故</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群众满意度效益指标</w:t>
            </w:r>
          </w:p>
        </w:tc>
        <w:tc>
          <w:tcPr>
            <w:tcW w:w="5386" w:type="dxa"/>
            <w:vAlign w:val="center"/>
          </w:tcPr>
          <w:p>
            <w:pPr>
              <w:pStyle w:val="12"/>
            </w:pPr>
            <w:r>
              <w:t>调查群众中满意度比率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17、执法办案工作经费绩效目标表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13032123P00331910005T</w:t>
            </w:r>
          </w:p>
        </w:tc>
        <w:tc>
          <w:tcPr>
            <w:tcW w:w="2835" w:type="dxa"/>
            <w:vAlign w:val="center"/>
          </w:tcPr>
          <w:p>
            <w:pPr>
              <w:pStyle w:val="10"/>
            </w:pPr>
            <w:r>
              <w:t>项目名称</w:t>
            </w:r>
          </w:p>
        </w:tc>
        <w:tc>
          <w:tcPr>
            <w:tcW w:w="6095" w:type="dxa"/>
            <w:gridSpan w:val="3"/>
            <w:vAlign w:val="center"/>
          </w:tcPr>
          <w:p>
            <w:pPr>
              <w:pStyle w:val="12"/>
            </w:pPr>
            <w:r>
              <w:t>执法办案工作经费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预算数1万元。其中：财政资金1万元，其他资金0万元。主要用于执法办案过程中发生的办公费支出。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1.通过组织开展专项执法行动，依法查处各类市场违法行为。</w:t>
            </w:r>
          </w:p>
          <w:p>
            <w:pPr>
              <w:pStyle w:val="12"/>
            </w:pPr>
            <w:r>
              <w:t>2.通过查处严重损害群众利益和破坏市场秩序的大案要案，维护公平竞争的市场秩序。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执法监督检查企业数</w:t>
            </w:r>
          </w:p>
        </w:tc>
        <w:tc>
          <w:tcPr>
            <w:tcW w:w="5386" w:type="dxa"/>
            <w:vAlign w:val="center"/>
          </w:tcPr>
          <w:p>
            <w:pPr>
              <w:pStyle w:val="12"/>
            </w:pPr>
            <w:r>
              <w:t>反映市场监管部门对企业开展执法检查企业数量</w:t>
            </w:r>
          </w:p>
        </w:tc>
        <w:tc>
          <w:tcPr>
            <w:tcW w:w="2268" w:type="dxa"/>
            <w:vAlign w:val="center"/>
          </w:tcPr>
          <w:p>
            <w:pPr>
              <w:pStyle w:val="12"/>
            </w:pPr>
            <w:r>
              <w:t>≥300户</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执法用车数量</w:t>
            </w:r>
          </w:p>
        </w:tc>
        <w:tc>
          <w:tcPr>
            <w:tcW w:w="5386" w:type="dxa"/>
            <w:vAlign w:val="center"/>
          </w:tcPr>
          <w:p>
            <w:pPr>
              <w:pStyle w:val="12"/>
            </w:pPr>
            <w:r>
              <w:t>执法办案过程中所需的执法用车数量</w:t>
            </w:r>
          </w:p>
        </w:tc>
        <w:tc>
          <w:tcPr>
            <w:tcW w:w="2268" w:type="dxa"/>
            <w:vAlign w:val="center"/>
          </w:tcPr>
          <w:p>
            <w:pPr>
              <w:pStyle w:val="12"/>
            </w:pPr>
            <w:r>
              <w:t>≤10辆</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执法案件查处率</w:t>
            </w:r>
          </w:p>
        </w:tc>
        <w:tc>
          <w:tcPr>
            <w:tcW w:w="5386" w:type="dxa"/>
            <w:vAlign w:val="center"/>
          </w:tcPr>
          <w:p>
            <w:pPr>
              <w:pStyle w:val="12"/>
            </w:pPr>
            <w:r>
              <w:t>反映对各类违法案件查处工作情况，查处案件数占受理案件数比率</w:t>
            </w:r>
          </w:p>
        </w:tc>
        <w:tc>
          <w:tcPr>
            <w:tcW w:w="2268" w:type="dxa"/>
            <w:vAlign w:val="center"/>
          </w:tcPr>
          <w:p>
            <w:pPr>
              <w:pStyle w:val="12"/>
            </w:pPr>
            <w:r>
              <w:t>≥90%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车辆运行安全率</w:t>
            </w:r>
          </w:p>
        </w:tc>
        <w:tc>
          <w:tcPr>
            <w:tcW w:w="5386" w:type="dxa"/>
            <w:vAlign w:val="center"/>
          </w:tcPr>
          <w:p>
            <w:pPr>
              <w:pStyle w:val="12"/>
            </w:pPr>
            <w:r>
              <w:t>反映执法车辆运行的安全率</w:t>
            </w:r>
          </w:p>
        </w:tc>
        <w:tc>
          <w:tcPr>
            <w:tcW w:w="2268" w:type="dxa"/>
            <w:vAlign w:val="center"/>
          </w:tcPr>
          <w:p>
            <w:pPr>
              <w:pStyle w:val="12"/>
            </w:pPr>
            <w:r>
              <w:t>100%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执法案件完成时间</w:t>
            </w:r>
          </w:p>
        </w:tc>
        <w:tc>
          <w:tcPr>
            <w:tcW w:w="2268" w:type="dxa"/>
            <w:vAlign w:val="center"/>
          </w:tcPr>
          <w:p>
            <w:pPr>
              <w:pStyle w:val="12"/>
            </w:pPr>
            <w:r>
              <w:t>2025年度</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燃油费</w:t>
            </w:r>
          </w:p>
        </w:tc>
        <w:tc>
          <w:tcPr>
            <w:tcW w:w="5386" w:type="dxa"/>
            <w:vAlign w:val="center"/>
          </w:tcPr>
          <w:p>
            <w:pPr>
              <w:pStyle w:val="12"/>
            </w:pPr>
            <w:r>
              <w:t>反映为工作而使用执法用车费用</w:t>
            </w:r>
          </w:p>
        </w:tc>
        <w:tc>
          <w:tcPr>
            <w:tcW w:w="2268" w:type="dxa"/>
            <w:vAlign w:val="center"/>
          </w:tcPr>
          <w:p>
            <w:pPr>
              <w:pStyle w:val="12"/>
            </w:pPr>
            <w:r>
              <w:t>≤1.6万元/辆</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被投诉的执法办案行为次数占执法办案总数的比率</w:t>
            </w:r>
          </w:p>
        </w:tc>
        <w:tc>
          <w:tcPr>
            <w:tcW w:w="2268" w:type="dxa"/>
            <w:vAlign w:val="center"/>
          </w:tcPr>
          <w:p>
            <w:pPr>
              <w:pStyle w:val="12"/>
            </w:pPr>
            <w:r>
              <w:t>≤5%</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18、执法服装购置费绩效目标表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13032123P00331910010L</w:t>
            </w:r>
          </w:p>
        </w:tc>
        <w:tc>
          <w:tcPr>
            <w:tcW w:w="2835" w:type="dxa"/>
            <w:vAlign w:val="center"/>
          </w:tcPr>
          <w:p>
            <w:pPr>
              <w:pStyle w:val="10"/>
            </w:pPr>
            <w:r>
              <w:t>项目名称</w:t>
            </w:r>
          </w:p>
        </w:tc>
        <w:tc>
          <w:tcPr>
            <w:tcW w:w="6095" w:type="dxa"/>
            <w:gridSpan w:val="3"/>
            <w:vAlign w:val="center"/>
          </w:tcPr>
          <w:p>
            <w:pPr>
              <w:pStyle w:val="12"/>
            </w:pPr>
            <w:r>
              <w:t>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预算数21万元。其中：财政资金21万元，其他资金0万元。用于执法服装购置费。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5.25</w:t>
            </w:r>
          </w:p>
        </w:tc>
        <w:tc>
          <w:tcPr>
            <w:tcW w:w="2835" w:type="dxa"/>
            <w:vAlign w:val="center"/>
          </w:tcPr>
          <w:p>
            <w:pPr>
              <w:pStyle w:val="13"/>
            </w:pPr>
            <w:r>
              <w:t>10.50</w:t>
            </w:r>
          </w:p>
        </w:tc>
        <w:tc>
          <w:tcPr>
            <w:tcW w:w="2551" w:type="dxa"/>
            <w:vAlign w:val="center"/>
          </w:tcPr>
          <w:p>
            <w:pPr>
              <w:pStyle w:val="13"/>
            </w:pPr>
            <w:r>
              <w:t>16.00</w:t>
            </w:r>
          </w:p>
        </w:tc>
        <w:tc>
          <w:tcPr>
            <w:tcW w:w="3544" w:type="dxa"/>
            <w:gridSpan w:val="2"/>
            <w:vAlign w:val="center"/>
          </w:tcPr>
          <w:p>
            <w:pPr>
              <w:pStyle w:val="13"/>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1.通过统一执法服装，更好地树立执法队伍形象，提高执法工作的正规性与严肃性，增强市场监管广大干部职工的确责任感、使命感和职业荣誉感。</w:t>
            </w:r>
          </w:p>
          <w:p>
            <w:pPr>
              <w:pStyle w:val="12"/>
            </w:pPr>
            <w:r>
              <w:t>2.通过统一执法服装，加大执法力度，维护法律尊严，更有效地打击市场违法行为。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配备执法服装职工人数</w:t>
            </w:r>
          </w:p>
        </w:tc>
        <w:tc>
          <w:tcPr>
            <w:tcW w:w="2268" w:type="dxa"/>
            <w:vAlign w:val="center"/>
          </w:tcPr>
          <w:p>
            <w:pPr>
              <w:pStyle w:val="12"/>
            </w:pPr>
            <w:r>
              <w:t>104人</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保障部门</w:t>
            </w:r>
          </w:p>
        </w:tc>
        <w:tc>
          <w:tcPr>
            <w:tcW w:w="5386" w:type="dxa"/>
            <w:vAlign w:val="center"/>
          </w:tcPr>
          <w:p>
            <w:pPr>
              <w:pStyle w:val="12"/>
            </w:pPr>
            <w:r>
              <w:t>配备执法服装部门个数</w:t>
            </w:r>
          </w:p>
        </w:tc>
        <w:tc>
          <w:tcPr>
            <w:tcW w:w="2268" w:type="dxa"/>
            <w:vAlign w:val="center"/>
          </w:tcPr>
          <w:p>
            <w:pPr>
              <w:pStyle w:val="12"/>
            </w:pPr>
            <w:r>
              <w:t>22个</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执法服装质量合格率</w:t>
            </w:r>
          </w:p>
        </w:tc>
        <w:tc>
          <w:tcPr>
            <w:tcW w:w="5386" w:type="dxa"/>
            <w:vAlign w:val="center"/>
          </w:tcPr>
          <w:p>
            <w:pPr>
              <w:pStyle w:val="12"/>
            </w:pPr>
            <w:r>
              <w:t>配备执法服装质量合格比率</w:t>
            </w:r>
          </w:p>
        </w:tc>
        <w:tc>
          <w:tcPr>
            <w:tcW w:w="2268" w:type="dxa"/>
            <w:vAlign w:val="center"/>
          </w:tcPr>
          <w:p>
            <w:pPr>
              <w:pStyle w:val="12"/>
            </w:pPr>
            <w:r>
              <w:t>100%</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执法服装配备率</w:t>
            </w:r>
          </w:p>
        </w:tc>
        <w:tc>
          <w:tcPr>
            <w:tcW w:w="5386" w:type="dxa"/>
            <w:vAlign w:val="center"/>
          </w:tcPr>
          <w:p>
            <w:pPr>
              <w:pStyle w:val="12"/>
            </w:pPr>
            <w:r>
              <w:t>完成计划配备执法服装的人员比例</w:t>
            </w:r>
          </w:p>
        </w:tc>
        <w:tc>
          <w:tcPr>
            <w:tcW w:w="2268" w:type="dxa"/>
            <w:vAlign w:val="center"/>
          </w:tcPr>
          <w:p>
            <w:pPr>
              <w:pStyle w:val="12"/>
            </w:pPr>
            <w:r>
              <w:t>≥95%</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执法服装配备完成时间</w:t>
            </w:r>
          </w:p>
        </w:tc>
        <w:tc>
          <w:tcPr>
            <w:tcW w:w="2268" w:type="dxa"/>
            <w:vAlign w:val="center"/>
          </w:tcPr>
          <w:p>
            <w:pPr>
              <w:pStyle w:val="12"/>
            </w:pPr>
            <w:r>
              <w:t>2025年12月底之前</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反映男职工每人每年各季服装成本总额</w:t>
            </w:r>
          </w:p>
        </w:tc>
        <w:tc>
          <w:tcPr>
            <w:tcW w:w="2268" w:type="dxa"/>
            <w:vAlign w:val="center"/>
          </w:tcPr>
          <w:p>
            <w:pPr>
              <w:pStyle w:val="12"/>
            </w:pPr>
            <w:r>
              <w:t>≤4040元/人</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反映女职工每人每年各季服装成本总额</w:t>
            </w:r>
          </w:p>
        </w:tc>
        <w:tc>
          <w:tcPr>
            <w:tcW w:w="2268" w:type="dxa"/>
            <w:vAlign w:val="center"/>
          </w:tcPr>
          <w:p>
            <w:pPr>
              <w:pStyle w:val="12"/>
            </w:pPr>
            <w:r>
              <w:t>≤4030元/人</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被投诉的执法办案行为次数占执法办案总数的比率</w:t>
            </w:r>
          </w:p>
        </w:tc>
        <w:tc>
          <w:tcPr>
            <w:tcW w:w="2268" w:type="dxa"/>
            <w:vAlign w:val="center"/>
          </w:tcPr>
          <w:p>
            <w:pPr>
              <w:pStyle w:val="12"/>
            </w:pPr>
            <w:r>
              <w:t>≤5%</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2025年初工作计划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118.60</w:t>
            </w:r>
          </w:p>
        </w:tc>
        <w:tc>
          <w:tcPr>
            <w:tcW w:w="964" w:type="dxa"/>
            <w:vAlign w:val="center"/>
          </w:tcPr>
          <w:p>
            <w:pPr>
              <w:pStyle w:val="15"/>
            </w:pPr>
            <w:r>
              <w:t>74.60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36.00</w:t>
            </w:r>
          </w:p>
        </w:tc>
        <w:tc>
          <w:tcPr>
            <w:tcW w:w="964" w:type="dxa"/>
            <w:vAlign w:val="center"/>
          </w:tcPr>
          <w:p>
            <w:pPr>
              <w:pStyle w:val="15"/>
            </w:pPr>
            <w:r>
              <w:t>118.60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青龙满族自治县市场监督管理局本级小计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118.60</w:t>
            </w:r>
          </w:p>
        </w:tc>
        <w:tc>
          <w:tcPr>
            <w:tcW w:w="964" w:type="dxa"/>
            <w:vAlign w:val="center"/>
          </w:tcPr>
          <w:p>
            <w:pPr>
              <w:pStyle w:val="15"/>
            </w:pPr>
            <w:r>
              <w:t>74.60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36.00</w:t>
            </w:r>
          </w:p>
        </w:tc>
        <w:tc>
          <w:tcPr>
            <w:tcW w:w="964" w:type="dxa"/>
            <w:vAlign w:val="center"/>
          </w:tcPr>
          <w:p>
            <w:pPr>
              <w:pStyle w:val="15"/>
            </w:pPr>
            <w:r>
              <w:t>118.60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食品安全工作经费</w:t>
            </w:r>
          </w:p>
        </w:tc>
        <w:tc>
          <w:tcPr>
            <w:tcW w:w="964" w:type="dxa"/>
            <w:vAlign w:val="center"/>
          </w:tcPr>
          <w:p>
            <w:pPr>
              <w:pStyle w:val="11"/>
            </w:pPr>
            <w:r>
              <w:t>36.00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500</w:t>
            </w:r>
          </w:p>
        </w:tc>
        <w:tc>
          <w:tcPr>
            <w:tcW w:w="850" w:type="dxa"/>
            <w:vAlign w:val="center"/>
          </w:tcPr>
          <w:p>
            <w:pPr>
              <w:pStyle w:val="11"/>
            </w:pPr>
            <w:r>
              <w:t>0.07</w:t>
            </w:r>
          </w:p>
        </w:tc>
        <w:tc>
          <w:tcPr>
            <w:tcW w:w="964" w:type="dxa"/>
            <w:vAlign w:val="center"/>
          </w:tcPr>
          <w:p>
            <w:pPr>
              <w:pStyle w:val="11"/>
            </w:pPr>
            <w:r>
              <w:t>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36.00</w:t>
            </w:r>
          </w:p>
        </w:tc>
        <w:tc>
          <w:tcPr>
            <w:tcW w:w="964"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800</w:t>
            </w:r>
          </w:p>
        </w:tc>
        <w:tc>
          <w:tcPr>
            <w:tcW w:w="850" w:type="dxa"/>
            <w:vAlign w:val="center"/>
          </w:tcPr>
          <w:p>
            <w:pPr>
              <w:pStyle w:val="11"/>
            </w:pPr>
            <w:r>
              <w:t>0.01</w:t>
            </w:r>
          </w:p>
        </w:tc>
        <w:tc>
          <w:tcPr>
            <w:tcW w:w="964" w:type="dxa"/>
            <w:vAlign w:val="center"/>
          </w:tcPr>
          <w:p>
            <w:pPr>
              <w:pStyle w:val="11"/>
            </w:pPr>
            <w:r>
              <w:t>6.80</w:t>
            </w:r>
          </w:p>
        </w:tc>
        <w:tc>
          <w:tcPr>
            <w:tcW w:w="964" w:type="dxa"/>
            <w:vAlign w:val="center"/>
          </w:tcPr>
          <w:p>
            <w:pPr>
              <w:pStyle w:val="11"/>
            </w:pPr>
            <w:r>
              <w:t>6.80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120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2.75</w:t>
            </w:r>
          </w:p>
        </w:tc>
        <w:tc>
          <w:tcPr>
            <w:tcW w:w="964" w:type="dxa"/>
            <w:vAlign w:val="center"/>
          </w:tcPr>
          <w:p>
            <w:pPr>
              <w:pStyle w:val="11"/>
            </w:pPr>
            <w:r>
              <w:t>2.75</w:t>
            </w:r>
          </w:p>
        </w:tc>
        <w:tc>
          <w:tcPr>
            <w:tcW w:w="964" w:type="dxa"/>
            <w:vAlign w:val="center"/>
          </w:tcPr>
          <w:p>
            <w:pPr>
              <w:pStyle w:val="11"/>
            </w:pPr>
            <w:r>
              <w:t>2.75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99.40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8.25</w:t>
            </w:r>
          </w:p>
        </w:tc>
        <w:tc>
          <w:tcPr>
            <w:tcW w:w="964" w:type="dxa"/>
            <w:vAlign w:val="center"/>
          </w:tcPr>
          <w:p>
            <w:pPr>
              <w:pStyle w:val="11"/>
            </w:pPr>
            <w:r>
              <w:t>8.25</w:t>
            </w:r>
          </w:p>
        </w:tc>
        <w:tc>
          <w:tcPr>
            <w:tcW w:w="964" w:type="dxa"/>
            <w:vAlign w:val="center"/>
          </w:tcPr>
          <w:p>
            <w:pPr>
              <w:pStyle w:val="11"/>
            </w:pPr>
            <w:r>
              <w:t>8.25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“质量强县”工作经费</w:t>
            </w:r>
          </w:p>
        </w:tc>
        <w:tc>
          <w:tcPr>
            <w:tcW w:w="964" w:type="dxa"/>
            <w:vAlign w:val="center"/>
          </w:tcPr>
          <w:p>
            <w:pPr>
              <w:pStyle w:val="11"/>
            </w:pPr>
            <w:r>
              <w:t>3.00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“质量强县”工作经费</w:t>
            </w:r>
          </w:p>
        </w:tc>
        <w:tc>
          <w:tcPr>
            <w:tcW w:w="964" w:type="dxa"/>
            <w:vAlign w:val="center"/>
          </w:tcPr>
          <w:p>
            <w:pPr>
              <w:pStyle w:val="11"/>
            </w:pPr>
            <w:r>
              <w:t>3.00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煤炭、成品油、化肥抽检经费</w:t>
            </w:r>
          </w:p>
        </w:tc>
        <w:tc>
          <w:tcPr>
            <w:tcW w:w="964" w:type="dxa"/>
            <w:vAlign w:val="center"/>
          </w:tcPr>
          <w:p>
            <w:pPr>
              <w:pStyle w:val="11"/>
            </w:pPr>
            <w:r>
              <w:t>10.00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100</w:t>
            </w:r>
          </w:p>
        </w:tc>
        <w:tc>
          <w:tcPr>
            <w:tcW w:w="850" w:type="dxa"/>
            <w:vAlign w:val="center"/>
          </w:tcPr>
          <w:p>
            <w:pPr>
              <w:pStyle w:val="11"/>
            </w:pPr>
            <w:r>
              <w:t>0.10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食品安全工作经费</w:t>
            </w:r>
          </w:p>
        </w:tc>
        <w:tc>
          <w:tcPr>
            <w:tcW w:w="964" w:type="dxa"/>
            <w:vAlign w:val="center"/>
          </w:tcPr>
          <w:p>
            <w:pPr>
              <w:pStyle w:val="11"/>
            </w:pPr>
            <w:r>
              <w:t>12.00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200</w:t>
            </w:r>
          </w:p>
        </w:tc>
        <w:tc>
          <w:tcPr>
            <w:tcW w:w="850" w:type="dxa"/>
            <w:vAlign w:val="center"/>
          </w:tcPr>
          <w:p>
            <w:pPr>
              <w:pStyle w:val="11"/>
            </w:pPr>
            <w:r>
              <w:t>0.06</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药品、化妆品、医疗器械监管工作经费</w:t>
            </w:r>
          </w:p>
        </w:tc>
        <w:tc>
          <w:tcPr>
            <w:tcW w:w="964" w:type="dxa"/>
            <w:vAlign w:val="center"/>
          </w:tcPr>
          <w:p>
            <w:pPr>
              <w:pStyle w:val="11"/>
            </w:pPr>
            <w:r>
              <w:t>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药品、化妆品、医疗器械监管工作经费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药品、化妆品、医疗器械监管工作经费</w:t>
            </w:r>
          </w:p>
        </w:tc>
        <w:tc>
          <w:tcPr>
            <w:tcW w:w="964" w:type="dxa"/>
            <w:vAlign w:val="center"/>
          </w:tcPr>
          <w:p>
            <w:pPr>
              <w:pStyle w:val="11"/>
            </w:pPr>
            <w:r>
              <w:t>5.00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知识产权宣传经费</w:t>
            </w:r>
          </w:p>
        </w:tc>
        <w:tc>
          <w:tcPr>
            <w:tcW w:w="964" w:type="dxa"/>
            <w:vAlign w:val="center"/>
          </w:tcPr>
          <w:p>
            <w:pPr>
              <w:pStyle w:val="11"/>
            </w:pPr>
            <w:r>
              <w:t>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90</w:t>
            </w:r>
          </w:p>
        </w:tc>
        <w:tc>
          <w:tcPr>
            <w:tcW w:w="850" w:type="dxa"/>
            <w:vAlign w:val="center"/>
          </w:tcPr>
          <w:p>
            <w:pPr>
              <w:pStyle w:val="11"/>
            </w:pPr>
            <w:r>
              <w:t>0.01</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知识产权宣传经费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知识产权宣传经费</w:t>
            </w:r>
          </w:p>
        </w:tc>
        <w:tc>
          <w:tcPr>
            <w:tcW w:w="964" w:type="dxa"/>
            <w:vAlign w:val="center"/>
          </w:tcPr>
          <w:p>
            <w:pPr>
              <w:pStyle w:val="11"/>
            </w:pPr>
            <w:r>
              <w:t>3.00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执法办案工作经费</w:t>
            </w:r>
          </w:p>
        </w:tc>
        <w:tc>
          <w:tcPr>
            <w:tcW w:w="964" w:type="dxa"/>
            <w:vAlign w:val="center"/>
          </w:tcPr>
          <w:p>
            <w:pPr>
              <w:pStyle w:val="11"/>
            </w:pPr>
            <w:r>
              <w:t>10.00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执法办案工作经费</w:t>
            </w:r>
          </w:p>
        </w:tc>
        <w:tc>
          <w:tcPr>
            <w:tcW w:w="964" w:type="dxa"/>
            <w:vAlign w:val="center"/>
          </w:tcPr>
          <w:p>
            <w:pPr>
              <w:pStyle w:val="11"/>
            </w:pPr>
            <w:r>
              <w:t>10.00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关于提前下达2025年市场监管专项补助经费的通知（冀财行[2024]89号）</w:t>
            </w:r>
          </w:p>
        </w:tc>
        <w:tc>
          <w:tcPr>
            <w:tcW w:w="964" w:type="dxa"/>
            <w:vAlign w:val="center"/>
          </w:tcPr>
          <w:p>
            <w:pPr>
              <w:pStyle w:val="11"/>
            </w:pPr>
            <w:r>
              <w:t>12.00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关于提前下达2025年市场监管专项补助经费的通知（冀财行[2024]89号）</w:t>
            </w:r>
          </w:p>
        </w:tc>
        <w:tc>
          <w:tcPr>
            <w:tcW w:w="964" w:type="dxa"/>
            <w:vAlign w:val="center"/>
          </w:tcPr>
          <w:p>
            <w:pPr>
              <w:pStyle w:val="11"/>
            </w:pPr>
            <w:r>
              <w:t>12.00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检测实验室建设经费</w:t>
            </w:r>
          </w:p>
        </w:tc>
        <w:tc>
          <w:tcPr>
            <w:tcW w:w="964" w:type="dxa"/>
            <w:vAlign w:val="center"/>
          </w:tcPr>
          <w:p>
            <w:pPr>
              <w:pStyle w:val="11"/>
            </w:pPr>
            <w:r>
              <w:t>40.50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0.50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检测实验室建设经费</w:t>
            </w:r>
          </w:p>
        </w:tc>
        <w:tc>
          <w:tcPr>
            <w:tcW w:w="964" w:type="dxa"/>
            <w:vAlign w:val="center"/>
          </w:tcPr>
          <w:p>
            <w:pPr>
              <w:pStyle w:val="11"/>
            </w:pPr>
            <w:r>
              <w:t>40.50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检测实验室建设经费</w:t>
            </w:r>
          </w:p>
        </w:tc>
        <w:tc>
          <w:tcPr>
            <w:tcW w:w="964" w:type="dxa"/>
            <w:vAlign w:val="center"/>
          </w:tcPr>
          <w:p>
            <w:pPr>
              <w:pStyle w:val="11"/>
            </w:pPr>
            <w:r>
              <w:t>40.50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检测实验室建设经费</w:t>
            </w:r>
          </w:p>
        </w:tc>
        <w:tc>
          <w:tcPr>
            <w:tcW w:w="964" w:type="dxa"/>
            <w:vAlign w:val="center"/>
          </w:tcPr>
          <w:p>
            <w:pPr>
              <w:pStyle w:val="11"/>
            </w:pPr>
            <w:r>
              <w:t>40.50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套</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检测实验室建设经费</w:t>
            </w:r>
          </w:p>
        </w:tc>
        <w:tc>
          <w:tcPr>
            <w:tcW w:w="964" w:type="dxa"/>
            <w:vAlign w:val="center"/>
          </w:tcPr>
          <w:p>
            <w:pPr>
              <w:pStyle w:val="11"/>
            </w:pPr>
            <w:r>
              <w:t>40.50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0.15</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企业监管“双随机、一公开”工作经费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企业监管“双随机、一公开”工作经费</w:t>
            </w:r>
          </w:p>
        </w:tc>
        <w:tc>
          <w:tcPr>
            <w:tcW w:w="964" w:type="dxa"/>
            <w:vAlign w:val="center"/>
          </w:tcPr>
          <w:p>
            <w:pPr>
              <w:pStyle w:val="11"/>
            </w:pPr>
            <w:r>
              <w:t>2.00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青龙满族自治县市场监督管理局本级上年末固定资产金额为1130.23万元（详见下表）。本年度拟购置固定资产总额为35.50万元，已按要求列入政府采购预算，详见政府采购预算表。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1130.23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4580.60</w:t>
            </w:r>
          </w:p>
        </w:tc>
        <w:tc>
          <w:tcPr>
            <w:tcW w:w="2835" w:type="dxa"/>
            <w:vAlign w:val="center"/>
          </w:tcPr>
          <w:p>
            <w:pPr>
              <w:pStyle w:val="11"/>
            </w:pPr>
            <w:r>
              <w:t>242.80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4580.60</w:t>
            </w:r>
          </w:p>
        </w:tc>
        <w:tc>
          <w:tcPr>
            <w:tcW w:w="2835" w:type="dxa"/>
            <w:vAlign w:val="center"/>
          </w:tcPr>
          <w:p>
            <w:pPr>
              <w:pStyle w:val="11"/>
            </w:pPr>
            <w:r>
              <w:t>242.80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160.71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1637</w:t>
            </w:r>
          </w:p>
        </w:tc>
        <w:tc>
          <w:tcPr>
            <w:tcW w:w="2835" w:type="dxa"/>
            <w:vAlign w:val="center"/>
          </w:tcPr>
          <w:p>
            <w:pPr>
              <w:pStyle w:val="11"/>
            </w:pPr>
            <w:r>
              <w:t>608.72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IwYmE2NjI2MzMzODQzMWU5MTNmMmQ3NjYwYjRlYzEifQ=="/>
  </w:docVars>
  <w:rsids>
    <w:rsidRoot w:val="00000000"/>
    <w:rsid w:val="0EED7024"/>
    <w:rsid w:val="12F37D70"/>
    <w:rsid w:val="1B3853D4"/>
    <w:rsid w:val="26A5726E"/>
    <w:rsid w:val="29C0459F"/>
    <w:rsid w:val="40AC148C"/>
    <w:rsid w:val="4C566856"/>
    <w:rsid w:val="69805805"/>
    <w:rsid w:val="7D5A11C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21300</Words>
  <Characters>25880</Characters>
  <TotalTime>2</TotalTime>
  <ScaleCrop>false</ScaleCrop>
  <LinksUpToDate>false</LinksUpToDate>
  <CharactersWithSpaces>29528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2025-01-23T09:23:00Z</dcterms:created>
  <dc:creator>Administrator</dc:creator>
  <cp:lastModifiedBy>Administrator</cp:lastModifiedBy>
  <dcterms:modified xsi:type="dcterms:W3CDTF">2025-01-24T01:37:05Z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2B75FC845A404D4882F7E2A40084CADF</vt:lpwstr>
  </property>
</Properties>
</file>