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"_Toc_4_4_0000000002" </w:instrText>
      </w:r>
      <w:r>
        <w:fldChar w:fldCharType="separate"/>
      </w:r>
      <w:r>
        <w:rPr>
          <w:rFonts w:hint="eastAsia"/>
          <w:lang w:eastAsia="zh-CN"/>
        </w:rPr>
        <w:t>一</w:t>
      </w:r>
      <w:r>
        <w:t>、青龙满族自治县文学艺术界联合会收支预算</w:t>
      </w:r>
      <w:r>
        <w:tab/>
      </w:r>
      <w:r>
        <w:fldChar w:fldCharType="begin"/>
      </w:r>
      <w:r>
        <w:instrText xml:space="preserve">PAGEREF _Toc_4_4_0000000002 \h</w:instrText>
      </w:r>
      <w:r>
        <w:fldChar w:fldCharType="separate"/>
      </w:r>
      <w:r>
        <w:rPr>
          <w:rFonts w:hint="eastAsia"/>
          <w:lang w:val="en-US" w:eastAsia="zh-CN"/>
        </w:rP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0" w:name="_Toc_4_4_0000000002"/>
    </w:p>
    <w:p>
      <w:pPr>
        <w:jc w:val="center"/>
      </w:pPr>
      <w:r>
        <w:rPr>
          <w:rFonts w:ascii="方正小标宋_GBK" w:hAnsi="方正小标宋_GBK" w:eastAsia="方正小标宋_GBK" w:cs="方正小标宋_GBK"/>
          <w:color w:val="000000"/>
          <w:sz w:val="44"/>
        </w:rPr>
        <w:t>青龙满族自治县文学艺术界联合会收支预算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43.33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34.57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43.33</w:t>
            </w:r>
          </w:p>
        </w:tc>
        <w:tc>
          <w:tcPr>
            <w:tcW w:w="4535" w:type="dxa"/>
            <w:vAlign w:val="center"/>
          </w:tcPr>
          <w:p>
            <w:pPr>
              <w:pStyle w:val="14"/>
            </w:pPr>
            <w:r>
              <w:t>本年支出合计</w:t>
            </w:r>
          </w:p>
        </w:tc>
        <w:tc>
          <w:tcPr>
            <w:tcW w:w="2126" w:type="dxa"/>
            <w:vAlign w:val="center"/>
          </w:tcPr>
          <w:p>
            <w:pPr>
              <w:pStyle w:val="15"/>
            </w:pPr>
            <w:r>
              <w:t>43.33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43.33</w:t>
            </w:r>
          </w:p>
        </w:tc>
        <w:tc>
          <w:tcPr>
            <w:tcW w:w="4535" w:type="dxa"/>
            <w:vAlign w:val="center"/>
          </w:tcPr>
          <w:p>
            <w:pPr>
              <w:pStyle w:val="14"/>
            </w:pPr>
            <w:r>
              <w:t>支出总计</w:t>
            </w:r>
          </w:p>
        </w:tc>
        <w:tc>
          <w:tcPr>
            <w:tcW w:w="2126" w:type="dxa"/>
            <w:vAlign w:val="center"/>
          </w:tcPr>
          <w:p>
            <w:pPr>
              <w:pStyle w:val="15"/>
            </w:pPr>
            <w:r>
              <w:t>43.33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43.33</w:t>
            </w:r>
          </w:p>
        </w:tc>
        <w:tc>
          <w:tcPr>
            <w:tcW w:w="1134" w:type="dxa"/>
            <w:vAlign w:val="center"/>
          </w:tcPr>
          <w:p>
            <w:pPr>
              <w:pStyle w:val="15"/>
            </w:pPr>
            <w:r>
              <w:t>43.33</w:t>
            </w:r>
          </w:p>
        </w:tc>
        <w:tc>
          <w:tcPr>
            <w:tcW w:w="1134" w:type="dxa"/>
            <w:vAlign w:val="center"/>
          </w:tcPr>
          <w:p>
            <w:pPr>
              <w:pStyle w:val="15"/>
            </w:pPr>
            <w:r>
              <w:t>43.33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34.57</w:t>
            </w:r>
          </w:p>
        </w:tc>
        <w:tc>
          <w:tcPr>
            <w:tcW w:w="1134" w:type="dxa"/>
            <w:vAlign w:val="center"/>
          </w:tcPr>
          <w:p>
            <w:pPr>
              <w:pStyle w:val="11"/>
            </w:pPr>
            <w:r>
              <w:t>34.57</w:t>
            </w:r>
          </w:p>
        </w:tc>
        <w:tc>
          <w:tcPr>
            <w:tcW w:w="1134" w:type="dxa"/>
            <w:vAlign w:val="center"/>
          </w:tcPr>
          <w:p>
            <w:pPr>
              <w:pStyle w:val="11"/>
            </w:pPr>
            <w:r>
              <w:t>34.57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34.57</w:t>
            </w:r>
          </w:p>
        </w:tc>
        <w:tc>
          <w:tcPr>
            <w:tcW w:w="1134" w:type="dxa"/>
            <w:vAlign w:val="center"/>
          </w:tcPr>
          <w:p>
            <w:pPr>
              <w:pStyle w:val="11"/>
            </w:pPr>
            <w:r>
              <w:t>34.57</w:t>
            </w:r>
          </w:p>
        </w:tc>
        <w:tc>
          <w:tcPr>
            <w:tcW w:w="1134" w:type="dxa"/>
            <w:vAlign w:val="center"/>
          </w:tcPr>
          <w:p>
            <w:pPr>
              <w:pStyle w:val="11"/>
            </w:pPr>
            <w:r>
              <w:t>34.57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2070111</w:t>
            </w:r>
          </w:p>
        </w:tc>
        <w:tc>
          <w:tcPr>
            <w:tcW w:w="1559" w:type="dxa"/>
            <w:vAlign w:val="center"/>
          </w:tcPr>
          <w:p>
            <w:pPr>
              <w:pStyle w:val="12"/>
            </w:pPr>
            <w:r>
              <w:t>文化创作与保护</w:t>
            </w:r>
          </w:p>
        </w:tc>
        <w:tc>
          <w:tcPr>
            <w:tcW w:w="1134" w:type="dxa"/>
            <w:vAlign w:val="center"/>
          </w:tcPr>
          <w:p>
            <w:pPr>
              <w:pStyle w:val="11"/>
            </w:pPr>
            <w:r>
              <w:t>34.57</w:t>
            </w:r>
          </w:p>
        </w:tc>
        <w:tc>
          <w:tcPr>
            <w:tcW w:w="1134" w:type="dxa"/>
            <w:vAlign w:val="center"/>
          </w:tcPr>
          <w:p>
            <w:pPr>
              <w:pStyle w:val="11"/>
            </w:pPr>
            <w:r>
              <w:t>34.57</w:t>
            </w:r>
          </w:p>
        </w:tc>
        <w:tc>
          <w:tcPr>
            <w:tcW w:w="1134" w:type="dxa"/>
            <w:vAlign w:val="center"/>
          </w:tcPr>
          <w:p>
            <w:pPr>
              <w:pStyle w:val="11"/>
            </w:pPr>
            <w:r>
              <w:t>34.57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4.91</w:t>
            </w:r>
          </w:p>
        </w:tc>
        <w:tc>
          <w:tcPr>
            <w:tcW w:w="1134" w:type="dxa"/>
            <w:vAlign w:val="center"/>
          </w:tcPr>
          <w:p>
            <w:pPr>
              <w:pStyle w:val="11"/>
            </w:pPr>
            <w:r>
              <w:t>4.91</w:t>
            </w:r>
          </w:p>
        </w:tc>
        <w:tc>
          <w:tcPr>
            <w:tcW w:w="1134" w:type="dxa"/>
            <w:vAlign w:val="center"/>
          </w:tcPr>
          <w:p>
            <w:pPr>
              <w:pStyle w:val="11"/>
            </w:pPr>
            <w:r>
              <w:t>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4.91</w:t>
            </w:r>
          </w:p>
        </w:tc>
        <w:tc>
          <w:tcPr>
            <w:tcW w:w="1134" w:type="dxa"/>
            <w:vAlign w:val="center"/>
          </w:tcPr>
          <w:p>
            <w:pPr>
              <w:pStyle w:val="11"/>
            </w:pPr>
            <w:r>
              <w:t>4.91</w:t>
            </w:r>
          </w:p>
        </w:tc>
        <w:tc>
          <w:tcPr>
            <w:tcW w:w="1134" w:type="dxa"/>
            <w:vAlign w:val="center"/>
          </w:tcPr>
          <w:p>
            <w:pPr>
              <w:pStyle w:val="11"/>
            </w:pPr>
            <w:r>
              <w:t>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1.09</w:t>
            </w:r>
          </w:p>
        </w:tc>
        <w:tc>
          <w:tcPr>
            <w:tcW w:w="1134" w:type="dxa"/>
            <w:vAlign w:val="center"/>
          </w:tcPr>
          <w:p>
            <w:pPr>
              <w:pStyle w:val="11"/>
            </w:pPr>
            <w:r>
              <w:t>1.09</w:t>
            </w:r>
          </w:p>
        </w:tc>
        <w:tc>
          <w:tcPr>
            <w:tcW w:w="1134" w:type="dxa"/>
            <w:vAlign w:val="center"/>
          </w:tcPr>
          <w:p>
            <w:pPr>
              <w:pStyle w:val="11"/>
            </w:pPr>
            <w:r>
              <w:t>1.09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3.83</w:t>
            </w:r>
          </w:p>
        </w:tc>
        <w:tc>
          <w:tcPr>
            <w:tcW w:w="1134" w:type="dxa"/>
            <w:vAlign w:val="center"/>
          </w:tcPr>
          <w:p>
            <w:pPr>
              <w:pStyle w:val="11"/>
            </w:pPr>
            <w:r>
              <w:t>3.83</w:t>
            </w:r>
          </w:p>
        </w:tc>
        <w:tc>
          <w:tcPr>
            <w:tcW w:w="1134" w:type="dxa"/>
            <w:vAlign w:val="center"/>
          </w:tcPr>
          <w:p>
            <w:pPr>
              <w:pStyle w:val="11"/>
            </w:pPr>
            <w:r>
              <w:t>3.83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r>
              <w:t>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1.95</w:t>
            </w:r>
          </w:p>
        </w:tc>
        <w:tc>
          <w:tcPr>
            <w:tcW w:w="1134" w:type="dxa"/>
            <w:vAlign w:val="center"/>
          </w:tcPr>
          <w:p>
            <w:pPr>
              <w:pStyle w:val="11"/>
            </w:pPr>
            <w:r>
              <w:t>1.95</w:t>
            </w:r>
          </w:p>
        </w:tc>
        <w:tc>
          <w:tcPr>
            <w:tcW w:w="1134" w:type="dxa"/>
            <w:vAlign w:val="center"/>
          </w:tcPr>
          <w:p>
            <w:pPr>
              <w:pStyle w:val="11"/>
            </w:pPr>
            <w:r>
              <w:t>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1.95</w:t>
            </w:r>
          </w:p>
        </w:tc>
        <w:tc>
          <w:tcPr>
            <w:tcW w:w="1134" w:type="dxa"/>
            <w:vAlign w:val="center"/>
          </w:tcPr>
          <w:p>
            <w:pPr>
              <w:pStyle w:val="11"/>
            </w:pPr>
            <w:r>
              <w:t>1.95</w:t>
            </w:r>
          </w:p>
        </w:tc>
        <w:tc>
          <w:tcPr>
            <w:tcW w:w="1134" w:type="dxa"/>
            <w:vAlign w:val="center"/>
          </w:tcPr>
          <w:p>
            <w:pPr>
              <w:pStyle w:val="11"/>
            </w:pPr>
            <w:r>
              <w:t>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1.95</w:t>
            </w:r>
          </w:p>
        </w:tc>
        <w:tc>
          <w:tcPr>
            <w:tcW w:w="1134" w:type="dxa"/>
            <w:vAlign w:val="center"/>
          </w:tcPr>
          <w:p>
            <w:pPr>
              <w:pStyle w:val="11"/>
            </w:pPr>
            <w:r>
              <w:t>1.95</w:t>
            </w:r>
          </w:p>
        </w:tc>
        <w:tc>
          <w:tcPr>
            <w:tcW w:w="1134" w:type="dxa"/>
            <w:vAlign w:val="center"/>
          </w:tcPr>
          <w:p>
            <w:pPr>
              <w:pStyle w:val="11"/>
            </w:pPr>
            <w:r>
              <w:t>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43.33</w:t>
            </w:r>
          </w:p>
        </w:tc>
        <w:tc>
          <w:tcPr>
            <w:tcW w:w="1361" w:type="dxa"/>
            <w:vAlign w:val="center"/>
          </w:tcPr>
          <w:p>
            <w:pPr>
              <w:pStyle w:val="15"/>
            </w:pPr>
            <w:r>
              <w:t>37.33</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34.57</w:t>
            </w:r>
          </w:p>
        </w:tc>
        <w:tc>
          <w:tcPr>
            <w:tcW w:w="1361" w:type="dxa"/>
            <w:vAlign w:val="center"/>
          </w:tcPr>
          <w:p>
            <w:pPr>
              <w:pStyle w:val="11"/>
            </w:pPr>
            <w:r>
              <w:t>28.57</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34.57</w:t>
            </w:r>
          </w:p>
        </w:tc>
        <w:tc>
          <w:tcPr>
            <w:tcW w:w="1361" w:type="dxa"/>
            <w:vAlign w:val="center"/>
          </w:tcPr>
          <w:p>
            <w:pPr>
              <w:pStyle w:val="11"/>
            </w:pPr>
            <w:r>
              <w:t>28.57</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2070111</w:t>
            </w:r>
          </w:p>
        </w:tc>
        <w:tc>
          <w:tcPr>
            <w:tcW w:w="4535" w:type="dxa"/>
            <w:vAlign w:val="center"/>
          </w:tcPr>
          <w:p>
            <w:pPr>
              <w:pStyle w:val="12"/>
            </w:pPr>
            <w:r>
              <w:t>文化创作与保护</w:t>
            </w:r>
          </w:p>
        </w:tc>
        <w:tc>
          <w:tcPr>
            <w:tcW w:w="1361" w:type="dxa"/>
            <w:vAlign w:val="center"/>
          </w:tcPr>
          <w:p>
            <w:pPr>
              <w:pStyle w:val="11"/>
            </w:pPr>
            <w:r>
              <w:t>34.57</w:t>
            </w:r>
          </w:p>
        </w:tc>
        <w:tc>
          <w:tcPr>
            <w:tcW w:w="1361" w:type="dxa"/>
            <w:vAlign w:val="center"/>
          </w:tcPr>
          <w:p>
            <w:pPr>
              <w:pStyle w:val="11"/>
            </w:pPr>
            <w:r>
              <w:t>28.57</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4.91</w:t>
            </w:r>
          </w:p>
        </w:tc>
        <w:tc>
          <w:tcPr>
            <w:tcW w:w="1361" w:type="dxa"/>
            <w:vAlign w:val="center"/>
          </w:tcPr>
          <w:p>
            <w:pPr>
              <w:pStyle w:val="11"/>
            </w:pPr>
            <w:r>
              <w:t>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4.91</w:t>
            </w:r>
          </w:p>
        </w:tc>
        <w:tc>
          <w:tcPr>
            <w:tcW w:w="1361" w:type="dxa"/>
            <w:vAlign w:val="center"/>
          </w:tcPr>
          <w:p>
            <w:pPr>
              <w:pStyle w:val="11"/>
            </w:pPr>
            <w:r>
              <w:t>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1.09</w:t>
            </w:r>
          </w:p>
        </w:tc>
        <w:tc>
          <w:tcPr>
            <w:tcW w:w="1361" w:type="dxa"/>
            <w:vAlign w:val="center"/>
          </w:tcPr>
          <w:p>
            <w:pPr>
              <w:pStyle w:val="11"/>
            </w:pPr>
            <w:r>
              <w:t>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3.83</w:t>
            </w:r>
          </w:p>
        </w:tc>
        <w:tc>
          <w:tcPr>
            <w:tcW w:w="1361" w:type="dxa"/>
            <w:vAlign w:val="center"/>
          </w:tcPr>
          <w:p>
            <w:pPr>
              <w:pStyle w:val="11"/>
            </w:pPr>
            <w:r>
              <w:t>3.83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1.91</w:t>
            </w:r>
          </w:p>
        </w:tc>
        <w:tc>
          <w:tcPr>
            <w:tcW w:w="1361" w:type="dxa"/>
            <w:vAlign w:val="center"/>
          </w:tcPr>
          <w:p>
            <w:pPr>
              <w:pStyle w:val="11"/>
            </w:pPr>
            <w:r>
              <w:t>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1.91</w:t>
            </w:r>
          </w:p>
        </w:tc>
        <w:tc>
          <w:tcPr>
            <w:tcW w:w="1361" w:type="dxa"/>
            <w:vAlign w:val="center"/>
          </w:tcPr>
          <w:p>
            <w:pPr>
              <w:pStyle w:val="11"/>
            </w:pPr>
            <w:r>
              <w:t>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1.91</w:t>
            </w:r>
          </w:p>
        </w:tc>
        <w:tc>
          <w:tcPr>
            <w:tcW w:w="1361" w:type="dxa"/>
            <w:vAlign w:val="center"/>
          </w:tcPr>
          <w:p>
            <w:pPr>
              <w:pStyle w:val="11"/>
            </w:pPr>
            <w:r>
              <w:t>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1.95</w:t>
            </w:r>
          </w:p>
        </w:tc>
        <w:tc>
          <w:tcPr>
            <w:tcW w:w="1361" w:type="dxa"/>
            <w:vAlign w:val="center"/>
          </w:tcPr>
          <w:p>
            <w:pPr>
              <w:pStyle w:val="11"/>
            </w:pPr>
            <w:r>
              <w:t>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1.95</w:t>
            </w:r>
          </w:p>
        </w:tc>
        <w:tc>
          <w:tcPr>
            <w:tcW w:w="1361" w:type="dxa"/>
            <w:vAlign w:val="center"/>
          </w:tcPr>
          <w:p>
            <w:pPr>
              <w:pStyle w:val="11"/>
            </w:pPr>
            <w:r>
              <w:t>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1.95</w:t>
            </w:r>
          </w:p>
        </w:tc>
        <w:tc>
          <w:tcPr>
            <w:tcW w:w="1361" w:type="dxa"/>
            <w:vAlign w:val="center"/>
          </w:tcPr>
          <w:p>
            <w:pPr>
              <w:pStyle w:val="11"/>
            </w:pPr>
            <w:r>
              <w:t>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43.33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34.57</w:t>
            </w:r>
          </w:p>
        </w:tc>
        <w:tc>
          <w:tcPr>
            <w:tcW w:w="1474" w:type="dxa"/>
            <w:vAlign w:val="center"/>
          </w:tcPr>
          <w:p>
            <w:pPr>
              <w:pStyle w:val="11"/>
            </w:pPr>
            <w:r>
              <w:t>34.57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4.91</w:t>
            </w:r>
          </w:p>
        </w:tc>
        <w:tc>
          <w:tcPr>
            <w:tcW w:w="1474" w:type="dxa"/>
            <w:vAlign w:val="center"/>
          </w:tcPr>
          <w:p>
            <w:pPr>
              <w:pStyle w:val="11"/>
            </w:pPr>
            <w:r>
              <w:t>4.91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1.91</w:t>
            </w:r>
          </w:p>
        </w:tc>
        <w:tc>
          <w:tcPr>
            <w:tcW w:w="1474" w:type="dxa"/>
            <w:vAlign w:val="center"/>
          </w:tcPr>
          <w:p>
            <w:pPr>
              <w:pStyle w:val="11"/>
            </w:pPr>
            <w:r>
              <w:t>1.91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1.95</w:t>
            </w:r>
          </w:p>
        </w:tc>
        <w:tc>
          <w:tcPr>
            <w:tcW w:w="1474" w:type="dxa"/>
            <w:vAlign w:val="center"/>
          </w:tcPr>
          <w:p>
            <w:pPr>
              <w:pStyle w:val="11"/>
            </w:pPr>
            <w:r>
              <w:t>1.95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43.33</w:t>
            </w:r>
          </w:p>
        </w:tc>
        <w:tc>
          <w:tcPr>
            <w:tcW w:w="3402" w:type="dxa"/>
            <w:vAlign w:val="center"/>
          </w:tcPr>
          <w:p>
            <w:pPr>
              <w:pStyle w:val="14"/>
            </w:pPr>
            <w:r>
              <w:t>本年支出合计</w:t>
            </w:r>
          </w:p>
        </w:tc>
        <w:tc>
          <w:tcPr>
            <w:tcW w:w="1474" w:type="dxa"/>
            <w:vAlign w:val="center"/>
          </w:tcPr>
          <w:p>
            <w:pPr>
              <w:pStyle w:val="15"/>
            </w:pPr>
            <w:r>
              <w:t>43.33</w:t>
            </w:r>
          </w:p>
        </w:tc>
        <w:tc>
          <w:tcPr>
            <w:tcW w:w="1474" w:type="dxa"/>
            <w:vAlign w:val="center"/>
          </w:tcPr>
          <w:p>
            <w:pPr>
              <w:pStyle w:val="15"/>
            </w:pPr>
            <w:r>
              <w:t>43.33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43.33</w:t>
            </w:r>
          </w:p>
        </w:tc>
        <w:tc>
          <w:tcPr>
            <w:tcW w:w="3402" w:type="dxa"/>
            <w:vAlign w:val="center"/>
          </w:tcPr>
          <w:p>
            <w:pPr>
              <w:pStyle w:val="14"/>
            </w:pPr>
            <w:r>
              <w:t>支出总计</w:t>
            </w:r>
          </w:p>
        </w:tc>
        <w:tc>
          <w:tcPr>
            <w:tcW w:w="1474" w:type="dxa"/>
            <w:vAlign w:val="center"/>
          </w:tcPr>
          <w:p>
            <w:pPr>
              <w:pStyle w:val="15"/>
            </w:pPr>
            <w:r>
              <w:t>43.33</w:t>
            </w:r>
          </w:p>
        </w:tc>
        <w:tc>
          <w:tcPr>
            <w:tcW w:w="1474" w:type="dxa"/>
            <w:vAlign w:val="center"/>
          </w:tcPr>
          <w:p>
            <w:pPr>
              <w:pStyle w:val="15"/>
            </w:pPr>
            <w:r>
              <w:t>43.33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43.33</w:t>
            </w:r>
          </w:p>
        </w:tc>
        <w:tc>
          <w:tcPr>
            <w:tcW w:w="2551" w:type="dxa"/>
            <w:vAlign w:val="center"/>
          </w:tcPr>
          <w:p>
            <w:pPr>
              <w:pStyle w:val="15"/>
            </w:pPr>
            <w:r>
              <w:t>37.33</w:t>
            </w:r>
          </w:p>
        </w:tc>
        <w:tc>
          <w:tcPr>
            <w:tcW w:w="2551" w:type="dxa"/>
            <w:vAlign w:val="center"/>
          </w:tcPr>
          <w:p>
            <w:pPr>
              <w:pStyle w:val="15"/>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34.57</w:t>
            </w:r>
          </w:p>
        </w:tc>
        <w:tc>
          <w:tcPr>
            <w:tcW w:w="2551" w:type="dxa"/>
            <w:vAlign w:val="center"/>
          </w:tcPr>
          <w:p>
            <w:pPr>
              <w:pStyle w:val="11"/>
            </w:pPr>
            <w:r>
              <w:t>28.57</w:t>
            </w: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34.57</w:t>
            </w:r>
          </w:p>
        </w:tc>
        <w:tc>
          <w:tcPr>
            <w:tcW w:w="2551" w:type="dxa"/>
            <w:vAlign w:val="center"/>
          </w:tcPr>
          <w:p>
            <w:pPr>
              <w:pStyle w:val="11"/>
            </w:pPr>
            <w:r>
              <w:t>28.57</w:t>
            </w: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2070111</w:t>
            </w:r>
          </w:p>
        </w:tc>
        <w:tc>
          <w:tcPr>
            <w:tcW w:w="4535" w:type="dxa"/>
            <w:vAlign w:val="center"/>
          </w:tcPr>
          <w:p>
            <w:pPr>
              <w:pStyle w:val="12"/>
            </w:pPr>
            <w:r>
              <w:t>文化创作与保护</w:t>
            </w:r>
          </w:p>
        </w:tc>
        <w:tc>
          <w:tcPr>
            <w:tcW w:w="2551" w:type="dxa"/>
            <w:vAlign w:val="center"/>
          </w:tcPr>
          <w:p>
            <w:pPr>
              <w:pStyle w:val="11"/>
            </w:pPr>
            <w:r>
              <w:t>34.57</w:t>
            </w:r>
          </w:p>
        </w:tc>
        <w:tc>
          <w:tcPr>
            <w:tcW w:w="2551" w:type="dxa"/>
            <w:vAlign w:val="center"/>
          </w:tcPr>
          <w:p>
            <w:pPr>
              <w:pStyle w:val="11"/>
            </w:pPr>
            <w:r>
              <w:t>28.57</w:t>
            </w: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1.09</w:t>
            </w:r>
          </w:p>
        </w:tc>
        <w:tc>
          <w:tcPr>
            <w:tcW w:w="2551" w:type="dxa"/>
            <w:vAlign w:val="center"/>
          </w:tcPr>
          <w:p>
            <w:pPr>
              <w:pStyle w:val="11"/>
            </w:pPr>
            <w:r>
              <w:t>1.09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3.83</w:t>
            </w:r>
          </w:p>
        </w:tc>
        <w:tc>
          <w:tcPr>
            <w:tcW w:w="2551" w:type="dxa"/>
            <w:vAlign w:val="center"/>
          </w:tcPr>
          <w:p>
            <w:pPr>
              <w:pStyle w:val="11"/>
            </w:pPr>
            <w:r>
              <w:t>3.83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1.91</w:t>
            </w:r>
          </w:p>
        </w:tc>
        <w:tc>
          <w:tcPr>
            <w:tcW w:w="2551" w:type="dxa"/>
            <w:vAlign w:val="center"/>
          </w:tcPr>
          <w:p>
            <w:pPr>
              <w:pStyle w:val="11"/>
            </w:pPr>
            <w:r>
              <w:t>1.91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1.91</w:t>
            </w:r>
          </w:p>
        </w:tc>
        <w:tc>
          <w:tcPr>
            <w:tcW w:w="2551" w:type="dxa"/>
            <w:vAlign w:val="center"/>
          </w:tcPr>
          <w:p>
            <w:pPr>
              <w:pStyle w:val="11"/>
            </w:pPr>
            <w:r>
              <w:t>1.91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1.91</w:t>
            </w:r>
          </w:p>
        </w:tc>
        <w:tc>
          <w:tcPr>
            <w:tcW w:w="2551" w:type="dxa"/>
            <w:vAlign w:val="center"/>
          </w:tcPr>
          <w:p>
            <w:pPr>
              <w:pStyle w:val="11"/>
            </w:pPr>
            <w:r>
              <w:t>1.91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1.95</w:t>
            </w:r>
          </w:p>
        </w:tc>
        <w:tc>
          <w:tcPr>
            <w:tcW w:w="2551" w:type="dxa"/>
            <w:vAlign w:val="center"/>
          </w:tcPr>
          <w:p>
            <w:pPr>
              <w:pStyle w:val="11"/>
            </w:pPr>
            <w:r>
              <w:t>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1.95</w:t>
            </w:r>
          </w:p>
        </w:tc>
        <w:tc>
          <w:tcPr>
            <w:tcW w:w="2551" w:type="dxa"/>
            <w:vAlign w:val="center"/>
          </w:tcPr>
          <w:p>
            <w:pPr>
              <w:pStyle w:val="11"/>
            </w:pPr>
            <w:r>
              <w:t>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1.95</w:t>
            </w:r>
          </w:p>
        </w:tc>
        <w:tc>
          <w:tcPr>
            <w:tcW w:w="2551" w:type="dxa"/>
            <w:vAlign w:val="center"/>
          </w:tcPr>
          <w:p>
            <w:pPr>
              <w:pStyle w:val="11"/>
            </w:pPr>
            <w:r>
              <w:t>1.95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37.33</w:t>
            </w:r>
          </w:p>
        </w:tc>
        <w:tc>
          <w:tcPr>
            <w:tcW w:w="2551" w:type="dxa"/>
            <w:vAlign w:val="center"/>
          </w:tcPr>
          <w:p>
            <w:pPr>
              <w:pStyle w:val="15"/>
            </w:pPr>
            <w:r>
              <w:t>33.63</w:t>
            </w:r>
          </w:p>
        </w:tc>
        <w:tc>
          <w:tcPr>
            <w:tcW w:w="2551" w:type="dxa"/>
            <w:vAlign w:val="center"/>
          </w:tcPr>
          <w:p>
            <w:pPr>
              <w:pStyle w:val="15"/>
            </w:pPr>
            <w:r>
              <w:t>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32.55</w:t>
            </w:r>
          </w:p>
        </w:tc>
        <w:tc>
          <w:tcPr>
            <w:tcW w:w="2551" w:type="dxa"/>
            <w:vAlign w:val="center"/>
          </w:tcPr>
          <w:p>
            <w:pPr>
              <w:pStyle w:val="11"/>
            </w:pPr>
            <w:r>
              <w:t>32.55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14.73</w:t>
            </w:r>
          </w:p>
        </w:tc>
        <w:tc>
          <w:tcPr>
            <w:tcW w:w="2551" w:type="dxa"/>
            <w:vAlign w:val="center"/>
          </w:tcPr>
          <w:p>
            <w:pPr>
              <w:pStyle w:val="11"/>
            </w:pPr>
            <w:r>
              <w:t>14.73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6.89</w:t>
            </w:r>
          </w:p>
        </w:tc>
        <w:tc>
          <w:tcPr>
            <w:tcW w:w="2551" w:type="dxa"/>
            <w:vAlign w:val="center"/>
          </w:tcPr>
          <w:p>
            <w:pPr>
              <w:pStyle w:val="11"/>
            </w:pPr>
            <w:r>
              <w:t>6.89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3.13</w:t>
            </w:r>
          </w:p>
        </w:tc>
        <w:tc>
          <w:tcPr>
            <w:tcW w:w="2551" w:type="dxa"/>
            <w:vAlign w:val="center"/>
          </w:tcPr>
          <w:p>
            <w:pPr>
              <w:pStyle w:val="11"/>
            </w:pPr>
            <w:r>
              <w:t>3.13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3.83</w:t>
            </w:r>
          </w:p>
        </w:tc>
        <w:tc>
          <w:tcPr>
            <w:tcW w:w="2551" w:type="dxa"/>
            <w:vAlign w:val="center"/>
          </w:tcPr>
          <w:p>
            <w:pPr>
              <w:pStyle w:val="11"/>
            </w:pPr>
            <w:r>
              <w:t>3.83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1.91</w:t>
            </w:r>
          </w:p>
        </w:tc>
        <w:tc>
          <w:tcPr>
            <w:tcW w:w="2551" w:type="dxa"/>
            <w:vAlign w:val="center"/>
          </w:tcPr>
          <w:p>
            <w:pPr>
              <w:pStyle w:val="11"/>
            </w:pPr>
            <w:r>
              <w:t>1.91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1.95</w:t>
            </w:r>
          </w:p>
        </w:tc>
        <w:tc>
          <w:tcPr>
            <w:tcW w:w="2551" w:type="dxa"/>
            <w:vAlign w:val="center"/>
          </w:tcPr>
          <w:p>
            <w:pPr>
              <w:pStyle w:val="11"/>
            </w:pPr>
            <w:r>
              <w:t>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0.32</w:t>
            </w:r>
          </w:p>
        </w:tc>
        <w:tc>
          <w:tcPr>
            <w:tcW w:w="2551" w:type="dxa"/>
            <w:vAlign w:val="center"/>
          </w:tcPr>
          <w:p>
            <w:pPr>
              <w:pStyle w:val="11"/>
            </w:pPr>
          </w:p>
        </w:tc>
        <w:tc>
          <w:tcPr>
            <w:tcW w:w="2551"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1.38</w:t>
            </w:r>
          </w:p>
        </w:tc>
        <w:tc>
          <w:tcPr>
            <w:tcW w:w="2551" w:type="dxa"/>
            <w:vAlign w:val="center"/>
          </w:tcPr>
          <w:p>
            <w:pPr>
              <w:pStyle w:val="11"/>
            </w:pPr>
          </w:p>
        </w:tc>
        <w:tc>
          <w:tcPr>
            <w:tcW w:w="2551" w:type="dxa"/>
            <w:vAlign w:val="center"/>
          </w:tcPr>
          <w:p>
            <w:pPr>
              <w:pStyle w:val="11"/>
            </w:pPr>
            <w: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1.09</w:t>
            </w:r>
          </w:p>
        </w:tc>
        <w:tc>
          <w:tcPr>
            <w:tcW w:w="2551" w:type="dxa"/>
            <w:vAlign w:val="center"/>
          </w:tcPr>
          <w:p>
            <w:pPr>
              <w:pStyle w:val="11"/>
            </w:pPr>
            <w:r>
              <w:t>1.09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1.09</w:t>
            </w:r>
          </w:p>
        </w:tc>
        <w:tc>
          <w:tcPr>
            <w:tcW w:w="2551" w:type="dxa"/>
            <w:vAlign w:val="center"/>
          </w:tcPr>
          <w:p>
            <w:pPr>
              <w:pStyle w:val="11"/>
            </w:pPr>
            <w:r>
              <w:t>1.09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青龙满族自治县文学艺术界联合会2025年单位预算信息公开情况说明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按照《中华人民共和国预算法》、《地方预决算公开操作规程》和《关于进一步推进预算公开工作的实施意见》规定，现将青龙满族自治县文学艺术界联合会2025年单位预算公开如下：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县文联的主要职责是：</w:t>
      </w:r>
    </w:p>
    <w:p>
      <w:pPr>
        <w:pStyle w:val="17"/>
      </w:pPr>
      <w:r>
        <w:t>（一）贯彻落实党的文艺工作方针，开展对县级文艺家协会的联络、协调、指导、服务工作，听取和反映文艺界的情况和意见。</w:t>
      </w:r>
    </w:p>
    <w:p>
      <w:pPr>
        <w:pStyle w:val="17"/>
      </w:pPr>
      <w:r>
        <w:t>（二）坚持“二为”方向和“双百”方针，指导和协调全县的文学、美术、书法、摄影、音乐、民间文学、诗词、民俗文化研究、戏曲、影视等10个艺术门类的文学艺术作品的创作和生产。</w:t>
      </w:r>
    </w:p>
    <w:p>
      <w:pPr>
        <w:pStyle w:val="17"/>
      </w:pPr>
      <w:r>
        <w:t>（三）为全县各艺术协会和广大文艺工作者服务，维护文艺社团和文艺家知识产权等合法权益。</w:t>
      </w:r>
    </w:p>
    <w:p>
      <w:pPr>
        <w:pStyle w:val="17"/>
      </w:pPr>
      <w:r>
        <w:t>（四）负责全县各艺术协会和会员的组织管理。积极与国家、省、市及上级艺术协会联系，为广大文艺工作者推荐和申报各级会员工作；负责县级会员的发展和审核工作。</w:t>
      </w:r>
    </w:p>
    <w:p>
      <w:pPr>
        <w:pStyle w:val="17"/>
      </w:pPr>
      <w:r>
        <w:t>（五）负责主办县级文学刊物。</w:t>
      </w:r>
    </w:p>
    <w:p>
      <w:pPr>
        <w:pStyle w:val="17"/>
      </w:pPr>
      <w:r>
        <w:t>（六）协同有关部门联系、组织文艺界的文化学术交流和调研活动；开展会员的人才培训工作。</w:t>
      </w:r>
    </w:p>
    <w:p>
      <w:pPr>
        <w:pStyle w:val="17"/>
      </w:pPr>
      <w:r>
        <w:t>（七）主办和协同相关部门组织各类文艺活动，推出具有满族地域特色的文艺精品。</w:t>
      </w:r>
    </w:p>
    <w:p>
      <w:pPr>
        <w:pStyle w:val="17"/>
      </w:pPr>
      <w:r>
        <w:t>（八）完成县委、县政府交办的其他任务。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青龙满族自治县文学艺术界联合会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w:t>
      </w:r>
      <w:r>
        <w:rPr>
          <w:rFonts w:hint="eastAsia"/>
          <w:lang w:val="en-US" w:eastAsia="zh-CN"/>
        </w:rPr>
        <w:t>5</w:t>
      </w:r>
      <w:r>
        <w:t>年预算收入4</w:t>
      </w:r>
      <w:r>
        <w:rPr>
          <w:rFonts w:hint="eastAsia"/>
          <w:lang w:val="en-US" w:eastAsia="zh-CN"/>
        </w:rPr>
        <w:t>3.33</w:t>
      </w:r>
      <w:r>
        <w:t>万元，其中：一般公共预算收入4</w:t>
      </w:r>
      <w:r>
        <w:rPr>
          <w:rFonts w:hint="eastAsia"/>
          <w:lang w:val="en-US" w:eastAsia="zh-CN"/>
        </w:rPr>
        <w:t>3.33</w:t>
      </w:r>
      <w:r>
        <w:t>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收支预算总表支出栏、基本支出表、项目支出表按经济分类和支出功能分类科目编制，反映青龙满族自治县文学艺术界联合会年度单位预算中支出预算的总体情况。202</w:t>
      </w:r>
      <w:r>
        <w:rPr>
          <w:rFonts w:hint="eastAsia"/>
          <w:lang w:val="en-US" w:eastAsia="zh-CN"/>
        </w:rPr>
        <w:t>5</w:t>
      </w:r>
      <w:r>
        <w:t>年支出预算</w:t>
      </w:r>
      <w:r>
        <w:rPr>
          <w:rFonts w:hint="eastAsia"/>
          <w:lang w:val="en-US" w:eastAsia="zh-CN"/>
        </w:rPr>
        <w:t>43.33</w:t>
      </w:r>
      <w:r>
        <w:t>万元，其中基本支出</w:t>
      </w:r>
      <w:r>
        <w:rPr>
          <w:rFonts w:hint="eastAsia"/>
          <w:lang w:val="en-US" w:eastAsia="zh-CN"/>
        </w:rPr>
        <w:t>37.33</w:t>
      </w:r>
      <w:r>
        <w:t>万元，包括人员经费33.</w:t>
      </w:r>
      <w:r>
        <w:rPr>
          <w:rFonts w:hint="eastAsia"/>
          <w:lang w:val="en-US" w:eastAsia="zh-CN"/>
        </w:rPr>
        <w:t>63</w:t>
      </w:r>
      <w:r>
        <w:t>万元和日常公用经费</w:t>
      </w:r>
      <w:r>
        <w:rPr>
          <w:rFonts w:hint="eastAsia"/>
          <w:lang w:val="en-US" w:eastAsia="zh-CN"/>
        </w:rPr>
        <w:t>3.7</w:t>
      </w:r>
      <w:r>
        <w:t>万元；项目支出6.00万元，主要为《青龙河》杂志印刷费、《青龙诗词》印刷费、”青龙河“文艺奖。</w:t>
      </w:r>
    </w:p>
    <w:p>
      <w:pPr>
        <w:pStyle w:val="18"/>
      </w:pPr>
      <w:r>
        <w:t>3、比上年增减情况</w:t>
      </w:r>
    </w:p>
    <w:p>
      <w:pPr>
        <w:pStyle w:val="18"/>
      </w:pPr>
      <w:r>
        <w:t>202</w:t>
      </w:r>
      <w:r>
        <w:rPr>
          <w:rFonts w:hint="eastAsia"/>
          <w:lang w:val="en-US" w:eastAsia="zh-CN"/>
        </w:rPr>
        <w:t>5</w:t>
      </w:r>
      <w:r>
        <w:t>年预算收支安排</w:t>
      </w:r>
      <w:r>
        <w:rPr>
          <w:rFonts w:hint="eastAsia"/>
          <w:lang w:val="en-US" w:eastAsia="zh-CN"/>
        </w:rPr>
        <w:t>43.33</w:t>
      </w:r>
      <w:r>
        <w:t>万元，较202</w:t>
      </w:r>
      <w:r>
        <w:rPr>
          <w:rFonts w:hint="eastAsia"/>
          <w:lang w:val="en-US" w:eastAsia="zh-CN"/>
        </w:rPr>
        <w:t>4</w:t>
      </w:r>
      <w:r>
        <w:t>年预算减少</w:t>
      </w:r>
      <w:r>
        <w:rPr>
          <w:rFonts w:hint="eastAsia"/>
          <w:lang w:val="en-US" w:eastAsia="zh-CN"/>
        </w:rPr>
        <w:t>1.79</w:t>
      </w:r>
      <w:r>
        <w:t>万元，其中：基本支出</w:t>
      </w:r>
      <w:r>
        <w:rPr>
          <w:rFonts w:hint="eastAsia"/>
          <w:lang w:eastAsia="zh-CN"/>
        </w:rPr>
        <w:t>减少</w:t>
      </w:r>
      <w:r>
        <w:t>1</w:t>
      </w:r>
      <w:r>
        <w:rPr>
          <w:rFonts w:hint="eastAsia"/>
          <w:lang w:val="en-US" w:eastAsia="zh-CN"/>
        </w:rPr>
        <w:t>.79</w:t>
      </w:r>
      <w:r>
        <w:t>万元，主要为</w:t>
      </w:r>
      <w:r>
        <w:rPr>
          <w:rFonts w:hint="eastAsia"/>
          <w:lang w:eastAsia="zh-CN"/>
        </w:rPr>
        <w:t>退休一</w:t>
      </w:r>
      <w:r>
        <w:t>人</w:t>
      </w:r>
      <w:r>
        <w:rPr>
          <w:rFonts w:hint="eastAsia"/>
          <w:lang w:eastAsia="zh-CN"/>
        </w:rPr>
        <w:t>，人</w:t>
      </w:r>
      <w:r>
        <w:t>员经费</w:t>
      </w:r>
      <w:r>
        <w:rPr>
          <w:rFonts w:hint="eastAsia"/>
          <w:lang w:eastAsia="zh-CN"/>
        </w:rPr>
        <w:t>减少</w:t>
      </w:r>
      <w:r>
        <w:t>。项目支出</w:t>
      </w:r>
      <w:r>
        <w:rPr>
          <w:rFonts w:hint="eastAsia"/>
          <w:lang w:eastAsia="zh-CN"/>
        </w:rPr>
        <w:t>较</w:t>
      </w:r>
      <w:r>
        <w:rPr>
          <w:rFonts w:hint="eastAsia"/>
          <w:lang w:val="en-US" w:eastAsia="zh-CN"/>
        </w:rPr>
        <w:t>2024年无变化</w:t>
      </w:r>
      <w:r>
        <w:t>。</w:t>
      </w:r>
      <w:bookmarkStart w:id="1" w:name="_GoBack"/>
      <w:bookmarkEnd w:id="1"/>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9"/>
      </w:pPr>
      <w:r>
        <w:rPr>
          <w:rFonts w:hint="eastAsia"/>
          <w:lang w:val="en-US" w:eastAsia="zh-CN"/>
        </w:rPr>
        <w:t>2025年，</w:t>
      </w:r>
      <w:r>
        <w:t>我</w:t>
      </w:r>
      <w:r>
        <w:rPr>
          <w:rFonts w:hint="eastAsia"/>
          <w:lang w:eastAsia="zh-CN"/>
        </w:rPr>
        <w:t>单位</w:t>
      </w:r>
      <w:r>
        <w:t>机关运行经费共计安排</w:t>
      </w:r>
      <w:r>
        <w:rPr>
          <w:rFonts w:hint="eastAsia"/>
          <w:lang w:val="en-US" w:eastAsia="zh-CN"/>
        </w:rPr>
        <w:t>3.70</w:t>
      </w:r>
      <w:r>
        <w:t>万元，主要用于办公费</w:t>
      </w:r>
      <w:r>
        <w:rPr>
          <w:rFonts w:hint="eastAsia"/>
          <w:lang w:val="en-US" w:eastAsia="zh-CN"/>
        </w:rPr>
        <w:t>1.00</w:t>
      </w:r>
      <w:r>
        <w:t>万元、邮电费0.</w:t>
      </w:r>
      <w:r>
        <w:rPr>
          <w:rFonts w:hint="eastAsia"/>
          <w:lang w:val="en-US" w:eastAsia="zh-CN"/>
        </w:rPr>
        <w:t>32</w:t>
      </w:r>
      <w:r>
        <w:t>万元、</w:t>
      </w:r>
      <w:r>
        <w:rPr>
          <w:rFonts w:hint="eastAsia"/>
          <w:lang w:val="en-US" w:eastAsia="zh-CN"/>
        </w:rPr>
        <w:t>维修费1.00万元、</w:t>
      </w:r>
      <w:r>
        <w:t>其他交通费</w:t>
      </w:r>
      <w:r>
        <w:rPr>
          <w:rFonts w:hint="eastAsia"/>
          <w:lang w:val="en-US" w:eastAsia="zh-CN"/>
        </w:rPr>
        <w:t>1.38</w:t>
      </w:r>
      <w:r>
        <w:t>万元 。</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5</w:t>
      </w:r>
      <w:r>
        <w:t>年，我</w:t>
      </w:r>
      <w:r>
        <w:rPr>
          <w:rFonts w:hint="eastAsia"/>
          <w:lang w:eastAsia="zh-CN"/>
        </w:rPr>
        <w:t>单位</w:t>
      </w:r>
      <w:r>
        <w:t>财政拨款“三公”经费预算安排0万元，其中公务用车购置及运行维护费0万元，无变动。公务接待费0万元，无变动。我单位无因公出国费用。</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1、“青龙河”文艺奖绩效目标表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13032124P00334910084A</w:t>
            </w:r>
          </w:p>
        </w:tc>
        <w:tc>
          <w:tcPr>
            <w:tcW w:w="2835" w:type="dxa"/>
            <w:vAlign w:val="center"/>
          </w:tcPr>
          <w:p>
            <w:pPr>
              <w:pStyle w:val="10"/>
            </w:pPr>
            <w:r>
              <w:t>项目名称</w:t>
            </w:r>
          </w:p>
        </w:tc>
        <w:tc>
          <w:tcPr>
            <w:tcW w:w="6095" w:type="dxa"/>
            <w:gridSpan w:val="3"/>
            <w:vAlign w:val="center"/>
          </w:tcPr>
          <w:p>
            <w:pPr>
              <w:pStyle w:val="12"/>
            </w:pPr>
            <w:r>
              <w:t>“青龙河”文艺奖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项目预算1万元，其中财政资金1万元，主要用于“青龙河”文艺奖奖金的费用。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1.通过设立“青龙河”文艺奖，为全面建成小康社会，实现中华民族的伟大复兴，推动社会主义文化大发展、大繁荣，兴起文化建设高潮。</w:t>
            </w:r>
          </w:p>
          <w:p>
            <w:pPr>
              <w:pStyle w:val="12"/>
            </w:pPr>
            <w:r>
              <w:t>2.通过设立“青龙河”文艺奖，以提高广大文艺工作者创作的积极性，为建设生态型、现代化、民族特色新青龙做出应有贡献。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评选获奖数量</w:t>
            </w:r>
          </w:p>
        </w:tc>
        <w:tc>
          <w:tcPr>
            <w:tcW w:w="5386" w:type="dxa"/>
            <w:vAlign w:val="center"/>
          </w:tcPr>
          <w:p>
            <w:pPr>
              <w:pStyle w:val="12"/>
            </w:pPr>
            <w:r>
              <w:t>参选作品中获奖作品数量</w:t>
            </w:r>
          </w:p>
        </w:tc>
        <w:tc>
          <w:tcPr>
            <w:tcW w:w="2268" w:type="dxa"/>
            <w:vAlign w:val="center"/>
          </w:tcPr>
          <w:p>
            <w:pPr>
              <w:pStyle w:val="12"/>
            </w:pPr>
            <w:r>
              <w:t>≥10个</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获奖人数</w:t>
            </w:r>
          </w:p>
        </w:tc>
        <w:tc>
          <w:tcPr>
            <w:tcW w:w="5386" w:type="dxa"/>
            <w:vAlign w:val="center"/>
          </w:tcPr>
          <w:p>
            <w:pPr>
              <w:pStyle w:val="12"/>
            </w:pPr>
            <w:r>
              <w:t>评选青龙河文艺奖获奖人数</w:t>
            </w:r>
          </w:p>
        </w:tc>
        <w:tc>
          <w:tcPr>
            <w:tcW w:w="2268" w:type="dxa"/>
            <w:vAlign w:val="center"/>
          </w:tcPr>
          <w:p>
            <w:pPr>
              <w:pStyle w:val="12"/>
            </w:pPr>
            <w:r>
              <w:t>≥10个</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参选人数</w:t>
            </w:r>
          </w:p>
        </w:tc>
        <w:tc>
          <w:tcPr>
            <w:tcW w:w="5386" w:type="dxa"/>
            <w:vAlign w:val="center"/>
          </w:tcPr>
          <w:p>
            <w:pPr>
              <w:pStyle w:val="12"/>
            </w:pPr>
            <w:r>
              <w:t>参选青龙河文艺奖人数</w:t>
            </w:r>
          </w:p>
        </w:tc>
        <w:tc>
          <w:tcPr>
            <w:tcW w:w="2268" w:type="dxa"/>
            <w:vAlign w:val="center"/>
          </w:tcPr>
          <w:p>
            <w:pPr>
              <w:pStyle w:val="12"/>
            </w:pPr>
            <w:r>
              <w:t>≥30人</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作品质量</w:t>
            </w:r>
          </w:p>
        </w:tc>
        <w:tc>
          <w:tcPr>
            <w:tcW w:w="5386" w:type="dxa"/>
            <w:vAlign w:val="center"/>
          </w:tcPr>
          <w:p>
            <w:pPr>
              <w:pStyle w:val="12"/>
            </w:pPr>
            <w:r>
              <w:t>获奖作品符合单位评选标准率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按计划完成评选工作</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成本控制在预算范围内</w:t>
            </w:r>
          </w:p>
        </w:tc>
        <w:tc>
          <w:tcPr>
            <w:tcW w:w="2268" w:type="dxa"/>
            <w:vAlign w:val="center"/>
          </w:tcPr>
          <w:p>
            <w:pPr>
              <w:pStyle w:val="12"/>
            </w:pPr>
            <w:r>
              <w:t>≤1万元</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文艺精品较上年有所增加</w:t>
            </w:r>
          </w:p>
        </w:tc>
        <w:tc>
          <w:tcPr>
            <w:tcW w:w="5386" w:type="dxa"/>
            <w:vAlign w:val="center"/>
          </w:tcPr>
          <w:p>
            <w:pPr>
              <w:pStyle w:val="12"/>
            </w:pPr>
            <w:r>
              <w:t>提高广大文艺工作者创作的积极性，增加文艺精品的数量</w:t>
            </w:r>
          </w:p>
        </w:tc>
        <w:tc>
          <w:tcPr>
            <w:tcW w:w="2268" w:type="dxa"/>
            <w:vAlign w:val="center"/>
          </w:tcPr>
          <w:p>
            <w:pPr>
              <w:pStyle w:val="12"/>
            </w:pPr>
            <w:r>
              <w:t>≥2个</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提高读者文化素质</w:t>
            </w:r>
          </w:p>
        </w:tc>
        <w:tc>
          <w:tcPr>
            <w:tcW w:w="5386" w:type="dxa"/>
            <w:vAlign w:val="center"/>
          </w:tcPr>
          <w:p>
            <w:pPr>
              <w:pStyle w:val="12"/>
            </w:pPr>
            <w:r>
              <w:t>把获奖作品发到青龙文联公众号，提高获奖作品的阅读人数</w:t>
            </w:r>
          </w:p>
        </w:tc>
        <w:tc>
          <w:tcPr>
            <w:tcW w:w="2268" w:type="dxa"/>
            <w:vAlign w:val="center"/>
          </w:tcPr>
          <w:p>
            <w:pPr>
              <w:pStyle w:val="12"/>
            </w:pPr>
            <w:r>
              <w:t>≥200人</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群众对评选工作的满意度</w:t>
            </w:r>
          </w:p>
        </w:tc>
        <w:tc>
          <w:tcPr>
            <w:tcW w:w="2268" w:type="dxa"/>
            <w:vAlign w:val="center"/>
          </w:tcPr>
          <w:p>
            <w:pPr>
              <w:pStyle w:val="12"/>
            </w:pPr>
            <w:r>
              <w:t>≤90%</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2、“中华诗词”之乡活动经费绩效目标表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13032124P00334910083N</w:t>
            </w:r>
          </w:p>
        </w:tc>
        <w:tc>
          <w:tcPr>
            <w:tcW w:w="2835" w:type="dxa"/>
            <w:vAlign w:val="center"/>
          </w:tcPr>
          <w:p>
            <w:pPr>
              <w:pStyle w:val="10"/>
            </w:pPr>
            <w:r>
              <w:t>项目名称</w:t>
            </w:r>
          </w:p>
        </w:tc>
        <w:tc>
          <w:tcPr>
            <w:tcW w:w="6095" w:type="dxa"/>
            <w:gridSpan w:val="3"/>
            <w:vAlign w:val="center"/>
          </w:tcPr>
          <w:p>
            <w:pPr>
              <w:pStyle w:val="12"/>
            </w:pPr>
            <w:r>
              <w:t>“中华诗词”之乡活动经费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项目预算2万元，其中财政资金2万元，主要用于《青龙诗词》印刷费用。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0.50</w:t>
            </w:r>
          </w:p>
        </w:tc>
        <w:tc>
          <w:tcPr>
            <w:tcW w:w="2551" w:type="dxa"/>
            <w:vAlign w:val="center"/>
          </w:tcPr>
          <w:p>
            <w:pPr>
              <w:pStyle w:val="13"/>
            </w:pPr>
            <w:r>
              <w:t>0.50</w:t>
            </w:r>
          </w:p>
        </w:tc>
        <w:tc>
          <w:tcPr>
            <w:tcW w:w="3544" w:type="dxa"/>
            <w:gridSpan w:val="2"/>
            <w:vAlign w:val="center"/>
          </w:tcPr>
          <w:p>
            <w:pPr>
              <w:pStyle w:val="13"/>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1."通过及时更换广场诗词文化墙，丰富群众文化生活。</w:t>
            </w:r>
            <w:r>
              <w:tab/>
            </w:r>
            <w:r>
              <w:tab/>
            </w:r>
            <w:r>
              <w:tab/>
            </w:r>
            <w:r>
              <w:tab/>
            </w:r>
            <w:r>
              <w:tab/>
            </w:r>
            <w:r>
              <w:tab/>
            </w:r>
          </w:p>
          <w:p>
            <w:pPr>
              <w:pStyle w:val="12"/>
            </w:pPr>
            <w:r>
              <w:t>"</w:t>
            </w:r>
            <w:r>
              <w:tab/>
            </w:r>
            <w:r>
              <w:tab/>
            </w:r>
            <w:r>
              <w:tab/>
            </w:r>
            <w:r>
              <w:tab/>
            </w:r>
            <w:r>
              <w:tab/>
            </w:r>
          </w:p>
          <w:p>
            <w:pPr>
              <w:pStyle w:val="12"/>
            </w:pPr>
            <w:r>
              <w:t>2."通过开展“中华诗词“之乡活动，激发文艺工作者创作的热情，营造爱好诗词、学习诗词、创作诗词的文化氛围</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诗词社团组织活动次数</w:t>
            </w:r>
          </w:p>
        </w:tc>
        <w:tc>
          <w:tcPr>
            <w:tcW w:w="5386" w:type="dxa"/>
            <w:vAlign w:val="center"/>
          </w:tcPr>
          <w:p>
            <w:pPr>
              <w:pStyle w:val="12"/>
            </w:pPr>
            <w:r>
              <w:t>积极开展诗词采风、创作等活动次数</w:t>
            </w:r>
          </w:p>
        </w:tc>
        <w:tc>
          <w:tcPr>
            <w:tcW w:w="2268" w:type="dxa"/>
            <w:vAlign w:val="center"/>
          </w:tcPr>
          <w:p>
            <w:pPr>
              <w:pStyle w:val="12"/>
            </w:pPr>
            <w:r>
              <w:t>≥2次</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印刷数量</w:t>
            </w:r>
          </w:p>
        </w:tc>
        <w:tc>
          <w:tcPr>
            <w:tcW w:w="5386" w:type="dxa"/>
            <w:vAlign w:val="center"/>
          </w:tcPr>
          <w:p>
            <w:pPr>
              <w:pStyle w:val="12"/>
            </w:pPr>
            <w:r>
              <w:t>编辑并印刷《青龙诗词》册数</w:t>
            </w:r>
          </w:p>
        </w:tc>
        <w:tc>
          <w:tcPr>
            <w:tcW w:w="2268" w:type="dxa"/>
            <w:vAlign w:val="center"/>
          </w:tcPr>
          <w:p>
            <w:pPr>
              <w:pStyle w:val="12"/>
            </w:pPr>
            <w:r>
              <w:t>≥1000册</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《青龙诗词》印刷合格率</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发表作品数量</w:t>
            </w:r>
          </w:p>
        </w:tc>
        <w:tc>
          <w:tcPr>
            <w:tcW w:w="5386" w:type="dxa"/>
            <w:vAlign w:val="center"/>
          </w:tcPr>
          <w:p>
            <w:pPr>
              <w:pStyle w:val="12"/>
            </w:pPr>
            <w:r>
              <w:t>市级以上发表作品数量</w:t>
            </w:r>
          </w:p>
        </w:tc>
        <w:tc>
          <w:tcPr>
            <w:tcW w:w="2268" w:type="dxa"/>
            <w:vAlign w:val="center"/>
          </w:tcPr>
          <w:p>
            <w:pPr>
              <w:pStyle w:val="12"/>
            </w:pPr>
            <w:r>
              <w:t>≥100首</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按年初计划按时完成</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中华诗词活动费用</w:t>
            </w:r>
          </w:p>
        </w:tc>
        <w:tc>
          <w:tcPr>
            <w:tcW w:w="5386" w:type="dxa"/>
            <w:vAlign w:val="center"/>
          </w:tcPr>
          <w:p>
            <w:pPr>
              <w:pStyle w:val="12"/>
            </w:pPr>
            <w:r>
              <w:t>成本控制在预算范围内</w:t>
            </w:r>
          </w:p>
        </w:tc>
        <w:tc>
          <w:tcPr>
            <w:tcW w:w="2268" w:type="dxa"/>
            <w:vAlign w:val="center"/>
          </w:tcPr>
          <w:p>
            <w:pPr>
              <w:pStyle w:val="12"/>
            </w:pPr>
            <w:r>
              <w:t>≤2万元</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青龙诗词印刷费用</w:t>
            </w:r>
          </w:p>
        </w:tc>
        <w:tc>
          <w:tcPr>
            <w:tcW w:w="5386" w:type="dxa"/>
            <w:vAlign w:val="center"/>
          </w:tcPr>
          <w:p>
            <w:pPr>
              <w:pStyle w:val="12"/>
            </w:pPr>
            <w:r>
              <w:t>预计印刷《青龙诗词》1000册，印刷费1.6万元</w:t>
            </w:r>
          </w:p>
        </w:tc>
        <w:tc>
          <w:tcPr>
            <w:tcW w:w="2268" w:type="dxa"/>
            <w:vAlign w:val="center"/>
          </w:tcPr>
          <w:p>
            <w:pPr>
              <w:pStyle w:val="12"/>
            </w:pPr>
            <w:r>
              <w:t>≤1.6万元</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丰富群众文化生活</w:t>
            </w:r>
          </w:p>
        </w:tc>
        <w:tc>
          <w:tcPr>
            <w:tcW w:w="5386" w:type="dxa"/>
            <w:vAlign w:val="center"/>
          </w:tcPr>
          <w:p>
            <w:pPr>
              <w:pStyle w:val="12"/>
            </w:pPr>
            <w:r>
              <w:t>通过项目实施有利于丰富全县群众文化生活</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丰富群众文化生活</w:t>
            </w:r>
          </w:p>
        </w:tc>
        <w:tc>
          <w:tcPr>
            <w:tcW w:w="5386" w:type="dxa"/>
            <w:vAlign w:val="center"/>
          </w:tcPr>
          <w:p>
            <w:pPr>
              <w:pStyle w:val="12"/>
            </w:pPr>
            <w:r>
              <w:t>通过项目实施有利于丰富全县群众文化生活</w:t>
            </w:r>
          </w:p>
        </w:tc>
        <w:tc>
          <w:tcPr>
            <w:tcW w:w="2268" w:type="dxa"/>
            <w:vAlign w:val="center"/>
          </w:tcPr>
          <w:p>
            <w:pPr>
              <w:pStyle w:val="12"/>
            </w:pPr>
            <w:r>
              <w:t>≥95%</w:t>
            </w:r>
            <w:r>
              <w:tab/>
            </w:r>
          </w:p>
          <w:p>
            <w:pPr>
              <w:pStyle w:val="12"/>
            </w:pP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群众对诗词刊物的满意度</w:t>
            </w:r>
          </w:p>
        </w:tc>
        <w:tc>
          <w:tcPr>
            <w:tcW w:w="2268" w:type="dxa"/>
            <w:vAlign w:val="center"/>
          </w:tcPr>
          <w:p>
            <w:pPr>
              <w:pStyle w:val="12"/>
            </w:pPr>
            <w:r>
              <w:t>≥90%</w:t>
            </w:r>
            <w:r>
              <w:tab/>
            </w:r>
          </w:p>
          <w:p>
            <w:pPr>
              <w:pStyle w:val="12"/>
            </w:pP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3、《青龙河》杂志印刷费绩效目标表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13032124P00334910179R</w:t>
            </w:r>
          </w:p>
        </w:tc>
        <w:tc>
          <w:tcPr>
            <w:tcW w:w="2835" w:type="dxa"/>
            <w:vAlign w:val="center"/>
          </w:tcPr>
          <w:p>
            <w:pPr>
              <w:pStyle w:val="10"/>
            </w:pPr>
            <w:r>
              <w:t>项目名称</w:t>
            </w:r>
          </w:p>
        </w:tc>
        <w:tc>
          <w:tcPr>
            <w:tcW w:w="6095" w:type="dxa"/>
            <w:gridSpan w:val="3"/>
            <w:vAlign w:val="center"/>
          </w:tcPr>
          <w:p>
            <w:pPr>
              <w:pStyle w:val="12"/>
            </w:pPr>
            <w:r>
              <w:t>《青龙河》杂志印刷费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项目预算3万元，其中财政资金3万元，主要用于《青龙河》杂志印刷费用。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1.50</w:t>
            </w:r>
          </w:p>
        </w:tc>
        <w:tc>
          <w:tcPr>
            <w:tcW w:w="2551" w:type="dxa"/>
            <w:vAlign w:val="center"/>
          </w:tcPr>
          <w:p>
            <w:pPr>
              <w:pStyle w:val="13"/>
            </w:pPr>
            <w:r>
              <w:t>2.00</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1.通过《青龙河》杂志行量不断扩大，县内外家乡人都可以通过《青龙》杂志感受到家乡的变化和文化信息。</w:t>
            </w:r>
            <w:r>
              <w:tab/>
            </w:r>
            <w:r>
              <w:tab/>
            </w:r>
            <w:r>
              <w:tab/>
            </w:r>
            <w:r>
              <w:tab/>
            </w:r>
          </w:p>
          <w:p>
            <w:pPr>
              <w:pStyle w:val="12"/>
            </w:pPr>
            <w:r>
              <w:t>"</w:t>
            </w:r>
            <w:r>
              <w:tab/>
            </w:r>
            <w:r>
              <w:tab/>
            </w:r>
            <w:r>
              <w:tab/>
            </w:r>
            <w:r>
              <w:tab/>
            </w:r>
            <w:r>
              <w:tab/>
            </w:r>
            <w:r>
              <w:tab/>
            </w:r>
          </w:p>
          <w:p>
            <w:pPr>
              <w:pStyle w:val="12"/>
            </w:pPr>
          </w:p>
          <w:p>
            <w:pPr>
              <w:pStyle w:val="12"/>
            </w:pPr>
            <w:r>
              <w:t>2.通过出版《青龙河》杂志对引领青年作者投身火热的家乡的文化艺术建设，催生文学艺术的发展壮大了重要作用。</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期刊数量</w:t>
            </w:r>
          </w:p>
        </w:tc>
        <w:tc>
          <w:tcPr>
            <w:tcW w:w="5386" w:type="dxa"/>
            <w:vAlign w:val="center"/>
          </w:tcPr>
          <w:p>
            <w:pPr>
              <w:pStyle w:val="12"/>
            </w:pPr>
            <w:r>
              <w:t>《青龙河》期刊编办期数</w:t>
            </w:r>
          </w:p>
        </w:tc>
        <w:tc>
          <w:tcPr>
            <w:tcW w:w="2268" w:type="dxa"/>
            <w:vAlign w:val="center"/>
          </w:tcPr>
          <w:p>
            <w:pPr>
              <w:pStyle w:val="12"/>
            </w:pPr>
            <w:r>
              <w:t>≥2期</w:t>
            </w:r>
          </w:p>
        </w:tc>
        <w:tc>
          <w:tcPr>
            <w:tcW w:w="1276" w:type="dxa"/>
            <w:vAlign w:val="center"/>
          </w:tcPr>
          <w:p>
            <w:pPr>
              <w:pStyle w:val="12"/>
            </w:pPr>
            <w:r>
              <w:t>年初预算安排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期刊质量</w:t>
            </w:r>
          </w:p>
        </w:tc>
        <w:tc>
          <w:tcPr>
            <w:tcW w:w="5386" w:type="dxa"/>
            <w:vAlign w:val="center"/>
          </w:tcPr>
          <w:p>
            <w:pPr>
              <w:pStyle w:val="12"/>
            </w:pPr>
            <w:r>
              <w:t>编办高质量的期刊，并达到相关要求</w:t>
            </w:r>
          </w:p>
        </w:tc>
        <w:tc>
          <w:tcPr>
            <w:tcW w:w="2268" w:type="dxa"/>
            <w:vAlign w:val="center"/>
          </w:tcPr>
          <w:p>
            <w:pPr>
              <w:pStyle w:val="12"/>
            </w:pPr>
            <w:r>
              <w:t>≥95%</w:t>
            </w:r>
          </w:p>
        </w:tc>
        <w:tc>
          <w:tcPr>
            <w:tcW w:w="1276" w:type="dxa"/>
            <w:vAlign w:val="center"/>
          </w:tcPr>
          <w:p>
            <w:pPr>
              <w:pStyle w:val="12"/>
            </w:pPr>
            <w:r>
              <w:t>年初预算安排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每期印刷数量</w:t>
            </w:r>
          </w:p>
        </w:tc>
        <w:tc>
          <w:tcPr>
            <w:tcW w:w="5386" w:type="dxa"/>
            <w:vAlign w:val="center"/>
          </w:tcPr>
          <w:p>
            <w:pPr>
              <w:pStyle w:val="12"/>
            </w:pPr>
            <w:r>
              <w:t>《青龙河》每期印刷数量</w:t>
            </w:r>
          </w:p>
        </w:tc>
        <w:tc>
          <w:tcPr>
            <w:tcW w:w="2268" w:type="dxa"/>
            <w:vAlign w:val="center"/>
          </w:tcPr>
          <w:p>
            <w:pPr>
              <w:pStyle w:val="12"/>
            </w:pPr>
            <w:r>
              <w:t>≥1000册</w:t>
            </w:r>
          </w:p>
        </w:tc>
        <w:tc>
          <w:tcPr>
            <w:tcW w:w="1276" w:type="dxa"/>
            <w:vAlign w:val="center"/>
          </w:tcPr>
          <w:p>
            <w:pPr>
              <w:pStyle w:val="12"/>
            </w:pPr>
            <w:r>
              <w:t>年初预算安排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每期文字数量</w:t>
            </w:r>
          </w:p>
        </w:tc>
        <w:tc>
          <w:tcPr>
            <w:tcW w:w="5386" w:type="dxa"/>
            <w:vAlign w:val="center"/>
          </w:tcPr>
          <w:p>
            <w:pPr>
              <w:pStyle w:val="12"/>
            </w:pPr>
            <w:r>
              <w:t>每期《青龙河》刊发字数</w:t>
            </w:r>
          </w:p>
        </w:tc>
        <w:tc>
          <w:tcPr>
            <w:tcW w:w="2268" w:type="dxa"/>
            <w:vAlign w:val="center"/>
          </w:tcPr>
          <w:p>
            <w:pPr>
              <w:pStyle w:val="12"/>
            </w:pPr>
            <w:r>
              <w:t>≥7万字</w:t>
            </w:r>
          </w:p>
        </w:tc>
        <w:tc>
          <w:tcPr>
            <w:tcW w:w="1276" w:type="dxa"/>
            <w:vAlign w:val="center"/>
          </w:tcPr>
          <w:p>
            <w:pPr>
              <w:pStyle w:val="12"/>
            </w:pPr>
            <w:r>
              <w:t>年初预算安排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期刊编印周期</w:t>
            </w:r>
          </w:p>
        </w:tc>
        <w:tc>
          <w:tcPr>
            <w:tcW w:w="5386" w:type="dxa"/>
            <w:vAlign w:val="center"/>
          </w:tcPr>
          <w:p>
            <w:pPr>
              <w:pStyle w:val="12"/>
            </w:pPr>
            <w:r>
              <w:t>按年初计划每季度编办一期，全年共四期</w:t>
            </w:r>
          </w:p>
        </w:tc>
        <w:tc>
          <w:tcPr>
            <w:tcW w:w="2268" w:type="dxa"/>
            <w:vAlign w:val="center"/>
          </w:tcPr>
          <w:p>
            <w:pPr>
              <w:pStyle w:val="12"/>
            </w:pPr>
            <w:r>
              <w:t>1半年/期</w:t>
            </w:r>
          </w:p>
        </w:tc>
        <w:tc>
          <w:tcPr>
            <w:tcW w:w="1276" w:type="dxa"/>
            <w:vAlign w:val="center"/>
          </w:tcPr>
          <w:p>
            <w:pPr>
              <w:pStyle w:val="12"/>
            </w:pPr>
            <w:r>
              <w:t>年初预算安排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印刷费</w:t>
            </w:r>
          </w:p>
        </w:tc>
        <w:tc>
          <w:tcPr>
            <w:tcW w:w="5386" w:type="dxa"/>
            <w:vAlign w:val="center"/>
          </w:tcPr>
          <w:p>
            <w:pPr>
              <w:pStyle w:val="12"/>
            </w:pPr>
            <w:r>
              <w:t>《青龙河》印刷费</w:t>
            </w:r>
          </w:p>
        </w:tc>
        <w:tc>
          <w:tcPr>
            <w:tcW w:w="2268" w:type="dxa"/>
            <w:vAlign w:val="center"/>
          </w:tcPr>
          <w:p>
            <w:pPr>
              <w:pStyle w:val="12"/>
            </w:pPr>
            <w:r>
              <w:t>≤3万</w:t>
            </w:r>
          </w:p>
        </w:tc>
        <w:tc>
          <w:tcPr>
            <w:tcW w:w="1276" w:type="dxa"/>
            <w:vAlign w:val="center"/>
          </w:tcPr>
          <w:p>
            <w:pPr>
              <w:pStyle w:val="12"/>
            </w:pPr>
            <w:r>
              <w:t>年初预算安排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成本控制在预算范围内</w:t>
            </w:r>
          </w:p>
        </w:tc>
        <w:tc>
          <w:tcPr>
            <w:tcW w:w="2268" w:type="dxa"/>
            <w:vAlign w:val="center"/>
          </w:tcPr>
          <w:p>
            <w:pPr>
              <w:pStyle w:val="12"/>
            </w:pPr>
            <w:r>
              <w:t>≤3万</w:t>
            </w:r>
          </w:p>
        </w:tc>
        <w:tc>
          <w:tcPr>
            <w:tcW w:w="1276" w:type="dxa"/>
            <w:vAlign w:val="center"/>
          </w:tcPr>
          <w:p>
            <w:pPr>
              <w:pStyle w:val="12"/>
            </w:pPr>
            <w:r>
              <w:t>年初预算安排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提高读者文化素质</w:t>
            </w:r>
          </w:p>
        </w:tc>
        <w:tc>
          <w:tcPr>
            <w:tcW w:w="5386" w:type="dxa"/>
            <w:vAlign w:val="center"/>
          </w:tcPr>
          <w:p>
            <w:pPr>
              <w:pStyle w:val="12"/>
            </w:pPr>
            <w:r>
              <w:t>提高《青龙河》期刊阅读人数</w:t>
            </w:r>
          </w:p>
        </w:tc>
        <w:tc>
          <w:tcPr>
            <w:tcW w:w="2268" w:type="dxa"/>
            <w:vAlign w:val="center"/>
          </w:tcPr>
          <w:p>
            <w:pPr>
              <w:pStyle w:val="12"/>
            </w:pPr>
            <w:r>
              <w:t>≥1000人</w:t>
            </w:r>
          </w:p>
        </w:tc>
        <w:tc>
          <w:tcPr>
            <w:tcW w:w="1276" w:type="dxa"/>
            <w:vAlign w:val="center"/>
          </w:tcPr>
          <w:p>
            <w:pPr>
              <w:pStyle w:val="12"/>
            </w:pPr>
            <w:r>
              <w:t>年初预算安排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提高读者文化素质</w:t>
            </w:r>
          </w:p>
        </w:tc>
        <w:tc>
          <w:tcPr>
            <w:tcW w:w="5386" w:type="dxa"/>
            <w:vAlign w:val="center"/>
          </w:tcPr>
          <w:p>
            <w:pPr>
              <w:pStyle w:val="12"/>
            </w:pPr>
            <w:r>
              <w:t>提高《青龙河》期刊阅读人数</w:t>
            </w:r>
          </w:p>
        </w:tc>
        <w:tc>
          <w:tcPr>
            <w:tcW w:w="2268" w:type="dxa"/>
            <w:vAlign w:val="center"/>
          </w:tcPr>
          <w:p>
            <w:pPr>
              <w:pStyle w:val="12"/>
            </w:pPr>
            <w:r>
              <w:t>≥1000人</w:t>
            </w:r>
          </w:p>
        </w:tc>
        <w:tc>
          <w:tcPr>
            <w:tcW w:w="1276" w:type="dxa"/>
            <w:vAlign w:val="center"/>
          </w:tcPr>
          <w:p>
            <w:pPr>
              <w:pStyle w:val="12"/>
            </w:pPr>
            <w:r>
              <w:t>年初预算安排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群众对作品质量的满意度</w:t>
            </w:r>
          </w:p>
        </w:tc>
        <w:tc>
          <w:tcPr>
            <w:tcW w:w="2268" w:type="dxa"/>
            <w:vAlign w:val="center"/>
          </w:tcPr>
          <w:p>
            <w:pPr>
              <w:pStyle w:val="12"/>
            </w:pPr>
            <w:r>
              <w:t>≥90%</w:t>
            </w:r>
          </w:p>
        </w:tc>
        <w:tc>
          <w:tcPr>
            <w:tcW w:w="1276" w:type="dxa"/>
            <w:vAlign w:val="center"/>
          </w:tcPr>
          <w:p>
            <w:pPr>
              <w:pStyle w:val="12"/>
            </w:pPr>
            <w:r>
              <w:t>年初预算安排</w:t>
            </w:r>
          </w:p>
          <w:p>
            <w:pPr>
              <w:pStyle w:val="12"/>
            </w:pPr>
            <w:r>
              <w:tab/>
            </w:r>
          </w:p>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0.34</w:t>
            </w:r>
          </w:p>
        </w:tc>
        <w:tc>
          <w:tcPr>
            <w:tcW w:w="964" w:type="dxa"/>
            <w:vAlign w:val="center"/>
          </w:tcPr>
          <w:p>
            <w:pPr>
              <w:pStyle w:val="15"/>
            </w:pPr>
            <w:r>
              <w:t>0.34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青龙满族自治县文学艺术界联合会小计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0.34</w:t>
            </w:r>
          </w:p>
        </w:tc>
        <w:tc>
          <w:tcPr>
            <w:tcW w:w="964" w:type="dxa"/>
            <w:vAlign w:val="center"/>
          </w:tcPr>
          <w:p>
            <w:pPr>
              <w:pStyle w:val="15"/>
            </w:pPr>
            <w:r>
              <w:t>0.34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2.32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200</w:t>
            </w:r>
          </w:p>
        </w:tc>
        <w:tc>
          <w:tcPr>
            <w:tcW w:w="850" w:type="dxa"/>
            <w:vAlign w:val="center"/>
          </w:tcPr>
          <w:p>
            <w:pPr>
              <w:pStyle w:val="11"/>
            </w:pPr>
            <w:r>
              <w:t>0.00</w:t>
            </w:r>
          </w:p>
        </w:tc>
        <w:tc>
          <w:tcPr>
            <w:tcW w:w="964" w:type="dxa"/>
            <w:vAlign w:val="center"/>
          </w:tcPr>
          <w:p>
            <w:pPr>
              <w:pStyle w:val="11"/>
            </w:pPr>
            <w:r>
              <w:t>0.34</w:t>
            </w:r>
          </w:p>
        </w:tc>
        <w:tc>
          <w:tcPr>
            <w:tcW w:w="964" w:type="dxa"/>
            <w:vAlign w:val="center"/>
          </w:tcPr>
          <w:p>
            <w:pPr>
              <w:pStyle w:val="11"/>
            </w:pPr>
            <w:r>
              <w:t>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青龙满族自治县文学艺术界联合会上年末固定资产金额为</w:t>
      </w:r>
      <w:r>
        <w:rPr>
          <w:rFonts w:hint="eastAsia" w:eastAsia="方正仿宋_GBK"/>
          <w:color w:val="000000"/>
          <w:sz w:val="28"/>
          <w:lang w:val="en-US" w:eastAsia="zh-CN"/>
        </w:rPr>
        <w:t>0.208747</w:t>
      </w:r>
      <w:r>
        <w:rPr>
          <w:rFonts w:eastAsia="方正仿宋_GBK"/>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357003青龙满族自治县文学艺术界联合会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0.208747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w:t>
            </w:r>
          </w:p>
        </w:tc>
        <w:tc>
          <w:tcPr>
            <w:tcW w:w="2835" w:type="dxa"/>
            <w:vAlign w:val="center"/>
          </w:tcPr>
          <w:p>
            <w:pPr>
              <w:pStyle w:val="11"/>
              <w:rPr>
                <w:rFonts w:hint="default" w:eastAsia="方正书宋_GBK"/>
                <w:lang w:val="en-US" w:eastAsia="zh-CN"/>
              </w:rPr>
            </w:pPr>
            <w:r>
              <w:rPr>
                <w:rFonts w:hint="eastAsia"/>
                <w:lang w:val="en-US" w:eastAsia="zh-CN"/>
              </w:rPr>
              <w:t>0.208747</w:t>
            </w:r>
          </w:p>
        </w:tc>
      </w:tr>
    </w:tbl>
    <w:p>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0EFA85"/>
    <w:multiLevelType w:val="singleLevel"/>
    <w:tmpl w:val="980EFA8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E11F1C"/>
    <w:rsid w:val="000F5406"/>
    <w:rsid w:val="00876333"/>
    <w:rsid w:val="00A56EEA"/>
    <w:rsid w:val="00E11F1C"/>
    <w:rsid w:val="04123ECF"/>
    <w:rsid w:val="0A812A74"/>
    <w:rsid w:val="0AB34C29"/>
    <w:rsid w:val="0BD021DB"/>
    <w:rsid w:val="0D1912C9"/>
    <w:rsid w:val="0D466385"/>
    <w:rsid w:val="0F80645E"/>
    <w:rsid w:val="0FB52A25"/>
    <w:rsid w:val="0FBE0EAC"/>
    <w:rsid w:val="0FF46FC9"/>
    <w:rsid w:val="112E7571"/>
    <w:rsid w:val="114761F4"/>
    <w:rsid w:val="12645C39"/>
    <w:rsid w:val="13CA3812"/>
    <w:rsid w:val="13E07E01"/>
    <w:rsid w:val="157A5B3A"/>
    <w:rsid w:val="15E31D2F"/>
    <w:rsid w:val="15FC09CC"/>
    <w:rsid w:val="15FD3DCB"/>
    <w:rsid w:val="16413961"/>
    <w:rsid w:val="16D77F3B"/>
    <w:rsid w:val="16DA04EA"/>
    <w:rsid w:val="1901369E"/>
    <w:rsid w:val="1A2A1CA0"/>
    <w:rsid w:val="1B3F7DE1"/>
    <w:rsid w:val="1CB87E92"/>
    <w:rsid w:val="1CBD0DB4"/>
    <w:rsid w:val="1CE053DC"/>
    <w:rsid w:val="1DAD7D3D"/>
    <w:rsid w:val="1E151F8A"/>
    <w:rsid w:val="1E2E563E"/>
    <w:rsid w:val="1E8B1E37"/>
    <w:rsid w:val="1F2E693B"/>
    <w:rsid w:val="20254FAA"/>
    <w:rsid w:val="208B1425"/>
    <w:rsid w:val="21DC4411"/>
    <w:rsid w:val="22C106B9"/>
    <w:rsid w:val="23082B42"/>
    <w:rsid w:val="24E26C32"/>
    <w:rsid w:val="26464DC4"/>
    <w:rsid w:val="26F83040"/>
    <w:rsid w:val="27E37C5B"/>
    <w:rsid w:val="282A3BFA"/>
    <w:rsid w:val="2A9D6F51"/>
    <w:rsid w:val="2B78207E"/>
    <w:rsid w:val="2BAE63AF"/>
    <w:rsid w:val="2C0C0F22"/>
    <w:rsid w:val="2C4B79AF"/>
    <w:rsid w:val="2D5C52E4"/>
    <w:rsid w:val="2F466310"/>
    <w:rsid w:val="30077698"/>
    <w:rsid w:val="30AC5547"/>
    <w:rsid w:val="30D42AA5"/>
    <w:rsid w:val="320A1BE1"/>
    <w:rsid w:val="328508AE"/>
    <w:rsid w:val="33805137"/>
    <w:rsid w:val="33C215F9"/>
    <w:rsid w:val="33F65BD4"/>
    <w:rsid w:val="344B7B7B"/>
    <w:rsid w:val="34C52904"/>
    <w:rsid w:val="35151DFF"/>
    <w:rsid w:val="365F599D"/>
    <w:rsid w:val="3762051A"/>
    <w:rsid w:val="37D373A7"/>
    <w:rsid w:val="38AF783A"/>
    <w:rsid w:val="39B96B08"/>
    <w:rsid w:val="39ED6E7B"/>
    <w:rsid w:val="3A0D1E2B"/>
    <w:rsid w:val="3A787444"/>
    <w:rsid w:val="3B9848BB"/>
    <w:rsid w:val="3C2B4597"/>
    <w:rsid w:val="3C3C3FF4"/>
    <w:rsid w:val="3C7105A4"/>
    <w:rsid w:val="3CE86DDC"/>
    <w:rsid w:val="3D0E1DB9"/>
    <w:rsid w:val="3E3B6EF6"/>
    <w:rsid w:val="3FF85160"/>
    <w:rsid w:val="407235B5"/>
    <w:rsid w:val="40BE4B0C"/>
    <w:rsid w:val="41FD0771"/>
    <w:rsid w:val="420F0ED6"/>
    <w:rsid w:val="44D86722"/>
    <w:rsid w:val="459618D0"/>
    <w:rsid w:val="47DE68F2"/>
    <w:rsid w:val="487D3A6E"/>
    <w:rsid w:val="48D9333A"/>
    <w:rsid w:val="49F705A4"/>
    <w:rsid w:val="4D146860"/>
    <w:rsid w:val="4D7C7D12"/>
    <w:rsid w:val="4E5F6B4C"/>
    <w:rsid w:val="4F463FC8"/>
    <w:rsid w:val="4FBE783B"/>
    <w:rsid w:val="529823C5"/>
    <w:rsid w:val="52E70FC9"/>
    <w:rsid w:val="54924BA8"/>
    <w:rsid w:val="54C1116B"/>
    <w:rsid w:val="55DF5A18"/>
    <w:rsid w:val="56967B26"/>
    <w:rsid w:val="56B33F4B"/>
    <w:rsid w:val="5711442A"/>
    <w:rsid w:val="57157E4E"/>
    <w:rsid w:val="57E34C15"/>
    <w:rsid w:val="58836D59"/>
    <w:rsid w:val="59317AAC"/>
    <w:rsid w:val="598848F6"/>
    <w:rsid w:val="59C662AB"/>
    <w:rsid w:val="5A7F5AA3"/>
    <w:rsid w:val="5AC24968"/>
    <w:rsid w:val="5AEB044C"/>
    <w:rsid w:val="5B083200"/>
    <w:rsid w:val="5B5724BF"/>
    <w:rsid w:val="5B7530B4"/>
    <w:rsid w:val="5B95283C"/>
    <w:rsid w:val="5C0F3F2B"/>
    <w:rsid w:val="5CAB3BC6"/>
    <w:rsid w:val="5CC461D2"/>
    <w:rsid w:val="5ED52D6D"/>
    <w:rsid w:val="61FF2E84"/>
    <w:rsid w:val="6274640E"/>
    <w:rsid w:val="63D57E18"/>
    <w:rsid w:val="640521BD"/>
    <w:rsid w:val="6508278B"/>
    <w:rsid w:val="67777086"/>
    <w:rsid w:val="67955A8A"/>
    <w:rsid w:val="67A50330"/>
    <w:rsid w:val="68F0628D"/>
    <w:rsid w:val="68FC59A2"/>
    <w:rsid w:val="69B77D6C"/>
    <w:rsid w:val="6A9F6B72"/>
    <w:rsid w:val="6AC229F1"/>
    <w:rsid w:val="6D6A597B"/>
    <w:rsid w:val="6D9C2E2D"/>
    <w:rsid w:val="6F3049B2"/>
    <w:rsid w:val="6F6708CD"/>
    <w:rsid w:val="6F7B604B"/>
    <w:rsid w:val="71890A54"/>
    <w:rsid w:val="71E044DF"/>
    <w:rsid w:val="740B32E8"/>
    <w:rsid w:val="749C1D20"/>
    <w:rsid w:val="75F4624D"/>
    <w:rsid w:val="76560010"/>
    <w:rsid w:val="77932F15"/>
    <w:rsid w:val="7831428D"/>
    <w:rsid w:val="788D4251"/>
    <w:rsid w:val="788F4CAF"/>
    <w:rsid w:val="7896104B"/>
    <w:rsid w:val="78D94F20"/>
    <w:rsid w:val="796F58E6"/>
    <w:rsid w:val="79764B9A"/>
    <w:rsid w:val="7A8F4970"/>
    <w:rsid w:val="7B1376E0"/>
    <w:rsid w:val="7C391000"/>
    <w:rsid w:val="7D851757"/>
    <w:rsid w:val="7E78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9614</Words>
  <Characters>54805</Characters>
  <Lines>456</Lines>
  <Paragraphs>128</Paragraphs>
  <TotalTime>3</TotalTime>
  <ScaleCrop>false</ScaleCrop>
  <LinksUpToDate>false</LinksUpToDate>
  <CharactersWithSpaces>64291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2025-01-22T06:17:00Z</dcterms:created>
  <dc:creator>Administrator</dc:creator>
  <cp:lastModifiedBy>逍遥</cp:lastModifiedBy>
  <dcterms:modified xsi:type="dcterms:W3CDTF">2025-01-22T06:40:58Z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