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224中共青龙满族自治县委网络安全和信息化委员会办公室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91.80</w:t>
            </w:r>
          </w:p>
        </w:tc>
        <w:tc>
          <w:tcPr>
            <w:tcW w:w="4535" w:type="dxa"/>
            <w:vAlign w:val="center"/>
          </w:tcPr>
          <w:p>
            <w:pPr>
              <w:pStyle w:val="13"/>
            </w:pPr>
            <w:r>
              <w:t>一、一般公共服务支出</w:t>
            </w:r>
          </w:p>
        </w:tc>
        <w:tc>
          <w:tcPr>
            <w:tcW w:w="2126" w:type="dxa"/>
            <w:vAlign w:val="center"/>
          </w:tcPr>
          <w:p>
            <w:pPr>
              <w:pStyle w:val="12"/>
            </w:pPr>
            <w:r>
              <w:t>76.98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91.80</w:t>
            </w:r>
          </w:p>
        </w:tc>
        <w:tc>
          <w:tcPr>
            <w:tcW w:w="4535" w:type="dxa"/>
            <w:vAlign w:val="center"/>
          </w:tcPr>
          <w:p>
            <w:pPr>
              <w:pStyle w:val="15"/>
            </w:pPr>
            <w:r>
              <w:t>本年支出合计</w:t>
            </w:r>
          </w:p>
        </w:tc>
        <w:tc>
          <w:tcPr>
            <w:tcW w:w="2126" w:type="dxa"/>
            <w:vAlign w:val="center"/>
          </w:tcPr>
          <w:p>
            <w:pPr>
              <w:pStyle w:val="16"/>
            </w:pPr>
            <w:r>
              <w:t>93.23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1.43</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93.23</w:t>
            </w:r>
          </w:p>
        </w:tc>
        <w:tc>
          <w:tcPr>
            <w:tcW w:w="4535" w:type="dxa"/>
            <w:vAlign w:val="center"/>
          </w:tcPr>
          <w:p>
            <w:pPr>
              <w:pStyle w:val="15"/>
            </w:pPr>
            <w:r>
              <w:t>支出总计</w:t>
            </w:r>
          </w:p>
        </w:tc>
        <w:tc>
          <w:tcPr>
            <w:tcW w:w="2126" w:type="dxa"/>
            <w:vAlign w:val="center"/>
          </w:tcPr>
          <w:p>
            <w:pPr>
              <w:pStyle w:val="16"/>
            </w:pPr>
            <w:r>
              <w:t>93.23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224中共青龙满族自治县委网络安全和信息化委员会办公室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93.23</w:t>
            </w:r>
          </w:p>
        </w:tc>
        <w:tc>
          <w:tcPr>
            <w:tcW w:w="1134" w:type="dxa"/>
            <w:vAlign w:val="center"/>
          </w:tcPr>
          <w:p>
            <w:pPr>
              <w:pStyle w:val="16"/>
            </w:pPr>
            <w:r>
              <w:t>91.80</w:t>
            </w:r>
          </w:p>
        </w:tc>
        <w:tc>
          <w:tcPr>
            <w:tcW w:w="1134" w:type="dxa"/>
            <w:vAlign w:val="center"/>
          </w:tcPr>
          <w:p>
            <w:pPr>
              <w:pStyle w:val="16"/>
            </w:pPr>
            <w:r>
              <w:t>91.80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76.98</w:t>
            </w:r>
          </w:p>
        </w:tc>
        <w:tc>
          <w:tcPr>
            <w:tcW w:w="1134" w:type="dxa"/>
            <w:vAlign w:val="center"/>
          </w:tcPr>
          <w:p>
            <w:pPr>
              <w:pStyle w:val="12"/>
            </w:pPr>
            <w:r>
              <w:t>75.56</w:t>
            </w:r>
          </w:p>
        </w:tc>
        <w:tc>
          <w:tcPr>
            <w:tcW w:w="1134" w:type="dxa"/>
            <w:vAlign w:val="center"/>
          </w:tcPr>
          <w:p>
            <w:pPr>
              <w:pStyle w:val="12"/>
            </w:pPr>
            <w:r>
              <w:t>75.56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20137</w:t>
            </w:r>
          </w:p>
        </w:tc>
        <w:tc>
          <w:tcPr>
            <w:tcW w:w="1559" w:type="dxa"/>
            <w:vAlign w:val="center"/>
          </w:tcPr>
          <w:p>
            <w:pPr>
              <w:pStyle w:val="13"/>
            </w:pPr>
            <w:r>
              <w:t>网信事务</w:t>
            </w:r>
          </w:p>
        </w:tc>
        <w:tc>
          <w:tcPr>
            <w:tcW w:w="1134" w:type="dxa"/>
            <w:vAlign w:val="center"/>
          </w:tcPr>
          <w:p>
            <w:pPr>
              <w:pStyle w:val="12"/>
            </w:pPr>
            <w:r>
              <w:t>76.98</w:t>
            </w:r>
          </w:p>
        </w:tc>
        <w:tc>
          <w:tcPr>
            <w:tcW w:w="1134" w:type="dxa"/>
            <w:vAlign w:val="center"/>
          </w:tcPr>
          <w:p>
            <w:pPr>
              <w:pStyle w:val="12"/>
            </w:pPr>
            <w:r>
              <w:t>75.56</w:t>
            </w:r>
          </w:p>
        </w:tc>
        <w:tc>
          <w:tcPr>
            <w:tcW w:w="1134" w:type="dxa"/>
            <w:vAlign w:val="center"/>
          </w:tcPr>
          <w:p>
            <w:pPr>
              <w:pStyle w:val="12"/>
            </w:pPr>
            <w:r>
              <w:t>75.56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2013701</w:t>
            </w:r>
          </w:p>
        </w:tc>
        <w:tc>
          <w:tcPr>
            <w:tcW w:w="1559" w:type="dxa"/>
            <w:vAlign w:val="center"/>
          </w:tcPr>
          <w:p>
            <w:pPr>
              <w:pStyle w:val="13"/>
            </w:pPr>
            <w:r>
              <w:t>行政运行</w:t>
            </w:r>
          </w:p>
        </w:tc>
        <w:tc>
          <w:tcPr>
            <w:tcW w:w="1134" w:type="dxa"/>
            <w:vAlign w:val="center"/>
          </w:tcPr>
          <w:p>
            <w:pPr>
              <w:pStyle w:val="12"/>
            </w:pPr>
            <w:r>
              <w:t>44.87</w:t>
            </w:r>
          </w:p>
        </w:tc>
        <w:tc>
          <w:tcPr>
            <w:tcW w:w="1134" w:type="dxa"/>
            <w:vAlign w:val="center"/>
          </w:tcPr>
          <w:p>
            <w:pPr>
              <w:pStyle w:val="12"/>
            </w:pPr>
            <w:r>
              <w:t>43.44</w:t>
            </w:r>
          </w:p>
        </w:tc>
        <w:tc>
          <w:tcPr>
            <w:tcW w:w="1134" w:type="dxa"/>
            <w:vAlign w:val="center"/>
          </w:tcPr>
          <w:p>
            <w:pPr>
              <w:pStyle w:val="12"/>
            </w:pPr>
            <w:r>
              <w:t>43.44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2013702</w:t>
            </w:r>
          </w:p>
        </w:tc>
        <w:tc>
          <w:tcPr>
            <w:tcW w:w="1559" w:type="dxa"/>
            <w:vAlign w:val="center"/>
          </w:tcPr>
          <w:p>
            <w:pPr>
              <w:pStyle w:val="13"/>
            </w:pPr>
            <w:r>
              <w:t>一般行政管理事务</w:t>
            </w:r>
          </w:p>
        </w:tc>
        <w:tc>
          <w:tcPr>
            <w:tcW w:w="1134" w:type="dxa"/>
            <w:vAlign w:val="center"/>
          </w:tcPr>
          <w:p>
            <w:pPr>
              <w:pStyle w:val="12"/>
            </w:pPr>
            <w:r>
              <w:t>19.20</w:t>
            </w:r>
          </w:p>
        </w:tc>
        <w:tc>
          <w:tcPr>
            <w:tcW w:w="1134" w:type="dxa"/>
            <w:vAlign w:val="center"/>
          </w:tcPr>
          <w:p>
            <w:pPr>
              <w:pStyle w:val="12"/>
            </w:pPr>
            <w:r>
              <w:t>19.20</w:t>
            </w:r>
          </w:p>
        </w:tc>
        <w:tc>
          <w:tcPr>
            <w:tcW w:w="1134" w:type="dxa"/>
            <w:vAlign w:val="center"/>
          </w:tcPr>
          <w:p>
            <w:pPr>
              <w:pStyle w:val="12"/>
            </w:pPr>
            <w:r>
              <w:t>19.20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2013750</w:t>
            </w:r>
          </w:p>
        </w:tc>
        <w:tc>
          <w:tcPr>
            <w:tcW w:w="1559" w:type="dxa"/>
            <w:vAlign w:val="center"/>
          </w:tcPr>
          <w:p>
            <w:pPr>
              <w:pStyle w:val="13"/>
            </w:pPr>
            <w:r>
              <w:t>事业运行</w:t>
            </w:r>
          </w:p>
        </w:tc>
        <w:tc>
          <w:tcPr>
            <w:tcW w:w="1134" w:type="dxa"/>
            <w:vAlign w:val="center"/>
          </w:tcPr>
          <w:p>
            <w:pPr>
              <w:pStyle w:val="12"/>
            </w:pPr>
            <w:r>
              <w:t>12.92</w:t>
            </w:r>
          </w:p>
        </w:tc>
        <w:tc>
          <w:tcPr>
            <w:tcW w:w="1134" w:type="dxa"/>
            <w:vAlign w:val="center"/>
          </w:tcPr>
          <w:p>
            <w:pPr>
              <w:pStyle w:val="12"/>
            </w:pPr>
            <w:r>
              <w:t>12.92</w:t>
            </w:r>
          </w:p>
        </w:tc>
        <w:tc>
          <w:tcPr>
            <w:tcW w:w="1134" w:type="dxa"/>
            <w:vAlign w:val="center"/>
          </w:tcPr>
          <w:p>
            <w:pPr>
              <w:pStyle w:val="12"/>
            </w:pPr>
            <w:r>
              <w:t>12.92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8.03</w:t>
            </w:r>
          </w:p>
        </w:tc>
        <w:tc>
          <w:tcPr>
            <w:tcW w:w="1134" w:type="dxa"/>
            <w:vAlign w:val="center"/>
          </w:tcPr>
          <w:p>
            <w:pPr>
              <w:pStyle w:val="12"/>
            </w:pPr>
            <w:r>
              <w:t>8.03</w:t>
            </w:r>
          </w:p>
        </w:tc>
        <w:tc>
          <w:tcPr>
            <w:tcW w:w="1134" w:type="dxa"/>
            <w:vAlign w:val="center"/>
          </w:tcPr>
          <w:p>
            <w:pPr>
              <w:pStyle w:val="12"/>
            </w:pPr>
            <w:r>
              <w:t>8.03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8.03</w:t>
            </w:r>
          </w:p>
        </w:tc>
        <w:tc>
          <w:tcPr>
            <w:tcW w:w="1134" w:type="dxa"/>
            <w:vAlign w:val="center"/>
          </w:tcPr>
          <w:p>
            <w:pPr>
              <w:pStyle w:val="12"/>
            </w:pPr>
            <w:r>
              <w:t>8.03</w:t>
            </w:r>
          </w:p>
        </w:tc>
        <w:tc>
          <w:tcPr>
            <w:tcW w:w="1134" w:type="dxa"/>
            <w:vAlign w:val="center"/>
          </w:tcPr>
          <w:p>
            <w:pPr>
              <w:pStyle w:val="12"/>
            </w:pPr>
            <w:r>
              <w:t>8.03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8.03</w:t>
            </w:r>
          </w:p>
        </w:tc>
        <w:tc>
          <w:tcPr>
            <w:tcW w:w="1134" w:type="dxa"/>
            <w:vAlign w:val="center"/>
          </w:tcPr>
          <w:p>
            <w:pPr>
              <w:pStyle w:val="12"/>
            </w:pPr>
            <w:r>
              <w:t>8.03</w:t>
            </w:r>
          </w:p>
        </w:tc>
        <w:tc>
          <w:tcPr>
            <w:tcW w:w="1134" w:type="dxa"/>
            <w:vAlign w:val="center"/>
          </w:tcPr>
          <w:p>
            <w:pPr>
              <w:pStyle w:val="12"/>
            </w:pPr>
            <w:r>
              <w:t>8.03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2.94</w:t>
            </w:r>
          </w:p>
        </w:tc>
        <w:tc>
          <w:tcPr>
            <w:tcW w:w="1134" w:type="dxa"/>
            <w:vAlign w:val="center"/>
          </w:tcPr>
          <w:p>
            <w:pPr>
              <w:pStyle w:val="12"/>
            </w:pPr>
            <w:r>
              <w:t>2.94</w:t>
            </w:r>
          </w:p>
        </w:tc>
        <w:tc>
          <w:tcPr>
            <w:tcW w:w="1134" w:type="dxa"/>
            <w:vAlign w:val="center"/>
          </w:tcPr>
          <w:p>
            <w:pPr>
              <w:pStyle w:val="12"/>
            </w:pPr>
            <w:r>
              <w:t>2.94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1.17</w:t>
            </w:r>
          </w:p>
        </w:tc>
        <w:tc>
          <w:tcPr>
            <w:tcW w:w="1134" w:type="dxa"/>
            <w:vAlign w:val="center"/>
          </w:tcPr>
          <w:p>
            <w:pPr>
              <w:pStyle w:val="12"/>
            </w:pPr>
            <w:r>
              <w:t>1.17</w:t>
            </w:r>
          </w:p>
        </w:tc>
        <w:tc>
          <w:tcPr>
            <w:tcW w:w="1134" w:type="dxa"/>
            <w:vAlign w:val="center"/>
          </w:tcPr>
          <w:p>
            <w:pPr>
              <w:pStyle w:val="12"/>
            </w:pPr>
            <w:r>
              <w:t>1.17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224中共青龙满族自治县委网络安全和信息化委员会办公室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93.23</w:t>
            </w:r>
          </w:p>
        </w:tc>
        <w:tc>
          <w:tcPr>
            <w:tcW w:w="1361" w:type="dxa"/>
            <w:vAlign w:val="center"/>
          </w:tcPr>
          <w:p>
            <w:pPr>
              <w:pStyle w:val="16"/>
            </w:pPr>
            <w:r>
              <w:t>74.03</w:t>
            </w:r>
          </w:p>
        </w:tc>
        <w:tc>
          <w:tcPr>
            <w:tcW w:w="1361" w:type="dxa"/>
            <w:vAlign w:val="center"/>
          </w:tcPr>
          <w:p>
            <w:pPr>
              <w:pStyle w:val="16"/>
            </w:pPr>
            <w:r>
              <w:t>19.20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76.98</w:t>
            </w:r>
          </w:p>
        </w:tc>
        <w:tc>
          <w:tcPr>
            <w:tcW w:w="1361" w:type="dxa"/>
            <w:vAlign w:val="center"/>
          </w:tcPr>
          <w:p>
            <w:pPr>
              <w:pStyle w:val="12"/>
            </w:pPr>
            <w:r>
              <w:t>57.78</w:t>
            </w:r>
          </w:p>
        </w:tc>
        <w:tc>
          <w:tcPr>
            <w:tcW w:w="1361" w:type="dxa"/>
            <w:vAlign w:val="center"/>
          </w:tcPr>
          <w:p>
            <w:pPr>
              <w:pStyle w:val="12"/>
            </w:pPr>
            <w:r>
              <w:t>19.20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20137</w:t>
            </w:r>
          </w:p>
        </w:tc>
        <w:tc>
          <w:tcPr>
            <w:tcW w:w="4535" w:type="dxa"/>
            <w:vAlign w:val="center"/>
          </w:tcPr>
          <w:p>
            <w:pPr>
              <w:pStyle w:val="13"/>
            </w:pPr>
            <w:r>
              <w:t>网信事务</w:t>
            </w:r>
          </w:p>
        </w:tc>
        <w:tc>
          <w:tcPr>
            <w:tcW w:w="1361" w:type="dxa"/>
            <w:vAlign w:val="center"/>
          </w:tcPr>
          <w:p>
            <w:pPr>
              <w:pStyle w:val="12"/>
            </w:pPr>
            <w:r>
              <w:t>76.98</w:t>
            </w:r>
          </w:p>
        </w:tc>
        <w:tc>
          <w:tcPr>
            <w:tcW w:w="1361" w:type="dxa"/>
            <w:vAlign w:val="center"/>
          </w:tcPr>
          <w:p>
            <w:pPr>
              <w:pStyle w:val="12"/>
            </w:pPr>
            <w:r>
              <w:t>57.78</w:t>
            </w:r>
          </w:p>
        </w:tc>
        <w:tc>
          <w:tcPr>
            <w:tcW w:w="1361" w:type="dxa"/>
            <w:vAlign w:val="center"/>
          </w:tcPr>
          <w:p>
            <w:pPr>
              <w:pStyle w:val="12"/>
            </w:pPr>
            <w:r>
              <w:t>19.20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2013701</w:t>
            </w:r>
          </w:p>
        </w:tc>
        <w:tc>
          <w:tcPr>
            <w:tcW w:w="4535" w:type="dxa"/>
            <w:vAlign w:val="center"/>
          </w:tcPr>
          <w:p>
            <w:pPr>
              <w:pStyle w:val="13"/>
            </w:pPr>
            <w:r>
              <w:t>行政运行</w:t>
            </w:r>
          </w:p>
        </w:tc>
        <w:tc>
          <w:tcPr>
            <w:tcW w:w="1361" w:type="dxa"/>
            <w:vAlign w:val="center"/>
          </w:tcPr>
          <w:p>
            <w:pPr>
              <w:pStyle w:val="12"/>
            </w:pPr>
            <w:r>
              <w:t>44.87</w:t>
            </w:r>
          </w:p>
        </w:tc>
        <w:tc>
          <w:tcPr>
            <w:tcW w:w="1361" w:type="dxa"/>
            <w:vAlign w:val="center"/>
          </w:tcPr>
          <w:p>
            <w:pPr>
              <w:pStyle w:val="12"/>
            </w:pPr>
            <w:r>
              <w:t>44.87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2013702</w:t>
            </w:r>
          </w:p>
        </w:tc>
        <w:tc>
          <w:tcPr>
            <w:tcW w:w="4535" w:type="dxa"/>
            <w:vAlign w:val="center"/>
          </w:tcPr>
          <w:p>
            <w:pPr>
              <w:pStyle w:val="13"/>
            </w:pPr>
            <w:r>
              <w:t>一般行政管理事务</w:t>
            </w:r>
          </w:p>
        </w:tc>
        <w:tc>
          <w:tcPr>
            <w:tcW w:w="1361" w:type="dxa"/>
            <w:vAlign w:val="center"/>
          </w:tcPr>
          <w:p>
            <w:pPr>
              <w:pStyle w:val="12"/>
            </w:pPr>
            <w:r>
              <w:t>19.20</w:t>
            </w:r>
          </w:p>
        </w:tc>
        <w:tc>
          <w:tcPr>
            <w:tcW w:w="1361" w:type="dxa"/>
            <w:vAlign w:val="center"/>
          </w:tcPr>
          <w:p>
            <w:pPr>
              <w:pStyle w:val="12"/>
            </w:pPr>
          </w:p>
        </w:tc>
        <w:tc>
          <w:tcPr>
            <w:tcW w:w="1361" w:type="dxa"/>
            <w:vAlign w:val="center"/>
          </w:tcPr>
          <w:p>
            <w:pPr>
              <w:pStyle w:val="12"/>
            </w:pPr>
            <w:r>
              <w:t>19.20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2013750</w:t>
            </w:r>
          </w:p>
        </w:tc>
        <w:tc>
          <w:tcPr>
            <w:tcW w:w="4535" w:type="dxa"/>
            <w:vAlign w:val="center"/>
          </w:tcPr>
          <w:p>
            <w:pPr>
              <w:pStyle w:val="13"/>
            </w:pPr>
            <w:r>
              <w:t>事业运行</w:t>
            </w:r>
          </w:p>
        </w:tc>
        <w:tc>
          <w:tcPr>
            <w:tcW w:w="1361" w:type="dxa"/>
            <w:vAlign w:val="center"/>
          </w:tcPr>
          <w:p>
            <w:pPr>
              <w:pStyle w:val="12"/>
            </w:pPr>
            <w:r>
              <w:t>12.92</w:t>
            </w:r>
          </w:p>
        </w:tc>
        <w:tc>
          <w:tcPr>
            <w:tcW w:w="1361" w:type="dxa"/>
            <w:vAlign w:val="center"/>
          </w:tcPr>
          <w:p>
            <w:pPr>
              <w:pStyle w:val="12"/>
            </w:pPr>
            <w:r>
              <w:t>12.92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8.03</w:t>
            </w:r>
          </w:p>
        </w:tc>
        <w:tc>
          <w:tcPr>
            <w:tcW w:w="1361" w:type="dxa"/>
            <w:vAlign w:val="center"/>
          </w:tcPr>
          <w:p>
            <w:pPr>
              <w:pStyle w:val="12"/>
            </w:pPr>
            <w:r>
              <w:t>8.03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8.03</w:t>
            </w:r>
          </w:p>
        </w:tc>
        <w:tc>
          <w:tcPr>
            <w:tcW w:w="1361" w:type="dxa"/>
            <w:vAlign w:val="center"/>
          </w:tcPr>
          <w:p>
            <w:pPr>
              <w:pStyle w:val="12"/>
            </w:pPr>
            <w:r>
              <w:t>8.03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8.03</w:t>
            </w:r>
          </w:p>
        </w:tc>
        <w:tc>
          <w:tcPr>
            <w:tcW w:w="1361" w:type="dxa"/>
            <w:vAlign w:val="center"/>
          </w:tcPr>
          <w:p>
            <w:pPr>
              <w:pStyle w:val="12"/>
            </w:pPr>
            <w:r>
              <w:t>8.03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4.11</w:t>
            </w:r>
          </w:p>
        </w:tc>
        <w:tc>
          <w:tcPr>
            <w:tcW w:w="1361" w:type="dxa"/>
            <w:vAlign w:val="center"/>
          </w:tcPr>
          <w:p>
            <w:pPr>
              <w:pStyle w:val="12"/>
            </w:pPr>
            <w:r>
              <w:t>4.11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4.11</w:t>
            </w:r>
          </w:p>
        </w:tc>
        <w:tc>
          <w:tcPr>
            <w:tcW w:w="1361" w:type="dxa"/>
            <w:vAlign w:val="center"/>
          </w:tcPr>
          <w:p>
            <w:pPr>
              <w:pStyle w:val="12"/>
            </w:pPr>
            <w:r>
              <w:t>4.11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2.94</w:t>
            </w:r>
          </w:p>
        </w:tc>
        <w:tc>
          <w:tcPr>
            <w:tcW w:w="1361" w:type="dxa"/>
            <w:vAlign w:val="center"/>
          </w:tcPr>
          <w:p>
            <w:pPr>
              <w:pStyle w:val="12"/>
            </w:pPr>
            <w:r>
              <w:t>2.94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1.17</w:t>
            </w:r>
          </w:p>
        </w:tc>
        <w:tc>
          <w:tcPr>
            <w:tcW w:w="1361" w:type="dxa"/>
            <w:vAlign w:val="center"/>
          </w:tcPr>
          <w:p>
            <w:pPr>
              <w:pStyle w:val="12"/>
            </w:pPr>
            <w:r>
              <w:t>1.17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4.11</w:t>
            </w:r>
          </w:p>
        </w:tc>
        <w:tc>
          <w:tcPr>
            <w:tcW w:w="1361" w:type="dxa"/>
            <w:vAlign w:val="center"/>
          </w:tcPr>
          <w:p>
            <w:pPr>
              <w:pStyle w:val="12"/>
            </w:pPr>
            <w:r>
              <w:t>4.11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4.11</w:t>
            </w:r>
          </w:p>
        </w:tc>
        <w:tc>
          <w:tcPr>
            <w:tcW w:w="1361" w:type="dxa"/>
            <w:vAlign w:val="center"/>
          </w:tcPr>
          <w:p>
            <w:pPr>
              <w:pStyle w:val="12"/>
            </w:pPr>
            <w:r>
              <w:t>4.11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4.11</w:t>
            </w:r>
          </w:p>
        </w:tc>
        <w:tc>
          <w:tcPr>
            <w:tcW w:w="1361" w:type="dxa"/>
            <w:vAlign w:val="center"/>
          </w:tcPr>
          <w:p>
            <w:pPr>
              <w:pStyle w:val="12"/>
            </w:pPr>
            <w:r>
              <w:t>4.11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224中共青龙满族自治县委网络安全和信息化委员会办公室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91.80</w:t>
            </w:r>
          </w:p>
        </w:tc>
        <w:tc>
          <w:tcPr>
            <w:tcW w:w="3402" w:type="dxa"/>
            <w:vAlign w:val="center"/>
          </w:tcPr>
          <w:p>
            <w:pPr>
              <w:pStyle w:val="13"/>
            </w:pPr>
            <w:r>
              <w:t>一、一般公共服务支出</w:t>
            </w:r>
          </w:p>
        </w:tc>
        <w:tc>
          <w:tcPr>
            <w:tcW w:w="1474" w:type="dxa"/>
            <w:vAlign w:val="center"/>
          </w:tcPr>
          <w:p>
            <w:pPr>
              <w:pStyle w:val="12"/>
            </w:pPr>
            <w:r>
              <w:t>76.98</w:t>
            </w:r>
          </w:p>
        </w:tc>
        <w:tc>
          <w:tcPr>
            <w:tcW w:w="1474" w:type="dxa"/>
            <w:vAlign w:val="center"/>
          </w:tcPr>
          <w:p>
            <w:pPr>
              <w:pStyle w:val="12"/>
            </w:pPr>
            <w:r>
              <w:t>76.98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8.03</w:t>
            </w:r>
          </w:p>
        </w:tc>
        <w:tc>
          <w:tcPr>
            <w:tcW w:w="1474" w:type="dxa"/>
            <w:vAlign w:val="center"/>
          </w:tcPr>
          <w:p>
            <w:pPr>
              <w:pStyle w:val="12"/>
            </w:pPr>
            <w:r>
              <w:t>8.03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4.11</w:t>
            </w:r>
          </w:p>
        </w:tc>
        <w:tc>
          <w:tcPr>
            <w:tcW w:w="1474" w:type="dxa"/>
            <w:vAlign w:val="center"/>
          </w:tcPr>
          <w:p>
            <w:pPr>
              <w:pStyle w:val="12"/>
            </w:pPr>
            <w:r>
              <w:t>4.11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4.11</w:t>
            </w:r>
          </w:p>
        </w:tc>
        <w:tc>
          <w:tcPr>
            <w:tcW w:w="1474" w:type="dxa"/>
            <w:vAlign w:val="center"/>
          </w:tcPr>
          <w:p>
            <w:pPr>
              <w:pStyle w:val="12"/>
            </w:pPr>
            <w:r>
              <w:t>4.11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91.80</w:t>
            </w:r>
          </w:p>
        </w:tc>
        <w:tc>
          <w:tcPr>
            <w:tcW w:w="3402" w:type="dxa"/>
            <w:vAlign w:val="center"/>
          </w:tcPr>
          <w:p>
            <w:pPr>
              <w:pStyle w:val="15"/>
            </w:pPr>
            <w:r>
              <w:t>本年支出合计</w:t>
            </w:r>
          </w:p>
        </w:tc>
        <w:tc>
          <w:tcPr>
            <w:tcW w:w="1474" w:type="dxa"/>
            <w:vAlign w:val="center"/>
          </w:tcPr>
          <w:p>
            <w:pPr>
              <w:pStyle w:val="16"/>
            </w:pPr>
            <w:r>
              <w:t>93.23</w:t>
            </w:r>
          </w:p>
        </w:tc>
        <w:tc>
          <w:tcPr>
            <w:tcW w:w="1474" w:type="dxa"/>
            <w:vAlign w:val="center"/>
          </w:tcPr>
          <w:p>
            <w:pPr>
              <w:pStyle w:val="16"/>
            </w:pPr>
            <w:r>
              <w:t>93.23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1.43</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1.43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93.23</w:t>
            </w:r>
          </w:p>
        </w:tc>
        <w:tc>
          <w:tcPr>
            <w:tcW w:w="3402" w:type="dxa"/>
            <w:vAlign w:val="center"/>
          </w:tcPr>
          <w:p>
            <w:pPr>
              <w:pStyle w:val="15"/>
            </w:pPr>
            <w:r>
              <w:t>支出总计</w:t>
            </w:r>
          </w:p>
        </w:tc>
        <w:tc>
          <w:tcPr>
            <w:tcW w:w="1474" w:type="dxa"/>
            <w:vAlign w:val="center"/>
          </w:tcPr>
          <w:p>
            <w:pPr>
              <w:pStyle w:val="16"/>
            </w:pPr>
            <w:r>
              <w:t>93.23</w:t>
            </w:r>
          </w:p>
        </w:tc>
        <w:tc>
          <w:tcPr>
            <w:tcW w:w="1474" w:type="dxa"/>
            <w:vAlign w:val="center"/>
          </w:tcPr>
          <w:p>
            <w:pPr>
              <w:pStyle w:val="16"/>
            </w:pPr>
            <w:r>
              <w:t>93.23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224中共青龙满族自治县委网络安全和信息化委员会办公室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93.23</w:t>
            </w:r>
          </w:p>
        </w:tc>
        <w:tc>
          <w:tcPr>
            <w:tcW w:w="2551" w:type="dxa"/>
            <w:vAlign w:val="center"/>
          </w:tcPr>
          <w:p>
            <w:pPr>
              <w:pStyle w:val="16"/>
            </w:pPr>
            <w:r>
              <w:t>74.03</w:t>
            </w:r>
          </w:p>
        </w:tc>
        <w:tc>
          <w:tcPr>
            <w:tcW w:w="2551" w:type="dxa"/>
            <w:vAlign w:val="center"/>
          </w:tcPr>
          <w:p>
            <w:pPr>
              <w:pStyle w:val="16"/>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76.98</w:t>
            </w:r>
          </w:p>
        </w:tc>
        <w:tc>
          <w:tcPr>
            <w:tcW w:w="2551" w:type="dxa"/>
            <w:vAlign w:val="center"/>
          </w:tcPr>
          <w:p>
            <w:pPr>
              <w:pStyle w:val="12"/>
            </w:pPr>
            <w:r>
              <w:t>57.78</w:t>
            </w:r>
          </w:p>
        </w:tc>
        <w:tc>
          <w:tcPr>
            <w:tcW w:w="2551" w:type="dxa"/>
            <w:vAlign w:val="center"/>
          </w:tcPr>
          <w:p>
            <w:pPr>
              <w:pStyle w:val="12"/>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20137</w:t>
            </w:r>
          </w:p>
        </w:tc>
        <w:tc>
          <w:tcPr>
            <w:tcW w:w="4535" w:type="dxa"/>
            <w:vAlign w:val="center"/>
          </w:tcPr>
          <w:p>
            <w:pPr>
              <w:pStyle w:val="13"/>
            </w:pPr>
            <w:r>
              <w:t>网信事务</w:t>
            </w:r>
          </w:p>
        </w:tc>
        <w:tc>
          <w:tcPr>
            <w:tcW w:w="2551" w:type="dxa"/>
            <w:vAlign w:val="center"/>
          </w:tcPr>
          <w:p>
            <w:pPr>
              <w:pStyle w:val="12"/>
            </w:pPr>
            <w:r>
              <w:t>76.98</w:t>
            </w:r>
          </w:p>
        </w:tc>
        <w:tc>
          <w:tcPr>
            <w:tcW w:w="2551" w:type="dxa"/>
            <w:vAlign w:val="center"/>
          </w:tcPr>
          <w:p>
            <w:pPr>
              <w:pStyle w:val="12"/>
            </w:pPr>
            <w:r>
              <w:t>57.78</w:t>
            </w:r>
          </w:p>
        </w:tc>
        <w:tc>
          <w:tcPr>
            <w:tcW w:w="2551" w:type="dxa"/>
            <w:vAlign w:val="center"/>
          </w:tcPr>
          <w:p>
            <w:pPr>
              <w:pStyle w:val="12"/>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2013701</w:t>
            </w:r>
          </w:p>
        </w:tc>
        <w:tc>
          <w:tcPr>
            <w:tcW w:w="4535" w:type="dxa"/>
            <w:vAlign w:val="center"/>
          </w:tcPr>
          <w:p>
            <w:pPr>
              <w:pStyle w:val="13"/>
            </w:pPr>
            <w:r>
              <w:t>行政运行</w:t>
            </w:r>
          </w:p>
        </w:tc>
        <w:tc>
          <w:tcPr>
            <w:tcW w:w="2551" w:type="dxa"/>
            <w:vAlign w:val="center"/>
          </w:tcPr>
          <w:p>
            <w:pPr>
              <w:pStyle w:val="12"/>
            </w:pPr>
            <w:r>
              <w:t>44.87</w:t>
            </w:r>
          </w:p>
        </w:tc>
        <w:tc>
          <w:tcPr>
            <w:tcW w:w="2551" w:type="dxa"/>
            <w:vAlign w:val="center"/>
          </w:tcPr>
          <w:p>
            <w:pPr>
              <w:pStyle w:val="12"/>
            </w:pPr>
            <w:r>
              <w:t>44.87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2013702</w:t>
            </w:r>
          </w:p>
        </w:tc>
        <w:tc>
          <w:tcPr>
            <w:tcW w:w="4535" w:type="dxa"/>
            <w:vAlign w:val="center"/>
          </w:tcPr>
          <w:p>
            <w:pPr>
              <w:pStyle w:val="13"/>
            </w:pPr>
            <w:r>
              <w:t>一般行政管理事务</w:t>
            </w:r>
          </w:p>
        </w:tc>
        <w:tc>
          <w:tcPr>
            <w:tcW w:w="2551" w:type="dxa"/>
            <w:vAlign w:val="center"/>
          </w:tcPr>
          <w:p>
            <w:pPr>
              <w:pStyle w:val="12"/>
            </w:pPr>
            <w:r>
              <w:t>19.20</w:t>
            </w:r>
          </w:p>
        </w:tc>
        <w:tc>
          <w:tcPr>
            <w:tcW w:w="2551" w:type="dxa"/>
            <w:vAlign w:val="center"/>
          </w:tcPr>
          <w:p>
            <w:pPr>
              <w:pStyle w:val="12"/>
            </w:pPr>
          </w:p>
        </w:tc>
        <w:tc>
          <w:tcPr>
            <w:tcW w:w="2551" w:type="dxa"/>
            <w:vAlign w:val="center"/>
          </w:tcPr>
          <w:p>
            <w:pPr>
              <w:pStyle w:val="12"/>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2013750</w:t>
            </w:r>
          </w:p>
        </w:tc>
        <w:tc>
          <w:tcPr>
            <w:tcW w:w="4535" w:type="dxa"/>
            <w:vAlign w:val="center"/>
          </w:tcPr>
          <w:p>
            <w:pPr>
              <w:pStyle w:val="13"/>
            </w:pPr>
            <w:r>
              <w:t>事业运行</w:t>
            </w:r>
          </w:p>
        </w:tc>
        <w:tc>
          <w:tcPr>
            <w:tcW w:w="2551" w:type="dxa"/>
            <w:vAlign w:val="center"/>
          </w:tcPr>
          <w:p>
            <w:pPr>
              <w:pStyle w:val="12"/>
            </w:pPr>
            <w:r>
              <w:t>12.92</w:t>
            </w:r>
          </w:p>
        </w:tc>
        <w:tc>
          <w:tcPr>
            <w:tcW w:w="2551" w:type="dxa"/>
            <w:vAlign w:val="center"/>
          </w:tcPr>
          <w:p>
            <w:pPr>
              <w:pStyle w:val="12"/>
            </w:pPr>
            <w:r>
              <w:t>12.92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8.03</w:t>
            </w:r>
          </w:p>
        </w:tc>
        <w:tc>
          <w:tcPr>
            <w:tcW w:w="2551" w:type="dxa"/>
            <w:vAlign w:val="center"/>
          </w:tcPr>
          <w:p>
            <w:pPr>
              <w:pStyle w:val="12"/>
            </w:pPr>
            <w:r>
              <w:t>8.03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8.03</w:t>
            </w:r>
          </w:p>
        </w:tc>
        <w:tc>
          <w:tcPr>
            <w:tcW w:w="2551" w:type="dxa"/>
            <w:vAlign w:val="center"/>
          </w:tcPr>
          <w:p>
            <w:pPr>
              <w:pStyle w:val="12"/>
            </w:pPr>
            <w:r>
              <w:t>8.03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8.03</w:t>
            </w:r>
          </w:p>
        </w:tc>
        <w:tc>
          <w:tcPr>
            <w:tcW w:w="2551" w:type="dxa"/>
            <w:vAlign w:val="center"/>
          </w:tcPr>
          <w:p>
            <w:pPr>
              <w:pStyle w:val="12"/>
            </w:pPr>
            <w:r>
              <w:t>8.03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4.11</w:t>
            </w:r>
          </w:p>
        </w:tc>
        <w:tc>
          <w:tcPr>
            <w:tcW w:w="2551" w:type="dxa"/>
            <w:vAlign w:val="center"/>
          </w:tcPr>
          <w:p>
            <w:pPr>
              <w:pStyle w:val="12"/>
            </w:pPr>
            <w:r>
              <w:t>4.11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4.11</w:t>
            </w:r>
          </w:p>
        </w:tc>
        <w:tc>
          <w:tcPr>
            <w:tcW w:w="2551" w:type="dxa"/>
            <w:vAlign w:val="center"/>
          </w:tcPr>
          <w:p>
            <w:pPr>
              <w:pStyle w:val="12"/>
            </w:pPr>
            <w:r>
              <w:t>4.11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2.94</w:t>
            </w:r>
          </w:p>
        </w:tc>
        <w:tc>
          <w:tcPr>
            <w:tcW w:w="2551" w:type="dxa"/>
            <w:vAlign w:val="center"/>
          </w:tcPr>
          <w:p>
            <w:pPr>
              <w:pStyle w:val="12"/>
            </w:pPr>
            <w:r>
              <w:t>2.94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1.17</w:t>
            </w:r>
          </w:p>
        </w:tc>
        <w:tc>
          <w:tcPr>
            <w:tcW w:w="2551" w:type="dxa"/>
            <w:vAlign w:val="center"/>
          </w:tcPr>
          <w:p>
            <w:pPr>
              <w:pStyle w:val="12"/>
            </w:pPr>
            <w:r>
              <w:t>1.17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4.11</w:t>
            </w:r>
          </w:p>
        </w:tc>
        <w:tc>
          <w:tcPr>
            <w:tcW w:w="2551" w:type="dxa"/>
            <w:vAlign w:val="center"/>
          </w:tcPr>
          <w:p>
            <w:pPr>
              <w:pStyle w:val="12"/>
            </w:pPr>
            <w:r>
              <w:t>4.11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4.11</w:t>
            </w:r>
          </w:p>
        </w:tc>
        <w:tc>
          <w:tcPr>
            <w:tcW w:w="2551" w:type="dxa"/>
            <w:vAlign w:val="center"/>
          </w:tcPr>
          <w:p>
            <w:pPr>
              <w:pStyle w:val="12"/>
            </w:pPr>
            <w:r>
              <w:t>4.11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4.11</w:t>
            </w:r>
          </w:p>
        </w:tc>
        <w:tc>
          <w:tcPr>
            <w:tcW w:w="2551" w:type="dxa"/>
            <w:vAlign w:val="center"/>
          </w:tcPr>
          <w:p>
            <w:pPr>
              <w:pStyle w:val="12"/>
            </w:pPr>
            <w:r>
              <w:t>4.11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224中共青龙满族自治县委网络安全和信息化委员会办公室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74.03</w:t>
            </w:r>
          </w:p>
        </w:tc>
        <w:tc>
          <w:tcPr>
            <w:tcW w:w="2551" w:type="dxa"/>
            <w:vAlign w:val="center"/>
          </w:tcPr>
          <w:p>
            <w:pPr>
              <w:pStyle w:val="16"/>
            </w:pPr>
            <w:r>
              <w:t>66.52</w:t>
            </w:r>
          </w:p>
        </w:tc>
        <w:tc>
          <w:tcPr>
            <w:tcW w:w="2551" w:type="dxa"/>
            <w:vAlign w:val="center"/>
          </w:tcPr>
          <w:p>
            <w:pPr>
              <w:pStyle w:val="16"/>
            </w:pPr>
            <w:r>
              <w:t>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66.52</w:t>
            </w:r>
          </w:p>
        </w:tc>
        <w:tc>
          <w:tcPr>
            <w:tcW w:w="2551" w:type="dxa"/>
            <w:vAlign w:val="center"/>
          </w:tcPr>
          <w:p>
            <w:pPr>
              <w:pStyle w:val="12"/>
            </w:pPr>
            <w:r>
              <w:t>66.52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29.85</w:t>
            </w:r>
          </w:p>
        </w:tc>
        <w:tc>
          <w:tcPr>
            <w:tcW w:w="2551" w:type="dxa"/>
            <w:vAlign w:val="center"/>
          </w:tcPr>
          <w:p>
            <w:pPr>
              <w:pStyle w:val="12"/>
            </w:pPr>
            <w:r>
              <w:t>29.85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11.18</w:t>
            </w:r>
          </w:p>
        </w:tc>
        <w:tc>
          <w:tcPr>
            <w:tcW w:w="2551" w:type="dxa"/>
            <w:vAlign w:val="center"/>
          </w:tcPr>
          <w:p>
            <w:pPr>
              <w:pStyle w:val="12"/>
            </w:pPr>
            <w:r>
              <w:t>11.18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4.28</w:t>
            </w:r>
          </w:p>
        </w:tc>
        <w:tc>
          <w:tcPr>
            <w:tcW w:w="2551" w:type="dxa"/>
            <w:vAlign w:val="center"/>
          </w:tcPr>
          <w:p>
            <w:pPr>
              <w:pStyle w:val="12"/>
            </w:pPr>
            <w:r>
              <w:t>4.28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4.72</w:t>
            </w:r>
          </w:p>
        </w:tc>
        <w:tc>
          <w:tcPr>
            <w:tcW w:w="2551" w:type="dxa"/>
            <w:vAlign w:val="center"/>
          </w:tcPr>
          <w:p>
            <w:pPr>
              <w:pStyle w:val="12"/>
            </w:pPr>
            <w:r>
              <w:t>4.72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8.03</w:t>
            </w:r>
          </w:p>
        </w:tc>
        <w:tc>
          <w:tcPr>
            <w:tcW w:w="2551" w:type="dxa"/>
            <w:vAlign w:val="center"/>
          </w:tcPr>
          <w:p>
            <w:pPr>
              <w:pStyle w:val="12"/>
            </w:pPr>
            <w:r>
              <w:t>8.03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4.01</w:t>
            </w:r>
          </w:p>
        </w:tc>
        <w:tc>
          <w:tcPr>
            <w:tcW w:w="2551" w:type="dxa"/>
            <w:vAlign w:val="center"/>
          </w:tcPr>
          <w:p>
            <w:pPr>
              <w:pStyle w:val="12"/>
            </w:pPr>
            <w:r>
              <w:t>4.01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0.36</w:t>
            </w:r>
          </w:p>
        </w:tc>
        <w:tc>
          <w:tcPr>
            <w:tcW w:w="2551" w:type="dxa"/>
            <w:vAlign w:val="center"/>
          </w:tcPr>
          <w:p>
            <w:pPr>
              <w:pStyle w:val="12"/>
            </w:pPr>
            <w:r>
              <w:t>0.36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4.11</w:t>
            </w:r>
          </w:p>
        </w:tc>
        <w:tc>
          <w:tcPr>
            <w:tcW w:w="2551" w:type="dxa"/>
            <w:vAlign w:val="center"/>
          </w:tcPr>
          <w:p>
            <w:pPr>
              <w:pStyle w:val="12"/>
            </w:pPr>
            <w:r>
              <w:t>4.11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7.51</w:t>
            </w:r>
          </w:p>
        </w:tc>
        <w:tc>
          <w:tcPr>
            <w:tcW w:w="2551" w:type="dxa"/>
            <w:vAlign w:val="center"/>
          </w:tcPr>
          <w:p>
            <w:pPr>
              <w:pStyle w:val="12"/>
            </w:pPr>
          </w:p>
        </w:tc>
        <w:tc>
          <w:tcPr>
            <w:tcW w:w="2551" w:type="dxa"/>
            <w:vAlign w:val="center"/>
          </w:tcPr>
          <w:p>
            <w:pPr>
              <w:pStyle w:val="12"/>
            </w:pPr>
            <w:r>
              <w:t>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0.63</w:t>
            </w:r>
          </w:p>
        </w:tc>
        <w:tc>
          <w:tcPr>
            <w:tcW w:w="2551" w:type="dxa"/>
            <w:vAlign w:val="center"/>
          </w:tcPr>
          <w:p>
            <w:pPr>
              <w:pStyle w:val="12"/>
            </w:pPr>
          </w:p>
        </w:tc>
        <w:tc>
          <w:tcPr>
            <w:tcW w:w="2551" w:type="dxa"/>
            <w:vAlign w:val="center"/>
          </w:tcPr>
          <w:p>
            <w:pPr>
              <w:pStyle w:val="12"/>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1.68</w:t>
            </w:r>
          </w:p>
        </w:tc>
        <w:tc>
          <w:tcPr>
            <w:tcW w:w="2551" w:type="dxa"/>
            <w:vAlign w:val="center"/>
          </w:tcPr>
          <w:p>
            <w:pPr>
              <w:pStyle w:val="12"/>
            </w:pPr>
          </w:p>
        </w:tc>
        <w:tc>
          <w:tcPr>
            <w:tcW w:w="2551" w:type="dxa"/>
            <w:vAlign w:val="center"/>
          </w:tcPr>
          <w:p>
            <w:pPr>
              <w:pStyle w:val="12"/>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224中共青龙满族自治县委网络安全和信息化委员会办公室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224中共青龙满族自治县委网络安全和信息化委员会办公室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224中共青龙满族自治县委网络安全和信息化委员会办公室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中共青龙满族自治县委网络安全和信息化委员会办公室2024年部门预算信息公开情况说明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中共青龙满族自治县委网络安全和信息化委员会办公室2024年部门预算信息公开情况说明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按照《中华人民共和国预算法》、《地方预决算公开操作规程》和《关于进一步推进预算公开工作的实施意见》规定，现将中共青龙满族自治县委网络安全和信息化委员会办公室2024年部门预算公开如下：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一、贯彻落实县委对网络安全和信息化工作的集中统一领导，协调督促有关方面落实委员会的决定事项、工作部署和要求;组织开展对涉及政治、经济、文化、信息化重大问题研究，向委员会提出建议。 </w:t>
      </w:r>
    </w:p>
    <w:p>
      <w:pPr>
        <w:pStyle w:val="18"/>
      </w:pPr>
      <w:r>
        <w:t xml:space="preserve">二、组织研究起草网络安全和信息化发展战略、宏观规划和重大政策，统筹推进网络安全和信息化法治、标准建设，根据职责权限负责相关规章等的起草、实施和监督检查，根据职责权限推动落实网络安全和信息化领域国家标准并监督实施;依法完善与信息化相关的统计调查制度。统筹协调我县网络安全保障体系和可信体系建设，牵头协调有关部门制定相关行业网络安全规划及保障评价指标体系，协调信息安全保护工作;指导推进党政军部门、重点行业的网络安全保障和信息化工作，统筹协调网络安全和信息化核心技术、关键设备重大科研攻关方面的综合性问题，统筹推进网络安全和信息化军民融合深度发展;推进网络强县有关工程建设，协调推动公共服务和社会治理信息化;指导网络安全信息共享和通报；负责我县网上舆论工作。 </w:t>
      </w:r>
    </w:p>
    <w:p>
      <w:pPr>
        <w:pStyle w:val="18"/>
      </w:pPr>
      <w:r>
        <w:t xml:space="preserve">三、向委员会提交年度网络安全和信息化工作报告，汇总提出年度网络安全和信息化工作要点，报委员会主任批准，重要工作事项提交委员会会议讨论决定。 </w:t>
      </w:r>
    </w:p>
    <w:p>
      <w:pPr>
        <w:pStyle w:val="18"/>
      </w:pPr>
      <w:r>
        <w:t>四、研究处理有关方面向委员会提出的重要事项及相关请示，接受各乡镇和各有关单位关于网络安全和信息化重大事项和情况的报告，研究评估后向委员会提出建议。</w:t>
      </w:r>
    </w:p>
    <w:p>
      <w:pPr>
        <w:pStyle w:val="18"/>
      </w:pPr>
      <w:r>
        <w:t xml:space="preserve">五、收集汇总有关网络安全和信息化情况，负责委员会调查研究工作的部署和落实，协调各成员单位、有关部门和地方、专家学者就网络安全和信息化建设进行研究和咨询，在综合各方意见的基础上提出对策建议，为委员会提出参考。 </w:t>
      </w:r>
    </w:p>
    <w:p>
      <w:pPr>
        <w:pStyle w:val="18"/>
      </w:pPr>
      <w:r>
        <w:t xml:space="preserve">六、承担委员会会议相关工作，经委员会主任批准准备会议议题、议程和材料，整理会议文件，负责会议精神的传达落实。 </w:t>
      </w:r>
    </w:p>
    <w:p>
      <w:pPr>
        <w:pStyle w:val="18"/>
      </w:pPr>
      <w:r>
        <w:t xml:space="preserve">七、负责对各乡镇和各有关部门网络安全和信息化工作的指导及对相关重大事项的统筹、协调、督促、检查、推动。 </w:t>
      </w:r>
    </w:p>
    <w:p>
      <w:pPr>
        <w:pStyle w:val="18"/>
      </w:pPr>
      <w:r>
        <w:t xml:space="preserve">八、负责建立完善委员会各成员单位工作协调机制，建立协调会议制度、联络员制度。 </w:t>
      </w:r>
    </w:p>
    <w:p>
      <w:pPr>
        <w:pStyle w:val="18"/>
      </w:pPr>
      <w:r>
        <w:t xml:space="preserve">九、负责委员会的值班联络、简报编印、资料管理等工作，做好成员单位及咨询专家的沟通协调和相关服务工作。 </w:t>
      </w:r>
    </w:p>
    <w:p>
      <w:pPr>
        <w:pStyle w:val="18"/>
      </w:pPr>
      <w:r>
        <w:t>十 、承担委员会交办的其他事项。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中共青龙满族自治县委网络安全和信息化委员会办公室本级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按照预算管理有关规定，目前部门预算的编制实行综合预算管理，即全部收入和支出都反映在预算中。中共青龙满族自治县委网络安全和信息化委员会办公室机关及所属事业单位的收支包含在部门预算中。</w:t>
      </w:r>
    </w:p>
    <w:p>
      <w:pPr>
        <w:pStyle w:val="19"/>
      </w:pPr>
      <w:r>
        <w:t>1、收入说明</w:t>
      </w:r>
    </w:p>
    <w:p>
      <w:pPr>
        <w:pStyle w:val="19"/>
      </w:pPr>
      <w:r>
        <w:t>反映本部门当年全部收入。2024年预算收入93.23万元，其中：一般公共预算收入91.80万元，基金预算收入0.00万元，国有资本经营预算收入0.00万元，财政专户核拨收入0.00万元，单位资金收入0.00万元，上年结转结余1.43万元。</w:t>
      </w:r>
    </w:p>
    <w:p>
      <w:pPr>
        <w:pStyle w:val="19"/>
      </w:pPr>
      <w:r>
        <w:t>2、支出说明</w:t>
      </w:r>
    </w:p>
    <w:p>
      <w:pPr>
        <w:pStyle w:val="19"/>
      </w:pPr>
      <w:r>
        <w:t>收支预算总表支出栏、基本支出表、项目支出表按经济分类和支出功能分类科目编制，反映中共青龙满族自治县委网络安全和信息化委员会办公室年度部门预算中支出预算的总体情况。2024年支出预算93.23万元，其中基本支出74.03万元，包括人员经费66.52万元和日常公用经费7.51万元；项目支出19.20万元，主要为网络安全和信息化工作经费。</w:t>
      </w:r>
    </w:p>
    <w:p>
      <w:pPr>
        <w:pStyle w:val="19"/>
      </w:pPr>
      <w:r>
        <w:t>3、比上年增减情况</w:t>
      </w:r>
    </w:p>
    <w:p>
      <w:pPr>
        <w:pStyle w:val="19"/>
      </w:pPr>
      <w:r>
        <w:t>2024年预算收支安排93.23万元，较2023年预算减少25.62万元，其中：基本支出减少9.57万元，主要为财政缩减支出。项目支出减少16.05万元，主要为网络安全和信息化工作经费减少，及2023年项目支出结转结余数比2022年结转结余数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以习近平新时代中国特色社会主义思想特别是习近平总书记关于网络强国的重要思想为指导，深入贯彻落实中央网</w:t>
      </w:r>
    </w:p>
    <w:p>
      <w:pPr>
        <w:pStyle w:val="22"/>
      </w:pPr>
      <w:r>
        <w:t>信委有关会议精神、县市委网信委有关会议精神，掌握网络意识形态工作主导权，全面推进网络综合治理体系建设现代</w:t>
      </w:r>
    </w:p>
    <w:p>
      <w:pPr>
        <w:pStyle w:val="22"/>
      </w:pPr>
      <w:r>
        <w:t>化，全面提升网络安全保障水平，营造清朗网络空间，健全完善一体化网络安全责任体系，抓好网络数据安全管理和个</w:t>
      </w:r>
    </w:p>
    <w:p>
      <w:pPr>
        <w:pStyle w:val="22"/>
      </w:pPr>
      <w:r>
        <w:t>人信息保护工作，严厉打击网络违法犯罪活动。发挥信息化创新引领作用，持续推进网络综合治理体系建设，夯实信息</w:t>
      </w:r>
    </w:p>
    <w:p>
      <w:pPr>
        <w:pStyle w:val="22"/>
      </w:pPr>
      <w:r>
        <w:t>化发展基础，规范政务云管理和服务，深化政务云建设应用，以信息化提升社会治理效能；加强信息化建设进程，推动</w:t>
      </w:r>
    </w:p>
    <w:p>
      <w:pPr>
        <w:pStyle w:val="22"/>
      </w:pPr>
      <w:r>
        <w:t>数字经济等新兴产业快速发展。为建设富裕幸福美丽青龙提供强大网上舆论支持、可靠网络安全保障和有力信息化支</w:t>
      </w:r>
    </w:p>
    <w:p>
      <w:pPr>
        <w:pStyle w:val="22"/>
      </w:pPr>
      <w:r>
        <w:t>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（1）思想理论建设</w:t>
      </w:r>
    </w:p>
    <w:p>
      <w:pPr>
        <w:pStyle w:val="23"/>
      </w:pPr>
      <w:r>
        <w:t>绩效目标：党员干部学习</w:t>
      </w:r>
      <w:r>
        <w:rPr>
          <w:rFonts w:hint="eastAsia"/>
          <w:lang w:val="en-US" w:eastAsia="zh-CN"/>
        </w:rPr>
        <w:t>习近平</w:t>
      </w:r>
      <w:bookmarkStart w:id="20" w:name="_GoBack"/>
      <w:bookmarkEnd w:id="20"/>
      <w:r>
        <w:t>总书记系列重要讲话精神成果；理论研究课题成果数量；培训全市宣传文化干部，做好习近平新时代中国特色社会主义思想宣讲和阐释工作。</w:t>
      </w:r>
    </w:p>
    <w:p>
      <w:pPr>
        <w:pStyle w:val="23"/>
      </w:pPr>
      <w:r>
        <w:t>绩效指标：</w:t>
      </w:r>
    </w:p>
    <w:p>
      <w:pPr>
        <w:pStyle w:val="23"/>
      </w:pPr>
      <w:r>
        <w:t>1、 县委中心组学习次数：12次；</w:t>
      </w:r>
    </w:p>
    <w:p>
      <w:pPr>
        <w:pStyle w:val="23"/>
      </w:pPr>
      <w:r>
        <w:t>2、 开展集中宣讲活动&gt;100场</w:t>
      </w:r>
    </w:p>
    <w:p>
      <w:pPr>
        <w:pStyle w:val="23"/>
      </w:pPr>
      <w:r>
        <w:t>（2）对外宣传事业</w:t>
      </w:r>
    </w:p>
    <w:p>
      <w:pPr>
        <w:pStyle w:val="23"/>
      </w:pPr>
      <w:r>
        <w:t>绩效目标：制订对外宣传事业发展规划，加强和改进新闻发布工作，扩大对外宣传，开展多种形式的外宣及文化交流活动。</w:t>
      </w:r>
    </w:p>
    <w:p>
      <w:pPr>
        <w:pStyle w:val="23"/>
      </w:pPr>
      <w:r>
        <w:t>绩效指标：外宣工作计划完成率100%</w:t>
      </w:r>
    </w:p>
    <w:p>
      <w:pPr>
        <w:pStyle w:val="23"/>
      </w:pPr>
      <w:r>
        <w:t>（3）舆论舆情引导管理</w:t>
      </w:r>
    </w:p>
    <w:p>
      <w:pPr>
        <w:pStyle w:val="23"/>
      </w:pPr>
      <w:r>
        <w:t>绩效目标：指导协调新闻舆论工作，为全市经济社会发展提供有力的舆论支持；提高舆情研判能力和信息服务水平，及时化解、妥善处理有关负面舆情。</w:t>
      </w:r>
    </w:p>
    <w:p>
      <w:pPr>
        <w:pStyle w:val="23"/>
      </w:pPr>
      <w:r>
        <w:t>绩效指标：突发事件新闻处置完成率达100%</w:t>
      </w:r>
    </w:p>
    <w:p>
      <w:pPr>
        <w:pStyle w:val="23"/>
      </w:pPr>
      <w:r>
        <w:t>（4）精神文明建设</w:t>
      </w:r>
    </w:p>
    <w:p>
      <w:pPr>
        <w:pStyle w:val="23"/>
      </w:pPr>
      <w:r>
        <w:t>绩效目标：规划部署全市精神文明创建工作，组织指导全县群众性精神文明创建活动，规划部署全市精神文明创建工作，开展主题志愿服务活动，提升全市志愿服务活动水平。</w:t>
      </w:r>
    </w:p>
    <w:p>
      <w:pPr>
        <w:pStyle w:val="23"/>
      </w:pPr>
      <w:r>
        <w:t>绩效指标：</w:t>
      </w:r>
    </w:p>
    <w:p>
      <w:pPr>
        <w:pStyle w:val="23"/>
      </w:pPr>
      <w:r>
        <w:t>1、精神文明创建活动目标达成率100%；</w:t>
      </w:r>
    </w:p>
    <w:p>
      <w:pPr>
        <w:pStyle w:val="23"/>
      </w:pPr>
      <w:r>
        <w:t>2、举办记者节活动1次；</w:t>
      </w:r>
    </w:p>
    <w:p>
      <w:pPr>
        <w:pStyle w:val="23"/>
      </w:pPr>
      <w:r>
        <w:t>3、组织开展三下乡活动3次；</w:t>
      </w:r>
    </w:p>
    <w:p>
      <w:pPr>
        <w:pStyle w:val="23"/>
      </w:pPr>
      <w:r>
        <w:t>4、开展志愿服务活动次数不低于10次。</w:t>
      </w:r>
    </w:p>
    <w:p>
      <w:pPr>
        <w:pStyle w:val="23"/>
      </w:pPr>
      <w:r>
        <w:t>（5）文化体制改革</w:t>
      </w:r>
    </w:p>
    <w:p>
      <w:pPr>
        <w:pStyle w:val="23"/>
      </w:pPr>
      <w:r>
        <w:t>绩效目标：研究制定并组织实施深化文化体制改革实施方案；文化体制改革重点任务和文化改革政策落实协调推进到位，落实文化体制改革任务，确保国有文化资产保值增值。</w:t>
      </w:r>
    </w:p>
    <w:p>
      <w:pPr>
        <w:pStyle w:val="23"/>
      </w:pPr>
      <w:r>
        <w:t>绩效指标：</w:t>
      </w:r>
    </w:p>
    <w:p>
      <w:pPr>
        <w:pStyle w:val="23"/>
      </w:pPr>
      <w:r>
        <w:t>1、 文化体制改革实施方案编制完成率100%；</w:t>
      </w:r>
    </w:p>
    <w:p>
      <w:pPr>
        <w:pStyle w:val="23"/>
      </w:pPr>
      <w:r>
        <w:t>2、 文化体系改革任务推进情况效果明显；</w:t>
      </w:r>
    </w:p>
    <w:p>
      <w:pPr>
        <w:pStyle w:val="23"/>
      </w:pPr>
      <w:r>
        <w:t>3、 国有文化资产保值情况效果明显</w:t>
      </w:r>
    </w:p>
    <w:p>
      <w:pPr>
        <w:pStyle w:val="23"/>
      </w:pPr>
      <w:r>
        <w:t>（6）文化事业产业发展</w:t>
      </w:r>
    </w:p>
    <w:p>
      <w:pPr>
        <w:pStyle w:val="23"/>
      </w:pPr>
      <w:r>
        <w:t>绩效目标：研究制定全市文化发展方针政策，管理市级各类文化发展</w:t>
      </w:r>
    </w:p>
    <w:p>
      <w:pPr>
        <w:pStyle w:val="23"/>
      </w:pPr>
      <w:r>
        <w:t>专项资金和基金，支持重点文化项目建设，加强文化招商，推动文化事业产业健康发展。</w:t>
      </w:r>
    </w:p>
    <w:p>
      <w:pPr>
        <w:pStyle w:val="23"/>
      </w:pPr>
      <w:r>
        <w:t>绩效指标：</w:t>
      </w:r>
    </w:p>
    <w:p>
      <w:pPr>
        <w:pStyle w:val="23"/>
      </w:pPr>
      <w:r>
        <w:t>1、 文化产业类财政资金撬动社会资金比例提升明显</w:t>
      </w:r>
    </w:p>
    <w:p>
      <w:pPr>
        <w:pStyle w:val="23"/>
      </w:pPr>
      <w:r>
        <w:t>2、 重点文化项目建设完成情况按时完成</w:t>
      </w:r>
    </w:p>
    <w:p>
      <w:pPr>
        <w:pStyle w:val="23"/>
      </w:pPr>
      <w:r>
        <w:t>3、 全市文化产业增加值年增速增速明显</w:t>
      </w:r>
    </w:p>
    <w:p>
      <w:pPr>
        <w:pStyle w:val="23"/>
      </w:pPr>
      <w:r>
        <w:t>（7）综合业务管理</w:t>
      </w:r>
    </w:p>
    <w:p>
      <w:pPr>
        <w:pStyle w:val="23"/>
      </w:pPr>
      <w:r>
        <w:t>绩效目标：制定思想宣传和文化发展规划、政策制度，开展重点工作督察督办，加强行政后勤工作，保障机关工作正常高效运转。</w:t>
      </w:r>
    </w:p>
    <w:p>
      <w:pPr>
        <w:pStyle w:val="23"/>
      </w:pPr>
      <w:r>
        <w:t>绩效指标：</w:t>
      </w:r>
    </w:p>
    <w:p>
      <w:pPr>
        <w:pStyle w:val="23"/>
      </w:pPr>
      <w:r>
        <w:t>1、 思想宣传和文化发展规划制定完成情况按时完成</w:t>
      </w:r>
    </w:p>
    <w:p>
      <w:pPr>
        <w:pStyle w:val="23"/>
      </w:pPr>
      <w:r>
        <w:t>2、 重点工作督察督办情况按时完成</w:t>
      </w:r>
    </w:p>
    <w:p>
      <w:pPr>
        <w:pStyle w:val="23"/>
      </w:pPr>
      <w:r>
        <w:t>3、 机关工作运转保障率100%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1、完善制度建设。制定完善部门预算绩效管理制度、财政资金使用管理办法、工作保障制度等，为全年预算绩效目标的实现奠定制度基础。</w:t>
      </w:r>
    </w:p>
    <w:p>
      <w:pPr>
        <w:pStyle w:val="24"/>
      </w:pPr>
      <w:r>
        <w:t>2、加强支出管理。优化支出结构，编细编实部门预算，规范采购流程，提高资金使用效率，确保支出进度达标。</w:t>
      </w:r>
    </w:p>
    <w:p>
      <w:pPr>
        <w:pStyle w:val="24"/>
      </w:pPr>
      <w:r>
        <w:t>3、加强绩效运行监控。开展部门预算绩效运行监控，发现问题及时采取措施，确保绩效目标如期保质实现。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5、规范财务资产管理。完善部门内部财务管理制度，严格审批程序，加强固定资产登记、使用和报废处置管理，做到支出合理，物尽其用。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本部门人员培训，提高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1、电子内网建设费绩效目标表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13032124P003317101347</w:t>
            </w:r>
          </w:p>
        </w:tc>
        <w:tc>
          <w:tcPr>
            <w:tcW w:w="2835" w:type="dxa"/>
            <w:vAlign w:val="center"/>
          </w:tcPr>
          <w:p>
            <w:pPr>
              <w:pStyle w:val="11"/>
            </w:pPr>
            <w:r>
              <w:t>项目名称</w:t>
            </w:r>
          </w:p>
        </w:tc>
        <w:tc>
          <w:tcPr>
            <w:tcW w:w="6094" w:type="dxa"/>
            <w:gridSpan w:val="3"/>
            <w:vAlign w:val="center"/>
          </w:tcPr>
          <w:p>
            <w:pPr>
              <w:pStyle w:val="13"/>
            </w:pPr>
            <w:r>
              <w:t>电子内网建设费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预算3万元，其中财政拨款3万元，用途涉密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3.00</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≥1个</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≥1个</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≥1个</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≥1个</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≥1个</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≥1个</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≥1个</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≥1个</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≥1个</w:t>
            </w:r>
          </w:p>
        </w:tc>
        <w:tc>
          <w:tcPr>
            <w:tcW w:w="1276" w:type="dxa"/>
            <w:vAlign w:val="center"/>
          </w:tcPr>
          <w:p>
            <w:pPr>
              <w:pStyle w:val="13"/>
            </w:pPr>
            <w:r>
              <w:t>涉密</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2、网络安全和信息化工作经费绩效目标表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13032123P003317100547</w:t>
            </w:r>
          </w:p>
        </w:tc>
        <w:tc>
          <w:tcPr>
            <w:tcW w:w="2835" w:type="dxa"/>
            <w:vAlign w:val="center"/>
          </w:tcPr>
          <w:p>
            <w:pPr>
              <w:pStyle w:val="11"/>
            </w:pPr>
            <w:r>
              <w:t>项目名称</w:t>
            </w:r>
          </w:p>
        </w:tc>
        <w:tc>
          <w:tcPr>
            <w:tcW w:w="6094" w:type="dxa"/>
            <w:gridSpan w:val="3"/>
            <w:vAlign w:val="center"/>
          </w:tcPr>
          <w:p>
            <w:pPr>
              <w:pStyle w:val="13"/>
            </w:pPr>
            <w:r>
              <w:t>网络安全和信息化工作经费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w:t>
            </w:r>
          </w:p>
        </w:tc>
        <w:tc>
          <w:tcPr>
            <w:tcW w:w="2835" w:type="dxa"/>
            <w:vAlign w:val="center"/>
          </w:tcPr>
          <w:p>
            <w:pPr>
              <w:pStyle w:val="11"/>
            </w:pPr>
            <w:r>
              <w:t>其中：财政    资金</w:t>
            </w:r>
          </w:p>
        </w:tc>
        <w:tc>
          <w:tcPr>
            <w:tcW w:w="2551" w:type="dxa"/>
            <w:vAlign w:val="center"/>
          </w:tcPr>
          <w:p>
            <w:pPr>
              <w:pStyle w:val="13"/>
            </w:pPr>
            <w:r>
              <w:t>3.20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预算3.2万元，财政拨款3.2万元，用途涉密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1.涉密</w:t>
            </w:r>
          </w:p>
          <w:p>
            <w:pPr>
              <w:pStyle w:val="13"/>
            </w:pPr>
            <w:r>
              <w:t>2.涉密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3、网络安全检查技术服务费绩效目标表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13032123P00331710056E</w:t>
            </w:r>
          </w:p>
        </w:tc>
        <w:tc>
          <w:tcPr>
            <w:tcW w:w="2835" w:type="dxa"/>
            <w:vAlign w:val="center"/>
          </w:tcPr>
          <w:p>
            <w:pPr>
              <w:pStyle w:val="11"/>
            </w:pPr>
            <w:r>
              <w:t>项目名称</w:t>
            </w:r>
          </w:p>
        </w:tc>
        <w:tc>
          <w:tcPr>
            <w:tcW w:w="6094" w:type="dxa"/>
            <w:gridSpan w:val="3"/>
            <w:vAlign w:val="center"/>
          </w:tcPr>
          <w:p>
            <w:pPr>
              <w:pStyle w:val="13"/>
            </w:pPr>
            <w:r>
              <w:t>网络安全检查技术服务费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预算3万元，其中预算拨款3万元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3.00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1.涉密</w:t>
            </w:r>
          </w:p>
          <w:p>
            <w:pPr>
              <w:pStyle w:val="13"/>
            </w:pPr>
            <w:r>
              <w:t>2.涉密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4、舆情检测经费绩效目标表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13032123P00331710055T</w:t>
            </w:r>
          </w:p>
        </w:tc>
        <w:tc>
          <w:tcPr>
            <w:tcW w:w="2835" w:type="dxa"/>
            <w:vAlign w:val="center"/>
          </w:tcPr>
          <w:p>
            <w:pPr>
              <w:pStyle w:val="11"/>
            </w:pPr>
            <w:r>
              <w:t>项目名称</w:t>
            </w:r>
          </w:p>
        </w:tc>
        <w:tc>
          <w:tcPr>
            <w:tcW w:w="6094" w:type="dxa"/>
            <w:gridSpan w:val="3"/>
            <w:vAlign w:val="center"/>
          </w:tcPr>
          <w:p>
            <w:pPr>
              <w:pStyle w:val="13"/>
            </w:pPr>
            <w:r>
              <w:t>舆情检测经费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预算安排10万元，其中财政拨款10万元，用途涉密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1.涉密</w:t>
            </w:r>
          </w:p>
          <w:p>
            <w:pPr>
              <w:pStyle w:val="13"/>
            </w:pPr>
            <w:r>
              <w:t>2.涉密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涉密</w:t>
            </w:r>
          </w:p>
        </w:tc>
        <w:tc>
          <w:tcPr>
            <w:tcW w:w="2268" w:type="dxa"/>
            <w:vAlign w:val="center"/>
          </w:tcPr>
          <w:p>
            <w:pPr>
              <w:pStyle w:val="13"/>
            </w:pPr>
            <w:r>
              <w:t>≥1涉密</w:t>
            </w:r>
          </w:p>
        </w:tc>
        <w:tc>
          <w:tcPr>
            <w:tcW w:w="1276" w:type="dxa"/>
            <w:vAlign w:val="center"/>
          </w:tcPr>
          <w:p>
            <w:pPr>
              <w:pStyle w:val="13"/>
            </w:pPr>
            <w:r>
              <w:t>涉密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224中共青龙满族自治县委网络安全和信息化委员会办公室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中共青龙满族自治县委网络安全和信息化委员会办公室（含所属单位）上年末固定资产金额为0.15万元（详见下表）。本年度拟购置固定资产总额为0.00万元，已按要求列入政府采购预算，详见政府采购预算表。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224中共青龙满族自治县委网络安全和信息化委员会办公室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w:t>
            </w:r>
          </w:p>
        </w:tc>
        <w:tc>
          <w:tcPr>
            <w:tcW w:w="2835" w:type="dxa"/>
            <w:vAlign w:val="center"/>
          </w:tcPr>
          <w:p>
            <w:pPr>
              <w:pStyle w:val="12"/>
            </w:pPr>
            <w:r>
              <w:t>0.15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0CD1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2024-02-21T14:17:59Z</dcterms:created>
  <dcterms:modified xsi:type="dcterms:W3CDTF">2024-02-21T06:17:59Z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2024-02-21T14:18:00Z</dcterms:created>
  <dcterms:modified xsi:type="dcterms:W3CDTF">2024-02-21T06:18:00Z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2024-02-21T14:17:59Z</dcterms:created>
  <dcterms:modified xsi:type="dcterms:W3CDTF">2024-02-21T06:17:59Z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2024-02-21T14:17:59Z</dcterms:created>
  <dcterms:modified xsi:type="dcterms:W3CDTF">2024-02-21T06:17:59Z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2024-02-21T14:17:57Z</dcterms:created>
  <dcterms:modified xsi:type="dcterms:W3CDTF">2024-02-21T06:17:57Z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2024-02-21T14:17:58Z</dcterms:created>
  <dcterms:modified xsi:type="dcterms:W3CDTF">2024-02-21T06:17:58Z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2024-02-21T14:17:58Z</dcterms:created>
  <dcterms:modified xsi:type="dcterms:W3CDTF">2024-02-21T06:17:58Z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2024-02-21T14:17:58Z</dcterms:created>
  <dcterms:modified xsi:type="dcterms:W3CDTF">2024-02-21T06:17:58Z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996b67e-80c9-401e-bd90-5b05ff9c899b}">
  <ds:schemaRefs/>
</ds:datastoreItem>
</file>

<file path=customXml/itemProps10.xml><?xml version="1.0" encoding="utf-8"?>
<ds:datastoreItem xmlns:ds="http://schemas.openxmlformats.org/officeDocument/2006/customXml" ds:itemID="{83df52e8-e6fb-471c-a6d6-ae51c130574a}">
  <ds:schemaRefs/>
</ds:datastoreItem>
</file>

<file path=customXml/itemProps11.xml><?xml version="1.0" encoding="utf-8"?>
<ds:datastoreItem xmlns:ds="http://schemas.openxmlformats.org/officeDocument/2006/customXml" ds:itemID="{abca25b9-0bb5-4b91-93fe-26023c540503}">
  <ds:schemaRefs/>
</ds:datastoreItem>
</file>

<file path=customXml/itemProps12.xml><?xml version="1.0" encoding="utf-8"?>
<ds:datastoreItem xmlns:ds="http://schemas.openxmlformats.org/officeDocument/2006/customXml" ds:itemID="{7dbccad7-59ed-40c4-ac93-b19487551855}">
  <ds:schemaRefs/>
</ds:datastoreItem>
</file>

<file path=customXml/itemProps13.xml><?xml version="1.0" encoding="utf-8"?>
<ds:datastoreItem xmlns:ds="http://schemas.openxmlformats.org/officeDocument/2006/customXml" ds:itemID="{765a67a5-c443-4124-b31b-1d73f901fc44}">
  <ds:schemaRefs/>
</ds:datastoreItem>
</file>

<file path=customXml/itemProps14.xml><?xml version="1.0" encoding="utf-8"?>
<ds:datastoreItem xmlns:ds="http://schemas.openxmlformats.org/officeDocument/2006/customXml" ds:itemID="{254251c0-740f-4305-a5e3-278a1b076df2}">
  <ds:schemaRefs/>
</ds:datastoreItem>
</file>

<file path=customXml/itemProps15.xml><?xml version="1.0" encoding="utf-8"?>
<ds:datastoreItem xmlns:ds="http://schemas.openxmlformats.org/officeDocument/2006/customXml" ds:itemID="{a170875c-706d-4c0a-981d-da94810d8f20}">
  <ds:schemaRefs/>
</ds:datastoreItem>
</file>

<file path=customXml/itemProps16.xml><?xml version="1.0" encoding="utf-8"?>
<ds:datastoreItem xmlns:ds="http://schemas.openxmlformats.org/officeDocument/2006/customXml" ds:itemID="{e77cf7b9-4b4e-44ac-a1cc-127b97431a16}">
  <ds:schemaRefs/>
</ds:datastoreItem>
</file>

<file path=customXml/itemProps2.xml><?xml version="1.0" encoding="utf-8"?>
<ds:datastoreItem xmlns:ds="http://schemas.openxmlformats.org/officeDocument/2006/customXml" ds:itemID="{0b7c58b9-5c7e-4cb2-aebd-2c8ac1f2d369}">
  <ds:schemaRefs/>
</ds:datastoreItem>
</file>

<file path=customXml/itemProps3.xml><?xml version="1.0" encoding="utf-8"?>
<ds:datastoreItem xmlns:ds="http://schemas.openxmlformats.org/officeDocument/2006/customXml" ds:itemID="{28caa616-167f-475d-a0c0-38a2ae0a79d2}">
  <ds:schemaRefs/>
</ds:datastoreItem>
</file>

<file path=customXml/itemProps4.xml><?xml version="1.0" encoding="utf-8"?>
<ds:datastoreItem xmlns:ds="http://schemas.openxmlformats.org/officeDocument/2006/customXml" ds:itemID="{15760c64-213b-4458-903d-3d6f66522b1b}">
  <ds:schemaRefs/>
</ds:datastoreItem>
</file>

<file path=customXml/itemProps5.xml><?xml version="1.0" encoding="utf-8"?>
<ds:datastoreItem xmlns:ds="http://schemas.openxmlformats.org/officeDocument/2006/customXml" ds:itemID="{18aea93a-3216-462f-8c20-060399db7533}">
  <ds:schemaRefs/>
</ds:datastoreItem>
</file>

<file path=customXml/itemProps6.xml><?xml version="1.0" encoding="utf-8"?>
<ds:datastoreItem xmlns:ds="http://schemas.openxmlformats.org/officeDocument/2006/customXml" ds:itemID="{b71489f8-c05e-400b-93b9-0174cf2c9a15}">
  <ds:schemaRefs/>
</ds:datastoreItem>
</file>

<file path=customXml/itemProps7.xml><?xml version="1.0" encoding="utf-8"?>
<ds:datastoreItem xmlns:ds="http://schemas.openxmlformats.org/officeDocument/2006/customXml" ds:itemID="{e7692bdc-cff8-4975-9955-8b58849bf7eb}">
  <ds:schemaRefs/>
</ds:datastoreItem>
</file>

<file path=customXml/itemProps8.xml><?xml version="1.0" encoding="utf-8"?>
<ds:datastoreItem xmlns:ds="http://schemas.openxmlformats.org/officeDocument/2006/customXml" ds:itemID="{5d5d49b3-f3e2-412c-aa2a-7ecbd1fc0b31}">
  <ds:schemaRefs/>
</ds:datastoreItem>
</file>

<file path=customXml/itemProps9.xml><?xml version="1.0" encoding="utf-8"?>
<ds:datastoreItem xmlns:ds="http://schemas.openxmlformats.org/officeDocument/2006/customXml" ds:itemID="{9ca29d4b-5bda-452e-8b6a-0686a93e0e1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2024-02-21T14:18:00Z</dcterms:created>
  <dc:creator>Administrator</dc:creator>
  <cp:lastModifiedBy>Administrator</cp:lastModifiedBy>
  <dcterms:modified xsi:type="dcterms:W3CDTF">2024-12-18T02:33:08Z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60DD2920ED284456BD3EF1A9F1C0E22C</vt:lpwstr>
  </property>
</Properties>
</file>