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青龙满族自治县</w:t>
      </w:r>
    </w:p>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双山子镇人民政府2018年部门预算信息公开情况说明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按照《中华人民共和国预算法》、《地方预决算公开操作规程》和《河北省预决算公开操作规程实施细则》规定，现将青龙县双山子镇人民政府2018年部门预算公开如下：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30" w:firstLineChars="196"/>
        <w:rPr>
          <w:rFonts w:ascii="仿宋_GB2312" w:eastAsia="仿宋_GB2312"/>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_GB2312" w:eastAsia="仿宋_GB2312"/>
          <w:sz w:val="32"/>
          <w:szCs w:val="32"/>
        </w:rPr>
        <w:t>宣传、贯彻执行党的路线、方针、政策和国家的法律法规，执行本级人民代表大会决议和上级国家行政机关的决定和命令，其主要职责是：</w:t>
      </w:r>
    </w:p>
    <w:p>
      <w:pPr>
        <w:ind w:firstLine="627" w:firstLineChars="196"/>
        <w:rPr>
          <w:rFonts w:ascii="仿宋_GB2312" w:eastAsia="仿宋_GB2312"/>
          <w:sz w:val="32"/>
          <w:szCs w:val="32"/>
        </w:rPr>
      </w:pPr>
      <w:r>
        <w:rPr>
          <w:rFonts w:hint="eastAsia" w:ascii="仿宋_GB2312" w:eastAsia="仿宋_GB2312"/>
          <w:sz w:val="32"/>
          <w:szCs w:val="32"/>
        </w:rPr>
        <w:t>（一）、促进经济发展。围绕“工业强县、钢铁立县、开放活县、和谐兴县”的发展战略，科学制定本镇产业发展规划，谋划适应镇实际的经济发展模式；推进农业产业结构调整，努力提高农业产业化和农民进入市场的组织化水平，促进粮食生产稳定发展，农民持续增收；营造良好的发展环境，促进招商引资和项目建设；增强农村集体经济实力，大力发展民营经济，培育和发展农民专业合作组织和中介组织，壮大第二、第三产业，加快城镇化进程。</w:t>
      </w:r>
    </w:p>
    <w:p>
      <w:pPr>
        <w:ind w:firstLine="627" w:firstLineChars="196"/>
        <w:rPr>
          <w:rFonts w:ascii="仿宋_GB2312" w:eastAsia="仿宋_GB2312"/>
          <w:sz w:val="32"/>
          <w:szCs w:val="32"/>
        </w:rPr>
      </w:pPr>
      <w:r>
        <w:rPr>
          <w:rFonts w:hint="eastAsia" w:ascii="仿宋_GB2312" w:eastAsia="仿宋_GB2312"/>
          <w:sz w:val="32"/>
          <w:szCs w:val="32"/>
        </w:rPr>
        <w:t>（二）、加强社会管理。组织、监督国家基本公共政策的实施，加强镇村财政资金监管，加强义务教育、公共卫生、计划生育、镇村建设等社会事务的行政管理，促进各项社会事业的发展；协助县直有关部门做好国土资源管理、环境保护、动物防疫、减灾救灾等工作；保障法律法规赋予公民的经济、政治、文化权利，落实公民在选举、决策、管理和监督方面的民主权利，依法行政；加强农村党组织建设，依法推进村民组织自治，加强农村宣传文化工作，抓好农村的思想政治建设和精神文明建设；制定文明生态村建设和构建和谐社会的相关措施，抓好组织实施。</w:t>
      </w:r>
    </w:p>
    <w:p>
      <w:pPr>
        <w:ind w:firstLine="627" w:firstLineChars="196"/>
        <w:rPr>
          <w:rFonts w:ascii="仿宋_GB2312" w:eastAsia="仿宋_GB2312"/>
          <w:sz w:val="32"/>
          <w:szCs w:val="32"/>
        </w:rPr>
      </w:pPr>
      <w:r>
        <w:rPr>
          <w:rFonts w:hint="eastAsia" w:ascii="仿宋_GB2312" w:eastAsia="仿宋_GB2312"/>
          <w:sz w:val="32"/>
          <w:szCs w:val="32"/>
        </w:rPr>
        <w:t>（三）、提供公共服务。1、生产保障。提供水利灌溉、道路运输、电力供应、农技推广、病虫害防治等生产性公共产品；2、教育保障。协助教育部门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控制人口数量、提高人口素质和生殖健康提供各种优质服务。</w:t>
      </w:r>
    </w:p>
    <w:p>
      <w:pPr>
        <w:ind w:firstLine="627" w:firstLineChars="196"/>
        <w:rPr>
          <w:rFonts w:ascii="仿宋_GB2312" w:eastAsia="仿宋_GB2312"/>
          <w:sz w:val="32"/>
          <w:szCs w:val="32"/>
        </w:rPr>
      </w:pPr>
      <w:r>
        <w:rPr>
          <w:rFonts w:hint="eastAsia" w:ascii="仿宋_GB2312" w:eastAsia="仿宋_GB2312"/>
          <w:sz w:val="32"/>
          <w:szCs w:val="32"/>
        </w:rP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ind w:firstLine="643" w:firstLineChars="200"/>
        <w:rPr>
          <w:rFonts w:ascii="方正仿宋_GBK" w:hAnsi="Times New Roman" w:eastAsia="方正仿宋_GBK" w:cs="Times New Roman"/>
          <w:b/>
          <w:sz w:val="32"/>
          <w:szCs w:val="32"/>
        </w:rPr>
      </w:pPr>
    </w:p>
    <w:p>
      <w:pPr>
        <w:ind w:firstLine="643" w:firstLineChars="200"/>
        <w:rPr>
          <w:rFonts w:ascii="方正仿宋_GBK" w:hAnsi="Times New Roman" w:eastAsia="方正仿宋_GBK" w:cs="Times New Roman"/>
          <w:b/>
          <w:sz w:val="32"/>
          <w:szCs w:val="32"/>
        </w:rPr>
      </w:pPr>
    </w:p>
    <w:p>
      <w:pPr>
        <w:ind w:firstLine="643" w:firstLineChars="200"/>
        <w:rPr>
          <w:rFonts w:ascii="方正仿宋_GBK" w:hAnsi="Times New Roman" w:eastAsia="方正仿宋_GBK" w:cs="Times New Roman"/>
          <w:b/>
          <w:sz w:val="32"/>
          <w:szCs w:val="32"/>
        </w:rPr>
      </w:pPr>
    </w:p>
    <w:p>
      <w:pPr>
        <w:ind w:firstLine="643" w:firstLineChars="200"/>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双山子镇</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center"/>
              <w:rPr>
                <w:rFonts w:ascii="方正书宋_GBK" w:eastAsia="方正书宋_GBK"/>
                <w:b/>
              </w:rPr>
            </w:pPr>
          </w:p>
        </w:tc>
        <w:tc>
          <w:tcPr>
            <w:tcW w:w="1276" w:type="dxa"/>
            <w:shd w:val="clear" w:color="auto" w:fill="auto"/>
            <w:vAlign w:val="center"/>
          </w:tcPr>
          <w:p>
            <w:pPr>
              <w:spacing w:line="300" w:lineRule="exact"/>
              <w:jc w:val="center"/>
              <w:rPr>
                <w:rFonts w:ascii="方正书宋_GBK" w:eastAsia="方正书宋_GBK"/>
                <w:b/>
              </w:rPr>
            </w:pPr>
          </w:p>
        </w:tc>
        <w:tc>
          <w:tcPr>
            <w:tcW w:w="2353"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709" w:type="dxa"/>
            <w:shd w:val="clear" w:color="auto" w:fill="auto"/>
            <w:vAlign w:val="center"/>
          </w:tcPr>
          <w:p>
            <w:pPr>
              <w:spacing w:line="300" w:lineRule="exact"/>
              <w:jc w:val="center"/>
              <w:rPr>
                <w:rFonts w:ascii="方正书宋_GBK" w:eastAsia="方正书宋_GBK"/>
                <w:b/>
              </w:rPr>
            </w:pPr>
            <w:r>
              <w:rPr>
                <w:rFonts w:hint="eastAsia" w:ascii="宋体" w:hAnsi="宋体"/>
                <w:b/>
              </w:rPr>
              <w:t>31</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40</w:t>
            </w:r>
          </w:p>
        </w:tc>
        <w:tc>
          <w:tcPr>
            <w:tcW w:w="709" w:type="dxa"/>
            <w:shd w:val="clear" w:color="auto" w:fill="auto"/>
            <w:vAlign w:val="center"/>
          </w:tcPr>
          <w:p>
            <w:pPr>
              <w:spacing w:line="300" w:lineRule="exact"/>
              <w:jc w:val="center"/>
              <w:rPr>
                <w:rFonts w:ascii="方正书宋_GBK"/>
                <w:b/>
              </w:rPr>
            </w:pPr>
            <w:r>
              <w:rPr>
                <w:rFonts w:hint="eastAsia" w:ascii="方正书宋_GBK"/>
                <w:b/>
              </w:rPr>
              <w:t>30</w:t>
            </w:r>
          </w:p>
        </w:tc>
        <w:tc>
          <w:tcPr>
            <w:tcW w:w="709" w:type="dxa"/>
            <w:shd w:val="clear" w:color="auto" w:fill="auto"/>
            <w:vAlign w:val="center"/>
          </w:tcPr>
          <w:p>
            <w:pPr>
              <w:spacing w:line="300" w:lineRule="exact"/>
              <w:jc w:val="center"/>
              <w:rPr>
                <w:rFonts w:ascii="方正书宋_GBK"/>
                <w:b/>
              </w:rPr>
            </w:pPr>
            <w:r>
              <w:rPr>
                <w:rFonts w:hint="eastAsia" w:ascii="方正书宋_GBK"/>
                <w:b/>
              </w:rPr>
              <w:t>50</w:t>
            </w:r>
          </w:p>
        </w:tc>
        <w:tc>
          <w:tcPr>
            <w:tcW w:w="709"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w:t>
            </w:r>
          </w:p>
        </w:tc>
        <w:tc>
          <w:tcPr>
            <w:tcW w:w="709" w:type="dxa"/>
            <w:shd w:val="clear" w:color="auto" w:fill="auto"/>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青龙满族自治县双山子镇人民政府</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center"/>
              <w:rPr>
                <w:rFonts w:ascii="方正书宋_GBK" w:eastAsia="方正书宋_GBK"/>
              </w:rPr>
            </w:pPr>
            <w:r>
              <w:rPr>
                <w:rFonts w:hint="eastAsia" w:ascii="宋体" w:hAnsi="宋体"/>
              </w:rPr>
              <w:t>31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p>
        </w:tc>
        <w:tc>
          <w:tcPr>
            <w:tcW w:w="709" w:type="dxa"/>
            <w:shd w:val="clear" w:color="auto" w:fill="auto"/>
            <w:vAlign w:val="center"/>
          </w:tcPr>
          <w:p>
            <w:pPr>
              <w:spacing w:line="300" w:lineRule="exact"/>
              <w:jc w:val="center"/>
              <w:rPr>
                <w:rFonts w:ascii="方正书宋_GBK"/>
              </w:rPr>
            </w:pPr>
            <w:r>
              <w:rPr>
                <w:rFonts w:hint="eastAsia" w:ascii="方正书宋_GBK"/>
              </w:rPr>
              <w:t>30</w:t>
            </w:r>
          </w:p>
        </w:tc>
        <w:tc>
          <w:tcPr>
            <w:tcW w:w="709" w:type="dxa"/>
            <w:shd w:val="clear" w:color="auto" w:fill="auto"/>
            <w:vAlign w:val="center"/>
          </w:tcPr>
          <w:p>
            <w:pPr>
              <w:spacing w:line="300" w:lineRule="exact"/>
              <w:jc w:val="center"/>
              <w:rPr>
                <w:rFonts w:ascii="方正书宋_GBK"/>
              </w:rPr>
            </w:pPr>
            <w:r>
              <w:rPr>
                <w:rFonts w:hint="eastAsia" w:ascii="方正书宋_GBK"/>
              </w:rPr>
              <w:t>50</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w:t>
            </w:r>
          </w:p>
        </w:tc>
        <w:tc>
          <w:tcPr>
            <w:tcW w:w="709" w:type="dxa"/>
            <w:shd w:val="clear" w:color="auto" w:fill="auto"/>
            <w:vAlign w:val="center"/>
          </w:tcPr>
          <w:p>
            <w:pPr>
              <w:spacing w:line="300" w:lineRule="exact"/>
              <w:jc w:val="center"/>
              <w:rPr>
                <w:rFonts w:ascii="方正书宋_GBK" w:eastAsia="方正书宋_GBK"/>
              </w:rPr>
            </w:pP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按照预算管理有关规定，目前我县部门预算的编制实行综合预算制度，即全部收入和支出都反映在预算中。双山子镇人民政府机关及所属事业单位的收支包含在部门预算中。</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反映本部门当年全部收入。2018年预算收入660.79万元，其中：一般公共预算收入660.79万元，基金预算收入0万元，财政专户核拨收入0万元，国有资本经营收入0万元，其他来源收入0万元。</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双山子镇人民政府年度部门预算中支出预算的总体情况。2018年支出预算660.79万元，其中基本支出609.43万元，包括人员经费565.53万元和日常公用经费43.9万元；项目支出51.36万元，包括本级支出和对下补助支出，主要为党建工作经费、人大代表之家工作经费、团委工作经费、扶贫工作经费、燃煤锅炉改造及清洁能源补贴、严重精神病障碍患者监护责任险、综治工作经费、防火防汛工作经费等。</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2018年预算收支安排660.79万元，较2017年预算增加178.37万元，其中：基本支出增加274.12万元，主要为增加人员经费支出；项目支出减少95.75万元，主要减少规划设计费项目资金。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2018年，我部门机关运行经费共计安排43.9万元，主要用于我单位办公费用1</w:t>
      </w:r>
      <w:r>
        <w:rPr>
          <w:rFonts w:ascii="仿宋_GB2312" w:hAnsi="Times New Roman" w:eastAsia="仿宋_GB2312" w:cs="Times New Roman"/>
          <w:sz w:val="32"/>
          <w:szCs w:val="32"/>
        </w:rPr>
        <w:t>5.6</w:t>
      </w:r>
      <w:r>
        <w:rPr>
          <w:rFonts w:hint="eastAsia" w:ascii="仿宋_GB2312" w:hAnsi="Times New Roman" w:eastAsia="仿宋_GB2312" w:cs="Times New Roman"/>
          <w:sz w:val="32"/>
          <w:szCs w:val="32"/>
        </w:rPr>
        <w:t>万元、印刷费2万元、办公用房电费6万元、邮电费1</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万元、差旅费2万元、维修（护）费2万元、公务接待费6</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万元、劳务费5万元、公务用车运行维护费3</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财政拨款“三公”经费预算安排9.9万元，其中因公出国（境）费0万元，同比无变化；公务用车购置及运维费3.6万元（其中：公务用车购置费为0万元，公务用车运维费3.6万元)，同比无变化；公务接待费6.3万元，同比减少1.8万元，减少的主要原因是压缩公务接待费支出。</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500" w:lineRule="exact"/>
        <w:ind w:firstLine="560"/>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总体绩效目标：</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今后五年工作的总体要求是：高举中国特色社会主义伟大旗帜，以马克思列宁主义、毛泽东思想、邓小平理论、“三个代表”重要思想、科学发展观为指导，深入贯彻习近平总书记系列重要讲话精神，按照“五位一体”总体布局、“四个全面”战略布局要求和镇党委提出未来五年的决策部署，继续做到努力完善基础设施，努力培育支柱产业，努力保护生态环境，努力维护社会稳定，加大招商引资和项目建设力度，不断改善农村环境和基础设施，全面提升农村形象，让我镇产业更强、生态更优、民生更实，经济和社会事业更上新台阶。</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今后五年全镇经济社会发展的预期目标是：到2021年，全镇工农业生产总值年递增12.5%；规模工业总产值年递增13.2%；全社会固定资产投资年递增20%,财税收入年递增12.8%；农民人均纯收入年递增15%。</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为实现以上奋斗目标，我们将突出抓好以下工作：</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一是实现脱贫攻坚工作目标。立足“六个精准”“五个一批”，盯紧时间节点，确保全镇贫困人口2017年底脱贫摘帽，2018年巩固提升。五年内全镇17个村每村至少有一个稳定的富民产业。镇域道路、医疗、教育、文化等方面硬件全面升级。</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1、重点发展五大产业项目。按照“公司+合作社+贫困户+标准化”模式，积极发展林果、果药间作种植项目，未来五年，新增苹果、板栗种植2万亩，果药间作种植5千亩；按照“政府+龙头企业+合作社+贫困户+金融机构”模式，积极开展牲畜养殖项目，带动发展肉鸡养殖100万只，牲畜养殖存栏1万（只）头；按照“公司+合作社+农户”模式，打造食用菌种植基地4个，新增食用菌300万棒；以全域旅游为统领，大力发展乡村旅游，打造沿两河流域建设现代化综合休闲农业产业园2处。</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2、加大基础设施建设。把基础设施改善作为脱贫攻坚的先决条件，集中人力物力财力，大力推进水、电、路、讯等基础设施建设。到2021年，预计硬化村组道路40公里，修建桥梁20座；实施引水上山工程，修建扬水站50处，山地水窖950个，总灌溉面积达5000亩；加强电网建设，完成电力升级改造，提升全镇17个行政村生产生活用电保障水平。</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二是实现经济工作目标。五年内全镇项目建设计划完成投资15亿元，新上百万元以上项目50个，千万元以上项目10个；引进市外资金10亿元，引进省外资金5亿元；固定资产投资18亿元；社会生产总值同比增长15%，达到4.2亿元；农民人均可支配收入增长15%以上，冲刺万元目标。</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全面落实镇党委提出的“东优、南拓、西开、北延、中建”的战略发展思路。东部优化沟域经济，以整合资源信息、调整产业结构为中心，建设以设施农业为主的农业科技示范园区，以“两沟”为主的林果中药材基地，合力发展林果、畜牧、中药材、蔬菜为核心的四大产业，力争把我镇建成我县绿色农副产品基地。</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三是实现社会事业建设目标。坚持把“三农”工作牢牢抓在手上，从群众最关心、最直接、最现实的利益问题入手，促进经济社会协调发展。</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1、切实维护社会稳定。健全党委领导、政府负责、社会协同、公众参与的社会管理格局，完善人民调解、行政调解、司法调解联动的工作体系，把各种不稳定因素化解在基层和萌芽状态，进一步深化村务公开、财务公开，从源头上最大限度地减少社会矛盾和纠纷，深入推进“平安村组”“平安乡镇”建设。</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2、扎实推进民生工程。继续实施“六大民心工程”， 努力构建养民、富民、便民、育民、惠民的民生保障体系。即：实施社会保障、特困救助、便民服务、惠民增收、医疗保障、绿色环保工程。全面做好新型农村养老保险和农村合作医疗工作，落实保障资金；认真落实县政府有关精神，最大限度提高城乡大病特困群众和农村低保五保救助标准，稳步推进城乡低保工作，镇村低保和五保供养实行动态管理下的应保尽保。</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3、全面统筹城乡发展。以城镇建设为抓手，通过建设生态新区带动我镇城镇化水平。扎实推进美丽乡村建设，健全美丽乡村建管机制，促进农村长治久美。继续开展农村环境综合整治，全面推进农村垃圾市场化处理，确保农村垃圾市场化收集全覆盖，打造干净、整洁的美丽小镇。</w:t>
      </w:r>
    </w:p>
    <w:p>
      <w:pPr>
        <w:spacing w:line="500" w:lineRule="exact"/>
        <w:ind w:firstLine="560"/>
        <w:rPr>
          <w:rFonts w:ascii="仿宋_GB2312" w:hAnsi="Times New Roman" w:eastAsia="仿宋_GB2312" w:cs="Times New Roman"/>
          <w:sz w:val="32"/>
          <w:szCs w:val="32"/>
        </w:rPr>
      </w:pPr>
      <w:r>
        <w:rPr>
          <w:rFonts w:ascii="仿宋_GB2312" w:hAnsi="Times New Roman" w:eastAsia="仿宋_GB2312" w:cs="Times New Roman"/>
          <w:sz w:val="32"/>
          <w:szCs w:val="32"/>
        </w:rPr>
        <w:t>各位代表、各位同志，双山子镇的发展站在了新的历史起点上，新的蓝图已经绘就，新的任务催人奋进。让我们乘改革之风，扬绿色之帆，紧密团结在以习近平同志为</w:t>
      </w:r>
      <w:r>
        <w:rPr>
          <w:rFonts w:hint="eastAsia" w:ascii="仿宋_GB2312" w:hAnsi="Times New Roman" w:eastAsia="仿宋_GB2312" w:cs="Times New Roman"/>
          <w:sz w:val="32"/>
          <w:szCs w:val="32"/>
          <w:lang w:val="en-US" w:eastAsia="zh-CN"/>
        </w:rPr>
        <w:t>核心的</w:t>
      </w:r>
      <w:bookmarkStart w:id="4" w:name="_GoBack"/>
      <w:bookmarkEnd w:id="4"/>
      <w:r>
        <w:rPr>
          <w:rFonts w:ascii="仿宋_GB2312" w:hAnsi="Times New Roman" w:eastAsia="仿宋_GB2312" w:cs="Times New Roman"/>
          <w:sz w:val="32"/>
          <w:szCs w:val="32"/>
        </w:rPr>
        <w:t>党中央周围，以党的十八届六中全会精神为指导，全面落实县委、县政府和镇党委提出的目标要求，夙兴夜寐，靡有朝矣，以时不我待的精神为建设富强、文明、美丽、和谐的双山子镇而努力奋斗！</w:t>
      </w: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0"/>
    <w:p>
      <w:pPr>
        <w:jc w:val="center"/>
        <w:outlineLvl w:val="0"/>
        <w:rPr>
          <w:rFonts w:ascii="方正小标宋_GBK" w:hAnsi="Calibri" w:eastAsia="方正小标宋_GBK" w:cs="Times New Roman"/>
          <w:sz w:val="32"/>
        </w:rPr>
      </w:pPr>
      <w:bookmarkStart w:id="1" w:name="_Toc504489147"/>
      <w:r>
        <w:rPr>
          <w:rFonts w:hint="eastAsia" w:ascii="方正小标宋_GBK" w:hAnsi="Calibri" w:eastAsia="方正小标宋_GBK" w:cs="Times New Roman"/>
          <w:sz w:val="32"/>
        </w:rPr>
        <w:t>部门职责-工作活动绩效目标</w:t>
      </w:r>
      <w:bookmarkEnd w:id="1"/>
    </w:p>
    <w:p>
      <w:pPr>
        <w:spacing w:line="300" w:lineRule="exact"/>
        <w:jc w:val="left"/>
        <w:outlineLvl w:val="0"/>
        <w:rPr>
          <w:rFonts w:ascii="Calibri" w:hAnsi="Calibri" w:eastAsia="宋体" w:cs="Times New Roman"/>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双山子镇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一、公共事务服务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提供就业信息，加大劳务输出数量；城居民养老保险、新农合收缴工作；承担</w:t>
            </w:r>
            <w:r>
              <w:rPr>
                <w:rFonts w:hint="eastAsia" w:ascii="方正书宋_GBK" w:eastAsia="方正书宋_GBK"/>
                <w:lang w:eastAsia="zh-CN"/>
              </w:rPr>
              <w:t>安全生产</w:t>
            </w:r>
            <w:r>
              <w:rPr>
                <w:rFonts w:hint="eastAsia" w:ascii="方正书宋_GBK" w:eastAsia="方正书宋_GBK"/>
              </w:rPr>
              <w:t>综合监督管理责任，依法行使综合监督管理职权；依法开展执法检查工作，对发现的安全生产违法行为依法进行行政处罚，遏制重特大事故发生，确保</w:t>
            </w:r>
            <w:r>
              <w:rPr>
                <w:rFonts w:hint="eastAsia" w:ascii="方正书宋_GBK" w:eastAsia="方正书宋_GBK"/>
                <w:lang w:eastAsia="zh-CN"/>
              </w:rPr>
              <w:t>安全生产</w:t>
            </w:r>
            <w:r>
              <w:rPr>
                <w:rFonts w:hint="eastAsia" w:ascii="方正书宋_GBK" w:eastAsia="方正书宋_GBK"/>
              </w:rPr>
              <w:t>形势稳定。管理和指导全镇文化建设，，提供公共文化服务。负责人口和计划生育政策法规的宣传工作及相关服务工作；负责排查管理本辖区流动人口计划生育工作。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促进失业人员再就业，转移农村劳动力。养老保险参保率达到</w:t>
            </w:r>
            <w:r>
              <w:rPr>
                <w:rFonts w:ascii="方正书宋_GBK" w:eastAsia="方正书宋_GBK"/>
              </w:rPr>
              <w:t>90%</w:t>
            </w:r>
            <w:r>
              <w:rPr>
                <w:rFonts w:hint="eastAsia" w:ascii="方正书宋_GBK" w:eastAsia="方正书宋_GBK"/>
              </w:rPr>
              <w:t>以上，做到老有所养。扩大各项保险的覆盖面，及时足额落实社会保险待遇。加强监管能力，强化执法检查，确保安全生产无隐患。丰富群众业余生活，提升群众生活质量，增加人民幸福指数。推进基本公共卫生服务均等化；控制各类重大疾病的发生与传播；保障妇女儿童身心健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、劳动保障就业服务、新农合和农保工作；安全生产监督管理事务；公共文化服务工作。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按年度收缴城居民养老保险费用；组织、引导、支持，农民自愿参加新型农村合作医疗，提高农村居民的医疗保障水平；建立大病保险制度；对城居民因患大病发生的高额医疗费用给予报销。定期组织在全镇开展安全生产督导检查活动，对重点行业和作业场所职业卫生安全生产进行督导检查，加强行政执法监察，依法对违法行为实施行政处罚；不断加强安全生产监管能力建设，改善执法检测、监察检查等能力。推动全各级文化服务机构，建立公共文化资源共享机制，健全公共文化服务网络。运用多种文化艺术手段，组织开展丰富多彩的群众性文化、艺术、体育活动，提高农民基本素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改善农村计划怀孕夫妇健康状况，降低出生缺陷发生风险；为各类育龄人群提供安全、有效避孕节育技术服务</w:t>
            </w:r>
            <w:r>
              <w:rPr>
                <w:rFonts w:ascii="方正书宋_GBK" w:eastAsia="方正书宋_GBK"/>
              </w:rPr>
              <w:t>.</w:t>
            </w:r>
            <w:r>
              <w:rPr>
                <w:rFonts w:hint="eastAsia" w:ascii="方正书宋_GBK" w:eastAsia="方正书宋_GBK"/>
              </w:rPr>
              <w:t>为推进计生工作，做好宣传教育和咨询服务。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就业率在全县排名情况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城乡居民养老保险参保率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城乡居民医疗保险参保率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安全生产督导检查覆盖率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文化工作在全县排名情况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有无计划外生育</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二、扶贫和农业开发</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负责脱贫攻坚的组织协调督导及上报反馈工作。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完成脱贫攻坚任务，人民收入显著提高，生活水平明显改善。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、扶贫工作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辖区内所有建档立卡等四类人群现有危房全部纳入危房改造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各级抽查及自查结果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成为样版</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不完善</w:t>
            </w:r>
            <w:r>
              <w:rPr>
                <w:rFonts w:ascii="方正书宋_GBK" w:eastAsia="方正书宋_GBK"/>
              </w:rPr>
              <w:t xml:space="preserve">  </w:t>
            </w:r>
            <w:r>
              <w:rPr>
                <w:rFonts w:hint="eastAsia" w:ascii="方正书宋_GBK" w:eastAsia="方正书宋_GBK"/>
              </w:rPr>
              <w:t>需整改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经费预算保障情况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落实到位数额合理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纳入预算数额较小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纳入预算未设专项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未纳入预算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三、党风廉政建设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组织协调全乡党风廉政建设和反腐败宣传、教育、课题研究、法规起草修订等工作；承担乡党委惩治和预防腐败体系领导小组办公室的日常工作。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、基层党建机关效能</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对于上级部署的工作，开展及时、落实到位。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全县信息工作排名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廉政建设及微腐败治理工作考核分数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四、人大活动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为保障各级人大代表依法行使职权，拓宽履职渠道，健全完善代表联系群众的组织网络体系，密切代表同人民群众的联系，不断活跃人大代表工作。</w:t>
            </w:r>
          </w:p>
        </w:tc>
        <w:tc>
          <w:tcPr>
            <w:tcW w:w="29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人大代表之家</w:t>
            </w:r>
            <w:r>
              <w:rPr>
                <w:rFonts w:hint="cs" w:ascii="方正书宋_GBK" w:eastAsia="方正书宋_GBK"/>
              </w:rPr>
              <w:t>”</w:t>
            </w:r>
            <w:r>
              <w:rPr>
                <w:rFonts w:hint="eastAsia" w:ascii="方正书宋_GBK" w:eastAsia="方正书宋_GBK"/>
              </w:rPr>
              <w:t>是闭会期间人大代表依法履职的基地、学习交流的课堂、联系服务群众的桥梁、民主法治建设的阵地、宣传人大工作的平台。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、人大代表之家活动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学习宣传培训；开展代表活动；密切联系群众，定期开展人大代表接访、走访、约访、回访等；接受群众监督；提出议案建议；交流履职经验。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学习宣传培训，学习宣传宪法、法律和党的路线方针政策及各级党委政府重大决策部署。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人大代表活动举办次数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15-23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五、共青团工作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领导全乡共青团工作；协助乡政府教育部门做好学生教育管理工作。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基层团组织和青年组织建设加强，活力明显提升。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、团组织建设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指导全乡青联、学联和少先队工作，对全乡青年社团组织进行指导和管理。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高质量完成全乡青少年发展规划和方针政策的制定，圆满完成县委、县政府和县团委交办的各项任务。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团组织发展情况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县青联委员、学联代表参加活动或培训覆盖率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举办学习贯彻习近平总书记系列重要讲话精神青年读书班期数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6-11</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期及以下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受到县委、省市团领导肯定性批示次数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六、政府运行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政府日常工作、政务公开、政府会议管理、督察督办、政务联络、等工作；推进燃煤锅炉改造清洁能源使用工作。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有效开展大气治理工作，落实燃煤锅炉改造清洁能源补贴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、行政运行</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指导和协调全政务公开及政务服务中心建设、推进行政服务体系标准化建设工作。强化机关效能建设，打造阳光政府。转变职能，提高效率。带头推进大气治理燃煤锅炉改造项目，有效提升大气治理质量。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大力发展民营经济，促进中小企业相对集中，培育和发展农民专业合作组织和中介组织，壮大第三产业，促进农村小城镇建设；主动解决在经济发展中出现的问题，为招商引资创造良好的发展环境。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全年工作正常开展率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燃煤锅炉改造清洁能源使用情况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改造完成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即将完成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正在改造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依然在用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全乡基础设施建设完成率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全年税收收入完成情况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4-8</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9-20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名及之后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七、资产财务管理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编报乡镇年度财政收支预算、决算并组织预算执行；监督财政资金使用，落实强农惠民补贴政策、指导乡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执行预算法，不断完善财经管理，规范财务手续；及时准确登记本单位的资产情况，对不能的使用的资产应及时按程序进行处置，建立健全化债专项资金监督检查机制。依法依规履行村级管理职责，确保村级管理正常有序运行。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、财政预决算编制及公开；资产管理；机关财务管理；化债资金的管理与使用；村级财务管理；村级事务管理等。</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根据单位实际据实开展财政预决算工作，严格按照实际情况开展预决算工作。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按时限公开</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不按照时限公开或不公开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村务公开比例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化债资金专项使用效率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村集体发展资金拨付到位率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八、综治工作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8.36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承担社会治安综合治理和司法行政工作职责。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加强社会治安综合治理，维护社会稳定，搞好农村矛盾纠纷隐患排查调处。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、社会治安综合治理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8.36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落实领导接访日制度，做好群众信访接待工作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发生非访情况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网格化落实比率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接访处理及时性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当日处理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一周内处理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两月内处理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九、社会事务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承担民政管理职责；负责卫生和计划生育工作；负责食品药品监察工作。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提升群众的安全感、幸福感，把民政救助政策落实到位，把党的惠民政策落实好，让困难群众切实得到救助，解决群众十级困难，抓好食品药品安全工作；搞好计生服务工作，优生优育。</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、民政管理、计生服务及食品药品监察等社会事务工作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发展社会事业和加强社会管理职责，负责民政社会救助体系建设，负责城居民最低生活保障、五保供养、医疗救助、优抚工作，基层政权建设；做好拥军优属工作，接好优待、老军属、老军人伤残军人扶恤金发放工作。做好社会残疾人优待工作，帮他们排忧解难的思想工作和等级办证及福利待遇等工作。</w:t>
            </w:r>
            <w:r>
              <w:rPr>
                <w:rFonts w:ascii="方正书宋_GBK" w:eastAsia="方正书宋_GBK"/>
              </w:rPr>
              <w:t xml:space="preserve">                </w:t>
            </w:r>
            <w:r>
              <w:rPr>
                <w:rFonts w:hint="eastAsia" w:ascii="方正书宋_GBK" w:eastAsia="方正书宋_GBK"/>
              </w:rPr>
              <w:t>对各营业网点、饭店商店药店进行定期检查，对过期、假冒伪劣商品进行处理。</w:t>
            </w:r>
            <w:r>
              <w:rPr>
                <w:rFonts w:ascii="方正书宋_GBK" w:eastAsia="方正书宋_GBK"/>
              </w:rPr>
              <w:t xml:space="preserve"> </w:t>
            </w:r>
            <w:r>
              <w:rPr>
                <w:rFonts w:hint="eastAsia" w:ascii="方正书宋_GBK" w:eastAsia="方正书宋_GBK"/>
              </w:rPr>
              <w:t>承担本乡镇卫生计生管理服务工作；配合做好卫生计生有关证件审核、办理、发放，做好计划生育奖励优惠工作；做好计划生育统计和流动人口计划生育服务管理；做好卫生计生宣传教育工作；履行基层公共卫生职能，组织指导乡镇妇幼保健计划生育服务站和村民委员会做好妇幼健康计划生育服务工作；发挥育龄小组长作用，组织开展卫生和计划生育业务培训工作；做好县级卫生计生行政部门和乡镇党委、政府交办的其他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做好卫生计生证件审核、办理、发放和统计宣传工作。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低保建档立卡贫困户申报审核结果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年平均检查次数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不足</w:t>
            </w:r>
            <w:r>
              <w:rPr>
                <w:rFonts w:ascii="方正书宋_GBK" w:eastAsia="方正书宋_GBK"/>
              </w:rPr>
              <w:t>2</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办理业务的群众对业务人员的评价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联查结果全县排名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4-10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11-20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十、城镇规划建设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负责村镇规划、建设、管理工作，加强基础设施建设，推进城一体化进程，搞好社会主义新农村建设工作；负责村镇容貌、环境卫生管理等工作；着力改善民生条件，加大民生项目投入倾斜力度。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、推进城镇化建设，加大民生事务投入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指导国家级重点镇及省级重点镇的建设；做好城镇规划、环境质量、居住水平、产业聚集、风貌特色、综合管理、城建投融资等指导工作，加快城市建设投融资体制改革，全面推进城镇建设上水平；协调和指导推进城镇化工作。负责村镇容貌、环境卫生的清理整治工作；加强基础设施建设，推进城乡一体化进程，搞好社会主义新农村建设工作。负责统筹乡镇国土、规划、建设、城管等职能，建立规范有序的农村建设市场，切实维护土地利用和城镇规划建设管理秩序，发挥用地审批、规划执行、建设监管作用；负责对本辖区内</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建筑进行巡查、发现、纠正、上报、组织助拆等工作。加强对革命老区、重点贫困村片民生项目的倾斜力度，确保效益大的项目得到重点保障或优先安排。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巡查、纠正、上报</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建筑，完成清零工作。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发挥作用情况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环境卫生情况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用地审批建筑监管作用发挥情况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4-6</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处及以上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当地群众对相关项目建设的满意度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双违清零进度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十一、组织全乡安全生产综合监督管理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乡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乡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定期组织在全乡开展安全生产督导检查活动，对重点行业和作业场所职业卫生安全生产加强行政执法监察，依法对违法行为实施行政处罚；不断加强安全生产监管能力建设，改善执法检测、监察检查等能力。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、安全生产执法监察检查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全乡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最大限度地发现、纠正、督促企业消除各类隐患，预防和减少事故的发生，确保全乡安全生产形势持续稳定好转</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督导检查企业安全生产情况，实际对各企业安全生产督导</w:t>
            </w:r>
            <w:r>
              <w:rPr>
                <w:rFonts w:ascii="方正书宋_GBK" w:eastAsia="方正书宋_GBK"/>
              </w:rPr>
              <w:t>/</w:t>
            </w:r>
            <w:r>
              <w:rPr>
                <w:rFonts w:hint="eastAsia" w:ascii="方正书宋_GBK" w:eastAsia="方正书宋_GBK"/>
              </w:rPr>
              <w:t>全部企业</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十二、人口和计划生育工作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搞好生殖健康服务，避孕节育技术服务，做好计生宣传和统计工作。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计生工作执法检查监督情况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十三、村级财务管理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负责村级财务管理工作，实行资金、账目双代管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依法依规履行村级管理职责，确保村级管理正常有序运行。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、村财乡管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村级财务三资管理、账务管理、村务公开等业务</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严格按照法律法规规定开展村财乡管工作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反映财务法律法规制度的执行情况及财务公开的程度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十四、村级事务管理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、村级事务管理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推进村级组织建设，壮大村集体经济，提高为民服务水平。村级财务三资管理、账务管理、村务公开等业务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村级积极认真落实镇政府各项工作安排和部署，保证党的政策落实到位。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村级财务规范化管理及村务公开情况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村级落实工作情况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分以上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w:t>
            </w:r>
            <w:r>
              <w:rPr>
                <w:rFonts w:ascii="方正书宋_GBK" w:eastAsia="方正书宋_GBK"/>
              </w:rPr>
              <w:t>-98</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十五、农业农村综合服务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促进农业现代化，提高农业劳动生产率，增加农民收入。提高农产品产量，优化农业产业结构，提高经济效益。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、农业产业化调整；林业防火工作；环境保护工资；农村综合改革村两委经费补助及工作运转；畜牧养殖发展；水利设施建设及饮水安全问题。</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保护、节约和防汛抗旱技术服务工作，维护农村饮水安全，组织协调农业水利基本建设和水土保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受益人次占应总人口比率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出现燎地边、烧秸秆引起火情次数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不出现任何人为或意外火情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畜牧业在扶贫工作中的比重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农村饮用水安全工程完成量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、环境保护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组织护林防火、生态公益林管护及野生动植物、森林、湿地资源及农业环境的保护；燃煤锅炉改造。</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加强环境保护</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森林防火宣传、巡查情况；公益林管护情况；燃煤锅炉改造完成情况及效果。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确保饮水安全，加强水利配套设施建设及防汛抗旱工作的正常开展</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水利设施建设情况；居民饮水安全改善情况；防汛工作组织开展情况。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bl>
    <w:p>
      <w:pPr>
        <w:spacing w:line="300" w:lineRule="exact"/>
        <w:jc w:val="left"/>
        <w:outlineLvl w:val="0"/>
        <w:rPr>
          <w:rFonts w:ascii="Calibri" w:hAnsi="Calibri" w:eastAsia="宋体" w:cs="Times New Roman"/>
        </w:rPr>
        <w:sectPr>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 xml:space="preserve">    2018年，我部门安排政府采购预算3</w:t>
      </w:r>
      <w:r>
        <w:rPr>
          <w:rFonts w:hint="eastAsia" w:ascii="仿宋_GB2312" w:hAnsi="Times New Roman" w:eastAsia="仿宋_GB2312" w:cs="Times New Roman"/>
          <w:sz w:val="32"/>
          <w:szCs w:val="32"/>
        </w:rPr>
        <w:t>0</w:t>
      </w:r>
      <w:r>
        <w:rPr>
          <w:rFonts w:hint="eastAsia" w:ascii="仿宋_GB2312" w:hAnsi="Times New Roman" w:eastAsia="仿宋_GB2312" w:cs="Times New Roman"/>
          <w:sz w:val="32"/>
          <w:szCs w:val="24"/>
        </w:rPr>
        <w:t>万元。具体内容见下表。</w:t>
      </w:r>
    </w:p>
    <w:bookmarkEnd w:id="2"/>
    <w:p>
      <w:pPr>
        <w:jc w:val="center"/>
        <w:outlineLvl w:val="0"/>
        <w:rPr>
          <w:rFonts w:ascii="方正小标宋_GBK" w:hAnsi="Calibri" w:eastAsia="方正小标宋_GBK" w:cs="Times New Roman"/>
          <w:sz w:val="32"/>
        </w:rPr>
      </w:pPr>
      <w:bookmarkStart w:id="3" w:name="_Toc504489153"/>
      <w:r>
        <w:rPr>
          <w:rFonts w:hint="eastAsia" w:ascii="方正小标宋_GBK" w:hAnsi="Calibri" w:eastAsia="方正小标宋_GBK"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8"/>
        <w:gridCol w:w="1020"/>
        <w:gridCol w:w="894"/>
        <w:gridCol w:w="1524"/>
        <w:gridCol w:w="682"/>
        <w:gridCol w:w="743"/>
        <w:gridCol w:w="976"/>
        <w:gridCol w:w="976"/>
        <w:gridCol w:w="976"/>
        <w:gridCol w:w="976"/>
        <w:gridCol w:w="822"/>
        <w:gridCol w:w="886"/>
        <w:gridCol w:w="886"/>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0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cs="Times New Roman"/>
                <w:sz w:val="24"/>
              </w:rPr>
            </w:pPr>
          </w:p>
        </w:tc>
        <w:tc>
          <w:tcPr>
            <w:tcW w:w="636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8" w:type="dxa"/>
            <w:gridSpan w:val="2"/>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894"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1524"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682"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  单位</w:t>
            </w:r>
          </w:p>
        </w:tc>
        <w:tc>
          <w:tcPr>
            <w:tcW w:w="743"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976"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6361" w:type="dxa"/>
            <w:gridSpan w:val="7"/>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68"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1020"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894" w:type="dxa"/>
            <w:vMerge w:val="continue"/>
            <w:shd w:val="clear" w:color="auto" w:fill="auto"/>
            <w:vAlign w:val="center"/>
          </w:tcPr>
          <w:p>
            <w:pPr>
              <w:spacing w:line="300" w:lineRule="exact"/>
              <w:jc w:val="left"/>
              <w:outlineLvl w:val="0"/>
              <w:rPr>
                <w:rFonts w:ascii="Calibri" w:hAnsi="Calibri" w:eastAsia="宋体" w:cs="Times New Roman"/>
              </w:rPr>
            </w:pPr>
          </w:p>
        </w:tc>
        <w:tc>
          <w:tcPr>
            <w:tcW w:w="1524" w:type="dxa"/>
            <w:vMerge w:val="continue"/>
            <w:shd w:val="clear" w:color="auto" w:fill="auto"/>
            <w:vAlign w:val="center"/>
          </w:tcPr>
          <w:p>
            <w:pPr>
              <w:spacing w:line="300" w:lineRule="exact"/>
              <w:jc w:val="left"/>
              <w:outlineLvl w:val="0"/>
              <w:rPr>
                <w:rFonts w:ascii="Calibri" w:hAnsi="Calibri" w:eastAsia="宋体" w:cs="Times New Roman"/>
              </w:rPr>
            </w:pPr>
          </w:p>
        </w:tc>
        <w:tc>
          <w:tcPr>
            <w:tcW w:w="682" w:type="dxa"/>
            <w:vMerge w:val="continue"/>
            <w:shd w:val="clear" w:color="auto" w:fill="auto"/>
            <w:vAlign w:val="center"/>
          </w:tcPr>
          <w:p>
            <w:pPr>
              <w:spacing w:line="300" w:lineRule="exact"/>
              <w:jc w:val="left"/>
              <w:outlineLvl w:val="0"/>
              <w:rPr>
                <w:rFonts w:ascii="Calibri" w:hAnsi="Calibri" w:eastAsia="宋体" w:cs="Times New Roman"/>
              </w:rPr>
            </w:pPr>
          </w:p>
        </w:tc>
        <w:tc>
          <w:tcPr>
            <w:tcW w:w="743" w:type="dxa"/>
            <w:vMerge w:val="continue"/>
            <w:shd w:val="clear" w:color="auto" w:fill="auto"/>
            <w:vAlign w:val="center"/>
          </w:tcPr>
          <w:p>
            <w:pPr>
              <w:spacing w:line="300" w:lineRule="exact"/>
              <w:jc w:val="left"/>
              <w:outlineLvl w:val="0"/>
              <w:rPr>
                <w:rFonts w:ascii="Calibri" w:hAnsi="Calibri" w:eastAsia="宋体" w:cs="Times New Roman"/>
              </w:rPr>
            </w:pPr>
          </w:p>
        </w:tc>
        <w:tc>
          <w:tcPr>
            <w:tcW w:w="976" w:type="dxa"/>
            <w:vMerge w:val="continue"/>
            <w:shd w:val="clear" w:color="auto" w:fill="auto"/>
            <w:vAlign w:val="center"/>
          </w:tcPr>
          <w:p>
            <w:pPr>
              <w:spacing w:line="300" w:lineRule="exact"/>
              <w:jc w:val="left"/>
              <w:outlineLvl w:val="0"/>
              <w:rPr>
                <w:rFonts w:ascii="Calibri" w:hAnsi="Calibri" w:eastAsia="宋体" w:cs="Times New Roman"/>
              </w:rPr>
            </w:pPr>
          </w:p>
        </w:tc>
        <w:tc>
          <w:tcPr>
            <w:tcW w:w="976"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总计</w:t>
            </w:r>
          </w:p>
        </w:tc>
        <w:tc>
          <w:tcPr>
            <w:tcW w:w="4546" w:type="dxa"/>
            <w:gridSpan w:val="5"/>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当年部门预算安排资金</w:t>
            </w:r>
          </w:p>
        </w:tc>
        <w:tc>
          <w:tcPr>
            <w:tcW w:w="839"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68" w:type="dxa"/>
            <w:vMerge w:val="continue"/>
            <w:shd w:val="clear" w:color="auto" w:fill="auto"/>
            <w:vAlign w:val="center"/>
          </w:tcPr>
          <w:p>
            <w:pPr>
              <w:spacing w:line="300" w:lineRule="exact"/>
              <w:jc w:val="left"/>
              <w:outlineLvl w:val="0"/>
              <w:rPr>
                <w:rFonts w:ascii="Calibri" w:hAnsi="Calibri" w:eastAsia="宋体" w:cs="Times New Roman"/>
              </w:rPr>
            </w:pPr>
          </w:p>
        </w:tc>
        <w:tc>
          <w:tcPr>
            <w:tcW w:w="1020" w:type="dxa"/>
            <w:vMerge w:val="continue"/>
            <w:shd w:val="clear" w:color="auto" w:fill="auto"/>
            <w:vAlign w:val="center"/>
          </w:tcPr>
          <w:p>
            <w:pPr>
              <w:spacing w:line="300" w:lineRule="exact"/>
              <w:jc w:val="left"/>
              <w:outlineLvl w:val="0"/>
              <w:rPr>
                <w:rFonts w:ascii="Calibri" w:hAnsi="Calibri" w:eastAsia="宋体" w:cs="Times New Roman"/>
              </w:rPr>
            </w:pPr>
          </w:p>
        </w:tc>
        <w:tc>
          <w:tcPr>
            <w:tcW w:w="894" w:type="dxa"/>
            <w:vMerge w:val="continue"/>
            <w:shd w:val="clear" w:color="auto" w:fill="auto"/>
            <w:vAlign w:val="center"/>
          </w:tcPr>
          <w:p>
            <w:pPr>
              <w:spacing w:line="300" w:lineRule="exact"/>
              <w:jc w:val="left"/>
              <w:outlineLvl w:val="0"/>
              <w:rPr>
                <w:rFonts w:ascii="Calibri" w:hAnsi="Calibri" w:eastAsia="宋体" w:cs="Times New Roman"/>
              </w:rPr>
            </w:pPr>
          </w:p>
        </w:tc>
        <w:tc>
          <w:tcPr>
            <w:tcW w:w="1524" w:type="dxa"/>
            <w:vMerge w:val="continue"/>
            <w:shd w:val="clear" w:color="auto" w:fill="auto"/>
            <w:vAlign w:val="center"/>
          </w:tcPr>
          <w:p>
            <w:pPr>
              <w:spacing w:line="300" w:lineRule="exact"/>
              <w:jc w:val="left"/>
              <w:outlineLvl w:val="0"/>
              <w:rPr>
                <w:rFonts w:ascii="Calibri" w:hAnsi="Calibri" w:eastAsia="宋体" w:cs="Times New Roman"/>
              </w:rPr>
            </w:pPr>
          </w:p>
        </w:tc>
        <w:tc>
          <w:tcPr>
            <w:tcW w:w="682" w:type="dxa"/>
            <w:vMerge w:val="continue"/>
            <w:shd w:val="clear" w:color="auto" w:fill="auto"/>
            <w:vAlign w:val="center"/>
          </w:tcPr>
          <w:p>
            <w:pPr>
              <w:spacing w:line="300" w:lineRule="exact"/>
              <w:jc w:val="left"/>
              <w:outlineLvl w:val="0"/>
              <w:rPr>
                <w:rFonts w:ascii="Calibri" w:hAnsi="Calibri" w:eastAsia="宋体" w:cs="Times New Roman"/>
              </w:rPr>
            </w:pPr>
          </w:p>
        </w:tc>
        <w:tc>
          <w:tcPr>
            <w:tcW w:w="743" w:type="dxa"/>
            <w:vMerge w:val="continue"/>
            <w:shd w:val="clear" w:color="auto" w:fill="auto"/>
            <w:vAlign w:val="center"/>
          </w:tcPr>
          <w:p>
            <w:pPr>
              <w:spacing w:line="300" w:lineRule="exact"/>
              <w:jc w:val="left"/>
              <w:outlineLvl w:val="0"/>
              <w:rPr>
                <w:rFonts w:ascii="Calibri" w:hAnsi="Calibri" w:eastAsia="宋体" w:cs="Times New Roman"/>
              </w:rPr>
            </w:pPr>
          </w:p>
        </w:tc>
        <w:tc>
          <w:tcPr>
            <w:tcW w:w="976" w:type="dxa"/>
            <w:vMerge w:val="continue"/>
            <w:shd w:val="clear" w:color="auto" w:fill="auto"/>
            <w:vAlign w:val="center"/>
          </w:tcPr>
          <w:p>
            <w:pPr>
              <w:spacing w:line="300" w:lineRule="exact"/>
              <w:jc w:val="left"/>
              <w:outlineLvl w:val="0"/>
              <w:rPr>
                <w:rFonts w:ascii="Calibri" w:hAnsi="Calibri" w:eastAsia="宋体" w:cs="Times New Roman"/>
              </w:rPr>
            </w:pPr>
          </w:p>
        </w:tc>
        <w:tc>
          <w:tcPr>
            <w:tcW w:w="976" w:type="dxa"/>
            <w:vMerge w:val="continue"/>
            <w:shd w:val="clear" w:color="auto" w:fill="auto"/>
            <w:vAlign w:val="center"/>
          </w:tcPr>
          <w:p>
            <w:pPr>
              <w:spacing w:line="300" w:lineRule="exact"/>
              <w:jc w:val="left"/>
              <w:outlineLvl w:val="0"/>
              <w:rPr>
                <w:rFonts w:ascii="Calibri" w:hAnsi="Calibri" w:eastAsia="宋体" w:cs="Times New Roman"/>
              </w:rPr>
            </w:pPr>
          </w:p>
        </w:tc>
        <w:tc>
          <w:tcPr>
            <w:tcW w:w="9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9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822"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88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88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c>
          <w:tcPr>
            <w:tcW w:w="839" w:type="dxa"/>
            <w:vMerge w:val="continue"/>
            <w:shd w:val="clear" w:color="auto" w:fill="auto"/>
            <w:vAlign w:val="center"/>
          </w:tcPr>
          <w:p>
            <w:pPr>
              <w:spacing w:line="300" w:lineRule="exact"/>
              <w:jc w:val="left"/>
              <w:outlineLvl w:val="0"/>
              <w:rPr>
                <w:rFonts w:ascii="Calibri"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68"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　计</w:t>
            </w:r>
          </w:p>
        </w:tc>
        <w:tc>
          <w:tcPr>
            <w:tcW w:w="1020" w:type="dxa"/>
            <w:shd w:val="clear" w:color="auto" w:fill="auto"/>
            <w:vAlign w:val="center"/>
          </w:tcPr>
          <w:p>
            <w:pPr>
              <w:spacing w:line="300" w:lineRule="exact"/>
              <w:jc w:val="right"/>
              <w:rPr>
                <w:rFonts w:ascii="方正书宋_GBK" w:hAnsi="Calibri" w:eastAsia="方正书宋_GBK" w:cs="Times New Roman"/>
                <w:b/>
              </w:rPr>
            </w:pPr>
          </w:p>
        </w:tc>
        <w:tc>
          <w:tcPr>
            <w:tcW w:w="894" w:type="dxa"/>
            <w:shd w:val="clear" w:color="auto" w:fill="auto"/>
            <w:vAlign w:val="center"/>
          </w:tcPr>
          <w:p>
            <w:pPr>
              <w:spacing w:line="300" w:lineRule="exact"/>
              <w:jc w:val="left"/>
              <w:rPr>
                <w:rFonts w:ascii="方正书宋_GBK" w:hAnsi="Calibri" w:eastAsia="方正书宋_GBK" w:cs="Times New Roman"/>
                <w:b/>
              </w:rPr>
            </w:pPr>
          </w:p>
        </w:tc>
        <w:tc>
          <w:tcPr>
            <w:tcW w:w="1524" w:type="dxa"/>
            <w:shd w:val="clear" w:color="auto" w:fill="auto"/>
            <w:vAlign w:val="center"/>
          </w:tcPr>
          <w:p>
            <w:pPr>
              <w:spacing w:line="300" w:lineRule="exact"/>
              <w:jc w:val="left"/>
              <w:rPr>
                <w:rFonts w:ascii="方正书宋_GBK" w:hAnsi="Calibri" w:eastAsia="方正书宋_GBK" w:cs="Times New Roman"/>
                <w:b/>
              </w:rPr>
            </w:pPr>
          </w:p>
        </w:tc>
        <w:tc>
          <w:tcPr>
            <w:tcW w:w="682" w:type="dxa"/>
            <w:shd w:val="clear" w:color="auto" w:fill="auto"/>
            <w:vAlign w:val="center"/>
          </w:tcPr>
          <w:p>
            <w:pPr>
              <w:spacing w:line="300" w:lineRule="exact"/>
              <w:jc w:val="left"/>
              <w:rPr>
                <w:rFonts w:ascii="方正书宋_GBK" w:hAnsi="Calibri" w:eastAsia="方正书宋_GBK" w:cs="Times New Roman"/>
                <w:b/>
              </w:rPr>
            </w:pPr>
          </w:p>
        </w:tc>
        <w:tc>
          <w:tcPr>
            <w:tcW w:w="743" w:type="dxa"/>
            <w:shd w:val="clear" w:color="auto" w:fill="auto"/>
            <w:vAlign w:val="center"/>
          </w:tcPr>
          <w:p>
            <w:pPr>
              <w:spacing w:line="300" w:lineRule="exact"/>
              <w:jc w:val="right"/>
              <w:rPr>
                <w:rFonts w:ascii="方正书宋_GBK" w:hAnsi="Calibri" w:eastAsia="方正书宋_GBK" w:cs="Times New Roman"/>
                <w:b/>
              </w:rPr>
            </w:pPr>
          </w:p>
        </w:tc>
        <w:tc>
          <w:tcPr>
            <w:tcW w:w="976" w:type="dxa"/>
            <w:shd w:val="clear" w:color="auto" w:fill="auto"/>
            <w:vAlign w:val="center"/>
          </w:tcPr>
          <w:p>
            <w:pPr>
              <w:spacing w:line="300" w:lineRule="exact"/>
              <w:jc w:val="right"/>
              <w:rPr>
                <w:rFonts w:ascii="方正书宋_GBK" w:hAnsi="Calibri" w:eastAsia="方正书宋_GBK" w:cs="Times New Roman"/>
                <w:b/>
              </w:rPr>
            </w:pPr>
          </w:p>
        </w:tc>
        <w:tc>
          <w:tcPr>
            <w:tcW w:w="976" w:type="dxa"/>
            <w:shd w:val="clear" w:color="auto" w:fill="auto"/>
            <w:vAlign w:val="center"/>
          </w:tcPr>
          <w:p>
            <w:pPr>
              <w:spacing w:line="300" w:lineRule="exact"/>
              <w:jc w:val="right"/>
              <w:rPr>
                <w:rFonts w:ascii="方正书宋_GBK" w:hAnsi="Calibri" w:eastAsia="方正书宋_GBK" w:cs="Times New Roman"/>
                <w:b/>
              </w:rPr>
            </w:pPr>
          </w:p>
        </w:tc>
        <w:tc>
          <w:tcPr>
            <w:tcW w:w="976" w:type="dxa"/>
            <w:shd w:val="clear" w:color="auto" w:fill="auto"/>
            <w:vAlign w:val="center"/>
          </w:tcPr>
          <w:p>
            <w:pPr>
              <w:spacing w:line="300" w:lineRule="exact"/>
              <w:jc w:val="right"/>
              <w:rPr>
                <w:rFonts w:ascii="方正书宋_GBK" w:hAnsi="Calibri" w:eastAsia="方正书宋_GBK" w:cs="Times New Roman"/>
                <w:b/>
              </w:rPr>
            </w:pPr>
          </w:p>
        </w:tc>
        <w:tc>
          <w:tcPr>
            <w:tcW w:w="976" w:type="dxa"/>
            <w:shd w:val="clear" w:color="auto" w:fill="auto"/>
            <w:vAlign w:val="center"/>
          </w:tcPr>
          <w:p>
            <w:pPr>
              <w:spacing w:line="300" w:lineRule="exact"/>
              <w:jc w:val="right"/>
              <w:rPr>
                <w:rFonts w:ascii="方正书宋_GBK" w:hAnsi="Calibri" w:eastAsia="方正书宋_GBK" w:cs="Times New Roman"/>
                <w:b/>
              </w:rPr>
            </w:pPr>
          </w:p>
        </w:tc>
        <w:tc>
          <w:tcPr>
            <w:tcW w:w="822" w:type="dxa"/>
            <w:shd w:val="clear" w:color="auto" w:fill="auto"/>
            <w:vAlign w:val="center"/>
          </w:tcPr>
          <w:p>
            <w:pPr>
              <w:spacing w:line="300" w:lineRule="exact"/>
              <w:jc w:val="right"/>
              <w:rPr>
                <w:rFonts w:ascii="方正书宋_GBK" w:hAnsi="Calibri" w:eastAsia="方正书宋_GBK" w:cs="Times New Roman"/>
                <w:b/>
              </w:rPr>
            </w:pPr>
          </w:p>
        </w:tc>
        <w:tc>
          <w:tcPr>
            <w:tcW w:w="886" w:type="dxa"/>
            <w:shd w:val="clear" w:color="auto" w:fill="auto"/>
            <w:vAlign w:val="center"/>
          </w:tcPr>
          <w:p>
            <w:pPr>
              <w:spacing w:line="300" w:lineRule="exact"/>
              <w:jc w:val="right"/>
              <w:rPr>
                <w:rFonts w:ascii="方正书宋_GBK" w:hAnsi="Calibri" w:eastAsia="方正书宋_GBK" w:cs="Times New Roman"/>
                <w:b/>
              </w:rPr>
            </w:pPr>
          </w:p>
        </w:tc>
        <w:tc>
          <w:tcPr>
            <w:tcW w:w="886" w:type="dxa"/>
            <w:shd w:val="clear" w:color="auto" w:fill="auto"/>
            <w:vAlign w:val="center"/>
          </w:tcPr>
          <w:p>
            <w:pPr>
              <w:spacing w:line="300" w:lineRule="exact"/>
              <w:jc w:val="right"/>
              <w:rPr>
                <w:rFonts w:ascii="方正书宋_GBK" w:hAnsi="Calibri" w:eastAsia="方正书宋_GBK" w:cs="Times New Roman"/>
                <w:b/>
              </w:rPr>
            </w:pPr>
          </w:p>
        </w:tc>
        <w:tc>
          <w:tcPr>
            <w:tcW w:w="839" w:type="dxa"/>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68"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eastAsia="方正书宋_GBK"/>
              </w:rPr>
              <w:t>燃煤锅炉改造及清洁能源补贴</w:t>
            </w:r>
          </w:p>
        </w:tc>
        <w:tc>
          <w:tcPr>
            <w:tcW w:w="1020" w:type="dxa"/>
            <w:shd w:val="clear" w:color="auto" w:fill="auto"/>
            <w:vAlign w:val="center"/>
          </w:tcPr>
          <w:p>
            <w:pPr>
              <w:spacing w:line="300" w:lineRule="exact"/>
              <w:jc w:val="right"/>
              <w:rPr>
                <w:rFonts w:ascii="方正书宋_GBK" w:hAnsi="Calibri" w:eastAsia="方正书宋_GBK" w:cs="Times New Roman"/>
                <w:bCs/>
              </w:rPr>
            </w:pPr>
            <w:r>
              <w:rPr>
                <w:rFonts w:hint="eastAsia" w:ascii="方正书宋_GBK" w:hAnsi="Calibri" w:eastAsia="方正书宋_GBK" w:cs="Times New Roman"/>
                <w:bCs/>
              </w:rPr>
              <w:t>30.00</w:t>
            </w:r>
          </w:p>
        </w:tc>
        <w:tc>
          <w:tcPr>
            <w:tcW w:w="894" w:type="dxa"/>
            <w:shd w:val="clear" w:color="auto" w:fill="auto"/>
            <w:vAlign w:val="center"/>
          </w:tcPr>
          <w:p>
            <w:pPr>
              <w:spacing w:line="300" w:lineRule="exact"/>
              <w:jc w:val="left"/>
              <w:rPr>
                <w:rFonts w:ascii="方正书宋_GBK" w:hAnsi="Calibri" w:eastAsia="方正书宋_GBK" w:cs="Times New Roman"/>
                <w:bCs/>
              </w:rPr>
            </w:pPr>
            <w:r>
              <w:rPr>
                <w:rFonts w:hint="eastAsia" w:ascii="方正书宋_GBK" w:hAnsi="Calibri" w:eastAsia="方正书宋_GBK" w:cs="Times New Roman"/>
                <w:bCs/>
              </w:rPr>
              <w:t>其他货物</w:t>
            </w:r>
          </w:p>
        </w:tc>
        <w:tc>
          <w:tcPr>
            <w:tcW w:w="1524" w:type="dxa"/>
            <w:shd w:val="clear" w:color="auto" w:fill="auto"/>
            <w:vAlign w:val="center"/>
          </w:tcPr>
          <w:p>
            <w:pPr>
              <w:spacing w:line="300" w:lineRule="exact"/>
              <w:jc w:val="left"/>
              <w:rPr>
                <w:rFonts w:ascii="方正书宋_GBK" w:hAnsi="Calibri" w:eastAsia="方正书宋_GBK" w:cs="Times New Roman"/>
                <w:bCs/>
              </w:rPr>
            </w:pPr>
            <w:r>
              <w:rPr>
                <w:rFonts w:hint="eastAsia" w:ascii="方正书宋_GBK" w:hAnsi="Calibri" w:eastAsia="方正书宋_GBK" w:cs="Times New Roman"/>
                <w:bCs/>
              </w:rPr>
              <w:t>A99</w:t>
            </w:r>
          </w:p>
        </w:tc>
        <w:tc>
          <w:tcPr>
            <w:tcW w:w="682" w:type="dxa"/>
            <w:shd w:val="clear" w:color="auto" w:fill="auto"/>
            <w:vAlign w:val="center"/>
          </w:tcPr>
          <w:p>
            <w:pPr>
              <w:spacing w:line="300" w:lineRule="exact"/>
              <w:jc w:val="left"/>
              <w:rPr>
                <w:rFonts w:ascii="方正书宋_GBK" w:hAnsi="Calibri" w:eastAsia="方正书宋_GBK" w:cs="Times New Roman"/>
                <w:bCs/>
              </w:rPr>
            </w:pPr>
            <w:r>
              <w:rPr>
                <w:rFonts w:hint="eastAsia" w:ascii="方正书宋_GBK" w:hAnsi="Calibri" w:eastAsia="方正书宋_GBK" w:cs="Times New Roman"/>
                <w:bCs/>
              </w:rPr>
              <w:t>项</w:t>
            </w:r>
          </w:p>
        </w:tc>
        <w:tc>
          <w:tcPr>
            <w:tcW w:w="743" w:type="dxa"/>
            <w:shd w:val="clear" w:color="auto" w:fill="auto"/>
            <w:vAlign w:val="center"/>
          </w:tcPr>
          <w:p>
            <w:pPr>
              <w:spacing w:line="300" w:lineRule="exact"/>
              <w:jc w:val="right"/>
              <w:rPr>
                <w:rFonts w:ascii="方正书宋_GBK" w:hAnsi="Calibri" w:eastAsia="方正书宋_GBK" w:cs="Times New Roman"/>
                <w:bCs/>
              </w:rPr>
            </w:pPr>
            <w:r>
              <w:rPr>
                <w:rFonts w:hint="eastAsia" w:ascii="方正书宋_GBK" w:hAnsi="Calibri" w:eastAsia="方正书宋_GBK" w:cs="Times New Roman"/>
                <w:bCs/>
              </w:rPr>
              <w:t>1.00</w:t>
            </w:r>
          </w:p>
        </w:tc>
        <w:tc>
          <w:tcPr>
            <w:tcW w:w="976" w:type="dxa"/>
            <w:shd w:val="clear" w:color="auto" w:fill="auto"/>
            <w:vAlign w:val="center"/>
          </w:tcPr>
          <w:p>
            <w:pPr>
              <w:spacing w:line="300" w:lineRule="exact"/>
              <w:jc w:val="right"/>
              <w:rPr>
                <w:rFonts w:ascii="方正书宋_GBK" w:hAnsi="Calibri" w:eastAsia="方正书宋_GBK" w:cs="Times New Roman"/>
                <w:bCs/>
              </w:rPr>
            </w:pPr>
            <w:r>
              <w:rPr>
                <w:rFonts w:hint="eastAsia" w:ascii="方正书宋_GBK" w:hAnsi="Calibri" w:eastAsia="方正书宋_GBK" w:cs="Times New Roman"/>
                <w:bCs/>
              </w:rPr>
              <w:t>30.00</w:t>
            </w:r>
          </w:p>
        </w:tc>
        <w:tc>
          <w:tcPr>
            <w:tcW w:w="976" w:type="dxa"/>
            <w:shd w:val="clear" w:color="auto" w:fill="auto"/>
            <w:vAlign w:val="center"/>
          </w:tcPr>
          <w:p>
            <w:pPr>
              <w:spacing w:line="300" w:lineRule="exact"/>
              <w:jc w:val="right"/>
              <w:rPr>
                <w:rFonts w:ascii="方正书宋_GBK" w:hAnsi="Calibri" w:eastAsia="方正书宋_GBK" w:cs="Times New Roman"/>
                <w:bCs/>
              </w:rPr>
            </w:pPr>
            <w:r>
              <w:rPr>
                <w:rFonts w:hint="eastAsia" w:ascii="方正书宋_GBK" w:hAnsi="Calibri" w:eastAsia="方正书宋_GBK" w:cs="Times New Roman"/>
                <w:bCs/>
              </w:rPr>
              <w:t>30.00</w:t>
            </w:r>
          </w:p>
        </w:tc>
        <w:tc>
          <w:tcPr>
            <w:tcW w:w="976" w:type="dxa"/>
            <w:shd w:val="clear" w:color="auto" w:fill="auto"/>
            <w:vAlign w:val="center"/>
          </w:tcPr>
          <w:p>
            <w:pPr>
              <w:spacing w:line="300" w:lineRule="exact"/>
              <w:jc w:val="right"/>
              <w:rPr>
                <w:rFonts w:ascii="方正书宋_GBK" w:hAnsi="Calibri" w:eastAsia="方正书宋_GBK" w:cs="Times New Roman"/>
                <w:bCs/>
              </w:rPr>
            </w:pPr>
            <w:r>
              <w:rPr>
                <w:rFonts w:hint="eastAsia" w:ascii="方正书宋_GBK" w:hAnsi="Calibri" w:eastAsia="方正书宋_GBK" w:cs="Times New Roman"/>
                <w:bCs/>
              </w:rPr>
              <w:t>30.00</w:t>
            </w:r>
          </w:p>
        </w:tc>
        <w:tc>
          <w:tcPr>
            <w:tcW w:w="976" w:type="dxa"/>
            <w:shd w:val="clear" w:color="auto" w:fill="auto"/>
            <w:vAlign w:val="center"/>
          </w:tcPr>
          <w:p>
            <w:pPr>
              <w:spacing w:line="300" w:lineRule="exact"/>
              <w:jc w:val="right"/>
              <w:rPr>
                <w:rFonts w:ascii="方正书宋_GBK" w:hAnsi="Calibri" w:eastAsia="方正书宋_GBK" w:cs="Times New Roman"/>
                <w:bCs/>
              </w:rPr>
            </w:pPr>
            <w:r>
              <w:rPr>
                <w:rFonts w:hint="eastAsia" w:ascii="方正书宋_GBK" w:hAnsi="Calibri" w:eastAsia="方正书宋_GBK" w:cs="Times New Roman"/>
                <w:bCs/>
              </w:rPr>
              <w:t>30.00</w:t>
            </w:r>
          </w:p>
        </w:tc>
        <w:tc>
          <w:tcPr>
            <w:tcW w:w="822" w:type="dxa"/>
            <w:shd w:val="clear" w:color="auto" w:fill="auto"/>
            <w:vAlign w:val="center"/>
          </w:tcPr>
          <w:p>
            <w:pPr>
              <w:spacing w:line="300" w:lineRule="exact"/>
              <w:jc w:val="right"/>
              <w:rPr>
                <w:rFonts w:ascii="方正书宋_GBK" w:hAnsi="Calibri" w:eastAsia="方正书宋_GBK" w:cs="Times New Roman"/>
                <w:bCs/>
              </w:rPr>
            </w:pPr>
          </w:p>
        </w:tc>
        <w:tc>
          <w:tcPr>
            <w:tcW w:w="886" w:type="dxa"/>
            <w:shd w:val="clear" w:color="auto" w:fill="auto"/>
            <w:vAlign w:val="center"/>
          </w:tcPr>
          <w:p>
            <w:pPr>
              <w:spacing w:line="300" w:lineRule="exact"/>
              <w:jc w:val="right"/>
              <w:rPr>
                <w:rFonts w:ascii="方正书宋_GBK" w:hAnsi="Calibri" w:eastAsia="方正书宋_GBK" w:cs="Times New Roman"/>
                <w:b/>
              </w:rPr>
            </w:pPr>
          </w:p>
        </w:tc>
        <w:tc>
          <w:tcPr>
            <w:tcW w:w="886" w:type="dxa"/>
            <w:shd w:val="clear" w:color="auto" w:fill="auto"/>
            <w:vAlign w:val="center"/>
          </w:tcPr>
          <w:p>
            <w:pPr>
              <w:spacing w:line="300" w:lineRule="exact"/>
              <w:jc w:val="right"/>
              <w:rPr>
                <w:rFonts w:ascii="方正书宋_GBK" w:hAnsi="Calibri" w:eastAsia="方正书宋_GBK" w:cs="Times New Roman"/>
                <w:b/>
              </w:rPr>
            </w:pPr>
          </w:p>
        </w:tc>
        <w:tc>
          <w:tcPr>
            <w:tcW w:w="839" w:type="dxa"/>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68" w:type="dxa"/>
            <w:shd w:val="clear" w:color="auto" w:fill="auto"/>
            <w:vAlign w:val="center"/>
          </w:tcPr>
          <w:p>
            <w:pPr>
              <w:spacing w:line="300" w:lineRule="exact"/>
              <w:jc w:val="left"/>
              <w:rPr>
                <w:rFonts w:ascii="方正书宋_GBK" w:hAnsi="Calibri" w:eastAsia="方正书宋_GBK" w:cs="Times New Roman"/>
              </w:rPr>
            </w:pPr>
          </w:p>
        </w:tc>
        <w:tc>
          <w:tcPr>
            <w:tcW w:w="1020" w:type="dxa"/>
            <w:shd w:val="clear" w:color="auto" w:fill="auto"/>
            <w:vAlign w:val="center"/>
          </w:tcPr>
          <w:p>
            <w:pPr>
              <w:spacing w:line="300" w:lineRule="exact"/>
              <w:jc w:val="right"/>
              <w:rPr>
                <w:rFonts w:ascii="方正书宋_GBK" w:hAnsi="Calibri" w:eastAsia="方正书宋_GBK" w:cs="Times New Roman"/>
              </w:rPr>
            </w:pPr>
          </w:p>
        </w:tc>
        <w:tc>
          <w:tcPr>
            <w:tcW w:w="894" w:type="dxa"/>
            <w:shd w:val="clear" w:color="auto" w:fill="auto"/>
            <w:vAlign w:val="center"/>
          </w:tcPr>
          <w:p>
            <w:pPr>
              <w:spacing w:line="300" w:lineRule="exact"/>
              <w:jc w:val="left"/>
              <w:rPr>
                <w:rFonts w:ascii="方正书宋_GBK" w:hAnsi="Calibri" w:eastAsia="方正书宋_GBK" w:cs="Times New Roman"/>
              </w:rPr>
            </w:pPr>
          </w:p>
        </w:tc>
        <w:tc>
          <w:tcPr>
            <w:tcW w:w="1524" w:type="dxa"/>
            <w:shd w:val="clear" w:color="auto" w:fill="auto"/>
            <w:vAlign w:val="center"/>
          </w:tcPr>
          <w:p>
            <w:pPr>
              <w:spacing w:line="300" w:lineRule="exact"/>
              <w:jc w:val="left"/>
              <w:rPr>
                <w:rFonts w:ascii="方正书宋_GBK" w:hAnsi="Calibri" w:eastAsia="方正书宋_GBK" w:cs="Times New Roman"/>
              </w:rPr>
            </w:pPr>
          </w:p>
        </w:tc>
        <w:tc>
          <w:tcPr>
            <w:tcW w:w="682" w:type="dxa"/>
            <w:shd w:val="clear" w:color="auto" w:fill="auto"/>
            <w:vAlign w:val="center"/>
          </w:tcPr>
          <w:p>
            <w:pPr>
              <w:spacing w:line="300" w:lineRule="exact"/>
              <w:jc w:val="left"/>
              <w:rPr>
                <w:rFonts w:ascii="方正书宋_GBK" w:hAnsi="Calibri" w:eastAsia="方正书宋_GBK" w:cs="Times New Roman"/>
              </w:rPr>
            </w:pPr>
          </w:p>
        </w:tc>
        <w:tc>
          <w:tcPr>
            <w:tcW w:w="743" w:type="dxa"/>
            <w:shd w:val="clear" w:color="auto" w:fill="auto"/>
            <w:vAlign w:val="center"/>
          </w:tcPr>
          <w:p>
            <w:pPr>
              <w:spacing w:line="300" w:lineRule="exact"/>
              <w:jc w:val="right"/>
              <w:rPr>
                <w:rFonts w:ascii="方正书宋_GBK" w:hAnsi="Calibri" w:eastAsia="方正书宋_GBK" w:cs="Times New Roman"/>
              </w:rPr>
            </w:pPr>
          </w:p>
        </w:tc>
        <w:tc>
          <w:tcPr>
            <w:tcW w:w="976" w:type="dxa"/>
            <w:shd w:val="clear" w:color="auto" w:fill="auto"/>
            <w:vAlign w:val="center"/>
          </w:tcPr>
          <w:p>
            <w:pPr>
              <w:spacing w:line="300" w:lineRule="exact"/>
              <w:jc w:val="right"/>
              <w:rPr>
                <w:rFonts w:ascii="方正书宋_GBK" w:hAnsi="Calibri" w:eastAsia="方正书宋_GBK" w:cs="Times New Roman"/>
              </w:rPr>
            </w:pPr>
          </w:p>
        </w:tc>
        <w:tc>
          <w:tcPr>
            <w:tcW w:w="976" w:type="dxa"/>
            <w:shd w:val="clear" w:color="auto" w:fill="auto"/>
            <w:vAlign w:val="center"/>
          </w:tcPr>
          <w:p>
            <w:pPr>
              <w:spacing w:line="300" w:lineRule="exact"/>
              <w:jc w:val="right"/>
              <w:rPr>
                <w:rFonts w:ascii="方正书宋_GBK" w:hAnsi="Calibri" w:eastAsia="方正书宋_GBK" w:cs="Times New Roman"/>
              </w:rPr>
            </w:pPr>
          </w:p>
        </w:tc>
        <w:tc>
          <w:tcPr>
            <w:tcW w:w="976" w:type="dxa"/>
            <w:shd w:val="clear" w:color="auto" w:fill="auto"/>
            <w:vAlign w:val="center"/>
          </w:tcPr>
          <w:p>
            <w:pPr>
              <w:spacing w:line="300" w:lineRule="exact"/>
              <w:jc w:val="right"/>
              <w:rPr>
                <w:rFonts w:ascii="方正书宋_GBK" w:hAnsi="Calibri" w:eastAsia="方正书宋_GBK" w:cs="Times New Roman"/>
              </w:rPr>
            </w:pPr>
          </w:p>
        </w:tc>
        <w:tc>
          <w:tcPr>
            <w:tcW w:w="976" w:type="dxa"/>
            <w:shd w:val="clear" w:color="auto" w:fill="auto"/>
            <w:vAlign w:val="center"/>
          </w:tcPr>
          <w:p>
            <w:pPr>
              <w:spacing w:line="300" w:lineRule="exact"/>
              <w:jc w:val="right"/>
              <w:rPr>
                <w:rFonts w:ascii="方正书宋_GBK" w:hAnsi="Calibri" w:eastAsia="方正书宋_GBK" w:cs="Times New Roman"/>
              </w:rPr>
            </w:pPr>
          </w:p>
        </w:tc>
        <w:tc>
          <w:tcPr>
            <w:tcW w:w="822" w:type="dxa"/>
            <w:shd w:val="clear" w:color="auto" w:fill="auto"/>
            <w:vAlign w:val="center"/>
          </w:tcPr>
          <w:p>
            <w:pPr>
              <w:spacing w:line="300" w:lineRule="exact"/>
              <w:jc w:val="right"/>
              <w:rPr>
                <w:rFonts w:ascii="方正书宋_GBK" w:hAnsi="Calibri" w:eastAsia="方正书宋_GBK" w:cs="Times New Roman"/>
              </w:rPr>
            </w:pPr>
          </w:p>
        </w:tc>
        <w:tc>
          <w:tcPr>
            <w:tcW w:w="886" w:type="dxa"/>
            <w:shd w:val="clear" w:color="auto" w:fill="auto"/>
            <w:vAlign w:val="center"/>
          </w:tcPr>
          <w:p>
            <w:pPr>
              <w:spacing w:line="300" w:lineRule="exact"/>
              <w:jc w:val="right"/>
              <w:rPr>
                <w:rFonts w:ascii="方正书宋_GBK" w:hAnsi="Calibri" w:eastAsia="方正书宋_GBK" w:cs="Times New Roman"/>
              </w:rPr>
            </w:pPr>
          </w:p>
        </w:tc>
        <w:tc>
          <w:tcPr>
            <w:tcW w:w="886" w:type="dxa"/>
            <w:shd w:val="clear" w:color="auto" w:fill="auto"/>
            <w:vAlign w:val="center"/>
          </w:tcPr>
          <w:p>
            <w:pPr>
              <w:spacing w:line="300" w:lineRule="exact"/>
              <w:jc w:val="right"/>
              <w:rPr>
                <w:rFonts w:ascii="方正书宋_GBK" w:hAnsi="Calibri" w:eastAsia="方正书宋_GBK" w:cs="Times New Roman"/>
              </w:rPr>
            </w:pPr>
          </w:p>
        </w:tc>
        <w:tc>
          <w:tcPr>
            <w:tcW w:w="839"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68" w:type="dxa"/>
            <w:shd w:val="clear" w:color="auto" w:fill="auto"/>
            <w:vAlign w:val="center"/>
          </w:tcPr>
          <w:p>
            <w:pPr>
              <w:spacing w:line="300" w:lineRule="exact"/>
              <w:jc w:val="left"/>
              <w:rPr>
                <w:rFonts w:ascii="方正书宋_GBK" w:hAnsi="Calibri" w:eastAsia="方正书宋_GBK" w:cs="Times New Roman"/>
              </w:rPr>
            </w:pPr>
          </w:p>
        </w:tc>
        <w:tc>
          <w:tcPr>
            <w:tcW w:w="1020" w:type="dxa"/>
            <w:shd w:val="clear" w:color="auto" w:fill="auto"/>
            <w:vAlign w:val="center"/>
          </w:tcPr>
          <w:p>
            <w:pPr>
              <w:spacing w:line="300" w:lineRule="exact"/>
              <w:jc w:val="right"/>
              <w:rPr>
                <w:rFonts w:ascii="方正书宋_GBK" w:hAnsi="Calibri" w:eastAsia="方正书宋_GBK" w:cs="Times New Roman"/>
              </w:rPr>
            </w:pPr>
          </w:p>
        </w:tc>
        <w:tc>
          <w:tcPr>
            <w:tcW w:w="894" w:type="dxa"/>
            <w:shd w:val="clear" w:color="auto" w:fill="auto"/>
            <w:vAlign w:val="center"/>
          </w:tcPr>
          <w:p>
            <w:pPr>
              <w:spacing w:line="300" w:lineRule="exact"/>
              <w:jc w:val="left"/>
              <w:rPr>
                <w:rFonts w:ascii="方正书宋_GBK" w:hAnsi="Calibri" w:eastAsia="方正书宋_GBK" w:cs="Times New Roman"/>
              </w:rPr>
            </w:pPr>
          </w:p>
        </w:tc>
        <w:tc>
          <w:tcPr>
            <w:tcW w:w="1524" w:type="dxa"/>
            <w:shd w:val="clear" w:color="auto" w:fill="auto"/>
            <w:vAlign w:val="center"/>
          </w:tcPr>
          <w:p>
            <w:pPr>
              <w:spacing w:line="300" w:lineRule="exact"/>
              <w:jc w:val="left"/>
              <w:rPr>
                <w:rFonts w:ascii="方正书宋_GBK" w:hAnsi="Calibri" w:eastAsia="方正书宋_GBK" w:cs="Times New Roman"/>
              </w:rPr>
            </w:pPr>
          </w:p>
        </w:tc>
        <w:tc>
          <w:tcPr>
            <w:tcW w:w="682" w:type="dxa"/>
            <w:shd w:val="clear" w:color="auto" w:fill="auto"/>
            <w:vAlign w:val="center"/>
          </w:tcPr>
          <w:p>
            <w:pPr>
              <w:spacing w:line="300" w:lineRule="exact"/>
              <w:jc w:val="left"/>
              <w:rPr>
                <w:rFonts w:ascii="方正书宋_GBK" w:hAnsi="Calibri" w:eastAsia="方正书宋_GBK" w:cs="Times New Roman"/>
              </w:rPr>
            </w:pPr>
          </w:p>
        </w:tc>
        <w:tc>
          <w:tcPr>
            <w:tcW w:w="743" w:type="dxa"/>
            <w:shd w:val="clear" w:color="auto" w:fill="auto"/>
            <w:vAlign w:val="center"/>
          </w:tcPr>
          <w:p>
            <w:pPr>
              <w:spacing w:line="300" w:lineRule="exact"/>
              <w:jc w:val="right"/>
              <w:rPr>
                <w:rFonts w:ascii="方正书宋_GBK" w:hAnsi="Calibri" w:eastAsia="方正书宋_GBK" w:cs="Times New Roman"/>
              </w:rPr>
            </w:pPr>
          </w:p>
        </w:tc>
        <w:tc>
          <w:tcPr>
            <w:tcW w:w="976" w:type="dxa"/>
            <w:shd w:val="clear" w:color="auto" w:fill="auto"/>
            <w:vAlign w:val="center"/>
          </w:tcPr>
          <w:p>
            <w:pPr>
              <w:spacing w:line="300" w:lineRule="exact"/>
              <w:jc w:val="right"/>
              <w:rPr>
                <w:rFonts w:ascii="方正书宋_GBK" w:hAnsi="Calibri" w:eastAsia="方正书宋_GBK" w:cs="Times New Roman"/>
              </w:rPr>
            </w:pPr>
          </w:p>
        </w:tc>
        <w:tc>
          <w:tcPr>
            <w:tcW w:w="976" w:type="dxa"/>
            <w:shd w:val="clear" w:color="auto" w:fill="auto"/>
            <w:vAlign w:val="center"/>
          </w:tcPr>
          <w:p>
            <w:pPr>
              <w:spacing w:line="300" w:lineRule="exact"/>
              <w:jc w:val="right"/>
              <w:rPr>
                <w:rFonts w:ascii="方正书宋_GBK" w:hAnsi="Calibri" w:eastAsia="方正书宋_GBK" w:cs="Times New Roman"/>
              </w:rPr>
            </w:pPr>
          </w:p>
        </w:tc>
        <w:tc>
          <w:tcPr>
            <w:tcW w:w="976" w:type="dxa"/>
            <w:shd w:val="clear" w:color="auto" w:fill="auto"/>
            <w:vAlign w:val="center"/>
          </w:tcPr>
          <w:p>
            <w:pPr>
              <w:spacing w:line="300" w:lineRule="exact"/>
              <w:jc w:val="right"/>
              <w:rPr>
                <w:rFonts w:ascii="方正书宋_GBK" w:hAnsi="Calibri" w:eastAsia="方正书宋_GBK" w:cs="Times New Roman"/>
              </w:rPr>
            </w:pPr>
          </w:p>
        </w:tc>
        <w:tc>
          <w:tcPr>
            <w:tcW w:w="976" w:type="dxa"/>
            <w:shd w:val="clear" w:color="auto" w:fill="auto"/>
            <w:vAlign w:val="center"/>
          </w:tcPr>
          <w:p>
            <w:pPr>
              <w:spacing w:line="300" w:lineRule="exact"/>
              <w:jc w:val="right"/>
              <w:rPr>
                <w:rFonts w:ascii="方正书宋_GBK" w:hAnsi="Calibri" w:eastAsia="方正书宋_GBK" w:cs="Times New Roman"/>
              </w:rPr>
            </w:pPr>
          </w:p>
        </w:tc>
        <w:tc>
          <w:tcPr>
            <w:tcW w:w="822" w:type="dxa"/>
            <w:shd w:val="clear" w:color="auto" w:fill="auto"/>
            <w:vAlign w:val="center"/>
          </w:tcPr>
          <w:p>
            <w:pPr>
              <w:spacing w:line="300" w:lineRule="exact"/>
              <w:jc w:val="right"/>
              <w:rPr>
                <w:rFonts w:ascii="方正书宋_GBK" w:hAnsi="Calibri" w:eastAsia="方正书宋_GBK" w:cs="Times New Roman"/>
              </w:rPr>
            </w:pPr>
          </w:p>
        </w:tc>
        <w:tc>
          <w:tcPr>
            <w:tcW w:w="886" w:type="dxa"/>
            <w:shd w:val="clear" w:color="auto" w:fill="auto"/>
            <w:vAlign w:val="center"/>
          </w:tcPr>
          <w:p>
            <w:pPr>
              <w:spacing w:line="300" w:lineRule="exact"/>
              <w:jc w:val="right"/>
              <w:rPr>
                <w:rFonts w:ascii="方正书宋_GBK" w:hAnsi="Calibri" w:eastAsia="方正书宋_GBK" w:cs="Times New Roman"/>
              </w:rPr>
            </w:pPr>
          </w:p>
        </w:tc>
        <w:tc>
          <w:tcPr>
            <w:tcW w:w="886" w:type="dxa"/>
            <w:shd w:val="clear" w:color="auto" w:fill="auto"/>
            <w:vAlign w:val="center"/>
          </w:tcPr>
          <w:p>
            <w:pPr>
              <w:spacing w:line="300" w:lineRule="exact"/>
              <w:jc w:val="right"/>
              <w:rPr>
                <w:rFonts w:ascii="方正书宋_GBK" w:hAnsi="Calibri" w:eastAsia="方正书宋_GBK" w:cs="Times New Roman"/>
              </w:rPr>
            </w:pPr>
          </w:p>
        </w:tc>
        <w:tc>
          <w:tcPr>
            <w:tcW w:w="839" w:type="dxa"/>
            <w:shd w:val="clear" w:color="auto" w:fill="auto"/>
            <w:vAlign w:val="center"/>
          </w:tcPr>
          <w:p>
            <w:pPr>
              <w:spacing w:line="300" w:lineRule="exact"/>
              <w:jc w:val="right"/>
              <w:rPr>
                <w:rFonts w:ascii="方正书宋_GBK" w:hAnsi="Calibri" w:eastAsia="方正书宋_GBK" w:cs="Times New Roman"/>
              </w:rPr>
            </w:pP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我部门（含所属单位）上年末固定资产金额为</w:t>
      </w:r>
      <w:r>
        <w:rPr>
          <w:rFonts w:hint="eastAsia" w:ascii="仿宋_GB2312" w:hAnsi="Times New Roman" w:eastAsia="仿宋_GB2312" w:cs="Times New Roman"/>
          <w:sz w:val="32"/>
          <w:szCs w:val="32"/>
        </w:rPr>
        <w:t>600.74</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仿宋_GB2312" w:hAnsi="Times New Roman" w:eastAsia="仿宋_GB2312" w:cs="Times New Roman"/>
          <w:sz w:val="32"/>
          <w:szCs w:val="32"/>
        </w:rPr>
        <w:t>总额为0万元。</w:t>
      </w:r>
      <w:r>
        <w:rPr>
          <w:rFonts w:ascii="仿宋_GB2312" w:hAnsi="黑体" w:eastAsia="仿宋_GB2312" w:cs="Times New Roman"/>
          <w:sz w:val="32"/>
          <w:szCs w:val="32"/>
        </w:rPr>
        <w:t xml:space="preserve"> </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仿宋_GB2312" w:hAnsi="Times New Roman" w:eastAsia="仿宋_GB2312" w:cs="Times New Roman"/>
                <w:sz w:val="32"/>
                <w:szCs w:val="32"/>
              </w:rPr>
              <w:t>青龙满族自治县双山子镇人民政府</w:t>
            </w:r>
          </w:p>
        </w:tc>
        <w:tc>
          <w:tcPr>
            <w:tcW w:w="5103"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截止时间：2017年12月31日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600.74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2804</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518.03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2804</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518.03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2</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26.96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ascii="宋体" w:hAnsi="宋体" w:eastAsia="宋体" w:cs="宋体"/>
                <w:sz w:val="22"/>
              </w:rPr>
              <w:t>275</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55.75</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楷体_GB2312" w:hAnsi="Times New Roman" w:eastAsia="楷体_GB2312" w:cs="Times New Roman"/>
          <w:sz w:val="32"/>
          <w:szCs w:val="32"/>
        </w:rPr>
      </w:pPr>
      <w:r>
        <w:rPr>
          <w:rFonts w:ascii="仿宋_GB2312" w:hAnsi="Times New Roman" w:eastAsia="仿宋_GB2312" w:cs="Times New Roman"/>
          <w:b/>
          <w:sz w:val="32"/>
          <w:szCs w:val="32"/>
        </w:rPr>
        <w:t>1、一般</w:t>
      </w:r>
      <w:r>
        <w:rPr>
          <w:rFonts w:hint="eastAsia" w:ascii="仿宋_GB2312" w:hAnsi="Times New Roman" w:eastAsia="仿宋_GB2312" w:cs="Times New Roman"/>
          <w:b/>
          <w:sz w:val="32"/>
          <w:szCs w:val="32"/>
        </w:rPr>
        <w:t>公</w:t>
      </w:r>
      <w:r>
        <w:rPr>
          <w:rFonts w:ascii="仿宋_GB2312" w:hAnsi="Times New Roman" w:eastAsia="仿宋_GB2312" w:cs="Times New Roman"/>
          <w:b/>
          <w:sz w:val="32"/>
          <w:szCs w:val="32"/>
        </w:rPr>
        <w:t>共预算拨款收入：</w:t>
      </w:r>
      <w:r>
        <w:rPr>
          <w:rFonts w:hint="eastAsia" w:ascii="楷体_GB2312" w:hAnsi="Times New Roman" w:eastAsia="楷体_GB2312" w:cs="Times New Roman"/>
          <w:sz w:val="32"/>
          <w:szCs w:val="32"/>
        </w:rPr>
        <w:t>指县级财政当年拨付的资金。</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2、事业收入：</w:t>
      </w:r>
      <w:r>
        <w:rPr>
          <w:rFonts w:hint="eastAsia" w:ascii="仿宋_GB2312" w:hAnsi="Times New Roman" w:eastAsia="仿宋_GB2312"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仿宋_GB2312" w:hAnsi="Times New Roman" w:eastAsia="仿宋_GB2312" w:cs="Times New Roman"/>
          <w:b/>
          <w:sz w:val="32"/>
          <w:szCs w:val="32"/>
        </w:rPr>
        <w:t>3、其他收入：</w:t>
      </w:r>
      <w:r>
        <w:rPr>
          <w:rFonts w:ascii="仿宋_GB2312" w:hAnsi="Times New Roman" w:eastAsia="仿宋_GB2312" w:cs="Times New Roman"/>
          <w:sz w:val="32"/>
          <w:szCs w:val="32"/>
        </w:rPr>
        <w:t>指除“</w:t>
      </w:r>
      <w:r>
        <w:rPr>
          <w:rFonts w:hint="eastAsia" w:ascii="仿宋_GB2312" w:hAnsi="Times New Roman" w:eastAsia="仿宋_GB2312" w:cs="Times New Roman"/>
          <w:sz w:val="32"/>
          <w:szCs w:val="32"/>
        </w:rPr>
        <w:t>一般公共预算</w:t>
      </w:r>
      <w:r>
        <w:rPr>
          <w:rFonts w:ascii="仿宋_GB2312" w:hAnsi="Times New Roman" w:eastAsia="仿宋_GB2312"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4、基本支出：</w:t>
      </w:r>
      <w:r>
        <w:rPr>
          <w:rFonts w:hint="eastAsia" w:ascii="仿宋_GB2312" w:hAnsi="Times New Roman" w:eastAsia="仿宋_GB2312" w:cs="Times New Roman"/>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5、项目支出：</w:t>
      </w:r>
      <w:r>
        <w:rPr>
          <w:rFonts w:hint="eastAsia" w:ascii="仿宋_GB2312" w:hAnsi="Times New Roman" w:eastAsia="仿宋_GB2312" w:cs="Times New Roman"/>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6、上缴上级支出：</w:t>
      </w:r>
      <w:r>
        <w:rPr>
          <w:rFonts w:hint="eastAsia" w:ascii="仿宋_GB2312" w:hAnsi="Times New Roman" w:eastAsia="仿宋_GB2312"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7、“三公”经费：</w:t>
      </w:r>
      <w:r>
        <w:rPr>
          <w:rFonts w:ascii="仿宋_GB2312" w:hAnsi="Times New Roman" w:eastAsia="仿宋_GB2312" w:cs="Times New Roman"/>
          <w:sz w:val="32"/>
          <w:szCs w:val="32"/>
        </w:rPr>
        <w:t>纳入</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级财政预算管理的“三公”经费，是指</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级部门用财政拨款安排的因公出国（境）费、公务用车购置及运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费和公务接待费。其中，因公出国（境）费反映单位公务出国（境）的住宿费、旅费、伙食补助费、杂费、培训费等支出；公务用车购置及运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8、机关运行费：</w:t>
      </w:r>
      <w:r>
        <w:rPr>
          <w:rFonts w:hint="eastAsia" w:ascii="仿宋_GB2312"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hAnsi="Times New Roman" w:eastAsia="仿宋_GB2312" w:cs="Times New Roman"/>
          <w:sz w:val="32"/>
          <w:szCs w:val="32"/>
        </w:rPr>
        <w:t>其他费用。</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9、上年结转：</w:t>
      </w:r>
      <w:r>
        <w:rPr>
          <w:rFonts w:hint="eastAsia" w:ascii="仿宋_GB2312" w:hAnsi="Times New Roman" w:eastAsia="仿宋_GB2312" w:cs="Times New Roman"/>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10、事业单位经营支出：</w:t>
      </w:r>
      <w:r>
        <w:rPr>
          <w:rFonts w:hint="eastAsia" w:ascii="仿宋_GB2312"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ZWJmNGI2Y2ZkM2E1MDY3YWRmNGJlYjFmNDMyZTEifQ=="/>
  </w:docVars>
  <w:rsids>
    <w:rsidRoot w:val="00F66032"/>
    <w:rsid w:val="00000ECD"/>
    <w:rsid w:val="000053CC"/>
    <w:rsid w:val="00010D1F"/>
    <w:rsid w:val="00027791"/>
    <w:rsid w:val="00037AF6"/>
    <w:rsid w:val="00041028"/>
    <w:rsid w:val="0004565F"/>
    <w:rsid w:val="00072187"/>
    <w:rsid w:val="00075D5F"/>
    <w:rsid w:val="00080348"/>
    <w:rsid w:val="000B529B"/>
    <w:rsid w:val="000C24E6"/>
    <w:rsid w:val="000C3A19"/>
    <w:rsid w:val="000D44E0"/>
    <w:rsid w:val="000E44E0"/>
    <w:rsid w:val="001245BB"/>
    <w:rsid w:val="001251A3"/>
    <w:rsid w:val="001643E8"/>
    <w:rsid w:val="001919C4"/>
    <w:rsid w:val="0019723B"/>
    <w:rsid w:val="0019786C"/>
    <w:rsid w:val="001E0757"/>
    <w:rsid w:val="001E6DDC"/>
    <w:rsid w:val="001F7873"/>
    <w:rsid w:val="00241FD4"/>
    <w:rsid w:val="00251B12"/>
    <w:rsid w:val="00261489"/>
    <w:rsid w:val="00265318"/>
    <w:rsid w:val="002835D7"/>
    <w:rsid w:val="00290FD6"/>
    <w:rsid w:val="00296113"/>
    <w:rsid w:val="002A0D61"/>
    <w:rsid w:val="002A673A"/>
    <w:rsid w:val="002B08A2"/>
    <w:rsid w:val="002C5E13"/>
    <w:rsid w:val="002C62BC"/>
    <w:rsid w:val="002E0273"/>
    <w:rsid w:val="002E0EB8"/>
    <w:rsid w:val="002F3E58"/>
    <w:rsid w:val="0030542C"/>
    <w:rsid w:val="00311B7A"/>
    <w:rsid w:val="00313D9C"/>
    <w:rsid w:val="0031663F"/>
    <w:rsid w:val="00334448"/>
    <w:rsid w:val="003A69E6"/>
    <w:rsid w:val="003B2147"/>
    <w:rsid w:val="003B4874"/>
    <w:rsid w:val="00424943"/>
    <w:rsid w:val="0042727E"/>
    <w:rsid w:val="0043175C"/>
    <w:rsid w:val="00437296"/>
    <w:rsid w:val="00451590"/>
    <w:rsid w:val="00451871"/>
    <w:rsid w:val="00465478"/>
    <w:rsid w:val="004706DE"/>
    <w:rsid w:val="00472923"/>
    <w:rsid w:val="00486DCD"/>
    <w:rsid w:val="004879DC"/>
    <w:rsid w:val="004B0C3A"/>
    <w:rsid w:val="004C49A8"/>
    <w:rsid w:val="004D5788"/>
    <w:rsid w:val="004E3066"/>
    <w:rsid w:val="004E3FE4"/>
    <w:rsid w:val="004E419C"/>
    <w:rsid w:val="004E74CD"/>
    <w:rsid w:val="004F4353"/>
    <w:rsid w:val="00524EFD"/>
    <w:rsid w:val="00531DC4"/>
    <w:rsid w:val="00572067"/>
    <w:rsid w:val="00573562"/>
    <w:rsid w:val="00590ECE"/>
    <w:rsid w:val="005D7BF2"/>
    <w:rsid w:val="005F5714"/>
    <w:rsid w:val="00611D03"/>
    <w:rsid w:val="00614A29"/>
    <w:rsid w:val="006439CC"/>
    <w:rsid w:val="006472F4"/>
    <w:rsid w:val="0065365E"/>
    <w:rsid w:val="00673D76"/>
    <w:rsid w:val="006854F0"/>
    <w:rsid w:val="006B1C4A"/>
    <w:rsid w:val="006B610D"/>
    <w:rsid w:val="006E49F5"/>
    <w:rsid w:val="007013C8"/>
    <w:rsid w:val="00753836"/>
    <w:rsid w:val="0075393C"/>
    <w:rsid w:val="00753C86"/>
    <w:rsid w:val="00754592"/>
    <w:rsid w:val="00755E65"/>
    <w:rsid w:val="00776C08"/>
    <w:rsid w:val="007C219A"/>
    <w:rsid w:val="007E1DA8"/>
    <w:rsid w:val="007E1F30"/>
    <w:rsid w:val="007E7DA2"/>
    <w:rsid w:val="007F6C26"/>
    <w:rsid w:val="00813208"/>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054A"/>
    <w:rsid w:val="00905D08"/>
    <w:rsid w:val="00925753"/>
    <w:rsid w:val="009425F4"/>
    <w:rsid w:val="00943BD8"/>
    <w:rsid w:val="00954B2C"/>
    <w:rsid w:val="00963748"/>
    <w:rsid w:val="00966C5C"/>
    <w:rsid w:val="00973104"/>
    <w:rsid w:val="00995BF0"/>
    <w:rsid w:val="009A16D5"/>
    <w:rsid w:val="009A353D"/>
    <w:rsid w:val="009A6244"/>
    <w:rsid w:val="009B0B77"/>
    <w:rsid w:val="009B511E"/>
    <w:rsid w:val="009C2082"/>
    <w:rsid w:val="009D37D3"/>
    <w:rsid w:val="00A16E6C"/>
    <w:rsid w:val="00A40F60"/>
    <w:rsid w:val="00A44E3D"/>
    <w:rsid w:val="00A72D2E"/>
    <w:rsid w:val="00A74447"/>
    <w:rsid w:val="00A74CE5"/>
    <w:rsid w:val="00A77500"/>
    <w:rsid w:val="00A80BBB"/>
    <w:rsid w:val="00A911E7"/>
    <w:rsid w:val="00A939D9"/>
    <w:rsid w:val="00AD5259"/>
    <w:rsid w:val="00B01D36"/>
    <w:rsid w:val="00B078CD"/>
    <w:rsid w:val="00B20712"/>
    <w:rsid w:val="00B43238"/>
    <w:rsid w:val="00B45DD3"/>
    <w:rsid w:val="00B73582"/>
    <w:rsid w:val="00B75216"/>
    <w:rsid w:val="00B755A2"/>
    <w:rsid w:val="00B9104C"/>
    <w:rsid w:val="00B91D52"/>
    <w:rsid w:val="00B9490F"/>
    <w:rsid w:val="00BA1ACD"/>
    <w:rsid w:val="00BD09F8"/>
    <w:rsid w:val="00C005B2"/>
    <w:rsid w:val="00C7055A"/>
    <w:rsid w:val="00C94BAC"/>
    <w:rsid w:val="00CA7176"/>
    <w:rsid w:val="00CC75B0"/>
    <w:rsid w:val="00CD2773"/>
    <w:rsid w:val="00CE01BA"/>
    <w:rsid w:val="00CE143B"/>
    <w:rsid w:val="00D07DBA"/>
    <w:rsid w:val="00D206E3"/>
    <w:rsid w:val="00D21482"/>
    <w:rsid w:val="00D27003"/>
    <w:rsid w:val="00D9307A"/>
    <w:rsid w:val="00D94AF3"/>
    <w:rsid w:val="00DE14F7"/>
    <w:rsid w:val="00E167C7"/>
    <w:rsid w:val="00E55B78"/>
    <w:rsid w:val="00E76361"/>
    <w:rsid w:val="00EB3AE0"/>
    <w:rsid w:val="00EB4BE0"/>
    <w:rsid w:val="00EC47F6"/>
    <w:rsid w:val="00EF08C9"/>
    <w:rsid w:val="00EF535E"/>
    <w:rsid w:val="00F471F7"/>
    <w:rsid w:val="00F66032"/>
    <w:rsid w:val="00F83B96"/>
    <w:rsid w:val="00F8441D"/>
    <w:rsid w:val="00F87C1E"/>
    <w:rsid w:val="00F958C2"/>
    <w:rsid w:val="00FA5C52"/>
    <w:rsid w:val="00FA740E"/>
    <w:rsid w:val="00FB2F2C"/>
    <w:rsid w:val="00FC06C7"/>
    <w:rsid w:val="00FD5DB4"/>
    <w:rsid w:val="00FE1724"/>
    <w:rsid w:val="00FE59D6"/>
    <w:rsid w:val="035D0EDF"/>
    <w:rsid w:val="104430E9"/>
    <w:rsid w:val="3B5E3E95"/>
    <w:rsid w:val="3D5642D8"/>
    <w:rsid w:val="4F6B51A6"/>
    <w:rsid w:val="54814A54"/>
    <w:rsid w:val="6FFC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unhideWhenUsed/>
    <w:uiPriority w:val="99"/>
    <w:rPr>
      <w:vertAlign w:val="superscript"/>
    </w:rPr>
  </w:style>
  <w:style w:type="character" w:customStyle="1" w:styleId="11">
    <w:name w:val="页眉 字符"/>
    <w:basedOn w:val="9"/>
    <w:link w:val="4"/>
    <w:qFormat/>
    <w:uiPriority w:val="99"/>
    <w:rPr>
      <w:rFonts w:ascii="Times New Roman" w:hAnsi="Times New Roman" w:eastAsia="宋体" w:cs="Times New Roman"/>
      <w:sz w:val="18"/>
      <w:szCs w:val="18"/>
    </w:rPr>
  </w:style>
  <w:style w:type="character" w:customStyle="1" w:styleId="12">
    <w:name w:val="页脚 字符"/>
    <w:basedOn w:val="9"/>
    <w:link w:val="3"/>
    <w:qFormat/>
    <w:uiPriority w:val="99"/>
    <w:rPr>
      <w:rFonts w:ascii="Times New Roman" w:hAnsi="Times New Roman" w:eastAsia="宋体" w:cs="Times New Roman"/>
      <w:sz w:val="18"/>
      <w:szCs w:val="18"/>
    </w:rPr>
  </w:style>
  <w:style w:type="character" w:customStyle="1" w:styleId="13">
    <w:name w:val="批注框文本 字符"/>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字符"/>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5847-289A-4AC6-9614-AB197CB7DB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2047</Words>
  <Characters>11671</Characters>
  <Lines>97</Lines>
  <Paragraphs>27</Paragraphs>
  <TotalTime>19</TotalTime>
  <ScaleCrop>false</ScaleCrop>
  <LinksUpToDate>false</LinksUpToDate>
  <CharactersWithSpaces>13691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2018-02-22T02:41:00Z</cp:lastPrinted>
  <dcterms:modified xsi:type="dcterms:W3CDTF">2024-12-16T06:17:48Z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3B9F708A5FCB49CA9BEEECAE84616E16_13</vt:lpwstr>
  </property>
</Properties>
</file>