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年度预算项目绩效自评表</w:t>
      </w:r>
    </w:p>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w:t>
      </w:r>
    </w:p>
    <w:p>
      <w:pPr>
        <w:adjustRightInd w:val="0"/>
        <w:snapToGrid w:val="0"/>
        <w:spacing w:line="400" w:lineRule="exact"/>
        <w:rPr>
          <w:rFonts w:ascii="仿宋" w:hAnsi="仿宋" w:eastAsia="仿宋" w:cs="仿宋_GB2312"/>
          <w:color w:val="000000"/>
          <w:sz w:val="16"/>
          <w:szCs w:val="16"/>
        </w:rPr>
      </w:pPr>
      <w:r>
        <w:rPr>
          <w:rFonts w:hint="eastAsia" w:ascii="仿宋" w:hAnsi="仿宋" w:eastAsia="仿宋" w:cs="仿宋_GB2312"/>
          <w:color w:val="000000"/>
          <w:sz w:val="16"/>
          <w:szCs w:val="16"/>
        </w:rPr>
        <w:t>填报单位：</w:t>
      </w:r>
      <w:r>
        <w:rPr>
          <w:rFonts w:hint="eastAsia" w:ascii="仿宋" w:hAnsi="仿宋" w:eastAsia="仿宋" w:cs="仿宋_GB2312"/>
          <w:color w:val="000000"/>
          <w:sz w:val="16"/>
          <w:szCs w:val="16"/>
          <w:lang w:val="en-US" w:eastAsia="zh-CN"/>
        </w:rPr>
        <w:t>青龙满族自治县信访局</w:t>
      </w:r>
      <w:r>
        <w:rPr>
          <w:rFonts w:hint="eastAsia" w:ascii="仿宋" w:hAnsi="仿宋" w:eastAsia="仿宋" w:cs="仿宋_GB2312"/>
          <w:color w:val="000000"/>
          <w:sz w:val="16"/>
          <w:szCs w:val="16"/>
        </w:rPr>
        <w:t xml:space="preserve">           </w:t>
      </w:r>
      <w:r>
        <w:rPr>
          <w:rFonts w:ascii="仿宋" w:hAnsi="仿宋" w:eastAsia="仿宋" w:cs="仿宋_GB2312"/>
          <w:color w:val="000000"/>
          <w:sz w:val="16"/>
          <w:szCs w:val="16"/>
        </w:rPr>
        <w:t xml:space="preserve">                      </w:t>
      </w:r>
      <w:r>
        <w:rPr>
          <w:rFonts w:hint="eastAsia" w:ascii="仿宋" w:hAnsi="仿宋" w:eastAsia="仿宋" w:cs="仿宋_GB2312"/>
          <w:color w:val="000000"/>
          <w:sz w:val="16"/>
          <w:szCs w:val="16"/>
        </w:rPr>
        <w:t xml:space="preserve"> 金额单位：万元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84"/>
        <w:gridCol w:w="1050"/>
        <w:gridCol w:w="1067"/>
        <w:gridCol w:w="898"/>
        <w:gridCol w:w="1066"/>
        <w:gridCol w:w="11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一、基本情况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项目名称</w:t>
            </w:r>
          </w:p>
        </w:tc>
        <w:tc>
          <w:tcPr>
            <w:tcW w:w="211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信访维稳经费</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实施（主管）单位</w:t>
            </w:r>
          </w:p>
        </w:tc>
        <w:tc>
          <w:tcPr>
            <w:tcW w:w="335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二、预算执行情况</w:t>
            </w:r>
          </w:p>
        </w:tc>
        <w:tc>
          <w:tcPr>
            <w:tcW w:w="213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预算安排情况（调整后）</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资金到位情况</w:t>
            </w:r>
          </w:p>
        </w:tc>
        <w:tc>
          <w:tcPr>
            <w:tcW w:w="219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资金执行情况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w:t>
            </w:r>
          </w:p>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预算数：</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176.45</w:t>
            </w:r>
          </w:p>
        </w:tc>
        <w:tc>
          <w:tcPr>
            <w:tcW w:w="1067"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到位数：</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151.2</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执行数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151.2</w:t>
            </w:r>
          </w:p>
        </w:tc>
        <w:tc>
          <w:tcPr>
            <w:tcW w:w="1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lang w:val="en-US" w:eastAsia="zh-CN"/>
              </w:rPr>
              <w:t>85.9</w:t>
            </w:r>
            <w:r>
              <w:rPr>
                <w:rFonts w:hint="eastAsia" w:ascii="仿宋" w:hAnsi="仿宋" w:eastAsia="仿宋" w:cs="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单位：财政  资金</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176.45</w:t>
            </w:r>
          </w:p>
        </w:tc>
        <w:tc>
          <w:tcPr>
            <w:tcW w:w="1067"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151.2</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151.2</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67"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三、目标完成情况</w:t>
            </w: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年度预期目标</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具体完成情况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通过有效防控进京、赴省、到市及北戴河集体访，圆满完成各大重要活动期间的信访值班任务及接劝返工作</w:t>
            </w:r>
            <w:r>
              <w:rPr>
                <w:rFonts w:hint="eastAsia" w:ascii="仿宋" w:hAnsi="仿宋" w:eastAsia="仿宋" w:cs="仿宋_GB2312"/>
                <w:color w:val="000000"/>
                <w:sz w:val="16"/>
                <w:szCs w:val="16"/>
                <w:lang w:eastAsia="zh-CN"/>
              </w:rPr>
              <w:t>，</w:t>
            </w:r>
            <w:r>
              <w:rPr>
                <w:rFonts w:hint="eastAsia" w:ascii="仿宋" w:hAnsi="仿宋" w:eastAsia="仿宋" w:cs="仿宋_GB2312"/>
                <w:color w:val="000000"/>
                <w:sz w:val="16"/>
                <w:szCs w:val="16"/>
              </w:rPr>
              <w:t>保障我县社会稳定</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已完成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四、年度绩效指标完成情况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一级指标</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二级指标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三级指标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预期指标值</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实际完成值</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产出指标（70）</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数量指标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接访次数</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210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质量指标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进京集体访与上年同期下降率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40%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质量指标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上访案件问题处理率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上访案件应急处理时间</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及时处置</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及时处置</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信访事项按期结案率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rPr>
              <w:t>时效指标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租车费用</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按照实际情况发生计算</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lang w:val="en-US" w:eastAsia="zh-CN"/>
              </w:rPr>
              <w:t>按照实际情况发生计算</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时效指标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维稳人员交通费及补助</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及时发放</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及时发放</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效益指标（10分）</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社会效益指标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default" w:ascii="仿宋" w:hAnsi="仿宋" w:eastAsia="仿宋" w:cs="仿宋_GB2312"/>
                <w:color w:val="000000"/>
                <w:sz w:val="16"/>
                <w:szCs w:val="16"/>
                <w:lang w:val="en-US" w:eastAsia="zh-CN"/>
              </w:rPr>
              <w:t>各“敏感期”国家、省市集体访“零登记”</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敏感期零登记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零登记</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满意度指标（10分）</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服务对象满意度指标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维护社会和谐稳定</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社会稳定</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社会稳定</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预算执行率（10分）</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预算执行率</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kern w:val="2"/>
                <w:sz w:val="18"/>
                <w:szCs w:val="18"/>
                <w:lang w:val="en-US" w:eastAsia="zh-CN" w:bidi="ar-SA"/>
              </w:rPr>
            </w:pPr>
            <w:r>
              <w:rPr>
                <w:rFonts w:hint="eastAsia" w:ascii="仿宋" w:hAnsi="仿宋" w:eastAsia="仿宋" w:cs="仿宋_GB2312"/>
                <w:color w:val="000000"/>
                <w:sz w:val="18"/>
                <w:szCs w:val="18"/>
              </w:rPr>
              <w:t>预算执行率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kern w:val="2"/>
                <w:sz w:val="18"/>
                <w:szCs w:val="18"/>
                <w:lang w:val="en-US" w:eastAsia="zh-CN" w:bidi="ar-SA"/>
              </w:rPr>
            </w:pPr>
            <w:r>
              <w:rPr>
                <w:rFonts w:hint="eastAsia" w:ascii="仿宋" w:hAnsi="仿宋" w:eastAsia="仿宋" w:cs="仿宋_GB2312"/>
                <w:color w:val="000000"/>
                <w:sz w:val="18"/>
                <w:szCs w:val="18"/>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kern w:val="2"/>
                <w:sz w:val="18"/>
                <w:szCs w:val="18"/>
                <w:lang w:val="en-US" w:eastAsia="zh-CN" w:bidi="ar-SA"/>
              </w:rPr>
            </w:pPr>
            <w:r>
              <w:rPr>
                <w:rFonts w:hint="eastAsia" w:ascii="仿宋" w:hAnsi="仿宋" w:eastAsia="仿宋" w:cs="仿宋_GB2312"/>
                <w:color w:val="000000"/>
                <w:sz w:val="18"/>
                <w:szCs w:val="18"/>
                <w:lang w:val="en-US" w:eastAsia="zh-CN"/>
              </w:rPr>
              <w:t>85.9%</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p>
        </w:tc>
        <w:tc>
          <w:tcPr>
            <w:tcW w:w="629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自评总分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五、存在问题、原因及下一步整改措施</w:t>
            </w:r>
          </w:p>
        </w:tc>
        <w:tc>
          <w:tcPr>
            <w:tcW w:w="7456"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切实发挥资金作用，减少进京赴省访。</w:t>
            </w:r>
          </w:p>
        </w:tc>
      </w:tr>
    </w:tbl>
    <w:p>
      <w:pPr>
        <w:adjustRightInd w:val="0"/>
        <w:snapToGrid w:val="0"/>
        <w:spacing w:line="400" w:lineRule="exact"/>
        <w:jc w:val="center"/>
        <w:rPr>
          <w:rFonts w:hint="eastAsia" w:ascii="仿宋" w:hAnsi="仿宋" w:eastAsia="仿宋" w:cs="仿宋_GB2312"/>
          <w:color w:val="000000"/>
          <w:sz w:val="32"/>
          <w:szCs w:val="32"/>
        </w:rPr>
      </w:pPr>
    </w:p>
    <w:p>
      <w:pPr>
        <w:adjustRightInd w:val="0"/>
        <w:snapToGrid w:val="0"/>
        <w:spacing w:line="400" w:lineRule="exact"/>
        <w:jc w:val="center"/>
        <w:rPr>
          <w:rFonts w:hint="eastAsia" w:ascii="仿宋" w:hAnsi="仿宋" w:eastAsia="仿宋" w:cs="仿宋_GB2312"/>
          <w:color w:val="000000"/>
          <w:sz w:val="32"/>
          <w:szCs w:val="32"/>
        </w:rPr>
      </w:pPr>
    </w:p>
    <w:p>
      <w:pPr>
        <w:adjustRightInd w:val="0"/>
        <w:snapToGrid w:val="0"/>
        <w:spacing w:line="400" w:lineRule="exact"/>
        <w:jc w:val="center"/>
        <w:rPr>
          <w:rFonts w:hint="eastAsia" w:ascii="仿宋" w:hAnsi="仿宋" w:eastAsia="仿宋" w:cs="仿宋_GB2312"/>
          <w:color w:val="000000"/>
          <w:sz w:val="32"/>
          <w:szCs w:val="32"/>
        </w:rPr>
      </w:pPr>
    </w:p>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年度预算项目绩效自评表</w:t>
      </w:r>
    </w:p>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w:t>
      </w:r>
    </w:p>
    <w:p>
      <w:pPr>
        <w:adjustRightInd w:val="0"/>
        <w:snapToGrid w:val="0"/>
        <w:spacing w:line="400" w:lineRule="exact"/>
        <w:rPr>
          <w:rFonts w:ascii="仿宋" w:hAnsi="仿宋" w:eastAsia="仿宋" w:cs="仿宋_GB2312"/>
          <w:color w:val="000000"/>
          <w:sz w:val="16"/>
          <w:szCs w:val="16"/>
        </w:rPr>
      </w:pPr>
      <w:r>
        <w:rPr>
          <w:rFonts w:hint="eastAsia" w:ascii="仿宋" w:hAnsi="仿宋" w:eastAsia="仿宋" w:cs="仿宋_GB2312"/>
          <w:color w:val="000000"/>
          <w:sz w:val="16"/>
          <w:szCs w:val="16"/>
        </w:rPr>
        <w:t>填报单位：</w:t>
      </w:r>
      <w:r>
        <w:rPr>
          <w:rFonts w:hint="eastAsia" w:ascii="仿宋" w:hAnsi="仿宋" w:eastAsia="仿宋" w:cs="仿宋_GB2312"/>
          <w:color w:val="000000"/>
          <w:sz w:val="16"/>
          <w:szCs w:val="16"/>
          <w:lang w:val="en-US" w:eastAsia="zh-CN"/>
        </w:rPr>
        <w:t>青龙满族自治县信访局</w:t>
      </w:r>
      <w:r>
        <w:rPr>
          <w:rFonts w:hint="eastAsia" w:ascii="仿宋" w:hAnsi="仿宋" w:eastAsia="仿宋" w:cs="仿宋_GB2312"/>
          <w:color w:val="000000"/>
          <w:sz w:val="16"/>
          <w:szCs w:val="16"/>
        </w:rPr>
        <w:t xml:space="preserve">           </w:t>
      </w:r>
      <w:r>
        <w:rPr>
          <w:rFonts w:ascii="仿宋" w:hAnsi="仿宋" w:eastAsia="仿宋" w:cs="仿宋_GB2312"/>
          <w:color w:val="000000"/>
          <w:sz w:val="16"/>
          <w:szCs w:val="16"/>
        </w:rPr>
        <w:t xml:space="preserve">                      </w:t>
      </w:r>
      <w:r>
        <w:rPr>
          <w:rFonts w:hint="eastAsia" w:ascii="仿宋" w:hAnsi="仿宋" w:eastAsia="仿宋" w:cs="仿宋_GB2312"/>
          <w:color w:val="000000"/>
          <w:sz w:val="16"/>
          <w:szCs w:val="16"/>
        </w:rPr>
        <w:t xml:space="preserve"> 金额单位：万元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84"/>
        <w:gridCol w:w="971"/>
        <w:gridCol w:w="1146"/>
        <w:gridCol w:w="898"/>
        <w:gridCol w:w="1066"/>
        <w:gridCol w:w="11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一、基本情况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项目名称</w:t>
            </w:r>
          </w:p>
        </w:tc>
        <w:tc>
          <w:tcPr>
            <w:tcW w:w="211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法律服务费</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实施（主管）单位</w:t>
            </w:r>
          </w:p>
        </w:tc>
        <w:tc>
          <w:tcPr>
            <w:tcW w:w="3357"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二、预算执行情况</w:t>
            </w:r>
          </w:p>
        </w:tc>
        <w:tc>
          <w:tcPr>
            <w:tcW w:w="2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预算安排情况（调整后）</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资金到位情况</w:t>
            </w:r>
          </w:p>
        </w:tc>
        <w:tc>
          <w:tcPr>
            <w:tcW w:w="219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资金执行情况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w:t>
            </w:r>
          </w:p>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预算数：</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到位数：</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执行数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单位：财政  资金</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三、目标完成情况</w:t>
            </w: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年度预期目标</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具体完成情况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通过聘请专业的法律服务并发挥律师专业优势，实现重大政策与法律法规的有效衔接</w:t>
            </w:r>
            <w:r>
              <w:rPr>
                <w:rFonts w:hint="eastAsia" w:ascii="仿宋" w:hAnsi="仿宋" w:eastAsia="仿宋" w:cs="仿宋_GB2312"/>
                <w:color w:val="000000"/>
                <w:sz w:val="16"/>
                <w:szCs w:val="16"/>
                <w:lang w:eastAsia="zh-CN"/>
              </w:rPr>
              <w:t>，</w:t>
            </w:r>
            <w:r>
              <w:rPr>
                <w:rFonts w:hint="eastAsia" w:ascii="仿宋" w:hAnsi="仿宋" w:eastAsia="仿宋" w:cs="仿宋_GB2312"/>
                <w:color w:val="000000"/>
                <w:sz w:val="16"/>
                <w:szCs w:val="16"/>
              </w:rPr>
              <w:t>促进案件化解率的提升，提高依法决策水平，提升政府公信力，推动法治政府建设。</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已完成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四、年度绩效指标完成情况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一级指标</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二级指标</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三级指标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预期指标值</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实际完成值</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产出指标（70）</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数量指标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律师人数</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数量指标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信访案件数量</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参与信访案件听证率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涉法涉诉信访案件参</w:t>
            </w:r>
            <w:r>
              <w:rPr>
                <w:rFonts w:hint="eastAsia" w:ascii="仿宋" w:hAnsi="仿宋" w:eastAsia="仿宋" w:cs="仿宋_GB2312"/>
                <w:color w:val="000000"/>
                <w:sz w:val="16"/>
                <w:szCs w:val="16"/>
                <w:lang w:val="en-US" w:eastAsia="zh-CN"/>
              </w:rPr>
              <w:t>与</w:t>
            </w:r>
            <w:r>
              <w:rPr>
                <w:rFonts w:hint="default" w:ascii="仿宋" w:hAnsi="仿宋" w:eastAsia="仿宋" w:cs="仿宋_GB2312"/>
                <w:color w:val="000000"/>
                <w:sz w:val="16"/>
                <w:szCs w:val="16"/>
                <w:lang w:val="en-US" w:eastAsia="zh-CN"/>
              </w:rPr>
              <w:t>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50%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法律服务及时性</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及时履行</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及时履行</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成本指标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律师服务费</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1万元</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1万元</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时效性</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及时支付服务费用</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年底</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年底支付</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效益指标（10分）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社会效益指标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大幅减少信访人对政府不满情绪</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大幅减少</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群众满意程度提升</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满意度指标（10分）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可持续影响指标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default" w:ascii="仿宋" w:hAnsi="仿宋" w:eastAsia="仿宋" w:cs="仿宋_GB2312"/>
                <w:color w:val="000000"/>
                <w:sz w:val="16"/>
                <w:szCs w:val="16"/>
                <w:lang w:val="en-US" w:eastAsia="zh-CN"/>
              </w:rPr>
              <w:t>群众满意度</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80%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90%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预算执行率（10分）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rPr>
              <w:t>预算执行率</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rPr>
              <w:t>预算执行率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p>
        </w:tc>
        <w:tc>
          <w:tcPr>
            <w:tcW w:w="6296"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自评总分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五、存在问题、原因及下一步整改措施</w:t>
            </w:r>
          </w:p>
        </w:tc>
        <w:tc>
          <w:tcPr>
            <w:tcW w:w="7456"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加大律师参与信访调解频次，保质保量完成目标。</w:t>
            </w:r>
          </w:p>
        </w:tc>
      </w:tr>
    </w:tbl>
    <w:p>
      <w:pPr>
        <w:keepNext w:val="0"/>
        <w:keepLines w:val="0"/>
        <w:pageBreakBefore w:val="0"/>
        <w:widowControl w:val="0"/>
        <w:kinsoku/>
        <w:wordWrap/>
        <w:overflowPunct/>
        <w:topLinePunct w:val="0"/>
        <w:autoSpaceDE/>
        <w:autoSpaceDN/>
        <w:bidi w:val="0"/>
        <w:spacing w:after="0"/>
        <w:textAlignment w:val="auto"/>
      </w:pPr>
    </w:p>
    <w:p>
      <w:pPr>
        <w:adjustRightInd w:val="0"/>
        <w:snapToGrid w:val="0"/>
        <w:spacing w:line="40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202</w:t>
      </w:r>
      <w:r>
        <w:rPr>
          <w:rFonts w:hint="eastAsia" w:ascii="仿宋" w:hAnsi="仿宋" w:eastAsia="仿宋" w:cs="仿宋_GB2312"/>
          <w:color w:val="000000"/>
          <w:sz w:val="28"/>
          <w:szCs w:val="28"/>
          <w:lang w:val="en-US" w:eastAsia="zh-CN"/>
        </w:rPr>
        <w:t>3</w:t>
      </w:r>
      <w:r>
        <w:rPr>
          <w:rFonts w:hint="eastAsia" w:ascii="仿宋" w:hAnsi="仿宋" w:eastAsia="仿宋" w:cs="仿宋_GB2312"/>
          <w:color w:val="000000"/>
          <w:sz w:val="28"/>
          <w:szCs w:val="28"/>
        </w:rPr>
        <w:t>年度预算项目绩效自评表</w:t>
      </w:r>
    </w:p>
    <w:p>
      <w:pPr>
        <w:adjustRightInd w:val="0"/>
        <w:snapToGrid w:val="0"/>
        <w:spacing w:line="400" w:lineRule="exact"/>
        <w:jc w:val="center"/>
        <w:rPr>
          <w:rFonts w:ascii="仿宋" w:hAnsi="仿宋" w:eastAsia="仿宋" w:cs="仿宋_GB2312"/>
          <w:color w:val="000000"/>
          <w:sz w:val="28"/>
          <w:szCs w:val="28"/>
        </w:rPr>
      </w:pPr>
      <w:r>
        <w:rPr>
          <w:rFonts w:hint="eastAsia" w:ascii="仿宋" w:hAnsi="仿宋" w:eastAsia="仿宋" w:cs="仿宋_GB2312"/>
          <w:color w:val="000000"/>
          <w:sz w:val="28"/>
          <w:szCs w:val="28"/>
        </w:rPr>
        <w:t>（202</w:t>
      </w:r>
      <w:r>
        <w:rPr>
          <w:rFonts w:hint="eastAsia" w:ascii="仿宋" w:hAnsi="仿宋" w:eastAsia="仿宋" w:cs="仿宋_GB2312"/>
          <w:color w:val="000000"/>
          <w:sz w:val="28"/>
          <w:szCs w:val="28"/>
          <w:lang w:val="en-US" w:eastAsia="zh-CN"/>
        </w:rPr>
        <w:t>3</w:t>
      </w:r>
      <w:r>
        <w:rPr>
          <w:rFonts w:hint="eastAsia" w:ascii="仿宋" w:hAnsi="仿宋" w:eastAsia="仿宋" w:cs="仿宋_GB2312"/>
          <w:color w:val="000000"/>
          <w:sz w:val="28"/>
          <w:szCs w:val="28"/>
        </w:rPr>
        <w:t>年度）</w:t>
      </w:r>
    </w:p>
    <w:p>
      <w:pPr>
        <w:adjustRightInd w:val="0"/>
        <w:snapToGrid w:val="0"/>
        <w:spacing w:line="400" w:lineRule="exact"/>
        <w:rPr>
          <w:rFonts w:ascii="仿宋" w:hAnsi="仿宋" w:eastAsia="仿宋" w:cs="仿宋_GB2312"/>
          <w:color w:val="000000"/>
          <w:sz w:val="28"/>
          <w:szCs w:val="28"/>
        </w:rPr>
      </w:pPr>
      <w:r>
        <w:rPr>
          <w:rFonts w:hint="eastAsia" w:ascii="仿宋" w:hAnsi="仿宋" w:eastAsia="仿宋" w:cs="仿宋_GB2312"/>
          <w:color w:val="000000"/>
          <w:sz w:val="28"/>
          <w:szCs w:val="28"/>
        </w:rPr>
        <w:t>填报单位：</w:t>
      </w:r>
      <w:r>
        <w:rPr>
          <w:rFonts w:hint="eastAsia" w:ascii="仿宋" w:hAnsi="仿宋" w:eastAsia="仿宋" w:cs="仿宋_GB2312"/>
          <w:color w:val="000000"/>
          <w:sz w:val="28"/>
          <w:szCs w:val="28"/>
          <w:lang w:val="en-US" w:eastAsia="zh-CN"/>
        </w:rPr>
        <w:t>青龙满族自治县信访局</w:t>
      </w:r>
      <w:r>
        <w:rPr>
          <w:rFonts w:hint="eastAsia" w:ascii="仿宋" w:hAnsi="仿宋" w:eastAsia="仿宋" w:cs="仿宋_GB2312"/>
          <w:color w:val="000000"/>
          <w:sz w:val="28"/>
          <w:szCs w:val="28"/>
        </w:rPr>
        <w:t xml:space="preserve">           金额单位：万元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084"/>
        <w:gridCol w:w="971"/>
        <w:gridCol w:w="1146"/>
        <w:gridCol w:w="898"/>
        <w:gridCol w:w="1066"/>
        <w:gridCol w:w="11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一、基本情况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项目名称</w:t>
            </w:r>
          </w:p>
        </w:tc>
        <w:tc>
          <w:tcPr>
            <w:tcW w:w="211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群众工作中心运行经费</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实施（主管）单位</w:t>
            </w:r>
          </w:p>
        </w:tc>
        <w:tc>
          <w:tcPr>
            <w:tcW w:w="3357"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二、预算执行情况</w:t>
            </w:r>
          </w:p>
        </w:tc>
        <w:tc>
          <w:tcPr>
            <w:tcW w:w="2055"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预算安排情况（调整后）</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资金到位情况</w:t>
            </w:r>
          </w:p>
        </w:tc>
        <w:tc>
          <w:tcPr>
            <w:tcW w:w="219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资金执行情况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w:t>
            </w:r>
          </w:p>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预算数：</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8.02</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到位数：</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3.04</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执行数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3.04</w:t>
            </w:r>
          </w:p>
        </w:tc>
        <w:tc>
          <w:tcPr>
            <w:tcW w:w="1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lang w:val="en-US" w:eastAsia="zh-CN"/>
              </w:rPr>
              <w:t>40.39</w:t>
            </w:r>
            <w:r>
              <w:rPr>
                <w:rFonts w:hint="eastAsia" w:ascii="仿宋" w:hAnsi="仿宋" w:eastAsia="仿宋" w:cs="仿宋_GB2312"/>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单位：财政  资金</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8.02</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3.04</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3.04</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三、目标完成情况</w:t>
            </w: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年度预期目标</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具体完成情况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320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通过拓展和延伸群众工作职能，着力打造群众工作新平台，构建我县信访工作新格局保证群众工作中心正常运转通过处理一般性群众来访工作，促进社会稳定和谐。</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已完成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四、年度绩效指标完成情况</w:t>
            </w: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一级指标</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二级指标</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三级指标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预期指标值</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实际完成值</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产出指标（70）</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数量指标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办公设备数量</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数量指标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支付工资人数</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设备运行率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人员出勤率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工资支付及时性</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按月支付</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按月支付</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成本指标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保安、门卫工资成本</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6</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成本指标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办公费成本</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0.8</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0.8</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效益指标（10分）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社会效益指标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接待率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满意度指标（10分）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lang w:val="en-US" w:eastAsia="zh-CN"/>
              </w:rPr>
              <w:t>可持续影响指标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维护正常办公秩序</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秩序良好</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秩序良好</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84"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预算执行率（10分）</w:t>
            </w:r>
          </w:p>
        </w:tc>
        <w:tc>
          <w:tcPr>
            <w:tcW w:w="97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rPr>
            </w:pPr>
            <w:r>
              <w:rPr>
                <w:rFonts w:hint="eastAsia" w:ascii="仿宋" w:hAnsi="仿宋" w:eastAsia="仿宋" w:cs="仿宋_GB2312"/>
                <w:color w:val="000000"/>
                <w:sz w:val="16"/>
                <w:szCs w:val="16"/>
              </w:rPr>
              <w:t>预算执行率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群众满意度</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6296"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自评总分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五、存在问题、原因及下一步整改措施</w:t>
            </w:r>
          </w:p>
        </w:tc>
        <w:tc>
          <w:tcPr>
            <w:tcW w:w="7456"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强化组织领导，加大对门卫保安管理，确保不再发生人员未经允许到三楼领导接访室。</w:t>
            </w:r>
          </w:p>
        </w:tc>
      </w:tr>
    </w:tbl>
    <w:p/>
    <w:p/>
    <w:p/>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年度预算项目绩效自评表</w:t>
      </w:r>
    </w:p>
    <w:p>
      <w:pPr>
        <w:adjustRightInd w:val="0"/>
        <w:snapToGrid w:val="0"/>
        <w:spacing w:line="400" w:lineRule="exact"/>
        <w:jc w:val="center"/>
        <w:rPr>
          <w:rFonts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年度）</w:t>
      </w:r>
    </w:p>
    <w:p>
      <w:pPr>
        <w:adjustRightInd w:val="0"/>
        <w:snapToGrid w:val="0"/>
        <w:spacing w:line="400" w:lineRule="exact"/>
        <w:rPr>
          <w:rFonts w:ascii="仿宋" w:hAnsi="仿宋" w:eastAsia="仿宋" w:cs="仿宋_GB2312"/>
          <w:color w:val="000000"/>
          <w:sz w:val="16"/>
          <w:szCs w:val="16"/>
        </w:rPr>
      </w:pPr>
      <w:r>
        <w:rPr>
          <w:rFonts w:hint="eastAsia" w:ascii="仿宋" w:hAnsi="仿宋" w:eastAsia="仿宋" w:cs="仿宋_GB2312"/>
          <w:color w:val="000000"/>
          <w:sz w:val="16"/>
          <w:szCs w:val="16"/>
        </w:rPr>
        <w:t>填报单位：</w:t>
      </w:r>
      <w:r>
        <w:rPr>
          <w:rFonts w:hint="eastAsia" w:ascii="仿宋" w:hAnsi="仿宋" w:eastAsia="仿宋" w:cs="仿宋_GB2312"/>
          <w:color w:val="000000"/>
          <w:sz w:val="16"/>
          <w:szCs w:val="16"/>
          <w:lang w:val="en-US" w:eastAsia="zh-CN"/>
        </w:rPr>
        <w:t>青龙满族自治县信访局</w:t>
      </w:r>
      <w:r>
        <w:rPr>
          <w:rFonts w:hint="eastAsia" w:ascii="仿宋" w:hAnsi="仿宋" w:eastAsia="仿宋" w:cs="仿宋_GB2312"/>
          <w:color w:val="000000"/>
          <w:sz w:val="16"/>
          <w:szCs w:val="16"/>
        </w:rPr>
        <w:t xml:space="preserve">           </w:t>
      </w:r>
      <w:r>
        <w:rPr>
          <w:rFonts w:ascii="仿宋" w:hAnsi="仿宋" w:eastAsia="仿宋" w:cs="仿宋_GB2312"/>
          <w:color w:val="000000"/>
          <w:sz w:val="16"/>
          <w:szCs w:val="16"/>
        </w:rPr>
        <w:t xml:space="preserve">                      </w:t>
      </w:r>
      <w:r>
        <w:rPr>
          <w:rFonts w:hint="eastAsia" w:ascii="仿宋" w:hAnsi="仿宋" w:eastAsia="仿宋" w:cs="仿宋_GB2312"/>
          <w:color w:val="000000"/>
          <w:sz w:val="16"/>
          <w:szCs w:val="16"/>
        </w:rPr>
        <w:t xml:space="preserve"> 金额单位：万元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091"/>
        <w:gridCol w:w="1035"/>
        <w:gridCol w:w="1146"/>
        <w:gridCol w:w="898"/>
        <w:gridCol w:w="1066"/>
        <w:gridCol w:w="113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一、基本情况</w:t>
            </w: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项目名称</w:t>
            </w:r>
          </w:p>
        </w:tc>
        <w:tc>
          <w:tcPr>
            <w:tcW w:w="2181"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特殊疑难信访问题救助资金</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实施（主管）单位</w:t>
            </w:r>
          </w:p>
        </w:tc>
        <w:tc>
          <w:tcPr>
            <w:tcW w:w="3357"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eastAsia="zh-CN"/>
              </w:rPr>
            </w:pPr>
            <w:r>
              <w:rPr>
                <w:rFonts w:hint="eastAsia" w:ascii="仿宋" w:hAnsi="仿宋" w:eastAsia="仿宋" w:cs="仿宋_GB2312"/>
                <w:color w:val="000000"/>
                <w:sz w:val="16"/>
                <w:szCs w:val="16"/>
                <w:lang w:val="en-US" w:eastAsia="zh-CN"/>
              </w:rPr>
              <w:t>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二、预算执行情况</w:t>
            </w:r>
          </w:p>
        </w:tc>
        <w:tc>
          <w:tcPr>
            <w:tcW w:w="2126"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预算安排情况（调整后）</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资金到位情况</w:t>
            </w:r>
          </w:p>
        </w:tc>
        <w:tc>
          <w:tcPr>
            <w:tcW w:w="219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资金执行情况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5"/>
                <w:szCs w:val="15"/>
              </w:rPr>
              <w:t>预算执行进度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预算数：</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到位数：</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执行数</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rPr>
            </w:pPr>
            <w:r>
              <w:rPr>
                <w:rFonts w:hint="eastAsia" w:ascii="仿宋" w:hAnsi="仿宋" w:eastAsia="仿宋" w:cs="仿宋_GB2312"/>
                <w:color w:val="000000"/>
                <w:sz w:val="16"/>
                <w:szCs w:val="16"/>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单位：财政  资金</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其中：财政  资金</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4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898"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其他</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1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三、目标完成情况</w:t>
            </w:r>
          </w:p>
        </w:tc>
        <w:tc>
          <w:tcPr>
            <w:tcW w:w="3272"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年度预期目标</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具体完成情况</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总体完成率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3272"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00" w:lineRule="exact"/>
              <w:jc w:val="both"/>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 xml:space="preserve">通过化解矛盾、疏导教育等多种措施相结合，达到“案结事了”，息诉罢访，通过对特殊疑难信访个案有实际困难的当事人给予求助，维护社会稳定。     </w:t>
            </w:r>
          </w:p>
        </w:tc>
        <w:tc>
          <w:tcPr>
            <w:tcW w:w="309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已完成</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四、年度绩效指标完成情况</w:t>
            </w: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一级指标</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二级指标</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三级指标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预期指标值</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实际完成值</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产出指标（70）</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数量指标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解决特殊疑难信访个案</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3"/>
                <w:szCs w:val="13"/>
                <w:lang w:val="en-US" w:eastAsia="zh-CN"/>
              </w:rPr>
              <w:t>特殊疑难信访个案息诉罢访率</w:t>
            </w: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信访救助金核实精准率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质量指标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救助金发放准确率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时效指标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救助资金发放时间</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及时支付</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及时支付</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成本指标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救助资金标准</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25</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效益指标（10分）</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可持续影响指标</w:t>
            </w: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default" w:ascii="仿宋" w:hAnsi="仿宋" w:eastAsia="仿宋" w:cs="仿宋_GB2312"/>
                <w:color w:val="000000"/>
                <w:sz w:val="16"/>
                <w:szCs w:val="16"/>
                <w:lang w:val="en-US" w:eastAsia="zh-CN"/>
              </w:rPr>
              <w:t>维护社会稳定</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满意度指标（10分）</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服务对象满意度</w:t>
            </w:r>
          </w:p>
        </w:tc>
        <w:tc>
          <w:tcPr>
            <w:tcW w:w="2044"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服务对象满意度指标</w:t>
            </w:r>
          </w:p>
        </w:tc>
        <w:tc>
          <w:tcPr>
            <w:tcW w:w="1066" w:type="dxa"/>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信访人满意</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信访人满意</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109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预算执行率（10分）</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p>
        </w:tc>
        <w:tc>
          <w:tcPr>
            <w:tcW w:w="2044" w:type="dxa"/>
            <w:gridSpan w:val="2"/>
            <w:vAlign w:val="top"/>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p>
        </w:tc>
        <w:tc>
          <w:tcPr>
            <w:tcW w:w="1066"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 w:hAnsi="仿宋" w:eastAsia="仿宋" w:cs="仿宋_GB2312"/>
                <w:color w:val="000000"/>
                <w:sz w:val="16"/>
                <w:szCs w:val="16"/>
                <w:lang w:val="en-US" w:eastAsia="zh-CN"/>
              </w:rPr>
            </w:pPr>
            <w:r>
              <w:rPr>
                <w:rFonts w:hint="eastAsia" w:ascii="仿宋" w:hAnsi="仿宋" w:eastAsia="仿宋" w:cs="仿宋_GB2312"/>
                <w:color w:val="000000"/>
                <w:sz w:val="16"/>
                <w:szCs w:val="16"/>
              </w:rPr>
              <w:t>100%</w:t>
            </w:r>
          </w:p>
        </w:tc>
        <w:tc>
          <w:tcPr>
            <w:tcW w:w="1131"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p>
        </w:tc>
        <w:tc>
          <w:tcPr>
            <w:tcW w:w="6367"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自评总分</w:t>
            </w:r>
          </w:p>
        </w:tc>
        <w:tc>
          <w:tcPr>
            <w:tcW w:w="1160"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95" w:type="dxa"/>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ascii="仿宋" w:hAnsi="仿宋" w:eastAsia="仿宋" w:cs="仿宋_GB2312"/>
                <w:color w:val="000000"/>
                <w:sz w:val="16"/>
                <w:szCs w:val="16"/>
              </w:rPr>
            </w:pPr>
            <w:r>
              <w:rPr>
                <w:rFonts w:hint="eastAsia" w:ascii="仿宋" w:hAnsi="仿宋" w:eastAsia="仿宋" w:cs="仿宋_GB2312"/>
                <w:color w:val="000000"/>
                <w:sz w:val="16"/>
                <w:szCs w:val="16"/>
              </w:rPr>
              <w:t>五、存在问题、原因及下一步整改措施</w:t>
            </w:r>
          </w:p>
        </w:tc>
        <w:tc>
          <w:tcPr>
            <w:tcW w:w="7527"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default" w:ascii="仿宋" w:hAnsi="仿宋" w:eastAsia="仿宋" w:cs="仿宋_GB2312"/>
                <w:color w:val="000000"/>
                <w:sz w:val="16"/>
                <w:szCs w:val="16"/>
                <w:lang w:val="en-US" w:eastAsia="zh-CN"/>
              </w:rPr>
            </w:pPr>
            <w:r>
              <w:rPr>
                <w:rFonts w:hint="eastAsia" w:ascii="仿宋" w:hAnsi="仿宋" w:eastAsia="仿宋" w:cs="仿宋_GB2312"/>
                <w:color w:val="000000"/>
                <w:sz w:val="16"/>
                <w:szCs w:val="16"/>
                <w:lang w:val="en-US" w:eastAsia="zh-CN"/>
              </w:rPr>
              <w:t>加大救助力度，确保案件息诉罢访。</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60552DA"/>
    <w:rsid w:val="060552DA"/>
    <w:rsid w:val="41A1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cs="宋体" w:asciiTheme="minorHAnsi" w:hAnsiTheme="minorHAnsi" w:eastAsiaTheme="minorEastAsia"/>
      <w:sz w:val="24"/>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
    <w:qFormat/>
    <w:uiPriority w:val="0"/>
    <w:rPr>
      <w:rFonts w:ascii="Times New Roman" w:hAnsi="Times New Roman" w:cs="Times New Roman"/>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2024-11-29T02:33:00Z</dcterms:created>
  <dc:creator>王爷</dc:creator>
  <cp:lastModifiedBy>王爷</cp:lastModifiedBy>
  <dcterms:modified xsi:type="dcterms:W3CDTF">2024-11-29T02:39:47Z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02BDB4F9FE65418E8E2CCAB40FA63C57_11</vt:lpwstr>
  </property>
</Properties>
</file>