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p>
    <w:p>
      <w:pPr>
        <w:widowControl/>
        <w:jc w:val="left"/>
      </w:pPr>
      <w:r>
        <w:drawing>
          <wp:anchor distT="0" distB="0" distL="114300" distR="114300" simplePos="0" relativeHeight="251661312" behindDoc="0" locked="0" layoutInCell="1" allowOverlap="1">
            <wp:simplePos x="0" y="0"/>
            <wp:positionH relativeFrom="column">
              <wp:posOffset>-95250</wp:posOffset>
            </wp:positionH>
            <wp:positionV relativeFrom="margin">
              <wp:posOffset>549275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06095" cy="506095"/>
                    </a:xfrm>
                    <a:prstGeom prst="rect">
                      <a:avLst/>
                    </a:prstGeom>
                  </pic:spPr>
                </pic:pic>
              </a:graphicData>
            </a:graphic>
          </wp:anchor>
        </w:drawing>
      </w:r>
    </w:p>
    <w:p>
      <w:pPr>
        <w:widowControl/>
        <w:jc w:val="left"/>
      </w:pPr>
      <w:r>
        <w:drawing>
          <wp:anchor distT="0" distB="0" distL="114300" distR="114300" simplePos="0" relativeHeight="251663360"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1"/>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2"/>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3"/>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0288"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165"/>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0288;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Dp1IfX3QAAAAwBAAAPAAAAAAAAAAEAIAAAACIAAABkcnMvZG93bnJl&#10;di54bWxQSwECFAAUAAAACACHTuJAz8A1lcADAACBDAAADgAAAAAAAAABACAAAAAsAQAAZHJzL2Uy&#10;b0RvYy54bWxQSwUGAAAAAAYABgBZAQAAXg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59264;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3360;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pPr>
        <w:widowControl/>
        <w:jc w:val="left"/>
      </w:pPr>
      <w:r>
        <w:drawing>
          <wp:anchor distT="0" distB="0" distL="114300" distR="114300" simplePos="0" relativeHeight="251662336" behindDoc="1" locked="0" layoutInCell="1" allowOverlap="1">
            <wp:simplePos x="0" y="0"/>
            <wp:positionH relativeFrom="margin">
              <wp:posOffset>-2893060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spacing w:line="600" w:lineRule="auto"/>
        <w:jc w:val="left"/>
        <w:rPr>
          <w:rFonts w:hint="eastAsia" w:ascii="楷体_GB2312" w:hAnsi="楷体_GB2312" w:eastAsia="楷体_GB2312" w:cs="楷体_GB2312"/>
          <w:color w:val="000000"/>
          <w:sz w:val="40"/>
          <w:szCs w:val="40"/>
        </w:rPr>
      </w:pPr>
      <w:r>
        <w:rPr>
          <w:rFonts w:ascii="黑体" w:hAnsi="黑体" w:eastAsia="黑体" w:cs="黑体"/>
          <w:color w:val="000000"/>
          <w:sz w:val="40"/>
          <w:szCs w:val="40"/>
        </w:rPr>
        <mc:AlternateContent>
          <mc:Choice Requires="wps">
            <w:drawing>
              <wp:anchor distT="45720" distB="45720" distL="114300" distR="114300" simplePos="0" relativeHeight="251665408" behindDoc="0" locked="0" layoutInCell="1" allowOverlap="1">
                <wp:simplePos x="0" y="0"/>
                <wp:positionH relativeFrom="column">
                  <wp:posOffset>1170940</wp:posOffset>
                </wp:positionH>
                <wp:positionV relativeFrom="paragraph">
                  <wp:posOffset>558165</wp:posOffset>
                </wp:positionV>
                <wp:extent cx="4105275" cy="171450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05275" cy="1714500"/>
                        </a:xfrm>
                        <a:prstGeom prst="rect">
                          <a:avLst/>
                        </a:prstGeom>
                        <a:noFill/>
                        <a:ln w="9525">
                          <a:noFill/>
                          <a:miter lim="800000"/>
                        </a:ln>
                      </wps:spPr>
                      <wps:txbx>
                        <w:txbxContent>
                          <w:p>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青龙满族自治县信访局</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2.2pt;margin-top:43.95pt;height:135pt;width:323.25pt;z-index:251665408;mso-width-relative:page;mso-height-relative:page;" filled="f" stroked="f" coordsize="21600,21600" o:gfxdata="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Gyum1gAAAAoBAAAPAAAAAAAAAAEAIAAAACIAAABkcnMvZG93bnJldi54bWxQSwECFAAUAAAACACH&#10;TuJAs50sKiYCAAAsBAAADgAAAAAAAAABACAAAAAlAQAAZHJzL2Uyb0RvYy54bWxQSwUGAAAAAAYA&#10;BgBZAQAAvQUAAAAA&#10;">
                <v:fill on="f" focussize="0,0"/>
                <v:stroke on="f" miterlimit="8" joinstyle="miter"/>
                <v:imagedata o:title=""/>
                <o:lock v:ext="edit" aspectratio="f"/>
                <v:textbox>
                  <w:txbxContent>
                    <w:p>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青龙满族自治县信访局</w:t>
                      </w:r>
                    </w:p>
                  </w:txbxContent>
                </v:textbox>
              </v:shape>
            </w:pict>
          </mc:Fallback>
        </mc:AlternateContent>
      </w: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 w:hAnsi="楷体" w:eastAsia="楷体" w:cs="黑体"/>
          <w:color w:val="000000"/>
          <w:sz w:val="40"/>
          <w:szCs w:val="40"/>
        </w:rPr>
        <w:t>202</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部门名称</w:t>
      </w:r>
      <w:r>
        <w:rPr>
          <w:rFonts w:hint="eastAsia" w:ascii="楷体_GB2312" w:hAnsi="楷体_GB2312" w:eastAsia="楷体_GB2312" w:cs="楷体_GB2312"/>
          <w:color w:val="000000"/>
          <w:sz w:val="40"/>
          <w:szCs w:val="40"/>
        </w:rPr>
        <w:t>：</w:t>
      </w:r>
    </w:p>
    <w:p>
      <w:pPr>
        <w:spacing w:line="600" w:lineRule="auto"/>
        <w:rPr>
          <w:rFonts w:hint="eastAsia" w:ascii="楷体_GB2312" w:hAnsi="楷体_GB2312" w:eastAsia="楷体_GB2312" w:cs="楷体_GB2312"/>
          <w:color w:val="000000"/>
          <w:sz w:val="40"/>
          <w:szCs w:val="40"/>
        </w:rPr>
      </w:pPr>
    </w:p>
    <w:p>
      <w:pPr>
        <w:spacing w:line="600" w:lineRule="auto"/>
        <w:rPr>
          <w:rFonts w:hint="eastAsia" w:ascii="楷体_GB2312" w:hAnsi="楷体_GB2312" w:eastAsia="楷体_GB2312" w:cs="楷体_GB2312"/>
          <w:color w:val="000000"/>
          <w:sz w:val="40"/>
          <w:szCs w:val="40"/>
        </w:rPr>
      </w:pPr>
    </w:p>
    <w:p>
      <w:pPr>
        <w:spacing w:line="600" w:lineRule="auto"/>
        <w:jc w:val="center"/>
        <w:rPr>
          <w:rFonts w:hint="eastAsia" w:ascii="楷体" w:hAnsi="楷体" w:eastAsia="楷体" w:cs="楷体_GB2312"/>
          <w:color w:val="000000"/>
          <w:sz w:val="40"/>
          <w:szCs w:val="40"/>
        </w:rPr>
      </w:pPr>
      <w:r>
        <w:rPr>
          <w:rFonts w:hint="eastAsia" w:ascii="楷体" w:hAnsi="楷体" w:eastAsia="楷体" w:cs="楷体_GB2312"/>
          <w:color w:val="000000"/>
          <w:sz w:val="40"/>
          <w:szCs w:val="40"/>
        </w:rPr>
        <w:t>二〇二四年十月</w:t>
      </w:r>
    </w:p>
    <w:p>
      <w:pPr>
        <w:spacing w:line="600" w:lineRule="auto"/>
        <w:jc w:val="center"/>
        <w:rPr>
          <w:rFonts w:hint="eastAsia" w:ascii="楷体" w:hAnsi="楷体" w:eastAsia="楷体" w:cs="楷体_GB2312"/>
          <w:color w:val="000000"/>
          <w:sz w:val="40"/>
          <w:szCs w:val="40"/>
        </w:rPr>
      </w:pPr>
    </w:p>
    <w:p>
      <w:pPr>
        <w:tabs>
          <w:tab w:val="left" w:pos="2728"/>
        </w:tabs>
        <w:jc w:val="center"/>
        <w:rPr>
          <w:rFonts w:ascii="黑体" w:hAnsi="Times New Roman" w:eastAsia="黑体" w:cs="Times New Roman"/>
          <w:sz w:val="48"/>
          <w:szCs w:val="48"/>
        </w:rPr>
      </w:pPr>
    </w:p>
    <w:p>
      <w:pPr>
        <w:tabs>
          <w:tab w:val="left" w:pos="2728"/>
        </w:tabs>
        <w:spacing w:after="0" w:line="360" w:lineRule="auto"/>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0" w:line="360" w:lineRule="auto"/>
        <w:ind w:firstLine="640" w:firstLineChars="200"/>
        <w:rPr>
          <w:rFonts w:ascii="Times New Roman" w:hAnsi="Times New Roman" w:eastAsia="黑体" w:cs="Times New Roman"/>
          <w:sz w:val="32"/>
          <w:szCs w:val="32"/>
        </w:rPr>
      </w:pPr>
    </w:p>
    <w:p>
      <w:pPr>
        <w:widowControl/>
        <w:spacing w:after="0" w:line="360" w:lineRule="auto"/>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黑体" w:hAnsi="黑体" w:eastAsia="黑体" w:cs="Times New Roman"/>
          <w:sz w:val="32"/>
          <w:szCs w:val="32"/>
        </w:rPr>
        <w:t>部门</w:t>
      </w:r>
      <w:r>
        <w:rPr>
          <w:rFonts w:ascii="Times New Roman" w:hAnsi="Times New Roman" w:eastAsia="黑体" w:cs="Times New Roman"/>
          <w:sz w:val="32"/>
          <w:szCs w:val="32"/>
        </w:rPr>
        <w:t>概况</w:t>
      </w:r>
    </w:p>
    <w:p>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部门职责</w:t>
      </w:r>
    </w:p>
    <w:p>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机构设置</w:t>
      </w:r>
    </w:p>
    <w:p>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w:t>
      </w:r>
      <w:r>
        <w:rPr>
          <w:rFonts w:ascii="Times New Roman" w:hAnsi="Times New Roman" w:eastAsia="黑体" w:cs="Times New Roman"/>
          <w:sz w:val="32"/>
          <w:szCs w:val="32"/>
        </w:rPr>
        <w:t>度部门决算报表</w:t>
      </w:r>
    </w:p>
    <w:p>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收入支出决算总表</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w:t>
      </w:r>
      <w:r>
        <w:rPr>
          <w:rFonts w:hint="eastAsia" w:ascii="仿宋" w:hAnsi="仿宋" w:eastAsia="仿宋" w:cs="Times New Roman"/>
          <w:sz w:val="32"/>
          <w:szCs w:val="32"/>
        </w:rPr>
        <w:t>表</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w:t>
      </w:r>
      <w:r>
        <w:rPr>
          <w:rFonts w:hint="eastAsia" w:ascii="仿宋" w:hAnsi="仿宋" w:eastAsia="仿宋" w:cs="Times New Roman"/>
          <w:sz w:val="32"/>
          <w:szCs w:val="32"/>
        </w:rPr>
        <w:t>表</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四、</w:t>
      </w:r>
      <w:r>
        <w:rPr>
          <w:rFonts w:hint="eastAsia" w:ascii="仿宋" w:hAnsi="仿宋" w:eastAsia="仿宋" w:cs="Times New Roman"/>
          <w:sz w:val="32"/>
          <w:szCs w:val="32"/>
        </w:rPr>
        <w:t>财政拨款收入支出决算总表</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五、一般公共预算财政拨款支出决算表</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六、一般公共预算财政拨款基本支出决算明细表</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七、政府性基金预算财政拨款收入支出决算表</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w:t>
      </w:r>
      <w:r>
        <w:rPr>
          <w:rFonts w:ascii="仿宋" w:hAnsi="仿宋" w:eastAsia="仿宋" w:cs="Times New Roman"/>
          <w:sz w:val="32"/>
          <w:szCs w:val="32"/>
        </w:rPr>
        <w:t>、</w:t>
      </w:r>
      <w:r>
        <w:rPr>
          <w:rFonts w:hint="eastAsia" w:ascii="仿宋" w:hAnsi="仿宋" w:eastAsia="仿宋" w:cs="Times New Roman"/>
          <w:sz w:val="32"/>
          <w:szCs w:val="32"/>
        </w:rPr>
        <w:t>国有资本经营预算财政拨款支出决算表</w:t>
      </w:r>
    </w:p>
    <w:p>
      <w:pPr>
        <w:widowControl/>
        <w:spacing w:after="0" w:line="360" w:lineRule="auto"/>
        <w:ind w:left="640" w:firstLine="640" w:firstLineChars="200"/>
        <w:rPr>
          <w:rFonts w:ascii="Times New Roman" w:hAnsi="Times New Roman" w:eastAsia="仿宋_GB2312" w:cs="Times New Roman"/>
          <w:sz w:val="20"/>
          <w:szCs w:val="32"/>
        </w:rPr>
      </w:pPr>
      <w:r>
        <w:rPr>
          <w:rFonts w:hint="eastAsia" w:ascii="仿宋" w:hAnsi="仿宋" w:eastAsia="仿宋" w:cs="Times New Roman"/>
          <w:sz w:val="32"/>
          <w:szCs w:val="32"/>
        </w:rPr>
        <w:t>九、财政拨款“三公”经费支出决算表</w:t>
      </w:r>
    </w:p>
    <w:p>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年度</w:t>
      </w:r>
      <w:r>
        <w:rPr>
          <w:rFonts w:ascii="Times New Roman" w:hAnsi="Times New Roman" w:eastAsia="黑体" w:cs="Times New Roman"/>
          <w:sz w:val="32"/>
          <w:szCs w:val="32"/>
        </w:rPr>
        <w:t>部门决算情况说明</w:t>
      </w:r>
    </w:p>
    <w:p>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收入支出决算总体情况说明</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二、收入决算情况说明</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四、财政拨款收入支出决算总体情况说明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五、财政拨款“三公” 经费支出决算情况说明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六、机关运行经费支出说明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七、政府采购支出说明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八、国有资产占用情况说明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九、预算绩效情况说明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十、其他需要说明的情况</w:t>
      </w:r>
    </w:p>
    <w:p>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ascii="Times New Roman" w:hAnsi="Times New Roman" w:eastAsia="黑体" w:cs="Times New Roman"/>
          <w:sz w:val="32"/>
          <w:szCs w:val="32"/>
        </w:rPr>
      </w:pPr>
    </w:p>
    <w:p>
      <w:pPr>
        <w:rPr>
          <w:rFonts w:ascii="Times New Roman" w:hAnsi="Times New Roman" w:eastAsia="黑体" w:cs="Times New Roman"/>
          <w:sz w:val="32"/>
          <w:szCs w:val="32"/>
        </w:rPr>
      </w:pPr>
    </w:p>
    <w:p>
      <w:pPr>
        <w:rPr>
          <w:rFonts w:ascii="Times New Roman" w:hAnsi="Times New Roman" w:eastAsia="黑体" w:cs="Times New Roman"/>
          <w:sz w:val="32"/>
          <w:szCs w:val="32"/>
        </w:rPr>
      </w:pPr>
    </w:p>
    <w:p>
      <w:pPr>
        <w:rPr>
          <w:rFonts w:ascii="Times New Roman" w:hAnsi="Times New Roman" w:eastAsia="黑体" w:cs="Times New Roman"/>
          <w:sz w:val="32"/>
          <w:szCs w:val="32"/>
        </w:rPr>
      </w:pPr>
    </w:p>
    <w:p>
      <w:pP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tabs>
          <w:tab w:val="center" w:pos="4422"/>
        </w:tabs>
        <w:rPr>
          <w:rFonts w:ascii="Times New Roman" w:hAnsi="Times New Roman" w:eastAsia="黑体" w:cs="Times New Roman"/>
          <w:sz w:val="32"/>
          <w:szCs w:val="32"/>
        </w:rPr>
        <w:sectPr>
          <w:footerReference r:id="rId6" w:type="first"/>
          <w:footerReference r:id="rId5" w:type="default"/>
          <w:pgSz w:w="11906" w:h="16838"/>
          <w:pgMar w:top="1474" w:right="1531" w:bottom="1474" w:left="1531" w:header="851" w:footer="510" w:gutter="0"/>
          <w:cols w:space="0" w:num="1"/>
          <w:titlePg/>
          <w:docGrid w:type="lines" w:linePitch="326" w:charSpace="0"/>
        </w:sectPr>
      </w:pPr>
      <w:r>
        <w:rPr>
          <w:rFonts w:ascii="Times New Roman" w:hAnsi="Times New Roman" w:eastAsia="黑体" w:cs="Times New Roman"/>
          <w:sz w:val="32"/>
          <w:szCs w:val="32"/>
        </w:rPr>
        <w:tab/>
      </w:r>
    </w:p>
    <w:p>
      <w:pPr>
        <w:spacing w:line="360" w:lineRule="auto"/>
        <w:rPr>
          <w:rFonts w:ascii="Arial" w:hAnsi="Arial" w:eastAsia="Arial" w:cs="Arial"/>
          <w:color w:val="000000"/>
          <w:sz w:val="18"/>
          <w:szCs w:val="18"/>
          <w:shd w:val="clear" w:color="auto" w:fill="FFFFFF"/>
        </w:rPr>
      </w:pPr>
    </w:p>
    <w:p>
      <w:pPr>
        <w:pStyle w:val="11"/>
        <w:widowControl/>
        <w:shd w:val="clear" w:color="auto" w:fill="FFFFFF"/>
        <w:spacing w:beforeAutospacing="0" w:afterAutospacing="0" w:line="360" w:lineRule="auto"/>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line="360" w:lineRule="auto"/>
        <w:rPr>
          <w:rFonts w:ascii="Arial" w:hAnsi="Arial" w:eastAsia="Arial" w:cs="Arial"/>
          <w:color w:val="000000"/>
          <w:sz w:val="18"/>
          <w:szCs w:val="18"/>
          <w:shd w:val="clear" w:color="auto" w:fill="FFFFFF"/>
        </w:rPr>
      </w:pPr>
    </w:p>
    <w:p>
      <w:pPr>
        <w:pStyle w:val="11"/>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1"/>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1"/>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1"/>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1"/>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1"/>
        <w:widowControl/>
        <w:shd w:val="clear" w:color="auto" w:fill="FFFFFF"/>
        <w:spacing w:beforeAutospacing="0" w:afterAutospacing="0" w:line="360" w:lineRule="auto"/>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部门概况</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pPr>
        <w:spacing w:after="0" w:line="360" w:lineRule="auto"/>
        <w:ind w:firstLine="640" w:firstLineChars="200"/>
        <w:rPr>
          <w:rFonts w:hint="eastAsia" w:ascii="黑体" w:hAnsi="黑体" w:eastAsia="黑体" w:cs="Arial"/>
          <w:sz w:val="32"/>
          <w:szCs w:val="32"/>
        </w:rPr>
      </w:pPr>
      <w:r>
        <w:rPr>
          <w:rFonts w:hint="eastAsia" w:ascii="黑体" w:hAnsi="黑体" w:eastAsia="黑体"/>
          <w:sz w:val="32"/>
          <w:szCs w:val="32"/>
          <w:shd w:val="clear" w:color="auto" w:fill="FFFFFF"/>
        </w:rPr>
        <w:t>一、</w:t>
      </w:r>
      <w:r>
        <w:rPr>
          <w:rFonts w:ascii="黑体" w:hAnsi="黑体" w:eastAsia="黑体"/>
          <w:sz w:val="32"/>
          <w:szCs w:val="32"/>
        </w:rPr>
        <w:t>部门</w:t>
      </w:r>
      <w:r>
        <w:rPr>
          <w:rFonts w:hint="eastAsia" w:ascii="黑体" w:hAnsi="黑体" w:eastAsia="黑体"/>
          <w:sz w:val="32"/>
          <w:szCs w:val="32"/>
          <w:shd w:val="clear" w:color="auto" w:fill="FFFFFF"/>
        </w:rPr>
        <w:t>职责</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1.组织协调机关日常政务工作；</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负责会议组织、文秘事务、信访信息、对外宣传、机要通信、信件管理、档案管理、保守秘密、安全保卫、计划生育等行政事务；负责群众工作中心的日常管理工作。</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2.接待日常群众来访，处理群众来信，做上访群众的疏导工作；</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(1)接待日常群众来信来访；</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(2）联系、预约县级领导接待来访；</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(3）组织、协调各部门集中接访，联系相关部门日常到信访局接访；</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(4）协助县级领导接访，维持接访秩序；</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(5)负责来信来访登记、各项信访统计报表上报工作;</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(6)负责人民群众建议征集和整理工作。</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3.承办中央、省、市、县四级交办及领导转办交办的各类信访案件及信访矛盾纠纷和隐患排查工作；</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（1）承办中央、省、市、县四级交办及领导转办交办的各类信访案件；</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(2）负责各类矛盾纠纷和信访隐患、信访信息排查工作；</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(3）负责中央、省、市三级交办案件结案材料的起草、上报等各项工作。</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4.督导、检查领导批办及上级信访部门交办的各类信访案件；</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（1）督导、检查领导批办及上级信访部门交办的各类信访案件，协调、帮助、指导各乡镇各部门办理信访案件；</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（2）对乡镇及县直部门信访工作进行年度考核；</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（3）通过河北省信访信息系统，及时检查有关乡镇和部门案件办理情况。</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5.受理信访人对各工作部门及乡镇党委、政府就信访事项所做处理意见不服而提出的复查请求。</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畅通信访渠道、完善信访复查程序，有效化解信访矛盾，降低越级访和重复访率。受理信访人对县委、县政府各工作部门及乡镇党委、政府就信访事项所做处理意见不服而向县委、县政府提出复查请求，依法依规按规定期限向信访人出具信访答复。</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6.做好信访维稳值班工作</w:t>
      </w:r>
    </w:p>
    <w:p>
      <w:pPr>
        <w:pStyle w:val="11"/>
        <w:widowControl/>
        <w:shd w:val="clear" w:color="auto" w:fill="FFFFFF"/>
        <w:spacing w:beforeAutospacing="0" w:afterAutospacing="0" w:line="360" w:lineRule="auto"/>
        <w:ind w:firstLine="640" w:firstLineChars="200"/>
        <w:rPr>
          <w:rFonts w:ascii="仿宋" w:hAnsi="仿宋" w:eastAsia="仿宋" w:cs="仿宋_GB2312"/>
          <w:sz w:val="32"/>
          <w:szCs w:val="32"/>
          <w:highlight w:val="none"/>
          <w:shd w:val="clear" w:color="auto" w:fill="auto"/>
        </w:rPr>
      </w:pPr>
      <w:r>
        <w:rPr>
          <w:rFonts w:ascii="仿宋" w:hAnsi="仿宋" w:eastAsia="仿宋" w:cs="仿宋_GB2312"/>
          <w:sz w:val="32"/>
          <w:szCs w:val="32"/>
          <w:highlight w:val="none"/>
          <w:shd w:val="clear" w:color="auto" w:fill="auto"/>
        </w:rPr>
        <w:t>根据省、市信访工作联席会议办公室的有关通知要求，各级“两会”、国家、省、市重大活动、北戴河旅游旺季等期间，到北京、石家庄、秦皇岛及北戴河值班，负责组织协调、稳控劝返工作。</w:t>
      </w:r>
    </w:p>
    <w:p>
      <w:pPr>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二、机构设置</w:t>
      </w:r>
    </w:p>
    <w:p>
      <w:pPr>
        <w:pStyle w:val="11"/>
        <w:widowControl/>
        <w:shd w:val="clear" w:color="auto" w:fill="FFFFFF"/>
        <w:spacing w:beforeAutospacing="0" w:afterAutospacing="0" w:line="360" w:lineRule="auto"/>
        <w:ind w:firstLine="640" w:firstLineChars="200"/>
        <w:rPr>
          <w:rFonts w:hint="eastAsia" w:ascii="仿宋" w:hAnsi="仿宋" w:eastAsia="仿宋" w:cs="仿宋_GB2312"/>
          <w:sz w:val="32"/>
          <w:szCs w:val="32"/>
          <w:shd w:val="clear" w:color="auto" w:fill="FFFFFF"/>
        </w:rPr>
      </w:pPr>
      <w:r>
        <w:rPr>
          <w:rFonts w:ascii="仿宋" w:hAnsi="仿宋" w:eastAsia="仿宋" w:cs="仿宋_GB2312"/>
          <w:sz w:val="32"/>
          <w:szCs w:val="32"/>
          <w:shd w:val="clear" w:color="auto" w:fill="FFFFFF"/>
        </w:rPr>
        <w:t>从决算编报</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构成看，纳入</w:t>
      </w:r>
      <w:r>
        <w:rPr>
          <w:rFonts w:hint="eastAsia" w:ascii="仿宋" w:hAnsi="仿宋" w:eastAsia="仿宋" w:cs="仿宋_GB2312"/>
          <w:sz w:val="32"/>
          <w:szCs w:val="32"/>
          <w:shd w:val="clear" w:color="auto" w:fill="FFFFFF"/>
        </w:rPr>
        <w:t>2023</w:t>
      </w:r>
      <w:r>
        <w:rPr>
          <w:rFonts w:ascii="仿宋" w:hAnsi="仿宋" w:eastAsia="仿宋" w:cs="仿宋_GB2312"/>
          <w:sz w:val="32"/>
          <w:szCs w:val="32"/>
          <w:shd w:val="clear" w:color="auto" w:fill="FFFFFF"/>
        </w:rPr>
        <w:t>年度</w:t>
      </w:r>
      <w:r>
        <w:rPr>
          <w:rFonts w:hint="eastAsia" w:ascii="仿宋" w:hAnsi="仿宋" w:eastAsia="仿宋" w:cs="仿宋_GB2312"/>
          <w:sz w:val="32"/>
          <w:szCs w:val="32"/>
          <w:shd w:val="clear" w:color="auto" w:fill="FFFFFF"/>
        </w:rPr>
        <w:t>本部门</w:t>
      </w:r>
      <w:r>
        <w:rPr>
          <w:rFonts w:ascii="仿宋" w:hAnsi="仿宋" w:eastAsia="仿宋" w:cs="仿宋_GB2312"/>
          <w:sz w:val="32"/>
          <w:szCs w:val="32"/>
          <w:shd w:val="clear" w:color="auto" w:fill="FFFFFF"/>
        </w:rPr>
        <w:t>决算汇编范围的独立核算</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（以下简称“</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w:t>
      </w:r>
      <w:r>
        <w:rPr>
          <w:rFonts w:hint="eastAsia" w:ascii="仿宋" w:hAnsi="仿宋" w:eastAsia="仿宋" w:cs="仿宋_GB2312"/>
          <w:sz w:val="32"/>
          <w:szCs w:val="32"/>
          <w:shd w:val="clear" w:color="auto" w:fill="FFFFFF"/>
        </w:rPr>
        <w:t>共</w:t>
      </w:r>
      <w:r>
        <w:rPr>
          <w:rFonts w:hint="eastAsia" w:ascii="仿宋" w:hAnsi="仿宋" w:eastAsia="仿宋" w:cs="仿宋_GB2312"/>
          <w:sz w:val="32"/>
          <w:szCs w:val="32"/>
          <w:shd w:val="clear" w:color="auto" w:fill="FFFFFF"/>
          <w:lang w:val="en-US" w:eastAsia="zh-CN"/>
        </w:rPr>
        <w:t>1</w:t>
      </w:r>
      <w:r>
        <w:rPr>
          <w:rFonts w:hint="eastAsia" w:ascii="仿宋" w:hAnsi="仿宋" w:eastAsia="仿宋" w:cs="仿宋_GB2312"/>
          <w:sz w:val="32"/>
          <w:szCs w:val="32"/>
          <w:shd w:val="clear" w:color="auto" w:fill="FFFFFF"/>
        </w:rPr>
        <w:t>个，</w:t>
      </w:r>
      <w:r>
        <w:rPr>
          <w:rFonts w:ascii="仿宋" w:hAnsi="仿宋" w:eastAsia="仿宋" w:cs="仿宋_GB2312"/>
          <w:sz w:val="32"/>
          <w:szCs w:val="32"/>
          <w:shd w:val="clear" w:color="auto" w:fill="FFFFFF"/>
        </w:rPr>
        <w:t>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序号</w:t>
            </w:r>
          </w:p>
        </w:tc>
        <w:tc>
          <w:tcPr>
            <w:tcW w:w="3485" w:type="dxa"/>
            <w:vAlign w:val="center"/>
          </w:tcPr>
          <w:p>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单位名称</w:t>
            </w:r>
          </w:p>
        </w:tc>
        <w:tc>
          <w:tcPr>
            <w:tcW w:w="2445" w:type="dxa"/>
            <w:vAlign w:val="center"/>
          </w:tcPr>
          <w:p>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单位基本性质</w:t>
            </w:r>
          </w:p>
        </w:tc>
        <w:tc>
          <w:tcPr>
            <w:tcW w:w="2665" w:type="dxa"/>
            <w:vAlign w:val="center"/>
          </w:tcPr>
          <w:p>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pPr>
              <w:spacing w:line="560" w:lineRule="exact"/>
              <w:jc w:val="center"/>
              <w:rPr>
                <w:rFonts w:hint="eastAsia" w:ascii="仿宋" w:hAnsi="仿宋" w:eastAsia="仿宋" w:cs="ArialUnicodeMS"/>
                <w:sz w:val="28"/>
                <w:szCs w:val="28"/>
              </w:rPr>
            </w:pPr>
            <w:r>
              <w:rPr>
                <w:rFonts w:hint="eastAsia" w:ascii="仿宋" w:hAnsi="仿宋" w:eastAsia="仿宋" w:cs="ArialUnicodeMS"/>
                <w:sz w:val="28"/>
                <w:szCs w:val="28"/>
              </w:rPr>
              <w:t>1</w:t>
            </w:r>
          </w:p>
        </w:tc>
        <w:tc>
          <w:tcPr>
            <w:tcW w:w="3485" w:type="dxa"/>
            <w:vAlign w:val="center"/>
          </w:tcPr>
          <w:p>
            <w:pPr>
              <w:keepNext w:val="0"/>
              <w:keepLines w:val="0"/>
              <w:widowControl/>
              <w:suppressLineNumbers w:val="0"/>
              <w:jc w:val="left"/>
              <w:rPr>
                <w:rFonts w:hint="eastAsia" w:ascii="仿宋" w:hAnsi="仿宋" w:eastAsia="仿宋" w:cs="ArialUnicodeMS"/>
                <w:sz w:val="28"/>
                <w:szCs w:val="28"/>
              </w:rPr>
            </w:pPr>
            <w:r>
              <w:rPr>
                <w:rFonts w:ascii="仿宋_GB2312" w:hAnsi="仿宋_GB2312" w:eastAsia="仿宋_GB2312" w:cs="仿宋_GB2312"/>
                <w:color w:val="000000"/>
                <w:kern w:val="0"/>
                <w:sz w:val="28"/>
                <w:szCs w:val="28"/>
                <w:lang w:val="en-US" w:eastAsia="zh-CN" w:bidi="ar"/>
              </w:rPr>
              <w:t>青龙满族自治县信访局</w:t>
            </w:r>
          </w:p>
        </w:tc>
        <w:tc>
          <w:tcPr>
            <w:tcW w:w="2445" w:type="dxa"/>
            <w:vAlign w:val="center"/>
          </w:tcPr>
          <w:p>
            <w:pPr>
              <w:keepNext w:val="0"/>
              <w:keepLines w:val="0"/>
              <w:widowControl/>
              <w:suppressLineNumbers w:val="0"/>
              <w:jc w:val="left"/>
              <w:rPr>
                <w:rFonts w:hint="eastAsia" w:ascii="仿宋" w:hAnsi="仿宋" w:eastAsia="仿宋" w:cs="ArialUnicodeMS"/>
                <w:sz w:val="28"/>
                <w:szCs w:val="28"/>
              </w:rPr>
            </w:pPr>
            <w:r>
              <w:rPr>
                <w:rFonts w:ascii="仿宋" w:hAnsi="仿宋" w:eastAsia="仿宋" w:cs="仿宋"/>
                <w:color w:val="000000"/>
                <w:kern w:val="0"/>
                <w:sz w:val="28"/>
                <w:szCs w:val="28"/>
                <w:lang w:val="en-US" w:eastAsia="zh-CN" w:bidi="ar"/>
              </w:rPr>
              <w:t>行政单位</w:t>
            </w:r>
          </w:p>
        </w:tc>
        <w:tc>
          <w:tcPr>
            <w:tcW w:w="2665" w:type="dxa"/>
            <w:vAlign w:val="center"/>
          </w:tcPr>
          <w:p>
            <w:pPr>
              <w:keepNext w:val="0"/>
              <w:keepLines w:val="0"/>
              <w:widowControl/>
              <w:suppressLineNumbers w:val="0"/>
              <w:jc w:val="left"/>
              <w:rPr>
                <w:rFonts w:hint="eastAsia" w:ascii="仿宋" w:hAnsi="仿宋" w:eastAsia="仿宋" w:cs="ArialUnicodeMS"/>
                <w:sz w:val="28"/>
                <w:szCs w:val="28"/>
              </w:rPr>
            </w:pPr>
            <w:r>
              <w:rPr>
                <w:rFonts w:ascii="仿宋" w:hAnsi="仿宋" w:eastAsia="仿宋" w:cs="仿宋"/>
                <w:color w:val="000000"/>
                <w:kern w:val="0"/>
                <w:sz w:val="28"/>
                <w:szCs w:val="28"/>
                <w:lang w:val="en-US" w:eastAsia="zh-CN" w:bidi="ar"/>
              </w:rPr>
              <w:t>财政拨款</w:t>
            </w:r>
          </w:p>
        </w:tc>
      </w:tr>
    </w:tbl>
    <w:p>
      <w:pPr>
        <w:widowControl/>
        <w:spacing w:after="0" w:line="360" w:lineRule="auto"/>
        <w:ind w:left="-850" w:leftChars="-354" w:right="-821" w:rightChars="-342"/>
        <w:rPr>
          <w:rFonts w:hint="eastAsia" w:ascii="仿宋" w:hAnsi="仿宋" w:eastAsia="仿宋" w:cs="Times New Roman"/>
          <w:sz w:val="32"/>
          <w:szCs w:val="32"/>
        </w:rPr>
        <w:sectPr>
          <w:headerReference r:id="rId7" w:type="default"/>
          <w:pgSz w:w="11906" w:h="16838"/>
          <w:pgMar w:top="1531" w:right="1984" w:bottom="1531" w:left="2098" w:header="851" w:footer="992" w:gutter="0"/>
          <w:cols w:space="720" w:num="1"/>
          <w:docGrid w:type="lines" w:linePitch="312" w:charSpace="0"/>
        </w:sectPr>
      </w:pPr>
      <w:r>
        <w:rPr>
          <w:rFonts w:hint="eastAsia" w:ascii="仿宋" w:hAnsi="仿宋" w:eastAsia="仿宋" w:cs="Times New Roman"/>
          <w:sz w:val="32"/>
          <w:szCs w:val="32"/>
        </w:rPr>
        <w:t>注：1、单位基本性质分为行政单位、参公事业单位、财政补助事业单位、经费自理事业单位四类。</w:t>
      </w:r>
      <w:r>
        <w:rPr>
          <w:rFonts w:hint="eastAsia" w:ascii="仿宋" w:hAnsi="仿宋" w:eastAsia="仿宋" w:cs="Times New Roman"/>
          <w:sz w:val="32"/>
          <w:szCs w:val="32"/>
        </w:rPr>
        <w:cr/>
      </w:r>
      <w:r>
        <w:rPr>
          <w:rFonts w:hint="eastAsia" w:ascii="仿宋" w:hAnsi="仿宋" w:eastAsia="仿宋" w:cs="Times New Roman"/>
          <w:sz w:val="32"/>
          <w:szCs w:val="32"/>
        </w:rPr>
        <w:t xml:space="preserve">    2、经费形式分为财政拨款、财政性资金基本保证、财政性资金定额或定项补助、财政性资金零补助四类。</w:t>
      </w:r>
      <w:r>
        <w:rPr>
          <w:rFonts w:hint="eastAsia" w:ascii="仿宋" w:hAnsi="仿宋" w:eastAsia="仿宋" w:cs="Times New Roman"/>
          <w:sz w:val="32"/>
          <w:szCs w:val="32"/>
        </w:rPr>
        <w:cr/>
      </w:r>
      <w:r>
        <w:rPr>
          <w:rFonts w:hint="eastAsia" w:ascii="仿宋" w:hAnsi="仿宋" w:eastAsia="仿宋" w:cs="Times New Roman"/>
          <w:sz w:val="32"/>
          <w:szCs w:val="32"/>
        </w:rPr>
        <w:t xml:space="preserve">    3、我部门无二级预算单位，因此，青龙满族自治县信访局2023年度部门决算即青龙满族自治县信访局本级2023年度决算。</w:t>
      </w:r>
      <w:r>
        <w:rPr>
          <w:rFonts w:ascii="仿宋" w:hAnsi="仿宋" w:eastAsia="仿宋" w:cs="Times New Roman"/>
          <w:sz w:val="32"/>
          <w:szCs w:val="32"/>
        </w:rPr>
        <w:cr/>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第二部分</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2023年度部门决算报表</w:t>
      </w:r>
    </w:p>
    <w:p>
      <w:pPr>
        <w:pStyle w:val="11"/>
        <w:widowControl/>
        <w:spacing w:beforeAutospacing="0" w:afterAutospacing="0"/>
        <w:jc w:val="center"/>
        <w:rPr>
          <w:rFonts w:hint="eastAsia" w:ascii="仿宋_GB2312" w:hAnsi="仿宋_GB2312" w:eastAsia="仿宋_GB2312" w:cs="仿宋_GB2312"/>
          <w:color w:val="FF0000"/>
          <w:sz w:val="33"/>
          <w:szCs w:val="33"/>
          <w:shd w:val="clear" w:color="auto" w:fill="FFFFFF"/>
        </w:rPr>
        <w:sectPr>
          <w:pgSz w:w="11906" w:h="16838"/>
          <w:pgMar w:top="1531" w:right="1984" w:bottom="1531" w:left="2098" w:header="851" w:footer="992" w:gutter="0"/>
          <w:cols w:space="720" w:num="1"/>
          <w:docGrid w:type="lines" w:linePitch="312" w:charSpace="0"/>
        </w:sectPr>
      </w:pP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0" w:hRule="atLeast"/>
        </w:trPr>
        <w:tc>
          <w:tcPr>
            <w:tcW w:w="13992" w:type="dxa"/>
            <w:tcBorders>
              <w:top w:val="nil"/>
              <w:left w:val="nil"/>
              <w:bottom w:val="nil"/>
              <w:right w:val="nil"/>
            </w:tcBorders>
          </w:tcPr>
          <w:p>
            <w:pPr>
              <w:jc w:val="center"/>
              <w:rPr>
                <w:sz w:val="20"/>
                <w:szCs w:val="20"/>
              </w:rPr>
            </w:pPr>
            <w:r>
              <w:rPr>
                <w:rFonts w:hint="eastAsia"/>
                <w:sz w:val="20"/>
                <w:szCs w:val="20"/>
              </w:rPr>
              <w:drawing>
                <wp:anchor distT="0" distB="0" distL="114300" distR="114300" simplePos="0" relativeHeight="251666432" behindDoc="0" locked="0" layoutInCell="1" allowOverlap="1">
                  <wp:simplePos x="0" y="0"/>
                  <wp:positionH relativeFrom="column">
                    <wp:posOffset>-41910</wp:posOffset>
                  </wp:positionH>
                  <wp:positionV relativeFrom="paragraph">
                    <wp:posOffset>-22225</wp:posOffset>
                  </wp:positionV>
                  <wp:extent cx="8568055" cy="5472430"/>
                  <wp:effectExtent l="0" t="0" r="4445" b="13970"/>
                  <wp:wrapNone/>
                  <wp:docPr id="8628621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6212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568055" cy="5472430"/>
                          </a:xfrm>
                          <a:prstGeom prst="rect">
                            <a:avLst/>
                          </a:prstGeom>
                          <a:noFill/>
                          <a:ln>
                            <a:noFill/>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7" w:hRule="atLeast"/>
        </w:trPr>
        <w:tc>
          <w:tcPr>
            <w:tcW w:w="13992" w:type="dxa"/>
            <w:tcBorders>
              <w:top w:val="nil"/>
              <w:left w:val="nil"/>
              <w:bottom w:val="nil"/>
              <w:right w:val="nil"/>
            </w:tcBorders>
          </w:tcPr>
          <w:p>
            <w:pPr>
              <w:jc w:val="center"/>
              <w:rPr>
                <w:sz w:val="20"/>
                <w:szCs w:val="20"/>
              </w:rPr>
            </w:pPr>
            <w:r>
              <w:rPr>
                <w:rFonts w:hint="eastAsia"/>
                <w:sz w:val="20"/>
                <w:szCs w:val="20"/>
              </w:rPr>
              <w:drawing>
                <wp:anchor distT="0" distB="0" distL="114300" distR="114300" simplePos="0" relativeHeight="251667456" behindDoc="0" locked="0" layoutInCell="1" allowOverlap="1">
                  <wp:simplePos x="0" y="0"/>
                  <wp:positionH relativeFrom="column">
                    <wp:posOffset>-419100</wp:posOffset>
                  </wp:positionH>
                  <wp:positionV relativeFrom="paragraph">
                    <wp:posOffset>-376555</wp:posOffset>
                  </wp:positionV>
                  <wp:extent cx="9246235" cy="5381625"/>
                  <wp:effectExtent l="0" t="0" r="12065" b="9525"/>
                  <wp:wrapNone/>
                  <wp:docPr id="444549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4932"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246235" cy="5381625"/>
                          </a:xfrm>
                          <a:prstGeom prst="rect">
                            <a:avLst/>
                          </a:prstGeom>
                          <a:noFill/>
                          <a:ln>
                            <a:noFill/>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2" w:hRule="atLeast"/>
        </w:trPr>
        <w:tc>
          <w:tcPr>
            <w:tcW w:w="13992" w:type="dxa"/>
            <w:tcBorders>
              <w:top w:val="nil"/>
              <w:left w:val="nil"/>
              <w:bottom w:val="nil"/>
              <w:right w:val="nil"/>
            </w:tcBorders>
          </w:tcPr>
          <w:p>
            <w:pPr>
              <w:jc w:val="center"/>
              <w:rPr>
                <w:sz w:val="20"/>
                <w:szCs w:val="20"/>
              </w:rPr>
            </w:pPr>
            <w:r>
              <w:rPr>
                <w:rFonts w:hint="eastAsia"/>
                <w:sz w:val="20"/>
                <w:szCs w:val="20"/>
              </w:rPr>
              <w:drawing>
                <wp:anchor distT="0" distB="0" distL="114300" distR="114300" simplePos="0" relativeHeight="251668480" behindDoc="0" locked="0" layoutInCell="1" allowOverlap="1">
                  <wp:simplePos x="0" y="0"/>
                  <wp:positionH relativeFrom="column">
                    <wp:posOffset>0</wp:posOffset>
                  </wp:positionH>
                  <wp:positionV relativeFrom="paragraph">
                    <wp:posOffset>73660</wp:posOffset>
                  </wp:positionV>
                  <wp:extent cx="8738870" cy="4949825"/>
                  <wp:effectExtent l="0" t="0" r="5080" b="3175"/>
                  <wp:wrapNone/>
                  <wp:docPr id="20721523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52316"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738870" cy="4949825"/>
                          </a:xfrm>
                          <a:prstGeom prst="rect">
                            <a:avLst/>
                          </a:prstGeom>
                          <a:noFill/>
                          <a:ln>
                            <a:noFill/>
                          </a:ln>
                        </pic:spPr>
                      </pic:pic>
                    </a:graphicData>
                  </a:graphic>
                </wp:anchor>
              </w:drawing>
            </w:r>
          </w:p>
          <w:p>
            <w:pPr>
              <w:widowControl/>
              <w:tabs>
                <w:tab w:val="left" w:pos="5484"/>
              </w:tabs>
              <w:jc w:val="left"/>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7" w:hRule="atLeast"/>
        </w:trPr>
        <w:tc>
          <w:tcPr>
            <w:tcW w:w="13992" w:type="dxa"/>
            <w:tcBorders>
              <w:top w:val="nil"/>
              <w:left w:val="nil"/>
              <w:bottom w:val="nil"/>
              <w:right w:val="nil"/>
            </w:tcBorders>
          </w:tcPr>
          <w:tbl>
            <w:tblPr>
              <w:tblStyle w:val="13"/>
              <w:tblpPr w:leftFromText="180" w:rightFromText="180" w:vertAnchor="text" w:horzAnchor="margin" w:tblpY="2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7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34" w:hRule="atLeast"/>
              </w:trPr>
              <w:tc>
                <w:tcPr>
                  <w:tcW w:w="14481" w:type="dxa"/>
                  <w:tcBorders>
                    <w:top w:val="nil"/>
                    <w:left w:val="nil"/>
                    <w:bottom w:val="nil"/>
                    <w:right w:val="nil"/>
                  </w:tcBorders>
                </w:tcPr>
                <w:p>
                  <w:pPr>
                    <w:widowControl/>
                    <w:jc w:val="center"/>
                    <w:rPr>
                      <w:sz w:val="20"/>
                      <w:szCs w:val="20"/>
                    </w:rPr>
                  </w:pPr>
                  <w:r>
                    <w:rPr>
                      <w:rFonts w:hint="eastAsia"/>
                      <w:sz w:val="20"/>
                      <w:szCs w:val="20"/>
                    </w:rPr>
                    <w:drawing>
                      <wp:anchor distT="0" distB="0" distL="114300" distR="114300" simplePos="0" relativeHeight="251669504" behindDoc="0" locked="0" layoutInCell="1" allowOverlap="1">
                        <wp:simplePos x="0" y="0"/>
                        <wp:positionH relativeFrom="column">
                          <wp:posOffset>-195580</wp:posOffset>
                        </wp:positionH>
                        <wp:positionV relativeFrom="paragraph">
                          <wp:posOffset>-164465</wp:posOffset>
                        </wp:positionV>
                        <wp:extent cx="9022715" cy="5219700"/>
                        <wp:effectExtent l="0" t="0" r="6985" b="0"/>
                        <wp:wrapNone/>
                        <wp:docPr id="10890501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50191"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022715" cy="5219700"/>
                                </a:xfrm>
                                <a:prstGeom prst="rect">
                                  <a:avLst/>
                                </a:prstGeom>
                                <a:noFill/>
                                <a:ln>
                                  <a:noFill/>
                                </a:ln>
                              </pic:spPr>
                            </pic:pic>
                          </a:graphicData>
                        </a:graphic>
                      </wp:anchor>
                    </w:drawing>
                  </w:r>
                </w:p>
              </w:tc>
            </w:tr>
          </w:tbl>
          <w:p>
            <w:pPr>
              <w:widowControl/>
              <w:jc w:val="center"/>
              <w:rPr>
                <w:sz w:val="20"/>
                <w:szCs w:val="20"/>
              </w:rPr>
            </w:pPr>
            <w:r>
              <w:rPr>
                <w:sz w:val="20"/>
                <w:szCs w:val="20"/>
              </w:rPr>
              <w:drawing>
                <wp:anchor distT="0" distB="0" distL="114300" distR="114300" simplePos="0" relativeHeight="251670528" behindDoc="0" locked="0" layoutInCell="1" allowOverlap="1">
                  <wp:simplePos x="0" y="0"/>
                  <wp:positionH relativeFrom="column">
                    <wp:posOffset>-311785</wp:posOffset>
                  </wp:positionH>
                  <wp:positionV relativeFrom="paragraph">
                    <wp:posOffset>933450</wp:posOffset>
                  </wp:positionV>
                  <wp:extent cx="9133205" cy="4898390"/>
                  <wp:effectExtent l="0" t="0" r="10795" b="16510"/>
                  <wp:wrapNone/>
                  <wp:docPr id="85251930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19300"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133205" cy="4898390"/>
                          </a:xfrm>
                          <a:prstGeom prst="rect">
                            <a:avLst/>
                          </a:prstGeom>
                          <a:noFill/>
                          <a:ln>
                            <a:noFill/>
                          </a:ln>
                        </pic:spPr>
                      </pic:pic>
                    </a:graphicData>
                  </a:graphic>
                </wp:anchor>
              </w:drawing>
            </w:r>
          </w:p>
        </w:tc>
      </w:tr>
    </w:tbl>
    <w:p>
      <w:pPr>
        <w:widowControl/>
        <w:jc w:val="center"/>
        <w:rPr>
          <w:sz w:val="20"/>
          <w:szCs w:val="20"/>
        </w:rPr>
        <w:sectPr>
          <w:pgSz w:w="16838" w:h="11906" w:orient="landscape"/>
          <w:pgMar w:top="2098" w:right="1531" w:bottom="1984" w:left="1531" w:header="851" w:footer="992" w:gutter="0"/>
          <w:cols w:space="720" w:num="1"/>
          <w:docGrid w:type="lines" w:linePitch="326" w:charSpace="0"/>
        </w:sectPr>
      </w:pPr>
    </w:p>
    <w:p>
      <w:pPr>
        <w:widowControl/>
        <w:jc w:val="center"/>
        <w:rPr>
          <w:sz w:val="20"/>
          <w:szCs w:val="20"/>
        </w:rPr>
        <w:sectPr>
          <w:pgSz w:w="16838" w:h="11906" w:orient="landscape"/>
          <w:pgMar w:top="2098" w:right="1531" w:bottom="1984" w:left="1531" w:header="851" w:footer="992" w:gutter="0"/>
          <w:cols w:space="720" w:num="1"/>
          <w:docGrid w:type="lines" w:linePitch="326" w:charSpace="0"/>
        </w:sectPr>
      </w:pPr>
      <w:r>
        <w:rPr>
          <w:rFonts w:hint="eastAsia"/>
          <w:sz w:val="20"/>
          <w:szCs w:val="20"/>
        </w:rPr>
        <w:drawing>
          <wp:anchor distT="0" distB="0" distL="114300" distR="114300" simplePos="0" relativeHeight="251671552" behindDoc="0" locked="0" layoutInCell="1" allowOverlap="1">
            <wp:simplePos x="0" y="0"/>
            <wp:positionH relativeFrom="column">
              <wp:posOffset>-235585</wp:posOffset>
            </wp:positionH>
            <wp:positionV relativeFrom="paragraph">
              <wp:posOffset>-144780</wp:posOffset>
            </wp:positionV>
            <wp:extent cx="9152255" cy="5215890"/>
            <wp:effectExtent l="0" t="0" r="10795" b="3810"/>
            <wp:wrapNone/>
            <wp:docPr id="2908640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64013"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152255" cy="5215890"/>
                    </a:xfrm>
                    <a:prstGeom prst="rect">
                      <a:avLst/>
                    </a:prstGeom>
                    <a:noFill/>
                    <a:ln>
                      <a:noFill/>
                    </a:ln>
                  </pic:spPr>
                </pic:pic>
              </a:graphicData>
            </a:graphic>
          </wp:anchor>
        </w:drawing>
      </w:r>
      <w:r>
        <w:rPr>
          <w:sz w:val="20"/>
          <w:szCs w:val="20"/>
        </w:rPr>
        <w:t xml:space="preserve"> </w:t>
      </w:r>
      <w:r>
        <w:rPr>
          <w:sz w:val="20"/>
          <w:szCs w:val="20"/>
        </w:rPr>
        <w:br w:type="page"/>
      </w:r>
    </w:p>
    <w:p>
      <w:pPr>
        <w:widowControl/>
        <w:jc w:val="center"/>
        <w:rPr>
          <w:sz w:val="20"/>
          <w:szCs w:val="20"/>
        </w:rPr>
      </w:pPr>
    </w:p>
    <w:p>
      <w:pPr>
        <w:widowControl/>
        <w:jc w:val="center"/>
        <w:rPr>
          <w:sz w:val="20"/>
          <w:szCs w:val="20"/>
        </w:rPr>
      </w:pPr>
      <w:r>
        <w:rPr>
          <w:rFonts w:hint="eastAsia"/>
          <w:sz w:val="20"/>
          <w:szCs w:val="20"/>
        </w:rPr>
        <w:drawing>
          <wp:anchor distT="0" distB="0" distL="114300" distR="114300" simplePos="0" relativeHeight="251672576" behindDoc="0" locked="0" layoutInCell="1" allowOverlap="1">
            <wp:simplePos x="0" y="0"/>
            <wp:positionH relativeFrom="column">
              <wp:posOffset>0</wp:posOffset>
            </wp:positionH>
            <wp:positionV relativeFrom="paragraph">
              <wp:posOffset>73025</wp:posOffset>
            </wp:positionV>
            <wp:extent cx="8747760" cy="3023870"/>
            <wp:effectExtent l="0" t="0" r="0" b="5080"/>
            <wp:wrapNone/>
            <wp:docPr id="7093348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34876"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747760" cy="3023870"/>
                    </a:xfrm>
                    <a:prstGeom prst="rect">
                      <a:avLst/>
                    </a:prstGeom>
                    <a:noFill/>
                    <a:ln>
                      <a:noFill/>
                    </a:ln>
                  </pic:spPr>
                </pic:pic>
              </a:graphicData>
            </a:graphic>
          </wp:anchor>
        </w:drawing>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3600" behindDoc="0" locked="0" layoutInCell="1" allowOverlap="1">
            <wp:simplePos x="0" y="0"/>
            <wp:positionH relativeFrom="column">
              <wp:posOffset>272415</wp:posOffset>
            </wp:positionH>
            <wp:positionV relativeFrom="paragraph">
              <wp:posOffset>17145</wp:posOffset>
            </wp:positionV>
            <wp:extent cx="8357870" cy="5090160"/>
            <wp:effectExtent l="0" t="0" r="5080" b="15240"/>
            <wp:wrapNone/>
            <wp:docPr id="65100210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02105"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357870" cy="5090160"/>
                    </a:xfrm>
                    <a:prstGeom prst="rect">
                      <a:avLst/>
                    </a:prstGeom>
                    <a:noFill/>
                    <a:ln>
                      <a:noFill/>
                    </a:ln>
                  </pic:spPr>
                </pic:pic>
              </a:graphicData>
            </a:graphic>
          </wp:anchor>
        </w:drawing>
      </w:r>
      <w:r>
        <w:rPr>
          <w:sz w:val="20"/>
          <w:szCs w:val="20"/>
        </w:rPr>
        <w:br w:type="page"/>
      </w:r>
    </w:p>
    <w:p>
      <w:pPr>
        <w:widowControl/>
        <w:jc w:val="center"/>
        <w:rPr>
          <w:sz w:val="20"/>
          <w:szCs w:val="20"/>
        </w:rPr>
        <w:sectPr>
          <w:pgSz w:w="16838" w:h="11906" w:orient="landscape"/>
          <w:pgMar w:top="2098" w:right="1531" w:bottom="1984" w:left="1531" w:header="851" w:footer="992" w:gutter="0"/>
          <w:cols w:space="720" w:num="1"/>
          <w:docGrid w:type="lines" w:linePitch="312" w:charSpace="0"/>
        </w:sectPr>
      </w:pPr>
      <w:r>
        <w:rPr>
          <w:rFonts w:hint="eastAsia"/>
          <w:sz w:val="20"/>
          <w:szCs w:val="20"/>
        </w:rPr>
        <w:drawing>
          <wp:anchor distT="0" distB="0" distL="114300" distR="114300" simplePos="0" relativeHeight="251674624" behindDoc="0" locked="0" layoutInCell="1" allowOverlap="1">
            <wp:simplePos x="0" y="0"/>
            <wp:positionH relativeFrom="column">
              <wp:posOffset>0</wp:posOffset>
            </wp:positionH>
            <wp:positionV relativeFrom="paragraph">
              <wp:posOffset>15875</wp:posOffset>
            </wp:positionV>
            <wp:extent cx="8747760" cy="2098040"/>
            <wp:effectExtent l="0" t="0" r="15240" b="16510"/>
            <wp:wrapNone/>
            <wp:docPr id="6979980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98055"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747760" cy="2098040"/>
                    </a:xfrm>
                    <a:prstGeom prst="rect">
                      <a:avLst/>
                    </a:prstGeom>
                    <a:noFill/>
                    <a:ln>
                      <a:noFill/>
                    </a:ln>
                  </pic:spPr>
                </pic:pic>
              </a:graphicData>
            </a:graphic>
          </wp:anchor>
        </w:drawing>
      </w:r>
    </w:p>
    <w:p>
      <w:pPr>
        <w:pStyle w:val="11"/>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color w:val="000000"/>
          <w:sz w:val="18"/>
          <w:szCs w:val="18"/>
          <w:shd w:val="clear" w:color="auto" w:fill="FFFFFF"/>
        </w:rPr>
      </w:pPr>
    </w:p>
    <w:p>
      <w:pPr>
        <w:pStyle w:val="11"/>
        <w:widowControl/>
        <w:spacing w:beforeAutospacing="0" w:afterAutospacing="0"/>
        <w:jc w:val="center"/>
        <w:rPr>
          <w:rFonts w:ascii="Arial" w:hAnsi="Arial" w:eastAsia="Arial" w:cs="Arial"/>
          <w:color w:val="000000"/>
          <w:sz w:val="18"/>
          <w:szCs w:val="18"/>
          <w:shd w:val="clear" w:color="auto" w:fill="FFFFFF"/>
        </w:rPr>
      </w:pPr>
    </w:p>
    <w:p>
      <w:pPr>
        <w:pStyle w:val="11"/>
        <w:widowControl/>
        <w:spacing w:beforeAutospacing="0" w:afterAutospacing="0"/>
        <w:jc w:val="center"/>
        <w:rPr>
          <w:rFonts w:ascii="Arial" w:hAnsi="Arial" w:eastAsia="Arial" w:cs="Arial"/>
          <w:color w:val="000000"/>
          <w:sz w:val="18"/>
          <w:szCs w:val="18"/>
          <w:shd w:val="clear" w:color="auto" w:fill="FFFFFF"/>
        </w:rPr>
      </w:pPr>
    </w:p>
    <w:p>
      <w:pPr>
        <w:pStyle w:val="11"/>
        <w:widowControl/>
        <w:spacing w:beforeAutospacing="0" w:afterAutospacing="0"/>
        <w:jc w:val="center"/>
        <w:rPr>
          <w:rFonts w:ascii="Arial" w:hAnsi="Arial" w:eastAsia="Arial" w:cs="Arial"/>
          <w:color w:val="000000"/>
          <w:sz w:val="18"/>
          <w:szCs w:val="18"/>
          <w:shd w:val="clear" w:color="auto" w:fill="FFFFFF"/>
        </w:rPr>
      </w:pPr>
    </w:p>
    <w:p>
      <w:pPr>
        <w:pStyle w:val="11"/>
        <w:widowControl/>
        <w:spacing w:beforeAutospacing="0" w:afterAutospacing="0"/>
        <w:jc w:val="center"/>
        <w:rPr>
          <w:rFonts w:ascii="Arial" w:hAnsi="Arial" w:eastAsia="Arial" w:cs="Arial"/>
          <w:color w:val="000000"/>
          <w:sz w:val="18"/>
          <w:szCs w:val="18"/>
          <w:shd w:val="clear" w:color="auto" w:fill="FFFFFF"/>
        </w:rPr>
      </w:pP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第三部分</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2023年度部门决算情况</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说明</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rPr>
          <w:rFonts w:ascii="Arial" w:hAnsi="Arial" w:eastAsia="Arial" w:cs="Arial"/>
        </w:rPr>
      </w:pPr>
      <w:r>
        <w:rPr>
          <w:rFonts w:ascii="Arial" w:hAnsi="Arial" w:eastAsia="Arial" w:cs="Arial"/>
          <w:color w:val="000000"/>
          <w:sz w:val="18"/>
          <w:szCs w:val="18"/>
          <w:shd w:val="clear" w:color="auto" w:fill="FFFFFF"/>
        </w:rPr>
        <w:br w:type="page"/>
      </w:r>
    </w:p>
    <w:p>
      <w:pPr>
        <w:snapToGrid w:val="0"/>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一、收入支出决算总体情况说明</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本部门2023年度收、支总计（含结转和结余）374.59万元。与2022年度决算相比，收支各增加31.95万元，增长9.3%，</w:t>
      </w:r>
      <w:r>
        <w:rPr>
          <w:rFonts w:hint="eastAsia" w:ascii="仿宋" w:hAnsi="仿宋" w:eastAsia="仿宋"/>
          <w:sz w:val="32"/>
          <w:szCs w:val="32"/>
        </w:rPr>
        <w:t>主要原因是</w:t>
      </w:r>
      <w:r>
        <w:rPr>
          <w:rFonts w:hint="eastAsia" w:ascii="仿宋" w:hAnsi="仿宋" w:eastAsia="仿宋"/>
          <w:sz w:val="32"/>
          <w:szCs w:val="32"/>
          <w:lang w:val="en-US" w:eastAsia="zh-CN"/>
        </w:rPr>
        <w:t>本年度追加</w:t>
      </w:r>
      <w:r>
        <w:rPr>
          <w:rFonts w:hint="eastAsia" w:ascii="仿宋" w:hAnsi="仿宋" w:eastAsia="仿宋"/>
          <w:sz w:val="32"/>
          <w:szCs w:val="32"/>
        </w:rPr>
        <w:t>信访维稳</w:t>
      </w:r>
      <w:r>
        <w:rPr>
          <w:rFonts w:hint="eastAsia" w:ascii="仿宋" w:hAnsi="仿宋" w:eastAsia="仿宋"/>
          <w:sz w:val="32"/>
          <w:szCs w:val="32"/>
          <w:lang w:val="en-US" w:eastAsia="zh-CN"/>
        </w:rPr>
        <w:t>经费等项目收支</w:t>
      </w:r>
      <w:r>
        <w:rPr>
          <w:rFonts w:ascii="仿宋" w:hAnsi="仿宋" w:eastAsia="仿宋" w:cs="Times New Roman"/>
          <w:kern w:val="2"/>
          <w:sz w:val="32"/>
          <w:szCs w:val="32"/>
        </w:rPr>
        <w:t>。</w:t>
      </w:r>
    </w:p>
    <w:tbl>
      <w:tblPr>
        <w:tblStyle w:val="13"/>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5648" behindDoc="0" locked="0" layoutInCell="1" allowOverlap="1">
                  <wp:simplePos x="0" y="0"/>
                  <wp:positionH relativeFrom="column">
                    <wp:posOffset>302895</wp:posOffset>
                  </wp:positionH>
                  <wp:positionV relativeFrom="paragraph">
                    <wp:posOffset>67945</wp:posOffset>
                  </wp:positionV>
                  <wp:extent cx="4224655" cy="2853055"/>
                  <wp:effectExtent l="0" t="0" r="4445" b="4445"/>
                  <wp:wrapNone/>
                  <wp:docPr id="7562451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45126"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24655" cy="2853055"/>
                          </a:xfrm>
                          <a:prstGeom prst="rect">
                            <a:avLst/>
                          </a:prstGeom>
                          <a:noFill/>
                          <a:ln>
                            <a:noFill/>
                          </a:ln>
                        </pic:spPr>
                      </pic:pic>
                    </a:graphicData>
                  </a:graphic>
                </wp:anchor>
              </w:drawing>
            </w:r>
          </w:p>
        </w:tc>
      </w:tr>
    </w:tbl>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二、收入决算情况说明</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本部门2023年度本年收入合计374.59万元，其中：财政拨款收入374.59万元，占100.0%；上级补助收入0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w:t>
      </w:r>
      <w:r>
        <w:rPr>
          <w:rFonts w:hint="eastAsia" w:ascii="仿宋" w:hAnsi="仿宋" w:eastAsia="仿宋" w:cs="Times New Roman"/>
          <w:kern w:val="2"/>
          <w:sz w:val="32"/>
          <w:szCs w:val="32"/>
        </w:rPr>
        <w:t>0.0</w:t>
      </w:r>
      <w:r>
        <w:rPr>
          <w:rFonts w:ascii="仿宋" w:hAnsi="仿宋" w:eastAsia="仿宋" w:cs="Times New Roman"/>
          <w:kern w:val="2"/>
          <w:sz w:val="32"/>
          <w:szCs w:val="32"/>
          <w:lang w:val="zh-CN"/>
        </w:rPr>
        <w:t>%；事业收入0.00万元，占0.0%；经营收入0.00万元，占0.0%；附属单位上缴收入0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lang w:val="zh-CN"/>
        </w:rPr>
        <w:t>，占0.0%</w:t>
      </w:r>
      <w:r>
        <w:rPr>
          <w:rFonts w:ascii="仿宋" w:hAnsi="仿宋" w:eastAsia="仿宋" w:cs="Times New Roman"/>
          <w:kern w:val="2"/>
          <w:sz w:val="32"/>
          <w:szCs w:val="32"/>
          <w:lang w:val="zh-CN"/>
        </w:rPr>
        <w:t>；其他收入</w:t>
      </w:r>
      <w:r>
        <w:rPr>
          <w:rFonts w:hint="eastAsia" w:ascii="仿宋" w:hAnsi="仿宋" w:eastAsia="仿宋" w:cs="Times New Roman"/>
          <w:kern w:val="2"/>
          <w:sz w:val="32"/>
          <w:szCs w:val="32"/>
          <w:lang w:val="zh-CN"/>
        </w:rPr>
        <w:t>0.00</w:t>
      </w:r>
      <w:r>
        <w:rPr>
          <w:rFonts w:ascii="仿宋" w:hAnsi="仿宋" w:eastAsia="仿宋" w:cs="Times New Roman"/>
          <w:kern w:val="2"/>
          <w:sz w:val="32"/>
          <w:szCs w:val="32"/>
          <w:lang w:val="zh-CN"/>
        </w:rPr>
        <w:t>万元，占0.0%</w:t>
      </w:r>
      <w:r>
        <w:rPr>
          <w:rFonts w:hint="eastAsia" w:ascii="仿宋" w:hAnsi="仿宋" w:eastAsia="仿宋" w:cs="Times New Roman"/>
          <w:kern w:val="2"/>
          <w:sz w:val="32"/>
          <w:szCs w:val="32"/>
          <w:lang w:val="zh-CN"/>
        </w:rPr>
        <w:t>。</w:t>
      </w:r>
    </w:p>
    <w:tbl>
      <w:tblPr>
        <w:tblStyle w:val="13"/>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6672" behindDoc="0" locked="0" layoutInCell="1" allowOverlap="1">
                  <wp:simplePos x="0" y="0"/>
                  <wp:positionH relativeFrom="column">
                    <wp:posOffset>273685</wp:posOffset>
                  </wp:positionH>
                  <wp:positionV relativeFrom="paragraph">
                    <wp:posOffset>-288925</wp:posOffset>
                  </wp:positionV>
                  <wp:extent cx="4276725" cy="3217545"/>
                  <wp:effectExtent l="0" t="0" r="9525" b="1905"/>
                  <wp:wrapNone/>
                  <wp:docPr id="7031262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26216"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276725" cy="3217545"/>
                          </a:xfrm>
                          <a:prstGeom prst="rect">
                            <a:avLst/>
                          </a:prstGeom>
                          <a:noFill/>
                          <a:ln>
                            <a:noFill/>
                          </a:ln>
                        </pic:spPr>
                      </pic:pic>
                    </a:graphicData>
                  </a:graphic>
                </wp:anchor>
              </w:drawing>
            </w:r>
          </w:p>
        </w:tc>
      </w:tr>
    </w:tbl>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三、支出决算情况说明</w:t>
      </w:r>
    </w:p>
    <w:p>
      <w:pPr>
        <w:autoSpaceDE w:val="0"/>
        <w:autoSpaceDN w:val="0"/>
        <w:adjustRightInd w:val="0"/>
        <w:snapToGrid w:val="0"/>
        <w:spacing w:after="0" w:line="360" w:lineRule="auto"/>
        <w:ind w:firstLine="6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本部门2023年度本年支出合计374.59万元，其中：基本支出182.13万元，占48.6%；项目支出192.46万元，占51.4%；上缴上级支出0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%；经营支出0.00万元，占0.0%；对附属单位补助支出0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w:t>
      </w:r>
    </w:p>
    <w:tbl>
      <w:tblPr>
        <w:tblStyle w:val="13"/>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bookmarkStart w:id="0" w:name="_Hlk177575033"/>
            <w:r>
              <w:rPr>
                <w:rFonts w:hint="eastAsia" w:ascii="仿宋_GB2312" w:hAnsi="Times New Roman" w:eastAsia="仿宋" w:cs="DengXian-Regular"/>
                <w:sz w:val="32"/>
                <w:szCs w:val="32"/>
              </w:rPr>
              <w:drawing>
                <wp:anchor distT="0" distB="0" distL="114300" distR="114300" simplePos="0" relativeHeight="251677696" behindDoc="0" locked="0" layoutInCell="1" allowOverlap="1">
                  <wp:simplePos x="0" y="0"/>
                  <wp:positionH relativeFrom="column">
                    <wp:posOffset>291465</wp:posOffset>
                  </wp:positionH>
                  <wp:positionV relativeFrom="paragraph">
                    <wp:posOffset>108585</wp:posOffset>
                  </wp:positionV>
                  <wp:extent cx="4253865" cy="2812415"/>
                  <wp:effectExtent l="0" t="0" r="0" b="6985"/>
                  <wp:wrapNone/>
                  <wp:docPr id="7674242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24245"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253865" cy="2812415"/>
                          </a:xfrm>
                          <a:prstGeom prst="rect">
                            <a:avLst/>
                          </a:prstGeom>
                          <a:noFill/>
                          <a:ln>
                            <a:noFill/>
                          </a:ln>
                        </pic:spPr>
                      </pic:pic>
                    </a:graphicData>
                  </a:graphic>
                </wp:anchor>
              </w:drawing>
            </w:r>
          </w:p>
        </w:tc>
      </w:tr>
      <w:bookmarkEnd w:id="0"/>
    </w:tbl>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四、财政拨款收入支出决算总体情况说明</w:t>
      </w:r>
    </w:p>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（一）财政拨款收支与2022年度决算对比情况</w:t>
      </w:r>
    </w:p>
    <w:p>
      <w:pPr>
        <w:pStyle w:val="11"/>
        <w:widowControl/>
        <w:snapToGrid w:val="0"/>
        <w:spacing w:beforeAutospacing="0" w:afterAutospacing="0" w:line="360" w:lineRule="auto"/>
        <w:ind w:firstLine="640" w:firstLineChars="200"/>
        <w:rPr>
          <w:rFonts w:hint="eastAsia" w:ascii="仿宋" w:hAnsi="仿宋" w:eastAsia="仿宋" w:cs="宋体"/>
          <w:sz w:val="32"/>
          <w:szCs w:val="32"/>
          <w:lang w:val="en-US" w:eastAsia="zh-CN" w:bidi="ar-SA"/>
        </w:rPr>
      </w:pP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kern w:val="2"/>
          <w:sz w:val="32"/>
          <w:szCs w:val="32"/>
        </w:rPr>
        <w:t>374.59万</w:t>
      </w:r>
      <w:r>
        <w:rPr>
          <w:rFonts w:ascii="仿宋" w:hAnsi="仿宋" w:eastAsia="仿宋"/>
          <w:kern w:val="2"/>
          <w:sz w:val="32"/>
          <w:szCs w:val="32"/>
          <w:lang w:val="zh-CN"/>
        </w:rPr>
        <w:t>元</w:t>
      </w:r>
      <w:r>
        <w:rPr>
          <w:rFonts w:hint="eastAsia"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增加31.95</w:t>
      </w:r>
      <w:r>
        <w:rPr>
          <w:rFonts w:ascii="仿宋" w:hAnsi="仿宋" w:eastAsia="仿宋"/>
          <w:kern w:val="2"/>
          <w:sz w:val="32"/>
          <w:szCs w:val="32"/>
          <w:lang w:val="zh-CN"/>
        </w:rPr>
        <w:t>万元</w:t>
      </w:r>
      <w:r>
        <w:rPr>
          <w:rFonts w:ascii="仿宋" w:hAnsi="仿宋" w:eastAsia="仿宋"/>
          <w:kern w:val="2"/>
          <w:sz w:val="32"/>
          <w:szCs w:val="32"/>
        </w:rPr>
        <w:t>，增长9.3%，</w:t>
      </w:r>
      <w:r>
        <w:rPr>
          <w:rFonts w:hint="eastAsia" w:ascii="仿宋" w:hAnsi="仿宋" w:eastAsia="仿宋" w:cs="宋体"/>
          <w:sz w:val="32"/>
          <w:szCs w:val="32"/>
          <w:lang w:val="zh-CN" w:eastAsia="zh-CN" w:bidi="ar-SA"/>
        </w:rPr>
        <w:t>主要原因是</w:t>
      </w:r>
      <w:r>
        <w:rPr>
          <w:rFonts w:hint="eastAsia" w:ascii="仿宋" w:hAnsi="仿宋" w:eastAsia="仿宋" w:cs="宋体"/>
          <w:sz w:val="32"/>
          <w:szCs w:val="32"/>
          <w:lang w:val="en-US" w:eastAsia="zh-CN" w:bidi="ar-SA"/>
        </w:rPr>
        <w:t>：本年度追加信访维稳经费等项目收入；</w:t>
      </w:r>
      <w:r>
        <w:rPr>
          <w:rFonts w:hint="eastAsia" w:ascii="仿宋" w:hAnsi="仿宋" w:eastAsia="仿宋" w:cs="宋体"/>
          <w:sz w:val="32"/>
          <w:szCs w:val="32"/>
          <w:lang w:val="zh-CN" w:eastAsia="zh-CN" w:bidi="ar-SA"/>
        </w:rPr>
        <w:t>本年支出合计</w:t>
      </w:r>
      <w:r>
        <w:rPr>
          <w:rFonts w:hint="eastAsia" w:ascii="仿宋" w:hAnsi="仿宋" w:eastAsia="仿宋" w:cs="宋体"/>
          <w:sz w:val="32"/>
          <w:szCs w:val="32"/>
          <w:lang w:val="en-US" w:eastAsia="zh-CN" w:bidi="ar-SA"/>
        </w:rPr>
        <w:t>374.59</w:t>
      </w:r>
      <w:r>
        <w:rPr>
          <w:rFonts w:hint="eastAsia" w:ascii="仿宋" w:hAnsi="仿宋" w:eastAsia="仿宋" w:cs="宋体"/>
          <w:sz w:val="32"/>
          <w:szCs w:val="32"/>
          <w:lang w:val="zh-CN" w:eastAsia="zh-CN" w:bidi="ar-SA"/>
        </w:rPr>
        <w:t>元</w:t>
      </w:r>
      <w:r>
        <w:rPr>
          <w:rFonts w:hint="eastAsia" w:ascii="仿宋" w:hAnsi="仿宋" w:eastAsia="仿宋" w:cs="宋体"/>
          <w:sz w:val="32"/>
          <w:szCs w:val="32"/>
          <w:lang w:val="en-US" w:eastAsia="zh-CN" w:bidi="ar-SA"/>
        </w:rPr>
        <w:t>，</w:t>
      </w:r>
      <w:r>
        <w:rPr>
          <w:rFonts w:hint="eastAsia" w:ascii="仿宋" w:hAnsi="仿宋" w:eastAsia="仿宋" w:cs="宋体"/>
          <w:sz w:val="32"/>
          <w:szCs w:val="32"/>
          <w:lang w:val="zh-CN" w:eastAsia="zh-CN" w:bidi="ar-SA"/>
        </w:rPr>
        <w:t>比上年</w:t>
      </w:r>
      <w:r>
        <w:rPr>
          <w:rFonts w:hint="eastAsia" w:ascii="仿宋" w:hAnsi="仿宋" w:eastAsia="仿宋" w:cs="宋体"/>
          <w:sz w:val="32"/>
          <w:szCs w:val="32"/>
          <w:lang w:val="en-US" w:eastAsia="zh-CN" w:bidi="ar-SA"/>
        </w:rPr>
        <w:t>增加31.95</w:t>
      </w:r>
      <w:r>
        <w:rPr>
          <w:rFonts w:hint="eastAsia" w:ascii="仿宋" w:hAnsi="仿宋" w:eastAsia="仿宋" w:cs="宋体"/>
          <w:sz w:val="32"/>
          <w:szCs w:val="32"/>
          <w:lang w:val="zh-CN" w:eastAsia="zh-CN" w:bidi="ar-SA"/>
        </w:rPr>
        <w:t>万元</w:t>
      </w:r>
      <w:r>
        <w:rPr>
          <w:rFonts w:hint="eastAsia" w:ascii="仿宋" w:hAnsi="仿宋" w:eastAsia="仿宋" w:cs="宋体"/>
          <w:sz w:val="32"/>
          <w:szCs w:val="32"/>
          <w:lang w:val="en-US" w:eastAsia="zh-CN" w:bidi="ar-SA"/>
        </w:rPr>
        <w:t>，增长9.3%，</w:t>
      </w:r>
      <w:r>
        <w:rPr>
          <w:rFonts w:hint="eastAsia" w:ascii="仿宋" w:hAnsi="仿宋" w:eastAsia="仿宋" w:cs="宋体"/>
          <w:sz w:val="32"/>
          <w:szCs w:val="32"/>
          <w:lang w:val="zh-CN" w:eastAsia="zh-CN" w:bidi="ar-SA"/>
        </w:rPr>
        <w:t>主要原因是</w:t>
      </w:r>
      <w:r>
        <w:rPr>
          <w:rFonts w:hint="eastAsia" w:ascii="仿宋" w:hAnsi="仿宋" w:eastAsia="仿宋" w:cs="宋体"/>
          <w:sz w:val="32"/>
          <w:szCs w:val="32"/>
          <w:lang w:val="en-US" w:eastAsia="zh-CN" w:bidi="ar-SA"/>
        </w:rPr>
        <w:t>：本年度追加信访维稳经费等项目支出</w:t>
      </w:r>
      <w:r>
        <w:rPr>
          <w:rFonts w:hint="eastAsia" w:ascii="仿宋" w:hAnsi="仿宋" w:eastAsia="仿宋" w:cs="宋体"/>
          <w:sz w:val="32"/>
          <w:szCs w:val="32"/>
          <w:lang w:val="zh-CN" w:eastAsia="zh-CN" w:bidi="ar-SA"/>
        </w:rPr>
        <w:t>。具体情况如下：</w:t>
      </w:r>
    </w:p>
    <w:p>
      <w:pPr>
        <w:autoSpaceDE w:val="0"/>
        <w:autoSpaceDN w:val="0"/>
        <w:adjustRightInd w:val="0"/>
        <w:snapToGrid w:val="0"/>
        <w:spacing w:after="0" w:line="360" w:lineRule="auto"/>
        <w:ind w:firstLine="640" w:firstLineChars="200"/>
        <w:jc w:val="left"/>
        <w:rPr>
          <w:rFonts w:hint="eastAsia" w:ascii="仿宋" w:hAnsi="仿宋" w:eastAsia="仿宋" w:cs="宋体"/>
          <w:sz w:val="32"/>
          <w:szCs w:val="32"/>
          <w:lang w:val="en-US" w:eastAsia="zh-CN" w:bidi="ar-SA"/>
        </w:rPr>
      </w:pPr>
      <w:r>
        <w:rPr>
          <w:rFonts w:hint="eastAsia" w:ascii="仿宋" w:hAnsi="仿宋" w:eastAsia="仿宋" w:cs="宋体"/>
          <w:sz w:val="32"/>
          <w:szCs w:val="32"/>
          <w:lang w:val="en-US" w:eastAsia="zh-CN" w:bidi="ar-SA"/>
        </w:rPr>
        <w:t xml:space="preserve">1. </w:t>
      </w:r>
      <w:r>
        <w:rPr>
          <w:rFonts w:hint="eastAsia" w:ascii="仿宋" w:hAnsi="仿宋" w:eastAsia="仿宋" w:cs="宋体"/>
          <w:sz w:val="32"/>
          <w:szCs w:val="32"/>
          <w:lang w:val="zh-CN" w:eastAsia="zh-CN" w:bidi="ar-SA"/>
        </w:rPr>
        <w:t>一般公共预算财政拨款本年收入合计</w:t>
      </w:r>
      <w:r>
        <w:rPr>
          <w:rFonts w:hint="eastAsia" w:ascii="仿宋" w:hAnsi="仿宋" w:eastAsia="仿宋" w:cs="宋体"/>
          <w:sz w:val="32"/>
          <w:szCs w:val="32"/>
          <w:lang w:val="en-US" w:eastAsia="zh-CN" w:bidi="ar-SA"/>
        </w:rPr>
        <w:t>254.50</w:t>
      </w:r>
      <w:r>
        <w:rPr>
          <w:rFonts w:hint="eastAsia" w:ascii="仿宋" w:hAnsi="仿宋" w:eastAsia="仿宋" w:cs="宋体"/>
          <w:sz w:val="32"/>
          <w:szCs w:val="32"/>
          <w:lang w:val="zh-CN" w:eastAsia="zh-CN" w:bidi="ar-SA"/>
        </w:rPr>
        <w:t>万元</w:t>
      </w:r>
      <w:r>
        <w:rPr>
          <w:rFonts w:hint="eastAsia" w:ascii="仿宋" w:hAnsi="仿宋" w:eastAsia="仿宋" w:cs="宋体"/>
          <w:sz w:val="32"/>
          <w:szCs w:val="32"/>
          <w:lang w:val="en-US" w:eastAsia="zh-CN" w:bidi="ar-SA"/>
        </w:rPr>
        <w:t>，</w:t>
      </w:r>
      <w:r>
        <w:rPr>
          <w:rFonts w:hint="eastAsia" w:ascii="仿宋" w:hAnsi="仿宋" w:eastAsia="仿宋" w:cs="宋体"/>
          <w:sz w:val="32"/>
          <w:szCs w:val="32"/>
          <w:lang w:val="zh-CN" w:eastAsia="zh-CN" w:bidi="ar-SA"/>
        </w:rPr>
        <w:t>比上年</w:t>
      </w:r>
      <w:r>
        <w:rPr>
          <w:rFonts w:hint="eastAsia" w:ascii="仿宋" w:hAnsi="仿宋" w:eastAsia="仿宋" w:cs="宋体"/>
          <w:sz w:val="32"/>
          <w:szCs w:val="32"/>
          <w:lang w:val="en-US" w:eastAsia="zh-CN" w:bidi="ar-SA"/>
        </w:rPr>
        <w:t>增加45.31</w:t>
      </w:r>
      <w:r>
        <w:rPr>
          <w:rFonts w:hint="eastAsia" w:ascii="仿宋" w:hAnsi="仿宋" w:eastAsia="仿宋" w:cs="宋体"/>
          <w:sz w:val="32"/>
          <w:szCs w:val="32"/>
          <w:lang w:val="zh-CN" w:eastAsia="zh-CN" w:bidi="ar-SA"/>
        </w:rPr>
        <w:t>万元</w:t>
      </w:r>
      <w:r>
        <w:rPr>
          <w:rFonts w:hint="eastAsia" w:ascii="仿宋" w:hAnsi="仿宋" w:eastAsia="仿宋" w:cs="宋体"/>
          <w:sz w:val="32"/>
          <w:szCs w:val="32"/>
          <w:lang w:val="en-US" w:eastAsia="zh-CN" w:bidi="ar-SA"/>
        </w:rPr>
        <w:t>，增长21.7%，</w:t>
      </w:r>
      <w:r>
        <w:rPr>
          <w:rFonts w:hint="eastAsia" w:ascii="仿宋" w:hAnsi="仿宋" w:eastAsia="仿宋" w:cs="宋体"/>
          <w:sz w:val="32"/>
          <w:szCs w:val="32"/>
          <w:lang w:val="zh-CN" w:eastAsia="zh-CN" w:bidi="ar-SA"/>
        </w:rPr>
        <w:t>主要原因是</w:t>
      </w:r>
      <w:r>
        <w:rPr>
          <w:rFonts w:hint="eastAsia" w:ascii="仿宋" w:hAnsi="仿宋" w:eastAsia="仿宋" w:cs="宋体"/>
          <w:sz w:val="32"/>
          <w:szCs w:val="32"/>
          <w:lang w:val="en-US" w:eastAsia="zh-CN" w:bidi="ar-SA"/>
        </w:rPr>
        <w:t>：本年度一般公共预算追加信访维稳经费等项目收入；</w:t>
      </w:r>
      <w:r>
        <w:rPr>
          <w:rFonts w:hint="eastAsia" w:ascii="仿宋" w:hAnsi="仿宋" w:eastAsia="仿宋" w:cs="宋体"/>
          <w:sz w:val="32"/>
          <w:szCs w:val="32"/>
          <w:lang w:val="zh-CN" w:eastAsia="zh-CN" w:bidi="ar-SA"/>
        </w:rPr>
        <w:t>本年支出合计</w:t>
      </w:r>
      <w:r>
        <w:rPr>
          <w:rFonts w:hint="eastAsia" w:ascii="仿宋" w:hAnsi="仿宋" w:eastAsia="仿宋" w:cs="宋体"/>
          <w:sz w:val="32"/>
          <w:szCs w:val="32"/>
          <w:lang w:val="en-US" w:eastAsia="zh-CN" w:bidi="ar-SA"/>
        </w:rPr>
        <w:t>254.50万</w:t>
      </w:r>
      <w:r>
        <w:rPr>
          <w:rFonts w:hint="eastAsia" w:ascii="仿宋" w:hAnsi="仿宋" w:eastAsia="仿宋" w:cs="宋体"/>
          <w:sz w:val="32"/>
          <w:szCs w:val="32"/>
          <w:lang w:val="zh-CN" w:eastAsia="zh-CN" w:bidi="ar-SA"/>
        </w:rPr>
        <w:t>元</w:t>
      </w:r>
      <w:r>
        <w:rPr>
          <w:rFonts w:hint="eastAsia" w:ascii="仿宋" w:hAnsi="仿宋" w:eastAsia="仿宋" w:cs="宋体"/>
          <w:sz w:val="32"/>
          <w:szCs w:val="32"/>
          <w:lang w:val="en-US" w:eastAsia="zh-CN" w:bidi="ar-SA"/>
        </w:rPr>
        <w:t>，</w:t>
      </w:r>
      <w:r>
        <w:rPr>
          <w:rFonts w:hint="eastAsia" w:ascii="仿宋" w:hAnsi="仿宋" w:eastAsia="仿宋" w:cs="宋体"/>
          <w:sz w:val="32"/>
          <w:szCs w:val="32"/>
          <w:lang w:val="zh-CN" w:eastAsia="zh-CN" w:bidi="ar-SA"/>
        </w:rPr>
        <w:t>比上年</w:t>
      </w:r>
      <w:r>
        <w:rPr>
          <w:rFonts w:hint="eastAsia" w:ascii="仿宋" w:hAnsi="仿宋" w:eastAsia="仿宋" w:cs="宋体"/>
          <w:sz w:val="32"/>
          <w:szCs w:val="32"/>
          <w:lang w:val="en-US" w:eastAsia="zh-CN" w:bidi="ar-SA"/>
        </w:rPr>
        <w:t>增加45.31</w:t>
      </w:r>
      <w:r>
        <w:rPr>
          <w:rFonts w:hint="eastAsia" w:ascii="仿宋" w:hAnsi="仿宋" w:eastAsia="仿宋" w:cs="宋体"/>
          <w:sz w:val="32"/>
          <w:szCs w:val="32"/>
          <w:lang w:val="zh-CN" w:eastAsia="zh-CN" w:bidi="ar-SA"/>
        </w:rPr>
        <w:t>万元</w:t>
      </w:r>
      <w:r>
        <w:rPr>
          <w:rFonts w:hint="eastAsia" w:ascii="仿宋" w:hAnsi="仿宋" w:eastAsia="仿宋" w:cs="宋体"/>
          <w:sz w:val="32"/>
          <w:szCs w:val="32"/>
          <w:lang w:val="en-US" w:eastAsia="zh-CN" w:bidi="ar-SA"/>
        </w:rPr>
        <w:t>，增长21.7%，</w:t>
      </w:r>
      <w:r>
        <w:rPr>
          <w:rFonts w:hint="eastAsia" w:ascii="仿宋" w:hAnsi="仿宋" w:eastAsia="仿宋" w:cs="宋体"/>
          <w:sz w:val="32"/>
          <w:szCs w:val="32"/>
          <w:lang w:val="zh-CN" w:eastAsia="zh-CN" w:bidi="ar-SA"/>
        </w:rPr>
        <w:t>主要原因是</w:t>
      </w:r>
      <w:r>
        <w:rPr>
          <w:rFonts w:hint="eastAsia" w:ascii="仿宋" w:hAnsi="仿宋" w:eastAsia="仿宋" w:cs="宋体"/>
          <w:sz w:val="32"/>
          <w:szCs w:val="32"/>
          <w:lang w:val="en-US" w:eastAsia="zh-CN" w:bidi="ar-SA"/>
        </w:rPr>
        <w:t>：本年度一般公共预算追加信访维稳经费等项目支出</w:t>
      </w:r>
      <w:r>
        <w:rPr>
          <w:rFonts w:hint="eastAsia" w:ascii="仿宋" w:hAnsi="仿宋" w:eastAsia="仿宋" w:cs="宋体"/>
          <w:sz w:val="32"/>
          <w:szCs w:val="32"/>
          <w:lang w:val="zh-CN" w:eastAsia="zh-CN" w:bidi="ar-SA"/>
        </w:rPr>
        <w:t>。</w:t>
      </w:r>
    </w:p>
    <w:p>
      <w:pPr>
        <w:autoSpaceDE w:val="0"/>
        <w:autoSpaceDN w:val="0"/>
        <w:adjustRightInd w:val="0"/>
        <w:snapToGrid w:val="0"/>
        <w:spacing w:after="0" w:line="360" w:lineRule="auto"/>
        <w:ind w:firstLine="640" w:firstLineChars="200"/>
        <w:jc w:val="left"/>
        <w:rPr>
          <w:rFonts w:hint="eastAsia" w:ascii="仿宋" w:hAnsi="仿宋" w:eastAsia="仿宋" w:cs="宋体"/>
          <w:sz w:val="32"/>
          <w:szCs w:val="32"/>
          <w:lang w:val="en-US" w:eastAsia="zh-CN" w:bidi="ar-SA"/>
        </w:rPr>
      </w:pPr>
      <w:r>
        <w:rPr>
          <w:rFonts w:hint="eastAsia" w:ascii="仿宋" w:hAnsi="仿宋" w:eastAsia="仿宋" w:cs="宋体"/>
          <w:sz w:val="32"/>
          <w:szCs w:val="32"/>
          <w:lang w:val="en-US" w:eastAsia="zh-CN" w:bidi="ar-SA"/>
        </w:rPr>
        <w:t xml:space="preserve">2. </w:t>
      </w:r>
      <w:r>
        <w:rPr>
          <w:rFonts w:hint="eastAsia" w:ascii="仿宋" w:hAnsi="仿宋" w:eastAsia="仿宋" w:cs="宋体"/>
          <w:sz w:val="32"/>
          <w:szCs w:val="32"/>
          <w:lang w:val="zh-CN" w:eastAsia="zh-CN" w:bidi="ar-SA"/>
        </w:rPr>
        <w:t>政府性基金预算财政拨款本年收入合计</w:t>
      </w:r>
      <w:r>
        <w:rPr>
          <w:rFonts w:hint="eastAsia" w:ascii="仿宋" w:hAnsi="仿宋" w:eastAsia="仿宋" w:cs="宋体"/>
          <w:sz w:val="32"/>
          <w:szCs w:val="32"/>
          <w:lang w:val="en-US" w:eastAsia="zh-CN" w:bidi="ar-SA"/>
        </w:rPr>
        <w:t>120.10万</w:t>
      </w:r>
      <w:r>
        <w:rPr>
          <w:rFonts w:hint="eastAsia" w:ascii="仿宋" w:hAnsi="仿宋" w:eastAsia="仿宋" w:cs="宋体"/>
          <w:sz w:val="32"/>
          <w:szCs w:val="32"/>
          <w:lang w:val="zh-CN" w:eastAsia="zh-CN" w:bidi="ar-SA"/>
        </w:rPr>
        <w:t>元</w:t>
      </w:r>
      <w:r>
        <w:rPr>
          <w:rFonts w:hint="eastAsia" w:ascii="仿宋" w:hAnsi="仿宋" w:eastAsia="仿宋" w:cs="宋体"/>
          <w:sz w:val="32"/>
          <w:szCs w:val="32"/>
          <w:lang w:val="en-US" w:eastAsia="zh-CN" w:bidi="ar-SA"/>
        </w:rPr>
        <w:t>，</w:t>
      </w:r>
      <w:r>
        <w:rPr>
          <w:rFonts w:hint="eastAsia" w:ascii="仿宋" w:hAnsi="仿宋" w:eastAsia="仿宋" w:cs="宋体"/>
          <w:sz w:val="32"/>
          <w:szCs w:val="32"/>
          <w:lang w:val="zh-CN" w:eastAsia="zh-CN" w:bidi="ar-SA"/>
        </w:rPr>
        <w:t>比上年</w:t>
      </w:r>
      <w:r>
        <w:rPr>
          <w:rFonts w:hint="eastAsia" w:ascii="仿宋" w:hAnsi="仿宋" w:eastAsia="仿宋" w:cs="宋体"/>
          <w:sz w:val="32"/>
          <w:szCs w:val="32"/>
          <w:lang w:val="en-US" w:eastAsia="zh-CN" w:bidi="ar-SA"/>
        </w:rPr>
        <w:t>减少13.36</w:t>
      </w:r>
      <w:r>
        <w:rPr>
          <w:rFonts w:hint="eastAsia" w:ascii="仿宋" w:hAnsi="仿宋" w:eastAsia="仿宋" w:cs="宋体"/>
          <w:sz w:val="32"/>
          <w:szCs w:val="32"/>
          <w:lang w:val="zh-CN" w:eastAsia="zh-CN" w:bidi="ar-SA"/>
        </w:rPr>
        <w:t>万元</w:t>
      </w:r>
      <w:r>
        <w:rPr>
          <w:rFonts w:hint="eastAsia" w:ascii="仿宋" w:hAnsi="仿宋" w:eastAsia="仿宋" w:cs="宋体"/>
          <w:sz w:val="32"/>
          <w:szCs w:val="32"/>
          <w:lang w:val="en-US" w:eastAsia="zh-CN" w:bidi="ar-SA"/>
        </w:rPr>
        <w:t>，降低10.0%，</w:t>
      </w:r>
      <w:r>
        <w:rPr>
          <w:rFonts w:hint="eastAsia" w:ascii="仿宋" w:hAnsi="仿宋" w:eastAsia="仿宋" w:cs="宋体"/>
          <w:sz w:val="32"/>
          <w:szCs w:val="32"/>
          <w:lang w:val="zh-CN" w:eastAsia="zh-CN" w:bidi="ar-SA"/>
        </w:rPr>
        <w:t>主要原因是</w:t>
      </w:r>
      <w:r>
        <w:rPr>
          <w:rFonts w:hint="eastAsia" w:ascii="仿宋" w:hAnsi="仿宋" w:eastAsia="仿宋" w:cs="宋体"/>
          <w:sz w:val="32"/>
          <w:szCs w:val="32"/>
          <w:lang w:val="en-US" w:eastAsia="zh-CN" w:bidi="ar-SA"/>
        </w:rPr>
        <w:t>：本年度一般公共预算列支了维稳经费等项目；</w:t>
      </w:r>
      <w:r>
        <w:rPr>
          <w:rFonts w:hint="eastAsia" w:ascii="仿宋" w:hAnsi="仿宋" w:eastAsia="仿宋" w:cs="宋体"/>
          <w:sz w:val="32"/>
          <w:szCs w:val="32"/>
          <w:lang w:val="zh-CN" w:eastAsia="zh-CN" w:bidi="ar-SA"/>
        </w:rPr>
        <w:t>本年支出合计</w:t>
      </w:r>
      <w:r>
        <w:rPr>
          <w:rFonts w:hint="eastAsia" w:ascii="仿宋" w:hAnsi="仿宋" w:eastAsia="仿宋" w:cs="宋体"/>
          <w:sz w:val="32"/>
          <w:szCs w:val="32"/>
          <w:lang w:val="en-US" w:eastAsia="zh-CN" w:bidi="ar-SA"/>
        </w:rPr>
        <w:t>120.10万</w:t>
      </w:r>
      <w:r>
        <w:rPr>
          <w:rFonts w:hint="eastAsia" w:ascii="仿宋" w:hAnsi="仿宋" w:eastAsia="仿宋" w:cs="宋体"/>
          <w:sz w:val="32"/>
          <w:szCs w:val="32"/>
          <w:lang w:val="zh-CN" w:eastAsia="zh-CN" w:bidi="ar-SA"/>
        </w:rPr>
        <w:t>元</w:t>
      </w:r>
      <w:r>
        <w:rPr>
          <w:rFonts w:hint="eastAsia" w:ascii="仿宋" w:hAnsi="仿宋" w:eastAsia="仿宋" w:cs="宋体"/>
          <w:sz w:val="32"/>
          <w:szCs w:val="32"/>
          <w:lang w:val="en-US" w:eastAsia="zh-CN" w:bidi="ar-SA"/>
        </w:rPr>
        <w:t>，</w:t>
      </w:r>
      <w:r>
        <w:rPr>
          <w:rFonts w:hint="eastAsia" w:ascii="仿宋" w:hAnsi="仿宋" w:eastAsia="仿宋" w:cs="宋体"/>
          <w:sz w:val="32"/>
          <w:szCs w:val="32"/>
          <w:lang w:val="zh-CN" w:eastAsia="zh-CN" w:bidi="ar-SA"/>
        </w:rPr>
        <w:t>比上年</w:t>
      </w:r>
      <w:r>
        <w:rPr>
          <w:rFonts w:hint="eastAsia" w:ascii="仿宋" w:hAnsi="仿宋" w:eastAsia="仿宋" w:cs="宋体"/>
          <w:sz w:val="32"/>
          <w:szCs w:val="32"/>
          <w:lang w:val="en-US" w:eastAsia="zh-CN" w:bidi="ar-SA"/>
        </w:rPr>
        <w:t>减少13.36</w:t>
      </w:r>
      <w:r>
        <w:rPr>
          <w:rFonts w:hint="eastAsia" w:ascii="仿宋" w:hAnsi="仿宋" w:eastAsia="仿宋" w:cs="宋体"/>
          <w:sz w:val="32"/>
          <w:szCs w:val="32"/>
          <w:lang w:val="zh-CN" w:eastAsia="zh-CN" w:bidi="ar-SA"/>
        </w:rPr>
        <w:t>万元</w:t>
      </w:r>
      <w:r>
        <w:rPr>
          <w:rFonts w:hint="eastAsia" w:ascii="仿宋" w:hAnsi="仿宋" w:eastAsia="仿宋" w:cs="宋体"/>
          <w:sz w:val="32"/>
          <w:szCs w:val="32"/>
          <w:lang w:val="en-US" w:eastAsia="zh-CN" w:bidi="ar-SA"/>
        </w:rPr>
        <w:t>，降低10.0%，</w:t>
      </w:r>
      <w:r>
        <w:rPr>
          <w:rFonts w:hint="eastAsia" w:ascii="仿宋" w:hAnsi="仿宋" w:eastAsia="仿宋" w:cs="宋体"/>
          <w:sz w:val="32"/>
          <w:szCs w:val="32"/>
          <w:lang w:val="zh-CN" w:eastAsia="zh-CN" w:bidi="ar-SA"/>
        </w:rPr>
        <w:t>主要原因是</w:t>
      </w:r>
      <w:r>
        <w:rPr>
          <w:rFonts w:hint="eastAsia" w:ascii="仿宋" w:hAnsi="仿宋" w:eastAsia="仿宋" w:cs="宋体"/>
          <w:sz w:val="32"/>
          <w:szCs w:val="32"/>
          <w:lang w:val="en-US" w:eastAsia="zh-CN" w:bidi="ar-SA"/>
        </w:rPr>
        <w:t>：本年度一般公共预算列支了维稳经费等项目</w:t>
      </w:r>
      <w:r>
        <w:rPr>
          <w:rFonts w:hint="eastAsia" w:ascii="仿宋" w:hAnsi="仿宋" w:eastAsia="仿宋" w:cs="宋体"/>
          <w:sz w:val="32"/>
          <w:szCs w:val="32"/>
          <w:lang w:val="zh-CN" w:eastAsia="zh-CN" w:bidi="ar-SA"/>
        </w:rPr>
        <w:t>。</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3. </w:t>
      </w:r>
      <w:r>
        <w:rPr>
          <w:rFonts w:ascii="仿宋" w:hAnsi="仿宋" w:eastAsia="仿宋" w:cs="Times New Roman"/>
          <w:kern w:val="2"/>
          <w:sz w:val="32"/>
          <w:szCs w:val="32"/>
          <w:lang w:val="zh-CN"/>
        </w:rPr>
        <w:t>国有资本经营预算财政拨款本年收入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tbl>
      <w:tblPr>
        <w:tblStyle w:val="13"/>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37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bookmarkStart w:id="1" w:name="_Hlk177574799"/>
            <w:r>
              <w:rPr>
                <w:rFonts w:hint="eastAsia" w:ascii="仿宋_GB2312" w:hAnsi="Times New Roman" w:eastAsia="仿宋" w:cs="DengXian-Regular"/>
                <w:sz w:val="32"/>
                <w:szCs w:val="32"/>
              </w:rPr>
              <w:drawing>
                <wp:anchor distT="0" distB="0" distL="114300" distR="114300" simplePos="0" relativeHeight="251678720" behindDoc="0" locked="0" layoutInCell="1" allowOverlap="1">
                  <wp:simplePos x="0" y="0"/>
                  <wp:positionH relativeFrom="column">
                    <wp:posOffset>273685</wp:posOffset>
                  </wp:positionH>
                  <wp:positionV relativeFrom="paragraph">
                    <wp:posOffset>69215</wp:posOffset>
                  </wp:positionV>
                  <wp:extent cx="4276725" cy="3171190"/>
                  <wp:effectExtent l="0" t="0" r="9525" b="0"/>
                  <wp:wrapNone/>
                  <wp:docPr id="214235146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51461" name="图片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276725" cy="3171190"/>
                          </a:xfrm>
                          <a:prstGeom prst="rect">
                            <a:avLst/>
                          </a:prstGeom>
                          <a:noFill/>
                          <a:ln>
                            <a:noFill/>
                          </a:ln>
                        </pic:spPr>
                      </pic:pic>
                    </a:graphicData>
                  </a:graphic>
                </wp:anchor>
              </w:drawing>
            </w:r>
          </w:p>
        </w:tc>
      </w:tr>
      <w:bookmarkEnd w:id="1"/>
    </w:tbl>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（二）财政拨款收支与年初预算数对比情况</w:t>
      </w:r>
    </w:p>
    <w:p>
      <w:pPr>
        <w:autoSpaceDE w:val="0"/>
        <w:autoSpaceDN w:val="0"/>
        <w:adjustRightInd w:val="0"/>
        <w:snapToGrid w:val="0"/>
        <w:spacing w:after="0" w:line="360" w:lineRule="auto"/>
        <w:ind w:firstLine="640" w:firstLineChars="200"/>
        <w:jc w:val="left"/>
        <w:rPr>
          <w:rFonts w:hint="eastAsia" w:ascii="仿宋" w:hAnsi="仿宋" w:eastAsia="仿宋"/>
          <w:kern w:val="2"/>
          <w:sz w:val="32"/>
          <w:szCs w:val="32"/>
          <w:lang w:val="zh-CN"/>
        </w:rPr>
      </w:pP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374.59万元，完成年初预算的</w:t>
      </w:r>
      <w:r>
        <w:rPr>
          <w:rFonts w:hint="eastAsia" w:ascii="仿宋" w:hAnsi="仿宋" w:eastAsia="仿宋"/>
          <w:kern w:val="2"/>
          <w:sz w:val="32"/>
          <w:szCs w:val="32"/>
          <w:lang w:val="zh-CN"/>
        </w:rPr>
        <w:t>122.6%，比年初预算增加69.13万元，决算数大于预算数，主要原因是：</w:t>
      </w:r>
      <w:r>
        <w:rPr>
          <w:rFonts w:hint="eastAsia" w:ascii="仿宋" w:hAnsi="仿宋" w:eastAsia="仿宋"/>
          <w:kern w:val="2"/>
          <w:sz w:val="32"/>
          <w:szCs w:val="32"/>
          <w:lang w:val="en-US" w:eastAsia="zh-CN"/>
        </w:rPr>
        <w:t>本年度追加</w:t>
      </w:r>
      <w:r>
        <w:rPr>
          <w:rFonts w:hint="eastAsia" w:ascii="仿宋" w:hAnsi="仿宋" w:eastAsia="仿宋"/>
          <w:kern w:val="2"/>
          <w:sz w:val="32"/>
          <w:szCs w:val="32"/>
          <w:lang w:val="zh-CN"/>
        </w:rPr>
        <w:t>项目经费</w:t>
      </w:r>
      <w:r>
        <w:rPr>
          <w:rFonts w:hint="eastAsia" w:ascii="仿宋" w:hAnsi="仿宋" w:eastAsia="仿宋"/>
          <w:kern w:val="2"/>
          <w:sz w:val="32"/>
          <w:szCs w:val="32"/>
          <w:lang w:val="en-US" w:eastAsia="zh-CN"/>
        </w:rPr>
        <w:t>预算</w:t>
      </w:r>
      <w:r>
        <w:rPr>
          <w:rFonts w:hint="eastAsia" w:ascii="仿宋" w:hAnsi="仿宋" w:eastAsia="仿宋"/>
          <w:kern w:val="2"/>
          <w:sz w:val="32"/>
          <w:szCs w:val="32"/>
          <w:lang w:val="zh-CN"/>
        </w:rPr>
        <w:t>；本年支出</w:t>
      </w:r>
      <w:r>
        <w:rPr>
          <w:rFonts w:hint="eastAsia" w:ascii="仿宋" w:hAnsi="仿宋" w:eastAsia="仿宋"/>
          <w:kern w:val="2"/>
          <w:sz w:val="32"/>
          <w:szCs w:val="32"/>
          <w:lang w:val="zh-CN"/>
        </w:rPr>
        <w:t>合计374.59万元，完成年初预算的122.6%，比年初预算增加69.13万元，决算数大于预算数，主要原因是：</w:t>
      </w:r>
      <w:r>
        <w:rPr>
          <w:rFonts w:hint="eastAsia" w:ascii="仿宋" w:hAnsi="仿宋" w:eastAsia="仿宋"/>
          <w:kern w:val="2"/>
          <w:sz w:val="32"/>
          <w:szCs w:val="32"/>
          <w:lang w:val="en-US" w:eastAsia="zh-CN"/>
        </w:rPr>
        <w:t>本年度追加</w:t>
      </w:r>
      <w:r>
        <w:rPr>
          <w:rFonts w:hint="eastAsia" w:ascii="仿宋" w:hAnsi="仿宋" w:eastAsia="仿宋"/>
          <w:kern w:val="2"/>
          <w:sz w:val="32"/>
          <w:szCs w:val="32"/>
          <w:lang w:val="zh-CN"/>
        </w:rPr>
        <w:t>项目</w:t>
      </w:r>
      <w:r>
        <w:rPr>
          <w:rFonts w:hint="eastAsia" w:ascii="仿宋" w:hAnsi="仿宋" w:eastAsia="仿宋"/>
          <w:kern w:val="2"/>
          <w:sz w:val="32"/>
          <w:szCs w:val="32"/>
          <w:lang w:val="en-US" w:eastAsia="zh-CN"/>
        </w:rPr>
        <w:t>经费支出</w:t>
      </w:r>
      <w:r>
        <w:rPr>
          <w:rFonts w:hint="eastAsia" w:ascii="仿宋" w:hAnsi="仿宋" w:eastAsia="仿宋"/>
          <w:kern w:val="2"/>
          <w:sz w:val="32"/>
          <w:szCs w:val="32"/>
          <w:lang w:val="zh-CN"/>
        </w:rPr>
        <w:t>。具体情况如下：</w:t>
      </w:r>
    </w:p>
    <w:p>
      <w:pPr>
        <w:autoSpaceDE w:val="0"/>
        <w:autoSpaceDN w:val="0"/>
        <w:adjustRightInd w:val="0"/>
        <w:snapToGrid w:val="0"/>
        <w:spacing w:after="0" w:line="360" w:lineRule="auto"/>
        <w:ind w:firstLine="640" w:firstLineChars="200"/>
        <w:jc w:val="left"/>
        <w:rPr>
          <w:rFonts w:hint="eastAsia" w:ascii="仿宋" w:hAnsi="仿宋" w:eastAsia="仿宋"/>
          <w:kern w:val="2"/>
          <w:sz w:val="32"/>
          <w:szCs w:val="32"/>
          <w:lang w:val="zh-CN"/>
        </w:rPr>
      </w:pPr>
      <w:r>
        <w:rPr>
          <w:rFonts w:hint="eastAsia" w:ascii="仿宋" w:hAnsi="仿宋" w:eastAsia="仿宋"/>
          <w:kern w:val="2"/>
          <w:sz w:val="32"/>
          <w:szCs w:val="32"/>
          <w:lang w:val="zh-CN"/>
        </w:rPr>
        <w:t>1.一般公共预算财政拨款本年收入</w:t>
      </w:r>
      <w:r>
        <w:rPr>
          <w:rFonts w:hint="eastAsia" w:ascii="仿宋" w:hAnsi="仿宋" w:eastAsia="仿宋"/>
          <w:kern w:val="2"/>
          <w:sz w:val="32"/>
          <w:szCs w:val="32"/>
          <w:lang w:val="zh-CN"/>
        </w:rPr>
        <w:t>合计254.50万元，完成年初预算的144.7%，比年初预算增加78.58万元，主要原因是：</w:t>
      </w:r>
      <w:r>
        <w:rPr>
          <w:rFonts w:hint="eastAsia" w:ascii="仿宋" w:hAnsi="仿宋" w:eastAsia="仿宋"/>
          <w:kern w:val="2"/>
          <w:sz w:val="32"/>
          <w:szCs w:val="32"/>
          <w:lang w:val="en-US" w:eastAsia="zh-CN"/>
        </w:rPr>
        <w:t>本年度</w:t>
      </w:r>
      <w:r>
        <w:rPr>
          <w:rFonts w:hint="eastAsia" w:ascii="仿宋" w:hAnsi="仿宋" w:eastAsia="仿宋"/>
          <w:kern w:val="2"/>
          <w:sz w:val="32"/>
          <w:szCs w:val="32"/>
          <w:lang w:val="zh-CN"/>
        </w:rPr>
        <w:t>一般公共预算</w:t>
      </w:r>
      <w:r>
        <w:rPr>
          <w:rFonts w:hint="eastAsia" w:ascii="仿宋" w:hAnsi="仿宋" w:eastAsia="仿宋"/>
          <w:kern w:val="2"/>
          <w:sz w:val="32"/>
          <w:szCs w:val="32"/>
          <w:lang w:val="en-US" w:eastAsia="zh-CN"/>
        </w:rPr>
        <w:t>追加信访维稳</w:t>
      </w:r>
      <w:r>
        <w:rPr>
          <w:rFonts w:hint="eastAsia" w:ascii="仿宋" w:hAnsi="仿宋" w:eastAsia="仿宋"/>
          <w:kern w:val="2"/>
          <w:sz w:val="32"/>
          <w:szCs w:val="32"/>
          <w:lang w:val="zh-CN"/>
        </w:rPr>
        <w:t>经费</w:t>
      </w:r>
      <w:r>
        <w:rPr>
          <w:rFonts w:hint="eastAsia" w:ascii="仿宋" w:hAnsi="仿宋" w:eastAsia="仿宋"/>
          <w:kern w:val="2"/>
          <w:sz w:val="32"/>
          <w:szCs w:val="32"/>
          <w:lang w:val="en-US" w:eastAsia="zh-CN"/>
        </w:rPr>
        <w:t>等</w:t>
      </w:r>
      <w:r>
        <w:rPr>
          <w:rFonts w:hint="eastAsia" w:ascii="仿宋" w:hAnsi="仿宋" w:eastAsia="仿宋"/>
          <w:kern w:val="2"/>
          <w:sz w:val="32"/>
          <w:szCs w:val="32"/>
          <w:lang w:val="zh-CN"/>
        </w:rPr>
        <w:t>项目</w:t>
      </w:r>
      <w:r>
        <w:rPr>
          <w:rFonts w:hint="eastAsia" w:ascii="仿宋" w:hAnsi="仿宋" w:eastAsia="仿宋"/>
          <w:kern w:val="2"/>
          <w:sz w:val="32"/>
          <w:szCs w:val="32"/>
          <w:lang w:val="en-US" w:eastAsia="zh-CN"/>
        </w:rPr>
        <w:t>预算</w:t>
      </w:r>
      <w:r>
        <w:rPr>
          <w:rFonts w:hint="eastAsia" w:ascii="仿宋" w:hAnsi="仿宋" w:eastAsia="仿宋"/>
          <w:kern w:val="2"/>
          <w:sz w:val="32"/>
          <w:szCs w:val="32"/>
          <w:lang w:val="zh-CN"/>
        </w:rPr>
        <w:t>；本年支出</w:t>
      </w:r>
      <w:r>
        <w:rPr>
          <w:rFonts w:hint="eastAsia" w:ascii="仿宋" w:hAnsi="仿宋" w:eastAsia="仿宋"/>
          <w:kern w:val="2"/>
          <w:sz w:val="32"/>
          <w:szCs w:val="32"/>
          <w:lang w:val="zh-CN"/>
        </w:rPr>
        <w:t>合计254.50万元，完成年初预算的144.7%，比年初预算增加78.58万元，主要原因是：</w:t>
      </w:r>
      <w:r>
        <w:rPr>
          <w:rFonts w:hint="eastAsia" w:ascii="仿宋" w:hAnsi="仿宋" w:eastAsia="仿宋"/>
          <w:kern w:val="2"/>
          <w:sz w:val="32"/>
          <w:szCs w:val="32"/>
          <w:lang w:val="en-US" w:eastAsia="zh-CN"/>
        </w:rPr>
        <w:t>本年度</w:t>
      </w:r>
      <w:r>
        <w:rPr>
          <w:rFonts w:hint="eastAsia" w:ascii="仿宋" w:hAnsi="仿宋" w:eastAsia="仿宋"/>
          <w:kern w:val="2"/>
          <w:sz w:val="32"/>
          <w:szCs w:val="32"/>
          <w:lang w:val="zh-CN"/>
        </w:rPr>
        <w:t>一般公共预算</w:t>
      </w:r>
      <w:r>
        <w:rPr>
          <w:rFonts w:hint="eastAsia" w:ascii="仿宋" w:hAnsi="仿宋" w:eastAsia="仿宋"/>
          <w:kern w:val="2"/>
          <w:sz w:val="32"/>
          <w:szCs w:val="32"/>
          <w:lang w:val="en-US" w:eastAsia="zh-CN"/>
        </w:rPr>
        <w:t>追加信访维稳</w:t>
      </w:r>
      <w:r>
        <w:rPr>
          <w:rFonts w:hint="eastAsia" w:ascii="仿宋" w:hAnsi="仿宋" w:eastAsia="仿宋"/>
          <w:kern w:val="2"/>
          <w:sz w:val="32"/>
          <w:szCs w:val="32"/>
          <w:lang w:val="zh-CN"/>
        </w:rPr>
        <w:t>经费</w:t>
      </w:r>
      <w:r>
        <w:rPr>
          <w:rFonts w:hint="eastAsia" w:ascii="仿宋" w:hAnsi="仿宋" w:eastAsia="仿宋"/>
          <w:kern w:val="2"/>
          <w:sz w:val="32"/>
          <w:szCs w:val="32"/>
          <w:lang w:val="en-US" w:eastAsia="zh-CN"/>
        </w:rPr>
        <w:t>等</w:t>
      </w:r>
      <w:r>
        <w:rPr>
          <w:rFonts w:hint="eastAsia" w:ascii="仿宋" w:hAnsi="仿宋" w:eastAsia="仿宋"/>
          <w:kern w:val="2"/>
          <w:sz w:val="32"/>
          <w:szCs w:val="32"/>
          <w:lang w:val="zh-CN"/>
        </w:rPr>
        <w:t>项目</w:t>
      </w:r>
      <w:r>
        <w:rPr>
          <w:rFonts w:hint="eastAsia" w:ascii="仿宋" w:hAnsi="仿宋" w:eastAsia="仿宋"/>
          <w:kern w:val="2"/>
          <w:sz w:val="32"/>
          <w:szCs w:val="32"/>
          <w:lang w:val="en-US" w:eastAsia="zh-CN"/>
        </w:rPr>
        <w:t>支出</w:t>
      </w:r>
      <w:r>
        <w:rPr>
          <w:rFonts w:hint="eastAsia" w:ascii="仿宋" w:hAnsi="仿宋" w:eastAsia="仿宋"/>
          <w:kern w:val="2"/>
          <w:sz w:val="32"/>
          <w:szCs w:val="32"/>
          <w:lang w:val="zh-CN"/>
        </w:rPr>
        <w:t>。</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2. 政府性基金预算财政拨款本年收入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lang w:val="zh-CN"/>
        </w:rPr>
        <w:t>120.10</w:t>
      </w:r>
      <w:r>
        <w:rPr>
          <w:rFonts w:ascii="仿宋" w:hAnsi="仿宋" w:eastAsia="仿宋" w:cs="Times New Roman"/>
          <w:kern w:val="2"/>
          <w:sz w:val="32"/>
          <w:szCs w:val="32"/>
          <w:lang w:val="zh-CN"/>
        </w:rPr>
        <w:t>万元，完成年初预算的92.7%，比年初预算减少9.44万元，主要</w:t>
      </w:r>
      <w:r>
        <w:rPr>
          <w:rFonts w:hint="eastAsia" w:ascii="仿宋" w:hAnsi="仿宋" w:eastAsia="仿宋" w:cs="Times New Roman"/>
          <w:kern w:val="2"/>
          <w:sz w:val="32"/>
          <w:szCs w:val="32"/>
          <w:lang w:val="zh-CN"/>
        </w:rPr>
        <w:t>原因是：</w:t>
      </w:r>
      <w:r>
        <w:rPr>
          <w:rFonts w:hint="eastAsia" w:ascii="仿宋" w:hAnsi="仿宋" w:eastAsia="仿宋" w:cs="Times New Roman"/>
          <w:kern w:val="2"/>
          <w:sz w:val="32"/>
          <w:szCs w:val="32"/>
          <w:lang w:val="en-US" w:eastAsia="zh-CN"/>
        </w:rPr>
        <w:t>财政调减预算收入</w:t>
      </w:r>
      <w:r>
        <w:rPr>
          <w:rFonts w:ascii="仿宋" w:hAnsi="仿宋" w:eastAsia="仿宋" w:cs="Times New Roman"/>
          <w:kern w:val="2"/>
          <w:sz w:val="32"/>
          <w:szCs w:val="32"/>
          <w:lang w:val="zh-CN"/>
        </w:rPr>
        <w:t>；本年支出</w:t>
      </w:r>
      <w:r>
        <w:rPr>
          <w:rFonts w:hint="eastAsia" w:ascii="仿宋" w:hAnsi="仿宋" w:eastAsia="仿宋" w:cs="Times New Roman"/>
          <w:kern w:val="2"/>
          <w:sz w:val="32"/>
          <w:szCs w:val="32"/>
          <w:lang w:val="zh-CN"/>
        </w:rPr>
        <w:t>合计120.10</w:t>
      </w:r>
      <w:r>
        <w:rPr>
          <w:rFonts w:ascii="仿宋" w:hAnsi="仿宋" w:eastAsia="仿宋" w:cs="Times New Roman"/>
          <w:kern w:val="2"/>
          <w:sz w:val="32"/>
          <w:szCs w:val="32"/>
          <w:lang w:val="zh-CN"/>
        </w:rPr>
        <w:t>万元，完成年初预算的92.7%，比年初预算减少9.44万元，主要</w:t>
      </w:r>
      <w:r>
        <w:rPr>
          <w:rFonts w:hint="eastAsia" w:ascii="仿宋" w:hAnsi="仿宋" w:eastAsia="仿宋" w:cs="Times New Roman"/>
          <w:kern w:val="2"/>
          <w:sz w:val="32"/>
          <w:szCs w:val="32"/>
          <w:lang w:val="zh-CN"/>
        </w:rPr>
        <w:t>原因是：</w:t>
      </w:r>
      <w:r>
        <w:rPr>
          <w:rFonts w:hint="eastAsia" w:ascii="仿宋" w:hAnsi="仿宋" w:eastAsia="仿宋" w:cs="Times New Roman"/>
          <w:kern w:val="2"/>
          <w:sz w:val="32"/>
          <w:szCs w:val="32"/>
          <w:lang w:val="en-US" w:eastAsia="zh-CN"/>
        </w:rPr>
        <w:t>财政调减预算支出</w:t>
      </w:r>
      <w:r>
        <w:rPr>
          <w:rFonts w:ascii="仿宋" w:hAnsi="仿宋" w:eastAsia="仿宋" w:cs="Times New Roman"/>
          <w:kern w:val="2"/>
          <w:sz w:val="32"/>
          <w:szCs w:val="32"/>
          <w:lang w:val="zh-CN"/>
        </w:rPr>
        <w:t>。</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 xml:space="preserve">3. </w:t>
      </w:r>
      <w:r>
        <w:rPr>
          <w:rFonts w:hint="eastAsia" w:ascii="仿宋" w:hAnsi="仿宋" w:eastAsia="仿宋" w:cs="仿宋_GB2312"/>
          <w:kern w:val="2"/>
          <w:sz w:val="32"/>
          <w:szCs w:val="32"/>
          <w:lang w:val="zh-CN"/>
        </w:rPr>
        <w:t>国有资本经营预算财政拨款本年收入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w:t>
      </w:r>
      <w:r>
        <w:rPr>
          <w:rFonts w:ascii="仿宋" w:hAnsi="仿宋" w:eastAsia="仿宋" w:cs="Times New Roman"/>
          <w:kern w:val="2"/>
          <w:sz w:val="32"/>
          <w:szCs w:val="32"/>
          <w:lang w:val="zh-CN"/>
        </w:rPr>
        <w:t>。</w:t>
      </w:r>
    </w:p>
    <w:tbl>
      <w:tblPr>
        <w:tblStyle w:val="13"/>
        <w:tblW w:w="78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cantSplit/>
          <w:trHeight w:val="5203" w:hRule="atLeast"/>
          <w:jc w:val="center"/>
        </w:trPr>
        <w:tc>
          <w:tcPr>
            <w:tcW w:w="7842"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9744" behindDoc="0" locked="0" layoutInCell="1" allowOverlap="1">
                  <wp:simplePos x="0" y="0"/>
                  <wp:positionH relativeFrom="column">
                    <wp:posOffset>255270</wp:posOffset>
                  </wp:positionH>
                  <wp:positionV relativeFrom="paragraph">
                    <wp:posOffset>268605</wp:posOffset>
                  </wp:positionV>
                  <wp:extent cx="4328795" cy="2853055"/>
                  <wp:effectExtent l="0" t="0" r="0" b="4445"/>
                  <wp:wrapNone/>
                  <wp:docPr id="14856710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71070" name="图片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328795" cy="2853055"/>
                          </a:xfrm>
                          <a:prstGeom prst="rect">
                            <a:avLst/>
                          </a:prstGeom>
                          <a:noFill/>
                          <a:ln>
                            <a:noFill/>
                          </a:ln>
                        </pic:spPr>
                      </pic:pic>
                    </a:graphicData>
                  </a:graphic>
                </wp:anchor>
              </w:drawing>
            </w:r>
          </w:p>
        </w:tc>
      </w:tr>
    </w:tbl>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（三）财政拨款支出决算结构情况</w:t>
      </w:r>
    </w:p>
    <w:p>
      <w:pPr>
        <w:adjustRightInd w:val="0"/>
        <w:snapToGrid w:val="0"/>
        <w:spacing w:after="0" w:line="360" w:lineRule="auto"/>
        <w:ind w:firstLine="640" w:firstLineChars="200"/>
        <w:jc w:val="left"/>
        <w:rPr>
          <w:rFonts w:hint="eastAsia" w:ascii="仿宋" w:hAnsi="仿宋" w:eastAsia="仿宋" w:cs="仿宋_GB2312"/>
          <w:kern w:val="2"/>
          <w:sz w:val="32"/>
          <w:szCs w:val="32"/>
          <w:lang w:val="zh-CN"/>
        </w:rPr>
      </w:pPr>
      <w:r>
        <w:rPr>
          <w:rFonts w:ascii="仿宋" w:hAnsi="仿宋" w:eastAsia="仿宋" w:cs="Times New Roman"/>
          <w:kern w:val="2"/>
          <w:sz w:val="32"/>
          <w:szCs w:val="32"/>
          <w:lang w:val="zh-CN"/>
        </w:rPr>
        <w:t>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年度财政拨款支出</w:t>
      </w:r>
      <w:r>
        <w:rPr>
          <w:rFonts w:hint="eastAsia" w:ascii="仿宋" w:hAnsi="仿宋" w:eastAsia="仿宋"/>
          <w:kern w:val="2"/>
          <w:sz w:val="32"/>
          <w:szCs w:val="32"/>
          <w:lang w:val="zh-CN"/>
        </w:rPr>
        <w:t>合计</w:t>
      </w:r>
      <w:r>
        <w:rPr>
          <w:rFonts w:hint="eastAsia" w:ascii="仿宋" w:hAnsi="仿宋" w:eastAsia="仿宋" w:cs="仿宋_GB2312"/>
          <w:kern w:val="2"/>
          <w:sz w:val="32"/>
          <w:szCs w:val="32"/>
          <w:lang w:val="zh-CN"/>
        </w:rPr>
        <w:t>374.59</w:t>
      </w:r>
      <w:r>
        <w:rPr>
          <w:rFonts w:ascii="仿宋" w:hAnsi="仿宋" w:eastAsia="仿宋" w:cs="Times New Roman"/>
          <w:kern w:val="2"/>
          <w:sz w:val="32"/>
          <w:szCs w:val="32"/>
          <w:lang w:val="zh-CN"/>
        </w:rPr>
        <w:t>万元，主要用于以下方面：</w:t>
      </w:r>
    </w:p>
    <w:p>
      <w:pPr>
        <w:adjustRightInd w:val="0"/>
        <w:snapToGrid w:val="0"/>
        <w:spacing w:after="0" w:line="360" w:lineRule="auto"/>
        <w:ind w:firstLine="640" w:firstLineChars="200"/>
        <w:jc w:val="left"/>
        <w:rPr>
          <w:rFonts w:hint="eastAsia" w:ascii="仿宋" w:hAnsi="仿宋" w:eastAsia="仿宋" w:cs="仿宋_GB2312"/>
          <w:kern w:val="2"/>
          <w:sz w:val="32"/>
          <w:szCs w:val="32"/>
          <w:lang w:val="zh-CN"/>
        </w:rPr>
      </w:pPr>
      <w:r>
        <w:rPr>
          <w:rFonts w:hint="eastAsia" w:ascii="仿宋" w:hAnsi="仿宋" w:eastAsia="仿宋" w:cs="仿宋_GB2312"/>
          <w:kern w:val="2"/>
          <w:sz w:val="32"/>
          <w:szCs w:val="32"/>
          <w:lang w:val="zh-CN"/>
        </w:rPr>
        <w:t>一般公共服务（类）支出209.08万元，占55.8%，主要用于</w:t>
      </w:r>
      <w:r>
        <w:rPr>
          <w:rFonts w:hint="eastAsia" w:ascii="仿宋" w:hAnsi="仿宋" w:eastAsia="仿宋" w:cs="仿宋_GB2312"/>
          <w:kern w:val="2"/>
          <w:sz w:val="32"/>
          <w:szCs w:val="32"/>
          <w:lang w:val="en-US" w:eastAsia="zh-CN"/>
        </w:rPr>
        <w:t>人员工资福利支出及商品和服务</w:t>
      </w:r>
      <w:r>
        <w:rPr>
          <w:rFonts w:hint="eastAsia" w:ascii="仿宋" w:hAnsi="仿宋" w:eastAsia="仿宋" w:cs="仿宋_GB2312"/>
          <w:kern w:val="2"/>
          <w:sz w:val="32"/>
          <w:szCs w:val="32"/>
          <w:lang w:val="zh-CN"/>
        </w:rPr>
        <w:t>等支出；社会保障和就业（类）支出22.28万元，占5.9%，主要用于</w:t>
      </w:r>
      <w:r>
        <w:rPr>
          <w:rFonts w:hint="eastAsia" w:ascii="仿宋" w:hAnsi="仿宋" w:eastAsia="仿宋" w:cs="仿宋_GB2312"/>
          <w:kern w:val="2"/>
          <w:sz w:val="32"/>
          <w:szCs w:val="32"/>
          <w:lang w:val="en-US" w:eastAsia="zh-CN"/>
        </w:rPr>
        <w:t>机关事业单位基本养老保险缴费、退休费、遗属生活费</w:t>
      </w:r>
      <w:r>
        <w:rPr>
          <w:rFonts w:hint="eastAsia" w:ascii="仿宋" w:hAnsi="仿宋" w:eastAsia="仿宋" w:cs="仿宋_GB2312"/>
          <w:kern w:val="2"/>
          <w:sz w:val="32"/>
          <w:szCs w:val="32"/>
          <w:lang w:val="zh-CN"/>
        </w:rPr>
        <w:t>等支出；卫生健康</w:t>
      </w:r>
      <w:r>
        <w:rPr>
          <w:rFonts w:hint="eastAsia" w:ascii="仿宋" w:hAnsi="仿宋" w:eastAsia="仿宋" w:cs="仿宋_GB2312"/>
          <w:sz w:val="32"/>
          <w:szCs w:val="32"/>
        </w:rPr>
        <w:t>（类）支出7.70万元，占2.1%，</w:t>
      </w:r>
      <w:r>
        <w:rPr>
          <w:rFonts w:hint="eastAsia" w:ascii="仿宋" w:hAnsi="仿宋" w:eastAsia="仿宋" w:cs="仿宋_GB2312"/>
          <w:kern w:val="2"/>
          <w:sz w:val="32"/>
          <w:szCs w:val="32"/>
          <w:lang w:val="zh-CN"/>
        </w:rPr>
        <w:t>主要用于</w:t>
      </w:r>
      <w:r>
        <w:rPr>
          <w:rFonts w:hint="eastAsia" w:ascii="仿宋" w:hAnsi="仿宋" w:eastAsia="仿宋" w:cs="仿宋_GB2312"/>
          <w:kern w:val="2"/>
          <w:sz w:val="32"/>
          <w:szCs w:val="32"/>
          <w:lang w:val="en-US" w:eastAsia="zh-CN"/>
        </w:rPr>
        <w:t>城镇职工基本医疗保险缴费</w:t>
      </w:r>
      <w:r>
        <w:rPr>
          <w:rFonts w:hint="eastAsia" w:ascii="仿宋" w:hAnsi="仿宋" w:eastAsia="仿宋" w:cs="仿宋_GB2312"/>
          <w:kern w:val="2"/>
          <w:sz w:val="32"/>
          <w:szCs w:val="32"/>
          <w:lang w:val="zh-CN"/>
        </w:rPr>
        <w:t>等支出；城乡社区（类）支出120.10万元，占32.1%，主要用于</w:t>
      </w:r>
      <w:r>
        <w:rPr>
          <w:rFonts w:hint="eastAsia" w:ascii="仿宋" w:hAnsi="仿宋" w:eastAsia="仿宋" w:cs="仿宋_GB2312"/>
          <w:kern w:val="2"/>
          <w:sz w:val="32"/>
          <w:szCs w:val="32"/>
          <w:lang w:val="en-US" w:eastAsia="zh-CN"/>
        </w:rPr>
        <w:t>信访维稳经费、特殊疑难信访问题救助资金</w:t>
      </w:r>
      <w:r>
        <w:rPr>
          <w:rFonts w:hint="eastAsia" w:ascii="仿宋" w:hAnsi="仿宋" w:eastAsia="仿宋" w:cs="仿宋_GB2312"/>
          <w:kern w:val="2"/>
          <w:sz w:val="32"/>
          <w:szCs w:val="32"/>
          <w:lang w:val="zh-CN"/>
        </w:rPr>
        <w:t>等支出；住房保障（类）支出15.45万元，占4.1%，主要用于</w:t>
      </w:r>
      <w:r>
        <w:rPr>
          <w:rFonts w:hint="eastAsia" w:ascii="仿宋" w:hAnsi="仿宋" w:eastAsia="仿宋" w:cs="仿宋_GB2312"/>
          <w:kern w:val="2"/>
          <w:sz w:val="32"/>
          <w:szCs w:val="32"/>
          <w:lang w:val="en-US" w:eastAsia="zh-CN"/>
        </w:rPr>
        <w:t>住房公积金</w:t>
      </w:r>
      <w:r>
        <w:rPr>
          <w:rFonts w:hint="eastAsia" w:ascii="仿宋" w:hAnsi="仿宋" w:eastAsia="仿宋" w:cs="仿宋_GB2312"/>
          <w:kern w:val="2"/>
          <w:sz w:val="32"/>
          <w:szCs w:val="32"/>
          <w:lang w:val="zh-CN"/>
        </w:rPr>
        <w:t>等支出。</w:t>
      </w:r>
    </w:p>
    <w:p>
      <w:pPr>
        <w:snapToGrid w:val="0"/>
        <w:spacing w:after="0" w:line="360" w:lineRule="auto"/>
        <w:ind w:firstLine="643" w:firstLineChars="200"/>
        <w:rPr>
          <w:rFonts w:hint="eastAsia" w:ascii="楷体" w:hAnsi="楷体" w:eastAsia="楷体"/>
          <w:b/>
          <w:bCs/>
          <w:sz w:val="32"/>
          <w:szCs w:val="32"/>
        </w:rPr>
      </w:pPr>
      <w:r>
        <w:rPr>
          <w:rFonts w:hint="eastAsia" w:ascii="楷体" w:hAnsi="楷体" w:eastAsia="楷体"/>
          <w:b/>
          <w:bCs/>
          <w:sz w:val="32"/>
          <w:szCs w:val="32"/>
        </w:rPr>
        <w:t>（四）</w:t>
      </w:r>
      <w:r>
        <w:rPr>
          <w:rFonts w:ascii="楷体" w:hAnsi="楷体" w:eastAsia="楷体"/>
          <w:b/>
          <w:bCs/>
          <w:sz w:val="32"/>
          <w:szCs w:val="32"/>
        </w:rPr>
        <w:t>一般公共预算基本支出决算情况说明</w:t>
      </w:r>
    </w:p>
    <w:p>
      <w:pPr>
        <w:pStyle w:val="11"/>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2023年度财政拨款基本支出182.13万元，其中：</w:t>
      </w:r>
    </w:p>
    <w:p>
      <w:pPr>
        <w:pStyle w:val="11"/>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人员经费155.42万元，主要包括:基本工资、津贴补贴、奖金、绩效工资、机关事业单位基本养老保险缴费、职工基本医疗保险缴费、其他社会保障缴费、住房公积金、退休费、生活补助；</w:t>
      </w:r>
    </w:p>
    <w:p>
      <w:pPr>
        <w:pStyle w:val="11"/>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公用经费26.72万元，主要包括:办公费、水费、电费、邮电费、取暖费、维修（护）费、公务接待费、公务用车运行维护费、其他交通费用。</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五、财政拨款“三公” 经费支出决算情况说明</w:t>
      </w:r>
    </w:p>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（一）“三公”经费财政拨款支出决算总体情况说明</w:t>
      </w:r>
    </w:p>
    <w:p>
      <w:pPr>
        <w:pStyle w:val="11"/>
        <w:widowControl/>
        <w:snapToGrid w:val="0"/>
        <w:spacing w:beforeAutospacing="0" w:afterAutospacing="0" w:line="360" w:lineRule="auto"/>
        <w:ind w:firstLine="640" w:firstLineChars="200"/>
        <w:rPr>
          <w:rFonts w:hint="eastAsia" w:ascii="仿宋" w:hAnsi="仿宋" w:eastAsia="仿宋"/>
          <w:kern w:val="2"/>
          <w:sz w:val="32"/>
          <w:szCs w:val="32"/>
        </w:rPr>
      </w:pP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w:t>
      </w:r>
      <w:r>
        <w:rPr>
          <w:rFonts w:ascii="仿宋" w:hAnsi="仿宋" w:eastAsia="仿宋"/>
          <w:kern w:val="2"/>
          <w:sz w:val="32"/>
          <w:szCs w:val="32"/>
        </w:rPr>
        <w:t>“</w:t>
      </w:r>
      <w:r>
        <w:rPr>
          <w:rFonts w:ascii="仿宋" w:hAnsi="仿宋" w:eastAsia="仿宋"/>
          <w:kern w:val="2"/>
          <w:sz w:val="32"/>
          <w:szCs w:val="32"/>
          <w:lang w:val="zh-CN"/>
        </w:rPr>
        <w:t>三公</w:t>
      </w:r>
      <w:r>
        <w:rPr>
          <w:rFonts w:ascii="仿宋" w:hAnsi="仿宋" w:eastAsia="仿宋"/>
          <w:kern w:val="2"/>
          <w:sz w:val="32"/>
          <w:szCs w:val="32"/>
        </w:rPr>
        <w:t>”</w:t>
      </w:r>
      <w:r>
        <w:rPr>
          <w:rFonts w:ascii="仿宋" w:hAnsi="仿宋" w:eastAsia="仿宋"/>
          <w:kern w:val="2"/>
          <w:sz w:val="32"/>
          <w:szCs w:val="32"/>
          <w:lang w:val="zh-CN"/>
        </w:rPr>
        <w:t>经费财政拨款支出预算为</w:t>
      </w:r>
      <w:r>
        <w:rPr>
          <w:rFonts w:ascii="仿宋" w:hAnsi="仿宋" w:eastAsia="仿宋"/>
          <w:kern w:val="2"/>
          <w:sz w:val="32"/>
          <w:szCs w:val="32"/>
        </w:rPr>
        <w:t>2.41</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支出决算为</w:t>
      </w:r>
      <w:r>
        <w:rPr>
          <w:rFonts w:ascii="仿宋" w:hAnsi="仿宋" w:eastAsia="仿宋"/>
          <w:kern w:val="2"/>
          <w:sz w:val="32"/>
          <w:szCs w:val="32"/>
        </w:rPr>
        <w:t>2.41</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完成预算的</w:t>
      </w:r>
      <w:r>
        <w:rPr>
          <w:rFonts w:ascii="仿宋" w:hAnsi="仿宋" w:eastAsia="仿宋"/>
          <w:kern w:val="2"/>
          <w:sz w:val="32"/>
          <w:szCs w:val="32"/>
        </w:rPr>
        <w:t>100.0%，</w:t>
      </w:r>
      <w:r>
        <w:rPr>
          <w:rFonts w:ascii="仿宋" w:hAnsi="仿宋" w:eastAsia="仿宋"/>
          <w:kern w:val="2"/>
          <w:sz w:val="32"/>
          <w:szCs w:val="32"/>
          <w:lang w:val="zh-CN"/>
        </w:rPr>
        <w:t>与预算持平，较</w:t>
      </w:r>
      <w:r>
        <w:rPr>
          <w:rFonts w:ascii="仿宋" w:hAnsi="仿宋" w:eastAsia="仿宋"/>
          <w:kern w:val="2"/>
          <w:sz w:val="32"/>
          <w:szCs w:val="32"/>
        </w:rPr>
        <w:t>2022</w:t>
      </w:r>
      <w:r>
        <w:rPr>
          <w:rFonts w:ascii="仿宋" w:hAnsi="仿宋" w:eastAsia="仿宋"/>
          <w:kern w:val="2"/>
          <w:sz w:val="32"/>
          <w:szCs w:val="32"/>
          <w:lang w:val="zh-CN"/>
        </w:rPr>
        <w:t>年度决算</w:t>
      </w:r>
      <w:r>
        <w:rPr>
          <w:rFonts w:ascii="仿宋" w:hAnsi="仿宋" w:eastAsia="仿宋"/>
          <w:kern w:val="2"/>
          <w:sz w:val="32"/>
          <w:szCs w:val="32"/>
        </w:rPr>
        <w:t>增加0.68</w:t>
      </w:r>
      <w:r>
        <w:rPr>
          <w:rFonts w:ascii="仿宋" w:hAnsi="仿宋" w:eastAsia="仿宋"/>
          <w:kern w:val="2"/>
          <w:sz w:val="32"/>
          <w:szCs w:val="32"/>
          <w:lang w:val="zh-CN"/>
        </w:rPr>
        <w:t>万元</w:t>
      </w:r>
      <w:r>
        <w:rPr>
          <w:rFonts w:ascii="仿宋" w:hAnsi="仿宋" w:eastAsia="仿宋"/>
          <w:kern w:val="2"/>
          <w:sz w:val="32"/>
          <w:szCs w:val="32"/>
        </w:rPr>
        <w:t>，增长39.1%，</w:t>
      </w:r>
      <w:r>
        <w:rPr>
          <w:rFonts w:hint="eastAsia" w:ascii="仿宋" w:hAnsi="仿宋" w:eastAsia="仿宋"/>
          <w:kern w:val="2"/>
          <w:sz w:val="32"/>
          <w:szCs w:val="32"/>
          <w:lang w:val="zh-CN"/>
        </w:rPr>
        <w:t>主要原因是</w:t>
      </w:r>
      <w:r>
        <w:rPr>
          <w:rFonts w:hint="eastAsia" w:ascii="仿宋" w:hAnsi="仿宋" w:eastAsia="仿宋"/>
          <w:kern w:val="2"/>
          <w:sz w:val="32"/>
          <w:szCs w:val="32"/>
        </w:rPr>
        <w:t>：</w:t>
      </w:r>
      <w:r>
        <w:rPr>
          <w:rFonts w:ascii="仿宋" w:hAnsi="仿宋" w:eastAsia="仿宋" w:cs="仿宋"/>
          <w:color w:val="000000"/>
          <w:kern w:val="0"/>
          <w:sz w:val="31"/>
          <w:szCs w:val="31"/>
          <w:lang w:val="en-US" w:eastAsia="zh-CN" w:bidi="ar"/>
        </w:rPr>
        <w:t>上</w:t>
      </w:r>
      <w:r>
        <w:rPr>
          <w:rFonts w:hint="eastAsia" w:ascii="仿宋" w:hAnsi="仿宋" w:eastAsia="仿宋" w:cs="仿宋"/>
          <w:color w:val="000000"/>
          <w:kern w:val="0"/>
          <w:sz w:val="31"/>
          <w:szCs w:val="31"/>
          <w:lang w:val="en-US" w:eastAsia="zh-CN" w:bidi="ar"/>
        </w:rPr>
        <w:t>年经费结转到本年支付等</w:t>
      </w:r>
      <w:r>
        <w:rPr>
          <w:rFonts w:ascii="仿宋" w:hAnsi="仿宋" w:eastAsia="仿宋"/>
          <w:kern w:val="2"/>
          <w:sz w:val="32"/>
          <w:szCs w:val="32"/>
          <w:lang w:val="zh-CN"/>
        </w:rPr>
        <w:t>。</w:t>
      </w:r>
    </w:p>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（二）“三公”经费财政拨款支出决算具体情况说明</w:t>
      </w:r>
    </w:p>
    <w:p>
      <w:pPr>
        <w:pStyle w:val="11"/>
        <w:widowControl/>
        <w:snapToGrid w:val="0"/>
        <w:spacing w:beforeAutospacing="0" w:afterAutospacing="0" w:line="360" w:lineRule="auto"/>
        <w:ind w:firstLine="643" w:firstLineChars="200"/>
        <w:rPr>
          <w:rFonts w:hint="eastAsia" w:ascii="仿宋" w:hAnsi="仿宋" w:eastAsia="仿宋"/>
          <w:kern w:val="2"/>
          <w:sz w:val="32"/>
          <w:szCs w:val="32"/>
        </w:rPr>
      </w:pPr>
      <w:r>
        <w:rPr>
          <w:rFonts w:ascii="仿宋" w:hAnsi="仿宋" w:eastAsia="仿宋"/>
          <w:b/>
          <w:bCs/>
          <w:kern w:val="2"/>
          <w:sz w:val="32"/>
          <w:szCs w:val="32"/>
        </w:rPr>
        <w:t>1.因公出国（境）费支出情况。</w:t>
      </w:r>
      <w:r>
        <w:rPr>
          <w:rFonts w:ascii="仿宋" w:hAnsi="仿宋" w:eastAsia="仿宋"/>
          <w:kern w:val="2"/>
          <w:sz w:val="32"/>
          <w:szCs w:val="32"/>
          <w:lang w:val="zh-CN"/>
        </w:rPr>
        <w:t>本部门</w:t>
      </w:r>
      <w:r>
        <w:rPr>
          <w:rFonts w:ascii="仿宋" w:hAnsi="仿宋" w:eastAsia="仿宋"/>
          <w:kern w:val="2"/>
          <w:sz w:val="32"/>
          <w:szCs w:val="32"/>
        </w:rPr>
        <w:t>2023年度因公出国（境）费支出预算为0.00万元</w:t>
      </w:r>
      <w:r>
        <w:rPr>
          <w:rFonts w:hint="eastAsia" w:ascii="仿宋" w:hAnsi="仿宋" w:eastAsia="仿宋"/>
          <w:kern w:val="2"/>
          <w:sz w:val="32"/>
          <w:szCs w:val="32"/>
        </w:rPr>
        <w:t>，</w:t>
      </w:r>
      <w:r>
        <w:rPr>
          <w:rFonts w:ascii="仿宋" w:hAnsi="仿宋" w:eastAsia="仿宋"/>
          <w:kern w:val="2"/>
          <w:sz w:val="32"/>
          <w:szCs w:val="32"/>
        </w:rPr>
        <w:t>支出决算0.00万元。因公出国（境）费支出与预算持平，与上年持平。因公出国（境）团组0个、共0人</w:t>
      </w:r>
      <w:r>
        <w:rPr>
          <w:rFonts w:hint="eastAsia" w:ascii="仿宋" w:hAnsi="仿宋" w:eastAsia="仿宋"/>
          <w:kern w:val="2"/>
          <w:sz w:val="32"/>
          <w:szCs w:val="32"/>
        </w:rPr>
        <w:t>，其中：</w:t>
      </w:r>
      <w:r>
        <w:rPr>
          <w:rFonts w:ascii="仿宋" w:hAnsi="仿宋" w:eastAsia="仿宋"/>
          <w:kern w:val="2"/>
          <w:sz w:val="32"/>
          <w:szCs w:val="32"/>
        </w:rPr>
        <w:t>本部门组织的出国（境）团组</w:t>
      </w:r>
      <w:r>
        <w:rPr>
          <w:rFonts w:hint="eastAsia" w:ascii="仿宋" w:hAnsi="仿宋" w:eastAsia="仿宋"/>
          <w:kern w:val="2"/>
          <w:sz w:val="32"/>
          <w:szCs w:val="32"/>
        </w:rPr>
        <w:t>0个、共0人;</w:t>
      </w:r>
      <w:r>
        <w:rPr>
          <w:rFonts w:ascii="仿宋" w:hAnsi="仿宋" w:eastAsia="仿宋"/>
          <w:kern w:val="2"/>
          <w:sz w:val="32"/>
          <w:szCs w:val="32"/>
        </w:rPr>
        <w:t xml:space="preserve"> 参加其他单位组织的因公出国（境）团组</w:t>
      </w:r>
      <w:r>
        <w:rPr>
          <w:rFonts w:hint="eastAsia" w:ascii="仿宋" w:hAnsi="仿宋" w:eastAsia="仿宋"/>
          <w:kern w:val="2"/>
          <w:sz w:val="32"/>
          <w:szCs w:val="32"/>
        </w:rPr>
        <w:t>0</w:t>
      </w:r>
      <w:r>
        <w:rPr>
          <w:rFonts w:ascii="仿宋" w:hAnsi="仿宋" w:eastAsia="仿宋"/>
          <w:kern w:val="2"/>
          <w:sz w:val="32"/>
          <w:szCs w:val="32"/>
        </w:rPr>
        <w:t>个、共</w:t>
      </w:r>
      <w:r>
        <w:rPr>
          <w:rFonts w:hint="eastAsia" w:ascii="仿宋" w:hAnsi="仿宋" w:eastAsia="仿宋"/>
          <w:kern w:val="2"/>
          <w:sz w:val="32"/>
          <w:szCs w:val="32"/>
        </w:rPr>
        <w:t>0</w:t>
      </w:r>
      <w:r>
        <w:rPr>
          <w:rFonts w:ascii="仿宋" w:hAnsi="仿宋" w:eastAsia="仿宋"/>
          <w:kern w:val="2"/>
          <w:sz w:val="32"/>
          <w:szCs w:val="32"/>
        </w:rPr>
        <w:t>人。</w:t>
      </w:r>
    </w:p>
    <w:p>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2.</w:t>
      </w:r>
      <w:r>
        <w:rPr>
          <w:rFonts w:hint="eastAsia" w:ascii="仿宋" w:hAnsi="仿宋" w:eastAsia="仿宋"/>
          <w:b/>
          <w:bCs/>
          <w:sz w:val="32"/>
          <w:szCs w:val="32"/>
        </w:rPr>
        <w:t>公务用车购置及运行维护费支出情况。</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年度公务用车购置及运行维护费预算为1.10万元，支出决算1.10万元，完成预算的100.0%</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公务用车购置及运行维护费支出与预算持平，较上年减少0.43万元，降低28.3%</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主要是</w:t>
      </w:r>
      <w:r>
        <w:rPr>
          <w:rFonts w:hint="eastAsia" w:ascii="仿宋" w:hAnsi="仿宋" w:eastAsia="仿宋" w:cs="Times New Roman"/>
          <w:kern w:val="2"/>
          <w:sz w:val="32"/>
          <w:szCs w:val="32"/>
          <w:lang w:val="en-US" w:eastAsia="zh-CN"/>
        </w:rPr>
        <w:t>调减预算，年末财政收回公务用车运行维护费</w:t>
      </w:r>
      <w:r>
        <w:rPr>
          <w:rFonts w:ascii="仿宋" w:hAnsi="仿宋" w:eastAsia="仿宋" w:cs="Times New Roman"/>
          <w:kern w:val="2"/>
          <w:sz w:val="32"/>
          <w:szCs w:val="32"/>
          <w:lang w:val="zh-CN"/>
        </w:rPr>
        <w:t>。其中：</w:t>
      </w:r>
    </w:p>
    <w:p>
      <w:pPr>
        <w:adjustRightInd w:val="0"/>
        <w:snapToGrid w:val="0"/>
        <w:spacing w:after="0" w:line="360" w:lineRule="auto"/>
        <w:ind w:firstLine="643" w:firstLineChars="200"/>
        <w:rPr>
          <w:rFonts w:hint="eastAsia" w:ascii="仿宋" w:hAnsi="仿宋" w:eastAsia="仿宋" w:cs="Times New Roman"/>
          <w:kern w:val="2"/>
          <w:sz w:val="32"/>
          <w:szCs w:val="32"/>
          <w:lang w:val="zh-CN"/>
        </w:rPr>
      </w:pPr>
      <w:r>
        <w:rPr>
          <w:rFonts w:ascii="仿宋" w:hAnsi="仿宋" w:eastAsia="仿宋" w:cs="Times New Roman"/>
          <w:b/>
          <w:sz w:val="32"/>
          <w:szCs w:val="32"/>
        </w:rPr>
        <w:t>公务用车购置费支出</w:t>
      </w:r>
      <w:r>
        <w:rPr>
          <w:rFonts w:ascii="仿宋" w:hAnsi="仿宋" w:eastAsia="仿宋" w:cs="Times New Roman"/>
          <w:b/>
          <w:bCs/>
          <w:sz w:val="32"/>
          <w:szCs w:val="32"/>
        </w:rPr>
        <w:t>0.00万元</w:t>
      </w:r>
      <w:r>
        <w:rPr>
          <w:rFonts w:ascii="仿宋" w:hAnsi="仿宋" w:eastAsia="仿宋" w:cs="Times New Roman"/>
          <w:b/>
          <w:sz w:val="32"/>
          <w:szCs w:val="32"/>
        </w:rPr>
        <w:t>：</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年度公务用车购置量0辆，发生“公务用车购置”经费支出0.00万元。公务用车购置费支出与预算持平，与上年持平。</w:t>
      </w:r>
    </w:p>
    <w:p>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sz w:val="32"/>
          <w:szCs w:val="32"/>
        </w:rPr>
        <w:t>公务用车运行维护费支出1.10</w:t>
      </w:r>
      <w:r>
        <w:rPr>
          <w:rFonts w:ascii="仿宋" w:hAnsi="仿宋" w:eastAsia="仿宋" w:cs="Times New Roman"/>
          <w:b/>
          <w:bCs/>
          <w:sz w:val="32"/>
          <w:szCs w:val="32"/>
        </w:rPr>
        <w:t>万元</w:t>
      </w:r>
      <w:r>
        <w:rPr>
          <w:rFonts w:ascii="仿宋" w:hAnsi="仿宋" w:eastAsia="仿宋" w:cs="Times New Roman"/>
          <w:b/>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年度单位公务用车保有量1辆，发生运行维护费支出</w:t>
      </w:r>
      <w:r>
        <w:rPr>
          <w:rFonts w:hint="eastAsia" w:ascii="仿宋" w:hAnsi="仿宋" w:eastAsia="仿宋" w:cs="Times New Roman"/>
          <w:kern w:val="2"/>
          <w:sz w:val="32"/>
          <w:szCs w:val="32"/>
        </w:rPr>
        <w:t>1.10</w:t>
      </w:r>
      <w:r>
        <w:rPr>
          <w:rFonts w:ascii="仿宋" w:hAnsi="仿宋" w:eastAsia="仿宋" w:cs="Times New Roman"/>
          <w:kern w:val="2"/>
          <w:sz w:val="32"/>
          <w:szCs w:val="32"/>
          <w:lang w:val="zh-CN"/>
        </w:rPr>
        <w:t>万元。公车运行维护费支出与预算持平，较上年减少0.43万元，降低28.3%，主要是</w:t>
      </w:r>
      <w:r>
        <w:rPr>
          <w:rFonts w:hint="eastAsia" w:ascii="仿宋" w:hAnsi="仿宋" w:eastAsia="仿宋" w:cs="Times New Roman"/>
          <w:kern w:val="2"/>
          <w:sz w:val="32"/>
          <w:szCs w:val="32"/>
          <w:lang w:val="en-US" w:eastAsia="zh-CN"/>
        </w:rPr>
        <w:t>调减预算，年末财政收回公务用车运行维护费</w:t>
      </w:r>
      <w:r>
        <w:rPr>
          <w:rFonts w:ascii="仿宋" w:hAnsi="仿宋" w:eastAsia="仿宋" w:cs="Times New Roman"/>
          <w:kern w:val="2"/>
          <w:sz w:val="32"/>
          <w:szCs w:val="32"/>
          <w:lang w:val="zh-CN"/>
        </w:rPr>
        <w:t>。</w:t>
      </w:r>
    </w:p>
    <w:p>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3.公务接待费</w:t>
      </w:r>
      <w:r>
        <w:rPr>
          <w:rFonts w:hint="eastAsia" w:ascii="仿宋" w:hAnsi="仿宋" w:eastAsia="仿宋" w:cs="Times New Roman"/>
          <w:b/>
          <w:bCs/>
          <w:kern w:val="2"/>
          <w:sz w:val="32"/>
          <w:szCs w:val="32"/>
        </w:rPr>
        <w:t>支出情况</w:t>
      </w:r>
      <w:r>
        <w:rPr>
          <w:rFonts w:ascii="仿宋" w:hAnsi="仿宋" w:eastAsia="仿宋" w:cs="Times New Roman"/>
          <w:b/>
          <w:bCs/>
          <w:kern w:val="2"/>
          <w:sz w:val="32"/>
          <w:szCs w:val="32"/>
        </w:rPr>
        <w:t>。</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年度公务接待费支出预算为1.31万元，支出决算1.31万元，完成预算的100.0%。公务接待费支出与预算持平，较上年度增加1.11万元，增长556.1%</w:t>
      </w:r>
      <w:r>
        <w:rPr>
          <w:rFonts w:hint="eastAsia" w:ascii="仿宋" w:hAnsi="仿宋" w:eastAsia="仿宋"/>
          <w:bCs/>
          <w:sz w:val="32"/>
          <w:szCs w:val="32"/>
          <w:lang w:val="zh-CN"/>
        </w:rPr>
        <w:t>，主要是</w:t>
      </w:r>
      <w:r>
        <w:rPr>
          <w:rFonts w:hint="eastAsia" w:ascii="仿宋" w:hAnsi="仿宋" w:eastAsia="仿宋"/>
          <w:bCs/>
          <w:sz w:val="32"/>
          <w:szCs w:val="32"/>
        </w:rPr>
        <w:t>上年度公务接待费用结转到本年支付</w:t>
      </w:r>
      <w:r>
        <w:rPr>
          <w:rFonts w:ascii="仿宋" w:hAnsi="仿宋" w:eastAsia="仿宋" w:cs="Times New Roman"/>
          <w:kern w:val="2"/>
          <w:sz w:val="32"/>
          <w:szCs w:val="32"/>
          <w:lang w:val="zh-CN"/>
        </w:rPr>
        <w:t>。本年度共发生公务接待35批次、305人次。</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六、机关运行经费支出说明</w:t>
      </w:r>
    </w:p>
    <w:p>
      <w:pPr>
        <w:pStyle w:val="11"/>
        <w:widowControl/>
        <w:snapToGrid w:val="0"/>
        <w:spacing w:beforeAutospacing="0" w:afterAutospacing="0" w:line="360" w:lineRule="auto"/>
        <w:ind w:firstLine="200"/>
        <w:jc w:val="both"/>
        <w:rPr>
          <w:rFonts w:hint="eastAsia" w:ascii="仿宋" w:hAnsi="仿宋" w:eastAsia="仿宋" w:cs="宋体"/>
          <w:bCs/>
          <w:sz w:val="32"/>
          <w:szCs w:val="32"/>
          <w:lang w:val="zh-CN" w:eastAsia="zh-CN" w:bidi="ar-SA"/>
        </w:rPr>
      </w:pPr>
      <w:r>
        <w:rPr>
          <w:rFonts w:ascii="Times New Roman" w:hAnsi="Times New Roman" w:eastAsia="Arial"/>
          <w:color w:val="333333"/>
          <w:sz w:val="19"/>
          <w:szCs w:val="19"/>
          <w:shd w:val="clear" w:color="auto" w:fill="FFFFFF"/>
        </w:rPr>
        <w:t> </w:t>
      </w:r>
      <w:r>
        <w:rPr>
          <w:rFonts w:ascii="Times New Roman" w:hAnsi="Times New Roman" w:eastAsia="宋体"/>
          <w:color w:val="333333"/>
          <w:sz w:val="19"/>
          <w:szCs w:val="19"/>
          <w:shd w:val="clear" w:color="auto" w:fill="FFFFFF"/>
        </w:rPr>
        <w:t xml:space="preserve">  </w:t>
      </w:r>
      <w:r>
        <w:rPr>
          <w:rFonts w:ascii="Times New Roman" w:hAnsi="Times New Roman" w:eastAsia="仿宋_GB2312"/>
          <w:color w:val="333333"/>
          <w:sz w:val="33"/>
          <w:szCs w:val="33"/>
          <w:shd w:val="clear" w:color="auto" w:fill="FFFFFF"/>
        </w:rPr>
        <w:t>   </w:t>
      </w:r>
      <w:r>
        <w:rPr>
          <w:rFonts w:ascii="仿宋" w:hAnsi="仿宋" w:eastAsia="仿宋"/>
          <w:color w:val="333333"/>
          <w:sz w:val="33"/>
          <w:szCs w:val="33"/>
          <w:shd w:val="clear" w:color="auto" w:fill="FFFFFF"/>
        </w:rPr>
        <w:t xml:space="preserve"> </w:t>
      </w: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年度机关运行经费支出</w:t>
      </w:r>
      <w:r>
        <w:rPr>
          <w:rFonts w:ascii="仿宋" w:hAnsi="仿宋" w:eastAsia="仿宋"/>
          <w:kern w:val="2"/>
          <w:sz w:val="32"/>
          <w:szCs w:val="32"/>
        </w:rPr>
        <w:t>26.72</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较</w:t>
      </w:r>
      <w:r>
        <w:rPr>
          <w:rFonts w:ascii="仿宋" w:hAnsi="仿宋" w:eastAsia="仿宋"/>
          <w:kern w:val="2"/>
          <w:sz w:val="32"/>
          <w:szCs w:val="32"/>
        </w:rPr>
        <w:t>2022</w:t>
      </w:r>
      <w:r>
        <w:rPr>
          <w:rFonts w:ascii="仿宋" w:hAnsi="仿宋" w:eastAsia="仿宋"/>
          <w:kern w:val="2"/>
          <w:sz w:val="32"/>
          <w:szCs w:val="32"/>
          <w:lang w:val="zh-CN"/>
        </w:rPr>
        <w:t>年度</w:t>
      </w:r>
      <w:r>
        <w:rPr>
          <w:rFonts w:ascii="仿宋" w:hAnsi="仿宋" w:eastAsia="仿宋"/>
          <w:kern w:val="2"/>
          <w:sz w:val="32"/>
          <w:szCs w:val="32"/>
        </w:rPr>
        <w:t>减少13.15</w:t>
      </w:r>
      <w:r>
        <w:rPr>
          <w:rFonts w:ascii="仿宋" w:hAnsi="仿宋" w:eastAsia="仿宋"/>
          <w:kern w:val="2"/>
          <w:sz w:val="32"/>
          <w:szCs w:val="32"/>
          <w:lang w:val="zh-CN"/>
        </w:rPr>
        <w:t>万元</w:t>
      </w:r>
      <w:r>
        <w:rPr>
          <w:rFonts w:ascii="仿宋" w:hAnsi="仿宋" w:eastAsia="仿宋"/>
          <w:kern w:val="2"/>
          <w:sz w:val="32"/>
          <w:szCs w:val="32"/>
        </w:rPr>
        <w:t>，降低33.0%</w:t>
      </w:r>
      <w:r>
        <w:rPr>
          <w:rFonts w:ascii="仿宋" w:hAnsi="仿宋" w:eastAsia="仿宋"/>
          <w:kern w:val="2"/>
          <w:sz w:val="32"/>
          <w:szCs w:val="32"/>
          <w:lang w:val="zh-CN"/>
        </w:rPr>
        <w:t>。</w:t>
      </w:r>
      <w:r>
        <w:rPr>
          <w:rFonts w:hint="eastAsia" w:ascii="仿宋" w:hAnsi="仿宋" w:eastAsia="仿宋" w:cs="宋体"/>
          <w:bCs/>
          <w:sz w:val="32"/>
          <w:szCs w:val="32"/>
          <w:lang w:val="zh-CN" w:eastAsia="zh-CN" w:bidi="ar-SA"/>
        </w:rPr>
        <w:t>主要原因是：</w:t>
      </w:r>
      <w:r>
        <w:rPr>
          <w:rFonts w:hint="eastAsia" w:ascii="仿宋" w:hAnsi="仿宋" w:eastAsia="仿宋" w:cs="宋体"/>
          <w:bCs/>
          <w:sz w:val="32"/>
          <w:szCs w:val="32"/>
          <w:lang w:val="en-US" w:eastAsia="zh-CN" w:bidi="ar-SA"/>
        </w:rPr>
        <w:t>上年度支付了结转的2021年取暖费等</w:t>
      </w:r>
      <w:r>
        <w:rPr>
          <w:rFonts w:hint="eastAsia" w:ascii="仿宋" w:hAnsi="仿宋" w:eastAsia="仿宋" w:cs="宋体"/>
          <w:bCs/>
          <w:sz w:val="32"/>
          <w:szCs w:val="32"/>
          <w:lang w:val="zh-CN" w:eastAsia="zh-CN" w:bidi="ar-SA"/>
        </w:rPr>
        <w:t>。</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七、政府采购支出说明</w:t>
      </w:r>
    </w:p>
    <w:p>
      <w:pPr>
        <w:pStyle w:val="11"/>
        <w:widowControl/>
        <w:snapToGrid w:val="0"/>
        <w:spacing w:beforeAutospacing="0" w:afterAutospacing="0" w:line="360" w:lineRule="auto"/>
        <w:ind w:firstLine="640" w:firstLineChars="200"/>
        <w:rPr>
          <w:rFonts w:hint="eastAsia" w:ascii="仿宋_GB2312" w:hAnsi="仿宋_GB2312" w:eastAsia="仿宋_GB2312" w:cs="仿宋_GB2312"/>
          <w:color w:val="000000"/>
          <w:kern w:val="0"/>
          <w:sz w:val="32"/>
          <w:szCs w:val="32"/>
          <w:lang w:val="zh-CN" w:eastAsia="zh-CN" w:bidi="ar"/>
        </w:rPr>
      </w:pPr>
      <w:r>
        <w:rPr>
          <w:rFonts w:hint="eastAsia" w:ascii="仿宋" w:hAnsi="仿宋" w:eastAsia="仿宋"/>
          <w:kern w:val="2"/>
          <w:sz w:val="32"/>
          <w:szCs w:val="32"/>
          <w:lang w:val="zh-CN" w:eastAsia="zh-CN"/>
        </w:rPr>
        <w:t>本部门2023年度政府采购支出总额0.00万元，从采购类型来看，政府采购货物支出0.00万元、政府采购工程支出0.00万元、政府采购服务支出0.00万元。授予中小企业合同金额0.00万元，其中授予小微企业合同金额0.00万元。</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八、国有资产占用情况说明</w:t>
      </w:r>
    </w:p>
    <w:p>
      <w:pPr>
        <w:pStyle w:val="11"/>
        <w:widowControl/>
        <w:snapToGrid w:val="0"/>
        <w:spacing w:beforeAutospacing="0" w:afterAutospacing="0" w:line="360" w:lineRule="auto"/>
        <w:ind w:firstLine="640" w:firstLineChars="200"/>
        <w:rPr>
          <w:rFonts w:hint="eastAsia" w:ascii="仿宋" w:hAnsi="仿宋" w:eastAsia="仿宋"/>
          <w:kern w:val="2"/>
          <w:sz w:val="32"/>
          <w:szCs w:val="32"/>
          <w:lang w:val="zh-CN" w:eastAsia="zh-CN"/>
        </w:rPr>
      </w:pPr>
      <w:r>
        <w:rPr>
          <w:rFonts w:hint="eastAsia" w:ascii="仿宋" w:hAnsi="仿宋" w:eastAsia="仿宋"/>
          <w:kern w:val="2"/>
          <w:sz w:val="32"/>
          <w:szCs w:val="32"/>
          <w:lang w:val="zh-CN" w:eastAsia="zh-CN"/>
        </w:rPr>
        <w:t>截至2023年12月31日，本部门共有车辆1辆，与上年持平。其中，副部（省）级及以上领导用车0辆，主要负责人用车0辆，机要通信用车0辆，应急保障用车1辆，执法执勤用车0辆，特种专业技术用车0辆，离退休干部用车0辆，其他用车0辆。</w:t>
      </w:r>
    </w:p>
    <w:p>
      <w:pPr>
        <w:pStyle w:val="11"/>
        <w:widowControl/>
        <w:snapToGrid w:val="0"/>
        <w:spacing w:beforeAutospacing="0" w:afterAutospacing="0" w:line="360" w:lineRule="auto"/>
        <w:ind w:firstLine="640" w:firstLineChars="200"/>
        <w:rPr>
          <w:rFonts w:hint="eastAsia" w:ascii="仿宋" w:hAnsi="仿宋" w:eastAsia="仿宋"/>
          <w:kern w:val="2"/>
          <w:sz w:val="32"/>
          <w:szCs w:val="32"/>
          <w:lang w:val="zh-CN" w:eastAsia="zh-CN"/>
        </w:rPr>
      </w:pPr>
      <w:r>
        <w:rPr>
          <w:rFonts w:hint="eastAsia" w:ascii="仿宋" w:hAnsi="仿宋" w:eastAsia="仿宋"/>
          <w:kern w:val="2"/>
          <w:sz w:val="32"/>
          <w:szCs w:val="32"/>
          <w:lang w:val="zh-CN" w:eastAsia="zh-CN"/>
        </w:rPr>
        <w:t>单位价值100万元（含）以上设备（不含车辆）0台（套）。</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九、预算绩效情况说明</w:t>
      </w:r>
    </w:p>
    <w:p>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（一）预算绩效管理工作开展情况</w:t>
      </w:r>
    </w:p>
    <w:p>
      <w:pPr>
        <w:pStyle w:val="11"/>
        <w:widowControl/>
        <w:snapToGrid w:val="0"/>
        <w:spacing w:beforeAutospacing="0" w:afterAutospacing="0" w:line="360" w:lineRule="auto"/>
        <w:ind w:firstLine="640" w:firstLineChars="200"/>
        <w:rPr>
          <w:rFonts w:hint="eastAsia" w:ascii="仿宋_GB2312" w:hAnsi="仿宋_GB2312" w:eastAsia="仿宋_GB2312" w:cs="仿宋_GB2312"/>
          <w:color w:val="000000"/>
          <w:kern w:val="0"/>
          <w:sz w:val="32"/>
          <w:szCs w:val="32"/>
          <w:lang w:val="zh-CN" w:eastAsia="zh-CN" w:bidi="ar"/>
        </w:rPr>
      </w:pPr>
      <w:r>
        <w:rPr>
          <w:rFonts w:hint="eastAsia" w:ascii="仿宋" w:hAnsi="仿宋" w:eastAsia="仿宋"/>
          <w:kern w:val="2"/>
          <w:sz w:val="32"/>
          <w:szCs w:val="32"/>
          <w:lang w:val="zh-CN" w:eastAsia="zh-CN"/>
        </w:rPr>
        <w:t>根据预算绩效管理要求，本部门组织对2023年度一般公共预算项目支出全面开展绩效自评，其中，一级项目</w:t>
      </w:r>
      <w:r>
        <w:rPr>
          <w:rFonts w:hint="eastAsia" w:ascii="仿宋" w:hAnsi="仿宋" w:eastAsia="仿宋"/>
          <w:kern w:val="2"/>
          <w:sz w:val="32"/>
          <w:szCs w:val="32"/>
          <w:lang w:val="en-US" w:eastAsia="zh-CN"/>
        </w:rPr>
        <w:t>0</w:t>
      </w:r>
      <w:r>
        <w:rPr>
          <w:rFonts w:hint="eastAsia" w:ascii="仿宋" w:hAnsi="仿宋" w:eastAsia="仿宋"/>
          <w:kern w:val="2"/>
          <w:sz w:val="32"/>
          <w:szCs w:val="32"/>
          <w:lang w:val="zh-CN" w:eastAsia="zh-CN"/>
        </w:rPr>
        <w:t>个，</w:t>
      </w:r>
      <w:r>
        <w:rPr>
          <w:rFonts w:hint="eastAsia" w:ascii="仿宋_GB2312" w:hAnsi="仿宋_GB2312" w:eastAsia="仿宋_GB2312" w:cs="仿宋_GB2312"/>
          <w:color w:val="000000"/>
          <w:kern w:val="0"/>
          <w:sz w:val="32"/>
          <w:szCs w:val="32"/>
          <w:lang w:val="zh-CN" w:eastAsia="zh-CN" w:bidi="ar"/>
        </w:rPr>
        <w:t>二级项目</w:t>
      </w:r>
      <w:r>
        <w:rPr>
          <w:rFonts w:hint="eastAsia" w:ascii="仿宋_GB2312" w:hAnsi="仿宋_GB2312" w:eastAsia="仿宋_GB2312" w:cs="仿宋_GB2312"/>
          <w:color w:val="000000"/>
          <w:kern w:val="0"/>
          <w:sz w:val="32"/>
          <w:szCs w:val="32"/>
          <w:lang w:val="en-US" w:eastAsia="zh-CN" w:bidi="ar"/>
        </w:rPr>
        <w:t>3</w:t>
      </w:r>
      <w:r>
        <w:rPr>
          <w:rFonts w:hint="eastAsia" w:ascii="仿宋_GB2312" w:hAnsi="仿宋_GB2312" w:eastAsia="仿宋_GB2312" w:cs="仿宋_GB2312"/>
          <w:color w:val="000000"/>
          <w:kern w:val="0"/>
          <w:sz w:val="32"/>
          <w:szCs w:val="32"/>
          <w:lang w:val="zh-CN" w:eastAsia="zh-CN" w:bidi="ar"/>
        </w:rPr>
        <w:t>个，共涉及资金</w:t>
      </w:r>
      <w:r>
        <w:rPr>
          <w:rFonts w:hint="eastAsia" w:ascii="仿宋_GB2312" w:hAnsi="仿宋_GB2312" w:eastAsia="仿宋_GB2312" w:cs="仿宋_GB2312"/>
          <w:color w:val="000000"/>
          <w:kern w:val="0"/>
          <w:sz w:val="32"/>
          <w:szCs w:val="32"/>
          <w:lang w:val="en-US" w:eastAsia="zh-CN" w:bidi="ar"/>
        </w:rPr>
        <w:t>98.1</w:t>
      </w:r>
      <w:r>
        <w:rPr>
          <w:rFonts w:hint="eastAsia" w:ascii="仿宋_GB2312" w:hAnsi="仿宋_GB2312" w:eastAsia="仿宋_GB2312" w:cs="仿宋_GB2312"/>
          <w:color w:val="000000"/>
          <w:kern w:val="0"/>
          <w:sz w:val="32"/>
          <w:szCs w:val="32"/>
          <w:lang w:val="zh-CN" w:eastAsia="zh-CN" w:bidi="ar"/>
        </w:rPr>
        <w:t>万元，占一般公共预算项目支出总额的</w:t>
      </w:r>
      <w:r>
        <w:rPr>
          <w:rFonts w:hint="eastAsia" w:ascii="仿宋_GB2312" w:hAnsi="仿宋_GB2312" w:eastAsia="仿宋_GB2312" w:cs="仿宋_GB2312"/>
          <w:color w:val="000000"/>
          <w:kern w:val="0"/>
          <w:sz w:val="32"/>
          <w:szCs w:val="32"/>
          <w:lang w:val="en-US" w:eastAsia="zh-CN" w:bidi="ar"/>
        </w:rPr>
        <w:t>100</w:t>
      </w:r>
      <w:r>
        <w:rPr>
          <w:rFonts w:hint="eastAsia" w:ascii="仿宋_GB2312" w:hAnsi="仿宋_GB2312" w:eastAsia="仿宋_GB2312" w:cs="仿宋_GB2312"/>
          <w:color w:val="000000"/>
          <w:kern w:val="0"/>
          <w:sz w:val="32"/>
          <w:szCs w:val="32"/>
          <w:lang w:val="zh-CN" w:eastAsia="zh-CN" w:bidi="ar"/>
        </w:rPr>
        <w:t>%。组织对2023年度“群众工作中心运行经费”、“特殊疑难信访问题救助资金县级配套”、“群众工作中心聘用法律服务费”、“</w:t>
      </w:r>
      <w:r>
        <w:rPr>
          <w:rFonts w:hint="eastAsia" w:ascii="仿宋_GB2312" w:hAnsi="仿宋_GB2312" w:eastAsia="仿宋_GB2312" w:cs="仿宋_GB2312"/>
          <w:color w:val="000000"/>
          <w:kern w:val="0"/>
          <w:sz w:val="32"/>
          <w:szCs w:val="32"/>
          <w:lang w:val="en-US" w:eastAsia="zh-CN" w:bidi="ar"/>
        </w:rPr>
        <w:t>党的二十大期间信访维稳经费</w:t>
      </w:r>
      <w:r>
        <w:rPr>
          <w:rFonts w:hint="eastAsia" w:ascii="仿宋_GB2312" w:hAnsi="仿宋_GB2312" w:eastAsia="仿宋_GB2312" w:cs="仿宋_GB2312"/>
          <w:color w:val="000000"/>
          <w:kern w:val="0"/>
          <w:sz w:val="32"/>
          <w:szCs w:val="32"/>
          <w:lang w:val="zh-CN" w:eastAsia="zh-CN" w:bidi="ar"/>
        </w:rPr>
        <w:t>”、“信访维稳经费”等</w:t>
      </w:r>
      <w:r>
        <w:rPr>
          <w:rFonts w:hint="eastAsia" w:ascii="仿宋_GB2312" w:hAnsi="仿宋_GB2312" w:eastAsia="仿宋_GB2312" w:cs="仿宋_GB2312"/>
          <w:color w:val="000000"/>
          <w:kern w:val="0"/>
          <w:sz w:val="32"/>
          <w:szCs w:val="32"/>
          <w:lang w:val="en-US" w:eastAsia="zh-CN" w:bidi="ar"/>
        </w:rPr>
        <w:t>5</w:t>
      </w:r>
      <w:r>
        <w:rPr>
          <w:rFonts w:hint="eastAsia" w:ascii="仿宋_GB2312" w:hAnsi="仿宋_GB2312" w:eastAsia="仿宋_GB2312" w:cs="仿宋_GB2312"/>
          <w:color w:val="000000"/>
          <w:kern w:val="0"/>
          <w:sz w:val="32"/>
          <w:szCs w:val="32"/>
          <w:lang w:val="zh-CN" w:eastAsia="zh-CN" w:bidi="ar"/>
        </w:rPr>
        <w:t>个政府性基金预算项目支出开展绩效自评，共涉及资金</w:t>
      </w:r>
      <w:r>
        <w:rPr>
          <w:rFonts w:hint="eastAsia" w:ascii="仿宋_GB2312" w:hAnsi="仿宋_GB2312" w:eastAsia="仿宋_GB2312" w:cs="仿宋_GB2312"/>
          <w:color w:val="000000"/>
          <w:kern w:val="0"/>
          <w:sz w:val="32"/>
          <w:szCs w:val="32"/>
          <w:lang w:val="en-US" w:eastAsia="zh-CN" w:bidi="ar"/>
        </w:rPr>
        <w:t>129.54</w:t>
      </w:r>
      <w:r>
        <w:rPr>
          <w:rFonts w:hint="eastAsia" w:ascii="仿宋_GB2312" w:hAnsi="仿宋_GB2312" w:eastAsia="仿宋_GB2312" w:cs="仿宋_GB2312"/>
          <w:color w:val="000000"/>
          <w:kern w:val="0"/>
          <w:sz w:val="32"/>
          <w:szCs w:val="32"/>
          <w:lang w:val="zh-CN" w:eastAsia="zh-CN" w:bidi="ar"/>
        </w:rPr>
        <w:t>万元，占政府性基金预算项目支出总额的</w:t>
      </w:r>
      <w:r>
        <w:rPr>
          <w:rFonts w:hint="eastAsia" w:ascii="仿宋_GB2312" w:hAnsi="仿宋_GB2312" w:eastAsia="仿宋_GB2312" w:cs="仿宋_GB2312"/>
          <w:color w:val="000000"/>
          <w:kern w:val="0"/>
          <w:sz w:val="32"/>
          <w:szCs w:val="32"/>
          <w:lang w:val="en-US" w:eastAsia="zh-CN" w:bidi="ar"/>
        </w:rPr>
        <w:t>100</w:t>
      </w:r>
      <w:r>
        <w:rPr>
          <w:rFonts w:hint="eastAsia" w:ascii="仿宋_GB2312" w:hAnsi="仿宋_GB2312" w:eastAsia="仿宋_GB2312" w:cs="仿宋_GB2312"/>
          <w:color w:val="000000"/>
          <w:kern w:val="0"/>
          <w:sz w:val="32"/>
          <w:szCs w:val="32"/>
          <w:lang w:val="zh-CN" w:eastAsia="zh-CN" w:bidi="ar"/>
        </w:rPr>
        <w:t>%。组织对2023年度个国有资本经营预算项目支出开展绩效自评，共涉及资金</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val="zh-CN" w:eastAsia="zh-CN" w:bidi="ar"/>
        </w:rPr>
        <w:t>万元，占国有资本经营预算项目支出总额的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val="zh-CN" w:eastAsia="zh-CN" w:bidi="ar"/>
        </w:rPr>
        <w:t>%。</w:t>
      </w:r>
    </w:p>
    <w:p>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zh-CN" w:eastAsia="zh-CN" w:bidi="ar"/>
        </w:rPr>
        <w:t>组织对“群众工作中心运行经费”、“特殊疑难信访问题救助资金县级配套”、“</w:t>
      </w:r>
      <w:r>
        <w:rPr>
          <w:rFonts w:hint="eastAsia" w:ascii="仿宋_GB2312" w:hAnsi="仿宋_GB2312" w:eastAsia="仿宋_GB2312" w:cs="仿宋_GB2312"/>
          <w:color w:val="000000"/>
          <w:kern w:val="0"/>
          <w:sz w:val="32"/>
          <w:szCs w:val="32"/>
          <w:lang w:val="en-US" w:eastAsia="zh-CN" w:bidi="ar"/>
        </w:rPr>
        <w:t>党的二十大期间信访维稳经费</w:t>
      </w:r>
      <w:r>
        <w:rPr>
          <w:rFonts w:hint="eastAsia" w:ascii="仿宋_GB2312" w:hAnsi="仿宋_GB2312" w:eastAsia="仿宋_GB2312" w:cs="仿宋_GB2312"/>
          <w:color w:val="000000"/>
          <w:kern w:val="0"/>
          <w:sz w:val="32"/>
          <w:szCs w:val="32"/>
          <w:lang w:val="zh-CN" w:eastAsia="zh-CN" w:bidi="ar"/>
        </w:rPr>
        <w:t>”、“群众工作中心聘用法律服务费”、“信访维稳经费”等</w:t>
      </w:r>
      <w:r>
        <w:rPr>
          <w:rFonts w:hint="eastAsia" w:ascii="仿宋_GB2312" w:hAnsi="仿宋_GB2312" w:eastAsia="仿宋_GB2312" w:cs="仿宋_GB2312"/>
          <w:color w:val="000000"/>
          <w:kern w:val="0"/>
          <w:sz w:val="32"/>
          <w:szCs w:val="32"/>
          <w:lang w:val="en-US" w:eastAsia="zh-CN" w:bidi="ar"/>
        </w:rPr>
        <w:t>5</w:t>
      </w:r>
      <w:r>
        <w:rPr>
          <w:rFonts w:hint="eastAsia" w:ascii="仿宋_GB2312" w:hAnsi="仿宋_GB2312" w:eastAsia="仿宋_GB2312" w:cs="仿宋_GB2312"/>
          <w:color w:val="000000"/>
          <w:kern w:val="0"/>
          <w:sz w:val="32"/>
          <w:szCs w:val="32"/>
          <w:lang w:val="zh-CN" w:eastAsia="zh-CN" w:bidi="ar"/>
        </w:rPr>
        <w:t>个项目开展了部门评价，涉及一般公共预算支出</w:t>
      </w:r>
      <w:r>
        <w:rPr>
          <w:rFonts w:hint="eastAsia" w:ascii="仿宋_GB2312" w:hAnsi="仿宋_GB2312" w:eastAsia="仿宋_GB2312" w:cs="仿宋_GB2312"/>
          <w:color w:val="000000"/>
          <w:kern w:val="0"/>
          <w:sz w:val="32"/>
          <w:szCs w:val="32"/>
          <w:lang w:val="en-US" w:eastAsia="zh-CN" w:bidi="ar"/>
        </w:rPr>
        <w:t>98.1</w:t>
      </w:r>
      <w:r>
        <w:rPr>
          <w:rFonts w:hint="eastAsia" w:ascii="仿宋_GB2312" w:hAnsi="仿宋_GB2312" w:eastAsia="仿宋_GB2312" w:cs="仿宋_GB2312"/>
          <w:color w:val="000000"/>
          <w:kern w:val="0"/>
          <w:sz w:val="32"/>
          <w:szCs w:val="32"/>
          <w:lang w:val="zh-CN" w:eastAsia="zh-CN" w:bidi="ar"/>
        </w:rPr>
        <w:t>万元，政府性基金预算支出</w:t>
      </w:r>
      <w:r>
        <w:rPr>
          <w:rFonts w:hint="eastAsia" w:ascii="仿宋_GB2312" w:hAnsi="仿宋_GB2312" w:eastAsia="仿宋_GB2312" w:cs="仿宋_GB2312"/>
          <w:color w:val="000000"/>
          <w:kern w:val="0"/>
          <w:sz w:val="32"/>
          <w:szCs w:val="32"/>
          <w:lang w:val="en-US" w:eastAsia="zh-CN" w:bidi="ar"/>
        </w:rPr>
        <w:t>129.54</w:t>
      </w:r>
      <w:r>
        <w:rPr>
          <w:rFonts w:hint="eastAsia" w:ascii="仿宋_GB2312" w:hAnsi="仿宋_GB2312" w:eastAsia="仿宋_GB2312" w:cs="仿宋_GB2312"/>
          <w:color w:val="000000"/>
          <w:kern w:val="0"/>
          <w:sz w:val="32"/>
          <w:szCs w:val="32"/>
          <w:lang w:val="zh-CN" w:eastAsia="zh-CN" w:bidi="ar"/>
        </w:rPr>
        <w:t>万元，</w:t>
      </w:r>
      <w:r>
        <w:rPr>
          <w:rFonts w:ascii="仿宋" w:hAnsi="仿宋" w:eastAsia="仿宋"/>
          <w:kern w:val="2"/>
          <w:sz w:val="32"/>
          <w:szCs w:val="32"/>
          <w:lang w:val="zh-CN"/>
        </w:rPr>
        <w:t>国有资本经营预算支出</w:t>
      </w:r>
      <w:r>
        <w:rPr>
          <w:rFonts w:hint="eastAsia" w:ascii="仿宋" w:hAnsi="仿宋" w:eastAsia="仿宋"/>
          <w:kern w:val="2"/>
          <w:sz w:val="32"/>
          <w:szCs w:val="32"/>
          <w:lang w:val="en-US" w:eastAsia="zh-CN"/>
        </w:rPr>
        <w:t>0</w:t>
      </w:r>
      <w:r>
        <w:rPr>
          <w:rFonts w:ascii="仿宋" w:hAnsi="仿宋" w:eastAsia="仿宋"/>
          <w:kern w:val="2"/>
          <w:sz w:val="32"/>
          <w:szCs w:val="32"/>
          <w:lang w:val="zh-CN"/>
        </w:rPr>
        <w:t>万元。从评价情况来看，</w:t>
      </w:r>
      <w:r>
        <w:rPr>
          <w:rFonts w:hint="eastAsia" w:ascii="仿宋_GB2312" w:hAnsi="仿宋_GB2312" w:eastAsia="仿宋_GB2312" w:cs="仿宋_GB2312"/>
          <w:color w:val="000000"/>
          <w:kern w:val="0"/>
          <w:sz w:val="32"/>
          <w:szCs w:val="32"/>
          <w:lang w:val="en-US" w:eastAsia="zh-CN" w:bidi="ar"/>
        </w:rPr>
        <w:t>从评价情况来看，2023年我部门预算绩效整体开展良好，根据财政预算绩效管理要求，我部门以“部门职责—工作活动”为依据，确定部门预算项目和预算额度，清晰描述预算项目开支范围和内容，确定预算项目的绩效目标、绩效指标和评价标准，为预算绩效控制、绩效分析、绩效评价打下好的基础。</w:t>
      </w:r>
    </w:p>
    <w:p>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（二）部门决算中项目绩效自评结果</w:t>
      </w:r>
    </w:p>
    <w:p>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本部门在今年部门决算公开中反映信访维稳经费、群众工作中心运行经费、法律服务费、特殊疑难信访问题救助资金等4个项目绩效自评结果。 </w:t>
      </w:r>
    </w:p>
    <w:p>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（1）信访维稳经费：根据年初设定的绩效目标，信访维稳经费项目绩效自评得分为100 分（绩效自评表附后）。全年预算数为176.45万元，执行数为151.2万元，完成预算的85.9%。</w:t>
      </w:r>
    </w:p>
    <w:p>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（2）群众工作中心运行经费：根据年初设定的绩效目标，群众工作中心运行经费项目绩效自评得分为100 分（绩效自评表附后）。全年预算数为8.02万元，执行数为3.24万元，完成预算的40.39%。</w:t>
      </w:r>
    </w:p>
    <w:p>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（3）法律服务费：根据年初设定的绩效目标，法律服务费项目绩效自评得分为100 分（绩效自评表附后）。全年预算数为1万元，执行数为1万元，完成预算的100%。</w:t>
      </w:r>
    </w:p>
    <w:p>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（4）特殊疑难信访问题救助资金：根据年初设定的绩效目标，特殊疑难信访问题救助资金项目绩效自评得分为100 分（绩效自评表附后）。全年预算数为25万元，执行数为25万元，完成预算的100%。</w:t>
      </w:r>
    </w:p>
    <w:p>
      <w:pPr>
        <w:adjustRightInd w:val="0"/>
        <w:snapToGrid w:val="0"/>
        <w:spacing w:line="400" w:lineRule="exact"/>
        <w:jc w:val="center"/>
        <w:rPr>
          <w:rFonts w:hint="eastAsia" w:ascii="仿宋" w:hAnsi="仿宋" w:eastAsia="仿宋" w:cs="仿宋_GB2312"/>
          <w:color w:val="000000"/>
          <w:sz w:val="32"/>
          <w:szCs w:val="32"/>
        </w:rPr>
      </w:pPr>
    </w:p>
    <w:p>
      <w:pPr>
        <w:adjustRightInd w:val="0"/>
        <w:snapToGrid w:val="0"/>
        <w:spacing w:line="400" w:lineRule="exact"/>
        <w:jc w:val="center"/>
        <w:rPr>
          <w:rFonts w:hint="eastAsia" w:ascii="仿宋" w:hAnsi="仿宋" w:eastAsia="仿宋" w:cs="仿宋_GB2312"/>
          <w:color w:val="000000"/>
          <w:sz w:val="32"/>
          <w:szCs w:val="32"/>
        </w:rPr>
      </w:pPr>
    </w:p>
    <w:p>
      <w:pPr>
        <w:adjustRightInd w:val="0"/>
        <w:snapToGrid w:val="0"/>
        <w:spacing w:line="400" w:lineRule="exact"/>
        <w:jc w:val="center"/>
        <w:rPr>
          <w:rFonts w:hint="eastAsia" w:ascii="仿宋" w:hAnsi="仿宋" w:eastAsia="仿宋" w:cs="仿宋_GB2312"/>
          <w:color w:val="000000"/>
          <w:sz w:val="32"/>
          <w:szCs w:val="32"/>
        </w:rPr>
      </w:pPr>
    </w:p>
    <w:p>
      <w:pPr>
        <w:adjustRightInd w:val="0"/>
        <w:snapToGrid w:val="0"/>
        <w:spacing w:line="400" w:lineRule="exact"/>
        <w:jc w:val="center"/>
        <w:rPr>
          <w:rFonts w:hint="eastAsia" w:ascii="仿宋" w:hAnsi="仿宋" w:eastAsia="仿宋" w:cs="仿宋_GB2312"/>
          <w:color w:val="000000"/>
          <w:sz w:val="32"/>
          <w:szCs w:val="32"/>
        </w:rPr>
      </w:pPr>
    </w:p>
    <w:p>
      <w:pPr>
        <w:adjustRightInd w:val="0"/>
        <w:snapToGrid w:val="0"/>
        <w:spacing w:line="400" w:lineRule="exact"/>
        <w:jc w:val="center"/>
        <w:rPr>
          <w:rFonts w:ascii="仿宋" w:hAnsi="仿宋" w:eastAsia="仿宋" w:cs="仿宋_GB2312"/>
          <w:color w:val="000000"/>
          <w:sz w:val="32"/>
          <w:szCs w:val="32"/>
        </w:rPr>
      </w:pPr>
      <w:r>
        <w:rPr>
          <w:rFonts w:hint="eastAsia" w:ascii="仿宋" w:hAnsi="仿宋" w:eastAsia="仿宋" w:cs="仿宋_GB2312"/>
          <w:color w:val="000000"/>
          <w:sz w:val="32"/>
          <w:szCs w:val="32"/>
        </w:rPr>
        <w:t>202</w:t>
      </w:r>
      <w:r>
        <w:rPr>
          <w:rFonts w:hint="eastAsia" w:ascii="仿宋" w:hAnsi="仿宋" w:eastAsia="仿宋" w:cs="仿宋_GB2312"/>
          <w:color w:val="000000"/>
          <w:sz w:val="32"/>
          <w:szCs w:val="32"/>
          <w:lang w:val="en-US" w:eastAsia="zh-CN"/>
        </w:rPr>
        <w:t>3</w:t>
      </w:r>
      <w:r>
        <w:rPr>
          <w:rFonts w:hint="eastAsia" w:ascii="仿宋" w:hAnsi="仿宋" w:eastAsia="仿宋" w:cs="仿宋_GB2312"/>
          <w:color w:val="000000"/>
          <w:sz w:val="32"/>
          <w:szCs w:val="32"/>
        </w:rPr>
        <w:t>年度预算项目绩效自评表</w:t>
      </w:r>
    </w:p>
    <w:p>
      <w:pPr>
        <w:adjustRightInd w:val="0"/>
        <w:snapToGrid w:val="0"/>
        <w:spacing w:line="400" w:lineRule="exact"/>
        <w:jc w:val="center"/>
        <w:rPr>
          <w:rFonts w:ascii="仿宋" w:hAnsi="仿宋" w:eastAsia="仿宋" w:cs="仿宋_GB2312"/>
          <w:color w:val="000000"/>
          <w:sz w:val="32"/>
          <w:szCs w:val="32"/>
        </w:rPr>
      </w:pPr>
      <w:r>
        <w:rPr>
          <w:rFonts w:hint="eastAsia" w:ascii="仿宋" w:hAnsi="仿宋" w:eastAsia="仿宋" w:cs="仿宋_GB2312"/>
          <w:color w:val="000000"/>
          <w:sz w:val="32"/>
          <w:szCs w:val="32"/>
        </w:rPr>
        <w:t>（202</w:t>
      </w:r>
      <w:r>
        <w:rPr>
          <w:rFonts w:hint="eastAsia" w:ascii="仿宋" w:hAnsi="仿宋" w:eastAsia="仿宋" w:cs="仿宋_GB2312"/>
          <w:color w:val="000000"/>
          <w:sz w:val="32"/>
          <w:szCs w:val="32"/>
          <w:lang w:val="en-US" w:eastAsia="zh-CN"/>
        </w:rPr>
        <w:t>3</w:t>
      </w:r>
      <w:r>
        <w:rPr>
          <w:rFonts w:hint="eastAsia" w:ascii="仿宋" w:hAnsi="仿宋" w:eastAsia="仿宋" w:cs="仿宋_GB2312"/>
          <w:color w:val="000000"/>
          <w:sz w:val="32"/>
          <w:szCs w:val="32"/>
        </w:rPr>
        <w:t>年度）</w:t>
      </w:r>
    </w:p>
    <w:p>
      <w:pPr>
        <w:adjustRightInd w:val="0"/>
        <w:snapToGrid w:val="0"/>
        <w:spacing w:line="400" w:lineRule="exact"/>
        <w:rPr>
          <w:rFonts w:ascii="仿宋" w:hAnsi="仿宋" w:eastAsia="仿宋" w:cs="仿宋_GB2312"/>
          <w:color w:val="000000"/>
          <w:sz w:val="16"/>
          <w:szCs w:val="16"/>
        </w:rPr>
      </w:pPr>
      <w:r>
        <w:rPr>
          <w:rFonts w:hint="eastAsia" w:ascii="仿宋" w:hAnsi="仿宋" w:eastAsia="仿宋" w:cs="仿宋_GB2312"/>
          <w:color w:val="000000"/>
          <w:sz w:val="16"/>
          <w:szCs w:val="16"/>
        </w:rPr>
        <w:t>填报单位：</w:t>
      </w:r>
      <w:r>
        <w:rPr>
          <w:rFonts w:hint="eastAsia" w:ascii="仿宋" w:hAnsi="仿宋" w:eastAsia="仿宋" w:cs="仿宋_GB2312"/>
          <w:color w:val="000000"/>
          <w:sz w:val="16"/>
          <w:szCs w:val="16"/>
          <w:lang w:val="en-US" w:eastAsia="zh-CN"/>
        </w:rPr>
        <w:t>青龙满族自治县信访局</w:t>
      </w:r>
      <w:r>
        <w:rPr>
          <w:rFonts w:hint="eastAsia" w:ascii="仿宋" w:hAnsi="仿宋" w:eastAsia="仿宋" w:cs="仿宋_GB2312"/>
          <w:color w:val="000000"/>
          <w:sz w:val="16"/>
          <w:szCs w:val="16"/>
        </w:rPr>
        <w:t xml:space="preserve">           </w:t>
      </w:r>
      <w:r>
        <w:rPr>
          <w:rFonts w:ascii="仿宋" w:hAnsi="仿宋" w:eastAsia="仿宋" w:cs="仿宋_GB2312"/>
          <w:color w:val="000000"/>
          <w:sz w:val="16"/>
          <w:szCs w:val="16"/>
        </w:rPr>
        <w:t xml:space="preserve">                      </w:t>
      </w:r>
      <w:r>
        <w:rPr>
          <w:rFonts w:hint="eastAsia" w:ascii="仿宋" w:hAnsi="仿宋" w:eastAsia="仿宋" w:cs="仿宋_GB2312"/>
          <w:color w:val="000000"/>
          <w:sz w:val="16"/>
          <w:szCs w:val="16"/>
        </w:rPr>
        <w:t xml:space="preserve"> 金额单位：万元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084"/>
        <w:gridCol w:w="1050"/>
        <w:gridCol w:w="1067"/>
        <w:gridCol w:w="898"/>
        <w:gridCol w:w="1066"/>
        <w:gridCol w:w="1131"/>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一、基本情况</w:t>
            </w: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项目名称</w:t>
            </w:r>
          </w:p>
        </w:tc>
        <w:tc>
          <w:tcPr>
            <w:tcW w:w="211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信访维稳经费</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实施（主管）单位</w:t>
            </w:r>
          </w:p>
        </w:tc>
        <w:tc>
          <w:tcPr>
            <w:tcW w:w="335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eastAsia" w:ascii="仿宋" w:hAnsi="仿宋" w:eastAsia="仿宋" w:cs="仿宋_GB2312"/>
                <w:color w:val="000000"/>
                <w:sz w:val="16"/>
                <w:szCs w:val="16"/>
                <w:lang w:eastAsia="zh-CN"/>
              </w:rPr>
            </w:pPr>
            <w:r>
              <w:rPr>
                <w:rFonts w:hint="eastAsia" w:ascii="仿宋" w:hAnsi="仿宋" w:eastAsia="仿宋" w:cs="仿宋_GB2312"/>
                <w:color w:val="000000"/>
                <w:sz w:val="16"/>
                <w:szCs w:val="16"/>
                <w:lang w:val="en-US" w:eastAsia="zh-CN"/>
              </w:rPr>
              <w:t>信访局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二、预算执行情况</w:t>
            </w:r>
          </w:p>
        </w:tc>
        <w:tc>
          <w:tcPr>
            <w:tcW w:w="2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预算安排情况（调整后）</w:t>
            </w:r>
          </w:p>
        </w:tc>
        <w:tc>
          <w:tcPr>
            <w:tcW w:w="196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资金到位情况</w:t>
            </w:r>
          </w:p>
        </w:tc>
        <w:tc>
          <w:tcPr>
            <w:tcW w:w="219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资金执行情况</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预算执</w:t>
            </w:r>
          </w:p>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行进度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预算数：</w:t>
            </w: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176.45</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到位数：</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151.2</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执行数</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151.2</w:t>
            </w:r>
          </w:p>
        </w:tc>
        <w:tc>
          <w:tcPr>
            <w:tcW w:w="11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lang w:val="en-US" w:eastAsia="zh-CN"/>
              </w:rPr>
              <w:t>85.9</w:t>
            </w:r>
            <w:r>
              <w:rPr>
                <w:rFonts w:hint="eastAsia" w:ascii="仿宋" w:hAnsi="仿宋" w:eastAsia="仿宋" w:cs="仿宋_GB2312"/>
                <w:color w:val="000000"/>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单位：财政  资金</w:t>
            </w: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176.45</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其中：财政  资金</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151.2</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其中：财政  资金</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151.2</w:t>
            </w:r>
          </w:p>
        </w:tc>
        <w:tc>
          <w:tcPr>
            <w:tcW w:w="11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67"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1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6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三、目标完成情况</w:t>
            </w:r>
          </w:p>
        </w:tc>
        <w:tc>
          <w:tcPr>
            <w:tcW w:w="320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年度预期目标</w:t>
            </w:r>
          </w:p>
        </w:tc>
        <w:tc>
          <w:tcPr>
            <w:tcW w:w="309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具体完成情况</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总体完成率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320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通过有效防控进京、赴省、到市及北戴河集体访，圆满完成各大重要活动期间的信访值班任务及接劝返工作</w:t>
            </w:r>
            <w:r>
              <w:rPr>
                <w:rFonts w:hint="eastAsia" w:ascii="仿宋" w:hAnsi="仿宋" w:eastAsia="仿宋" w:cs="仿宋_GB2312"/>
                <w:color w:val="000000"/>
                <w:sz w:val="16"/>
                <w:szCs w:val="16"/>
                <w:lang w:eastAsia="zh-CN"/>
              </w:rPr>
              <w:t>，</w:t>
            </w:r>
            <w:r>
              <w:rPr>
                <w:rFonts w:hint="eastAsia" w:ascii="仿宋" w:hAnsi="仿宋" w:eastAsia="仿宋" w:cs="仿宋_GB2312"/>
                <w:color w:val="000000"/>
                <w:sz w:val="16"/>
                <w:szCs w:val="16"/>
              </w:rPr>
              <w:t>保障我县社会稳定</w:t>
            </w:r>
          </w:p>
        </w:tc>
        <w:tc>
          <w:tcPr>
            <w:tcW w:w="309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已完成</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四、年度绩效指标完成情况</w:t>
            </w: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一级指标</w:t>
            </w: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二级指标</w:t>
            </w:r>
          </w:p>
        </w:tc>
        <w:tc>
          <w:tcPr>
            <w:tcW w:w="196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三级指标</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预期指标值</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实际完成值</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8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产出指标（70）</w:t>
            </w: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eastAsia" w:ascii="仿宋" w:hAnsi="仿宋" w:eastAsia="仿宋" w:cs="仿宋_GB2312"/>
                <w:color w:val="000000"/>
                <w:sz w:val="16"/>
                <w:szCs w:val="16"/>
              </w:rPr>
            </w:pPr>
            <w:r>
              <w:rPr>
                <w:rFonts w:hint="eastAsia" w:ascii="仿宋" w:hAnsi="仿宋" w:eastAsia="仿宋" w:cs="仿宋_GB2312"/>
                <w:color w:val="000000"/>
                <w:sz w:val="16"/>
                <w:szCs w:val="16"/>
                <w:lang w:val="en-US" w:eastAsia="zh-CN"/>
              </w:rPr>
              <w:t>数量指标</w:t>
            </w:r>
          </w:p>
        </w:tc>
        <w:tc>
          <w:tcPr>
            <w:tcW w:w="196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接访次数</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210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252</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eastAsia" w:ascii="仿宋" w:hAnsi="仿宋" w:eastAsia="仿宋" w:cs="仿宋_GB2312"/>
                <w:color w:val="000000"/>
                <w:sz w:val="16"/>
                <w:szCs w:val="16"/>
              </w:rPr>
            </w:pPr>
            <w:r>
              <w:rPr>
                <w:rFonts w:hint="eastAsia" w:ascii="仿宋" w:hAnsi="仿宋" w:eastAsia="仿宋" w:cs="仿宋_GB2312"/>
                <w:color w:val="000000"/>
                <w:sz w:val="16"/>
                <w:szCs w:val="16"/>
                <w:lang w:val="en-US" w:eastAsia="zh-CN"/>
              </w:rPr>
              <w:t>质量指标</w:t>
            </w:r>
          </w:p>
        </w:tc>
        <w:tc>
          <w:tcPr>
            <w:tcW w:w="196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进京集体访与上年同期下降率</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40%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eastAsia" w:ascii="仿宋" w:hAnsi="仿宋" w:eastAsia="仿宋" w:cs="仿宋_GB2312"/>
                <w:color w:val="000000"/>
                <w:sz w:val="16"/>
                <w:szCs w:val="16"/>
              </w:rPr>
            </w:pPr>
            <w:r>
              <w:rPr>
                <w:rFonts w:hint="eastAsia" w:ascii="仿宋" w:hAnsi="仿宋" w:eastAsia="仿宋" w:cs="仿宋_GB2312"/>
                <w:color w:val="000000"/>
                <w:sz w:val="16"/>
                <w:szCs w:val="16"/>
                <w:lang w:val="en-US" w:eastAsia="zh-CN"/>
              </w:rPr>
              <w:t>质量指标</w:t>
            </w:r>
          </w:p>
        </w:tc>
        <w:tc>
          <w:tcPr>
            <w:tcW w:w="196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上访案件问题处理率</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lang w:val="en-US" w:eastAsia="zh-CN"/>
              </w:rPr>
              <w:t>100%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时效指标</w:t>
            </w:r>
          </w:p>
        </w:tc>
        <w:tc>
          <w:tcPr>
            <w:tcW w:w="196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上访案件应急处理时间</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及时处置</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及时处置</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时效指标</w:t>
            </w:r>
          </w:p>
        </w:tc>
        <w:tc>
          <w:tcPr>
            <w:tcW w:w="196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信访事项按期结案率</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rPr>
              <w:t>时效指标</w:t>
            </w:r>
          </w:p>
        </w:tc>
        <w:tc>
          <w:tcPr>
            <w:tcW w:w="196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租车费用</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按照实际情况发生计算</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lang w:val="en-US" w:eastAsia="zh-CN"/>
              </w:rPr>
              <w:t>按照实际情况发生计算</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时效指标</w:t>
            </w:r>
          </w:p>
        </w:tc>
        <w:tc>
          <w:tcPr>
            <w:tcW w:w="196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维稳人员交通费及补助</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及时发放</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及时发放</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效益指标（10分）</w:t>
            </w: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社会效益指标</w:t>
            </w:r>
          </w:p>
        </w:tc>
        <w:tc>
          <w:tcPr>
            <w:tcW w:w="196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default" w:ascii="仿宋" w:hAnsi="仿宋" w:eastAsia="仿宋" w:cs="仿宋_GB2312"/>
                <w:color w:val="000000"/>
                <w:sz w:val="16"/>
                <w:szCs w:val="16"/>
                <w:lang w:val="en-US" w:eastAsia="zh-CN"/>
              </w:rPr>
              <w:t>各“敏感期”国家、省市集体访“零登记”</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敏感期零登记</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零登记</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满意度指标（10分）</w:t>
            </w: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服务对象满意度指标</w:t>
            </w:r>
          </w:p>
        </w:tc>
        <w:tc>
          <w:tcPr>
            <w:tcW w:w="196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维护社会和谐稳定</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社会稳定</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社会稳定</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预算执行率（10分）</w:t>
            </w: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预算执行率</w:t>
            </w:r>
          </w:p>
        </w:tc>
        <w:tc>
          <w:tcPr>
            <w:tcW w:w="196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kern w:val="2"/>
                <w:sz w:val="18"/>
                <w:szCs w:val="18"/>
                <w:lang w:val="en-US" w:eastAsia="zh-CN" w:bidi="ar-SA"/>
              </w:rPr>
            </w:pPr>
            <w:r>
              <w:rPr>
                <w:rFonts w:hint="eastAsia" w:ascii="仿宋" w:hAnsi="仿宋" w:eastAsia="仿宋" w:cs="仿宋_GB2312"/>
                <w:color w:val="000000"/>
                <w:sz w:val="18"/>
                <w:szCs w:val="18"/>
              </w:rPr>
              <w:t>预算执行率</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kern w:val="2"/>
                <w:sz w:val="18"/>
                <w:szCs w:val="18"/>
                <w:lang w:val="en-US" w:eastAsia="zh-CN" w:bidi="ar-SA"/>
              </w:rPr>
            </w:pPr>
            <w:r>
              <w:rPr>
                <w:rFonts w:hint="eastAsia" w:ascii="仿宋" w:hAnsi="仿宋" w:eastAsia="仿宋" w:cs="仿宋_GB2312"/>
                <w:color w:val="000000"/>
                <w:sz w:val="18"/>
                <w:szCs w:val="18"/>
              </w:rPr>
              <w:t>100%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kern w:val="2"/>
                <w:sz w:val="18"/>
                <w:szCs w:val="18"/>
                <w:lang w:val="en-US" w:eastAsia="zh-CN" w:bidi="ar-SA"/>
              </w:rPr>
            </w:pPr>
            <w:r>
              <w:rPr>
                <w:rFonts w:hint="eastAsia" w:ascii="仿宋" w:hAnsi="仿宋" w:eastAsia="仿宋" w:cs="仿宋_GB2312"/>
                <w:color w:val="000000"/>
                <w:sz w:val="18"/>
                <w:szCs w:val="18"/>
                <w:lang w:val="en-US" w:eastAsia="zh-CN"/>
              </w:rPr>
              <w:t>85.9%</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eastAsia" w:ascii="仿宋" w:hAnsi="仿宋" w:eastAsia="仿宋" w:cs="仿宋_GB2312"/>
                <w:color w:val="000000"/>
                <w:sz w:val="16"/>
                <w:szCs w:val="16"/>
                <w:lang w:eastAsia="zh-CN"/>
              </w:rPr>
            </w:pPr>
            <w:r>
              <w:rPr>
                <w:rFonts w:hint="eastAsia" w:ascii="仿宋" w:hAnsi="仿宋" w:eastAsia="仿宋" w:cs="仿宋_GB2312"/>
                <w:color w:val="000000"/>
                <w:sz w:val="16"/>
                <w:szCs w:val="16"/>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p>
        </w:tc>
        <w:tc>
          <w:tcPr>
            <w:tcW w:w="6296" w:type="dxa"/>
            <w:gridSpan w:val="6"/>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自评总分</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五、存在问题、原因及下一步整改措施</w:t>
            </w:r>
          </w:p>
        </w:tc>
        <w:tc>
          <w:tcPr>
            <w:tcW w:w="7456"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1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无</w:t>
            </w:r>
          </w:p>
        </w:tc>
      </w:tr>
    </w:tbl>
    <w:p>
      <w:pPr>
        <w:adjustRightInd w:val="0"/>
        <w:snapToGrid w:val="0"/>
        <w:spacing w:line="400" w:lineRule="exact"/>
        <w:jc w:val="center"/>
        <w:rPr>
          <w:rFonts w:hint="eastAsia" w:ascii="仿宋" w:hAnsi="仿宋" w:eastAsia="仿宋" w:cs="仿宋_GB2312"/>
          <w:color w:val="000000"/>
          <w:sz w:val="32"/>
          <w:szCs w:val="32"/>
        </w:rPr>
      </w:pPr>
    </w:p>
    <w:p>
      <w:pPr>
        <w:adjustRightInd w:val="0"/>
        <w:snapToGrid w:val="0"/>
        <w:spacing w:line="400" w:lineRule="exact"/>
        <w:jc w:val="center"/>
        <w:rPr>
          <w:rFonts w:hint="eastAsia" w:ascii="仿宋" w:hAnsi="仿宋" w:eastAsia="仿宋" w:cs="仿宋_GB2312"/>
          <w:color w:val="000000"/>
          <w:sz w:val="32"/>
          <w:szCs w:val="32"/>
        </w:rPr>
      </w:pPr>
    </w:p>
    <w:p>
      <w:pPr>
        <w:adjustRightInd w:val="0"/>
        <w:snapToGrid w:val="0"/>
        <w:spacing w:line="400" w:lineRule="exact"/>
        <w:jc w:val="center"/>
        <w:rPr>
          <w:rFonts w:hint="eastAsia" w:ascii="仿宋" w:hAnsi="仿宋" w:eastAsia="仿宋" w:cs="仿宋_GB2312"/>
          <w:color w:val="000000"/>
          <w:sz w:val="32"/>
          <w:szCs w:val="32"/>
        </w:rPr>
      </w:pPr>
    </w:p>
    <w:p>
      <w:pPr>
        <w:adjustRightInd w:val="0"/>
        <w:snapToGrid w:val="0"/>
        <w:spacing w:line="400" w:lineRule="exact"/>
        <w:jc w:val="center"/>
        <w:rPr>
          <w:rFonts w:ascii="仿宋" w:hAnsi="仿宋" w:eastAsia="仿宋" w:cs="仿宋_GB2312"/>
          <w:color w:val="000000"/>
          <w:sz w:val="32"/>
          <w:szCs w:val="32"/>
        </w:rPr>
      </w:pPr>
      <w:r>
        <w:rPr>
          <w:rFonts w:hint="eastAsia" w:ascii="仿宋" w:hAnsi="仿宋" w:eastAsia="仿宋" w:cs="仿宋_GB2312"/>
          <w:color w:val="000000"/>
          <w:sz w:val="32"/>
          <w:szCs w:val="32"/>
        </w:rPr>
        <w:t>202</w:t>
      </w:r>
      <w:r>
        <w:rPr>
          <w:rFonts w:hint="eastAsia" w:ascii="仿宋" w:hAnsi="仿宋" w:eastAsia="仿宋" w:cs="仿宋_GB2312"/>
          <w:color w:val="000000"/>
          <w:sz w:val="32"/>
          <w:szCs w:val="32"/>
          <w:lang w:val="en-US" w:eastAsia="zh-CN"/>
        </w:rPr>
        <w:t>3</w:t>
      </w:r>
      <w:r>
        <w:rPr>
          <w:rFonts w:hint="eastAsia" w:ascii="仿宋" w:hAnsi="仿宋" w:eastAsia="仿宋" w:cs="仿宋_GB2312"/>
          <w:color w:val="000000"/>
          <w:sz w:val="32"/>
          <w:szCs w:val="32"/>
        </w:rPr>
        <w:t>年度预算项目绩效自评表</w:t>
      </w:r>
    </w:p>
    <w:p>
      <w:pPr>
        <w:adjustRightInd w:val="0"/>
        <w:snapToGrid w:val="0"/>
        <w:spacing w:line="400" w:lineRule="exact"/>
        <w:jc w:val="center"/>
        <w:rPr>
          <w:rFonts w:ascii="仿宋" w:hAnsi="仿宋" w:eastAsia="仿宋" w:cs="仿宋_GB2312"/>
          <w:color w:val="000000"/>
          <w:sz w:val="32"/>
          <w:szCs w:val="32"/>
        </w:rPr>
      </w:pPr>
      <w:r>
        <w:rPr>
          <w:rFonts w:hint="eastAsia" w:ascii="仿宋" w:hAnsi="仿宋" w:eastAsia="仿宋" w:cs="仿宋_GB2312"/>
          <w:color w:val="000000"/>
          <w:sz w:val="32"/>
          <w:szCs w:val="32"/>
        </w:rPr>
        <w:t>（202</w:t>
      </w:r>
      <w:r>
        <w:rPr>
          <w:rFonts w:hint="eastAsia" w:ascii="仿宋" w:hAnsi="仿宋" w:eastAsia="仿宋" w:cs="仿宋_GB2312"/>
          <w:color w:val="000000"/>
          <w:sz w:val="32"/>
          <w:szCs w:val="32"/>
          <w:lang w:val="en-US" w:eastAsia="zh-CN"/>
        </w:rPr>
        <w:t>3</w:t>
      </w:r>
      <w:r>
        <w:rPr>
          <w:rFonts w:hint="eastAsia" w:ascii="仿宋" w:hAnsi="仿宋" w:eastAsia="仿宋" w:cs="仿宋_GB2312"/>
          <w:color w:val="000000"/>
          <w:sz w:val="32"/>
          <w:szCs w:val="32"/>
        </w:rPr>
        <w:t>年度）</w:t>
      </w:r>
    </w:p>
    <w:p>
      <w:pPr>
        <w:adjustRightInd w:val="0"/>
        <w:snapToGrid w:val="0"/>
        <w:spacing w:line="400" w:lineRule="exact"/>
        <w:rPr>
          <w:rFonts w:ascii="仿宋" w:hAnsi="仿宋" w:eastAsia="仿宋" w:cs="仿宋_GB2312"/>
          <w:color w:val="000000"/>
          <w:sz w:val="16"/>
          <w:szCs w:val="16"/>
        </w:rPr>
      </w:pPr>
      <w:r>
        <w:rPr>
          <w:rFonts w:hint="eastAsia" w:ascii="仿宋" w:hAnsi="仿宋" w:eastAsia="仿宋" w:cs="仿宋_GB2312"/>
          <w:color w:val="000000"/>
          <w:sz w:val="16"/>
          <w:szCs w:val="16"/>
        </w:rPr>
        <w:t>填报单位：</w:t>
      </w:r>
      <w:r>
        <w:rPr>
          <w:rFonts w:hint="eastAsia" w:ascii="仿宋" w:hAnsi="仿宋" w:eastAsia="仿宋" w:cs="仿宋_GB2312"/>
          <w:color w:val="000000"/>
          <w:sz w:val="16"/>
          <w:szCs w:val="16"/>
          <w:lang w:val="en-US" w:eastAsia="zh-CN"/>
        </w:rPr>
        <w:t>青龙满族自治县信访局</w:t>
      </w:r>
      <w:r>
        <w:rPr>
          <w:rFonts w:hint="eastAsia" w:ascii="仿宋" w:hAnsi="仿宋" w:eastAsia="仿宋" w:cs="仿宋_GB2312"/>
          <w:color w:val="000000"/>
          <w:sz w:val="16"/>
          <w:szCs w:val="16"/>
        </w:rPr>
        <w:t xml:space="preserve">           </w:t>
      </w:r>
      <w:r>
        <w:rPr>
          <w:rFonts w:ascii="仿宋" w:hAnsi="仿宋" w:eastAsia="仿宋" w:cs="仿宋_GB2312"/>
          <w:color w:val="000000"/>
          <w:sz w:val="16"/>
          <w:szCs w:val="16"/>
        </w:rPr>
        <w:t xml:space="preserve">                      </w:t>
      </w:r>
      <w:r>
        <w:rPr>
          <w:rFonts w:hint="eastAsia" w:ascii="仿宋" w:hAnsi="仿宋" w:eastAsia="仿宋" w:cs="仿宋_GB2312"/>
          <w:color w:val="000000"/>
          <w:sz w:val="16"/>
          <w:szCs w:val="16"/>
        </w:rPr>
        <w:t xml:space="preserve"> 金额单位：万元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084"/>
        <w:gridCol w:w="971"/>
        <w:gridCol w:w="1146"/>
        <w:gridCol w:w="898"/>
        <w:gridCol w:w="1066"/>
        <w:gridCol w:w="1131"/>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一、基本情况</w:t>
            </w: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项目名称</w:t>
            </w:r>
          </w:p>
        </w:tc>
        <w:tc>
          <w:tcPr>
            <w:tcW w:w="2117"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法律服务费</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实施（主管）单位</w:t>
            </w:r>
          </w:p>
        </w:tc>
        <w:tc>
          <w:tcPr>
            <w:tcW w:w="3357"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eastAsia="zh-CN"/>
              </w:rPr>
            </w:pPr>
            <w:r>
              <w:rPr>
                <w:rFonts w:hint="eastAsia" w:ascii="仿宋" w:hAnsi="仿宋" w:eastAsia="仿宋" w:cs="仿宋_GB2312"/>
                <w:color w:val="000000"/>
                <w:sz w:val="16"/>
                <w:szCs w:val="16"/>
                <w:lang w:val="en-US" w:eastAsia="zh-CN"/>
              </w:rPr>
              <w:t>信访局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二、预算执行情况</w:t>
            </w:r>
          </w:p>
        </w:tc>
        <w:tc>
          <w:tcPr>
            <w:tcW w:w="2055"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预算安排情况（调整后）</w:t>
            </w:r>
          </w:p>
        </w:tc>
        <w:tc>
          <w:tcPr>
            <w:tcW w:w="20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资金到位情况</w:t>
            </w:r>
          </w:p>
        </w:tc>
        <w:tc>
          <w:tcPr>
            <w:tcW w:w="2197"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资金执行情况</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预算执</w:t>
            </w:r>
          </w:p>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行进度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预算数：</w:t>
            </w: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w:t>
            </w:r>
          </w:p>
        </w:tc>
        <w:tc>
          <w:tcPr>
            <w:tcW w:w="114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到位数：</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执行数</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w:t>
            </w:r>
          </w:p>
        </w:tc>
        <w:tc>
          <w:tcPr>
            <w:tcW w:w="11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单位：财政  资金</w:t>
            </w: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w:t>
            </w:r>
          </w:p>
        </w:tc>
        <w:tc>
          <w:tcPr>
            <w:tcW w:w="114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其中：财政  资金</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其中：财政  资金</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w:t>
            </w:r>
          </w:p>
        </w:tc>
        <w:tc>
          <w:tcPr>
            <w:tcW w:w="11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14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1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6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三、目标完成情况</w:t>
            </w:r>
          </w:p>
        </w:tc>
        <w:tc>
          <w:tcPr>
            <w:tcW w:w="3201"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年度预期目标</w:t>
            </w:r>
          </w:p>
        </w:tc>
        <w:tc>
          <w:tcPr>
            <w:tcW w:w="3095"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具体完成情况</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总体完成率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3201"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通过聘请专业的法律服务并发挥律师专业优势，实现重大政策与法律法规的有效衔接</w:t>
            </w:r>
            <w:r>
              <w:rPr>
                <w:rFonts w:hint="eastAsia" w:ascii="仿宋" w:hAnsi="仿宋" w:eastAsia="仿宋" w:cs="仿宋_GB2312"/>
                <w:color w:val="000000"/>
                <w:sz w:val="16"/>
                <w:szCs w:val="16"/>
                <w:lang w:eastAsia="zh-CN"/>
              </w:rPr>
              <w:t>，</w:t>
            </w:r>
            <w:r>
              <w:rPr>
                <w:rFonts w:hint="eastAsia" w:ascii="仿宋" w:hAnsi="仿宋" w:eastAsia="仿宋" w:cs="仿宋_GB2312"/>
                <w:color w:val="000000"/>
                <w:sz w:val="16"/>
                <w:szCs w:val="16"/>
              </w:rPr>
              <w:t>促进案件化解率的提升，提高依法决策水平，提升政府公信力，推动法治政府建设。</w:t>
            </w:r>
          </w:p>
        </w:tc>
        <w:tc>
          <w:tcPr>
            <w:tcW w:w="3095"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已完成</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06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四、年度绩效指标完成情况</w:t>
            </w: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一级指标</w:t>
            </w: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二级指标</w:t>
            </w:r>
          </w:p>
        </w:tc>
        <w:tc>
          <w:tcPr>
            <w:tcW w:w="20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三级指标</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预期指标值</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实际完成值</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108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产出指标（70）</w:t>
            </w: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_GB2312"/>
                <w:color w:val="000000"/>
                <w:sz w:val="16"/>
                <w:szCs w:val="16"/>
              </w:rPr>
            </w:pPr>
            <w:r>
              <w:rPr>
                <w:rFonts w:hint="eastAsia" w:ascii="仿宋" w:hAnsi="仿宋" w:eastAsia="仿宋" w:cs="仿宋_GB2312"/>
                <w:color w:val="000000"/>
                <w:sz w:val="16"/>
                <w:szCs w:val="16"/>
                <w:lang w:val="en-US" w:eastAsia="zh-CN"/>
              </w:rPr>
              <w:t>数量指标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律师人数</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_GB2312"/>
                <w:color w:val="000000"/>
                <w:sz w:val="16"/>
                <w:szCs w:val="16"/>
              </w:rPr>
            </w:pPr>
            <w:r>
              <w:rPr>
                <w:rFonts w:hint="eastAsia" w:ascii="仿宋" w:hAnsi="仿宋" w:eastAsia="仿宋" w:cs="仿宋_GB2312"/>
                <w:color w:val="000000"/>
                <w:sz w:val="16"/>
                <w:szCs w:val="16"/>
                <w:lang w:val="en-US" w:eastAsia="zh-CN"/>
              </w:rPr>
              <w:t>数量指标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信访案件数量</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_GB2312"/>
                <w:color w:val="000000"/>
                <w:sz w:val="16"/>
                <w:szCs w:val="16"/>
              </w:rPr>
            </w:pPr>
            <w:r>
              <w:rPr>
                <w:rFonts w:hint="eastAsia" w:ascii="仿宋" w:hAnsi="仿宋" w:eastAsia="仿宋" w:cs="仿宋_GB2312"/>
                <w:color w:val="000000"/>
                <w:sz w:val="16"/>
                <w:szCs w:val="16"/>
                <w:lang w:val="en-US" w:eastAsia="zh-CN"/>
              </w:rPr>
              <w:t>质量指标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参与信访案件听证率</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_GB2312"/>
                <w:color w:val="000000"/>
                <w:sz w:val="16"/>
                <w:szCs w:val="16"/>
              </w:rPr>
            </w:pPr>
            <w:r>
              <w:rPr>
                <w:rFonts w:hint="eastAsia" w:ascii="仿宋" w:hAnsi="仿宋" w:eastAsia="仿宋" w:cs="仿宋_GB2312"/>
                <w:color w:val="000000"/>
                <w:sz w:val="16"/>
                <w:szCs w:val="16"/>
                <w:lang w:val="en-US" w:eastAsia="zh-CN"/>
              </w:rPr>
              <w:t>100%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质量指标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涉法涉诉信访案件参</w:t>
            </w:r>
            <w:r>
              <w:rPr>
                <w:rFonts w:hint="eastAsia" w:ascii="仿宋" w:hAnsi="仿宋" w:eastAsia="仿宋" w:cs="仿宋_GB2312"/>
                <w:color w:val="000000"/>
                <w:sz w:val="16"/>
                <w:szCs w:val="16"/>
                <w:lang w:val="en-US" w:eastAsia="zh-CN"/>
              </w:rPr>
              <w:t>与</w:t>
            </w:r>
            <w:r>
              <w:rPr>
                <w:rFonts w:hint="default" w:ascii="仿宋" w:hAnsi="仿宋" w:eastAsia="仿宋" w:cs="仿宋_GB2312"/>
                <w:color w:val="000000"/>
                <w:sz w:val="16"/>
                <w:szCs w:val="16"/>
                <w:lang w:val="en-US" w:eastAsia="zh-CN"/>
              </w:rPr>
              <w:t>率</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50%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时效指标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法律服务及时性</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及时履行</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及时履行</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成本指标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律师服务费</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1万元</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1万元</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时效性</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及时支付服务费用</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年底</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年底支付</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效益指标（10分）</w:t>
            </w: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_GB2312"/>
                <w:color w:val="000000"/>
                <w:sz w:val="16"/>
                <w:szCs w:val="16"/>
              </w:rPr>
            </w:pPr>
            <w:r>
              <w:rPr>
                <w:rFonts w:hint="eastAsia" w:ascii="仿宋" w:hAnsi="仿宋" w:eastAsia="仿宋" w:cs="仿宋_GB2312"/>
                <w:color w:val="000000"/>
                <w:sz w:val="16"/>
                <w:szCs w:val="16"/>
                <w:lang w:val="en-US" w:eastAsia="zh-CN"/>
              </w:rPr>
              <w:t>社会效益指标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大幅减少信访人对政府不满情绪</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大幅减少</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群众满意程度提升</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满意度指标（10分）</w:t>
            </w: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_GB2312"/>
                <w:color w:val="000000"/>
                <w:sz w:val="16"/>
                <w:szCs w:val="16"/>
              </w:rPr>
            </w:pPr>
            <w:r>
              <w:rPr>
                <w:rFonts w:hint="eastAsia" w:ascii="仿宋" w:hAnsi="仿宋" w:eastAsia="仿宋" w:cs="仿宋_GB2312"/>
                <w:color w:val="000000"/>
                <w:sz w:val="16"/>
                <w:szCs w:val="16"/>
                <w:lang w:val="en-US" w:eastAsia="zh-CN"/>
              </w:rPr>
              <w:t>可持续影响指标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_GB2312"/>
                <w:color w:val="000000"/>
                <w:sz w:val="16"/>
                <w:szCs w:val="16"/>
              </w:rPr>
            </w:pPr>
            <w:r>
              <w:rPr>
                <w:rFonts w:hint="default" w:ascii="仿宋" w:hAnsi="仿宋" w:eastAsia="仿宋" w:cs="仿宋_GB2312"/>
                <w:color w:val="000000"/>
                <w:sz w:val="16"/>
                <w:szCs w:val="16"/>
                <w:lang w:val="en-US" w:eastAsia="zh-CN"/>
              </w:rPr>
              <w:t>群众满意度</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80%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90%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预算执行率（10分）</w:t>
            </w: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_GB2312"/>
                <w:color w:val="000000"/>
                <w:sz w:val="16"/>
                <w:szCs w:val="16"/>
              </w:rPr>
            </w:pPr>
            <w:r>
              <w:rPr>
                <w:rFonts w:hint="eastAsia" w:ascii="仿宋" w:hAnsi="仿宋" w:eastAsia="仿宋" w:cs="仿宋_GB2312"/>
                <w:color w:val="000000"/>
                <w:sz w:val="16"/>
                <w:szCs w:val="16"/>
              </w:rPr>
              <w:t>预算执行率</w:t>
            </w:r>
          </w:p>
        </w:tc>
        <w:tc>
          <w:tcPr>
            <w:tcW w:w="20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rPr>
              <w:t>预算执行率</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rPr>
              <w:t>100%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p>
        </w:tc>
        <w:tc>
          <w:tcPr>
            <w:tcW w:w="6296" w:type="dxa"/>
            <w:gridSpan w:val="6"/>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自评总分</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五、存在问题、原因及下一步整改措施</w:t>
            </w:r>
          </w:p>
        </w:tc>
        <w:tc>
          <w:tcPr>
            <w:tcW w:w="7456" w:type="dxa"/>
            <w:gridSpan w:val="7"/>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无</w:t>
            </w:r>
          </w:p>
        </w:tc>
      </w:tr>
    </w:tbl>
    <w:p>
      <w:pPr>
        <w:keepNext w:val="0"/>
        <w:keepLines w:val="0"/>
        <w:pageBreakBefore w:val="0"/>
        <w:widowControl w:val="0"/>
        <w:kinsoku/>
        <w:wordWrap/>
        <w:overflowPunct/>
        <w:topLinePunct w:val="0"/>
        <w:autoSpaceDE/>
        <w:autoSpaceDN/>
        <w:bidi w:val="0"/>
        <w:spacing w:after="0"/>
        <w:textAlignment w:val="auto"/>
      </w:pPr>
    </w:p>
    <w:p>
      <w:pPr>
        <w:adjustRightInd w:val="0"/>
        <w:snapToGrid w:val="0"/>
        <w:spacing w:line="400" w:lineRule="exact"/>
        <w:jc w:val="center"/>
        <w:rPr>
          <w:rFonts w:ascii="仿宋" w:hAnsi="仿宋" w:eastAsia="仿宋" w:cs="仿宋_GB2312"/>
          <w:color w:val="000000"/>
          <w:sz w:val="28"/>
          <w:szCs w:val="28"/>
        </w:rPr>
      </w:pPr>
      <w:r>
        <w:rPr>
          <w:rFonts w:hint="eastAsia" w:ascii="仿宋" w:hAnsi="仿宋" w:eastAsia="仿宋" w:cs="仿宋_GB2312"/>
          <w:color w:val="000000"/>
          <w:sz w:val="28"/>
          <w:szCs w:val="28"/>
        </w:rPr>
        <w:t>202</w:t>
      </w:r>
      <w:r>
        <w:rPr>
          <w:rFonts w:hint="eastAsia" w:ascii="仿宋" w:hAnsi="仿宋" w:eastAsia="仿宋" w:cs="仿宋_GB2312"/>
          <w:color w:val="000000"/>
          <w:sz w:val="28"/>
          <w:szCs w:val="28"/>
          <w:lang w:val="en-US" w:eastAsia="zh-CN"/>
        </w:rPr>
        <w:t>3</w:t>
      </w:r>
      <w:r>
        <w:rPr>
          <w:rFonts w:hint="eastAsia" w:ascii="仿宋" w:hAnsi="仿宋" w:eastAsia="仿宋" w:cs="仿宋_GB2312"/>
          <w:color w:val="000000"/>
          <w:sz w:val="28"/>
          <w:szCs w:val="28"/>
        </w:rPr>
        <w:t>年度预算项目绩效自评表</w:t>
      </w:r>
    </w:p>
    <w:p>
      <w:pPr>
        <w:adjustRightInd w:val="0"/>
        <w:snapToGrid w:val="0"/>
        <w:spacing w:line="400" w:lineRule="exact"/>
        <w:jc w:val="center"/>
        <w:rPr>
          <w:rFonts w:ascii="仿宋" w:hAnsi="仿宋" w:eastAsia="仿宋" w:cs="仿宋_GB2312"/>
          <w:color w:val="000000"/>
          <w:sz w:val="28"/>
          <w:szCs w:val="28"/>
        </w:rPr>
      </w:pPr>
      <w:r>
        <w:rPr>
          <w:rFonts w:hint="eastAsia" w:ascii="仿宋" w:hAnsi="仿宋" w:eastAsia="仿宋" w:cs="仿宋_GB2312"/>
          <w:color w:val="000000"/>
          <w:sz w:val="28"/>
          <w:szCs w:val="28"/>
        </w:rPr>
        <w:t>（202</w:t>
      </w:r>
      <w:r>
        <w:rPr>
          <w:rFonts w:hint="eastAsia" w:ascii="仿宋" w:hAnsi="仿宋" w:eastAsia="仿宋" w:cs="仿宋_GB2312"/>
          <w:color w:val="000000"/>
          <w:sz w:val="28"/>
          <w:szCs w:val="28"/>
          <w:lang w:val="en-US" w:eastAsia="zh-CN"/>
        </w:rPr>
        <w:t>3</w:t>
      </w:r>
      <w:r>
        <w:rPr>
          <w:rFonts w:hint="eastAsia" w:ascii="仿宋" w:hAnsi="仿宋" w:eastAsia="仿宋" w:cs="仿宋_GB2312"/>
          <w:color w:val="000000"/>
          <w:sz w:val="28"/>
          <w:szCs w:val="28"/>
        </w:rPr>
        <w:t>年度）</w:t>
      </w:r>
    </w:p>
    <w:p>
      <w:pPr>
        <w:adjustRightInd w:val="0"/>
        <w:snapToGrid w:val="0"/>
        <w:spacing w:line="400" w:lineRule="exact"/>
        <w:rPr>
          <w:rFonts w:ascii="仿宋" w:hAnsi="仿宋" w:eastAsia="仿宋" w:cs="仿宋_GB2312"/>
          <w:color w:val="000000"/>
          <w:sz w:val="28"/>
          <w:szCs w:val="28"/>
        </w:rPr>
      </w:pPr>
      <w:r>
        <w:rPr>
          <w:rFonts w:hint="eastAsia" w:ascii="仿宋" w:hAnsi="仿宋" w:eastAsia="仿宋" w:cs="仿宋_GB2312"/>
          <w:color w:val="000000"/>
          <w:sz w:val="28"/>
          <w:szCs w:val="28"/>
        </w:rPr>
        <w:t>填报单位：</w:t>
      </w:r>
      <w:r>
        <w:rPr>
          <w:rFonts w:hint="eastAsia" w:ascii="仿宋" w:hAnsi="仿宋" w:eastAsia="仿宋" w:cs="仿宋_GB2312"/>
          <w:color w:val="000000"/>
          <w:sz w:val="28"/>
          <w:szCs w:val="28"/>
          <w:lang w:val="en-US" w:eastAsia="zh-CN"/>
        </w:rPr>
        <w:t>青龙满族自治县信访局</w:t>
      </w:r>
      <w:r>
        <w:rPr>
          <w:rFonts w:hint="eastAsia" w:ascii="仿宋" w:hAnsi="仿宋" w:eastAsia="仿宋" w:cs="仿宋_GB2312"/>
          <w:color w:val="000000"/>
          <w:sz w:val="28"/>
          <w:szCs w:val="28"/>
        </w:rPr>
        <w:t xml:space="preserve">           金额单位：万元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084"/>
        <w:gridCol w:w="971"/>
        <w:gridCol w:w="1146"/>
        <w:gridCol w:w="898"/>
        <w:gridCol w:w="1066"/>
        <w:gridCol w:w="1131"/>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一、基本情况</w:t>
            </w: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项目名称</w:t>
            </w:r>
          </w:p>
        </w:tc>
        <w:tc>
          <w:tcPr>
            <w:tcW w:w="2117"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群众工作中心运行经费</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实施（主管）单位</w:t>
            </w:r>
          </w:p>
        </w:tc>
        <w:tc>
          <w:tcPr>
            <w:tcW w:w="3357"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eastAsia="zh-CN"/>
              </w:rPr>
            </w:pPr>
            <w:r>
              <w:rPr>
                <w:rFonts w:hint="eastAsia" w:ascii="仿宋" w:hAnsi="仿宋" w:eastAsia="仿宋" w:cs="仿宋_GB2312"/>
                <w:color w:val="000000"/>
                <w:sz w:val="16"/>
                <w:szCs w:val="16"/>
                <w:lang w:val="en-US" w:eastAsia="zh-CN"/>
              </w:rPr>
              <w:t>信访局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二、预算执行情况</w:t>
            </w:r>
          </w:p>
        </w:tc>
        <w:tc>
          <w:tcPr>
            <w:tcW w:w="2055"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预算安排情况（调整后）</w:t>
            </w:r>
          </w:p>
        </w:tc>
        <w:tc>
          <w:tcPr>
            <w:tcW w:w="20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资金到位情况</w:t>
            </w:r>
          </w:p>
        </w:tc>
        <w:tc>
          <w:tcPr>
            <w:tcW w:w="2197"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资金执行情况</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预算执</w:t>
            </w:r>
          </w:p>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行进度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预算数：</w:t>
            </w: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8.02</w:t>
            </w:r>
          </w:p>
        </w:tc>
        <w:tc>
          <w:tcPr>
            <w:tcW w:w="114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到位数：</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3.04</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执行数</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3.04</w:t>
            </w:r>
          </w:p>
        </w:tc>
        <w:tc>
          <w:tcPr>
            <w:tcW w:w="11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lang w:val="en-US" w:eastAsia="zh-CN"/>
              </w:rPr>
              <w:t>40.39</w:t>
            </w:r>
            <w:r>
              <w:rPr>
                <w:rFonts w:hint="eastAsia" w:ascii="仿宋" w:hAnsi="仿宋" w:eastAsia="仿宋" w:cs="仿宋_GB2312"/>
                <w:color w:val="000000"/>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单位：财政  资金</w:t>
            </w: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8.02</w:t>
            </w:r>
          </w:p>
        </w:tc>
        <w:tc>
          <w:tcPr>
            <w:tcW w:w="114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其中：财政  资金</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3.04</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其中：财政  资金</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3.04</w:t>
            </w:r>
          </w:p>
        </w:tc>
        <w:tc>
          <w:tcPr>
            <w:tcW w:w="11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14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1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6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三、目标完成情况</w:t>
            </w:r>
          </w:p>
        </w:tc>
        <w:tc>
          <w:tcPr>
            <w:tcW w:w="3201"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年度预期目标</w:t>
            </w:r>
          </w:p>
        </w:tc>
        <w:tc>
          <w:tcPr>
            <w:tcW w:w="3095"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具体完成情况</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总体完成率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3201"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通过拓展和延伸群众工作职能，着力打造群众工作新平台，构建我县信访工作新格局保证群众工作中心正常运转通过处理一般性群众来访工作，促进社会稳定和谐。</w:t>
            </w:r>
          </w:p>
        </w:tc>
        <w:tc>
          <w:tcPr>
            <w:tcW w:w="3095"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已完成</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06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四、年度绩效指标完成情况</w:t>
            </w: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一级指标</w:t>
            </w: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二级指标</w:t>
            </w:r>
          </w:p>
        </w:tc>
        <w:tc>
          <w:tcPr>
            <w:tcW w:w="20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三级指标</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预期指标值</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实际完成值</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8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产出指标（70）</w:t>
            </w: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数量指标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办公设备数量</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2</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2</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数量指标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支付工资人数</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2</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2</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质量指标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设备运行率</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质量指标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人员出勤率</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时效指标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工资支付及时性</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按月支付</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按月支付</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成本指标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保安、门卫工资成本</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6</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2</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eastAsia="zh-CN"/>
              </w:rPr>
            </w:pPr>
            <w:r>
              <w:rPr>
                <w:rFonts w:hint="eastAsia" w:ascii="仿宋" w:hAnsi="仿宋" w:eastAsia="仿宋" w:cs="仿宋_GB2312"/>
                <w:color w:val="000000"/>
                <w:sz w:val="16"/>
                <w:szCs w:val="16"/>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成本指标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办公费成本</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0.8</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0.8</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效益指标（10分）</w:t>
            </w: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rPr>
            </w:pPr>
            <w:r>
              <w:rPr>
                <w:rFonts w:hint="eastAsia" w:ascii="仿宋" w:hAnsi="仿宋" w:eastAsia="仿宋" w:cs="仿宋_GB2312"/>
                <w:color w:val="000000"/>
                <w:sz w:val="16"/>
                <w:szCs w:val="16"/>
                <w:lang w:val="en-US" w:eastAsia="zh-CN"/>
              </w:rPr>
              <w:t>社会效益指标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接待率</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满意度指标（10分）</w:t>
            </w: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rPr>
            </w:pPr>
            <w:r>
              <w:rPr>
                <w:rFonts w:hint="eastAsia" w:ascii="仿宋" w:hAnsi="仿宋" w:eastAsia="仿宋" w:cs="仿宋_GB2312"/>
                <w:color w:val="000000"/>
                <w:sz w:val="16"/>
                <w:szCs w:val="16"/>
                <w:lang w:val="en-US" w:eastAsia="zh-CN"/>
              </w:rPr>
              <w:t>可持续影响指标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维护正常办公秩序</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秩序良好</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秩序良好</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预算执行率（10分）</w:t>
            </w:r>
          </w:p>
        </w:tc>
        <w:tc>
          <w:tcPr>
            <w:tcW w:w="97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rPr>
            </w:pPr>
            <w:r>
              <w:rPr>
                <w:rFonts w:hint="eastAsia" w:ascii="仿宋" w:hAnsi="仿宋" w:eastAsia="仿宋" w:cs="仿宋_GB2312"/>
                <w:color w:val="000000"/>
                <w:sz w:val="16"/>
                <w:szCs w:val="16"/>
              </w:rPr>
              <w:t>预算执行率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群众满意度</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rPr>
              <w:t>100%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0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6296" w:type="dxa"/>
            <w:gridSpan w:val="6"/>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自评总分</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五、存在问题、原因及下一步整改措施</w:t>
            </w:r>
          </w:p>
        </w:tc>
        <w:tc>
          <w:tcPr>
            <w:tcW w:w="7456" w:type="dxa"/>
            <w:gridSpan w:val="7"/>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无</w:t>
            </w:r>
          </w:p>
        </w:tc>
      </w:tr>
    </w:tbl>
    <w:p/>
    <w:p/>
    <w:p/>
    <w:p>
      <w:pPr>
        <w:adjustRightInd w:val="0"/>
        <w:snapToGrid w:val="0"/>
        <w:spacing w:line="400" w:lineRule="exact"/>
        <w:jc w:val="center"/>
        <w:rPr>
          <w:rFonts w:ascii="仿宋" w:hAnsi="仿宋" w:eastAsia="仿宋" w:cs="仿宋_GB2312"/>
          <w:color w:val="000000"/>
          <w:sz w:val="32"/>
          <w:szCs w:val="32"/>
        </w:rPr>
      </w:pPr>
      <w:r>
        <w:rPr>
          <w:rFonts w:hint="eastAsia" w:ascii="仿宋" w:hAnsi="仿宋" w:eastAsia="仿宋" w:cs="仿宋_GB2312"/>
          <w:color w:val="000000"/>
          <w:sz w:val="32"/>
          <w:szCs w:val="32"/>
        </w:rPr>
        <w:t>202</w:t>
      </w:r>
      <w:r>
        <w:rPr>
          <w:rFonts w:hint="eastAsia" w:ascii="仿宋" w:hAnsi="仿宋" w:eastAsia="仿宋" w:cs="仿宋_GB2312"/>
          <w:color w:val="000000"/>
          <w:sz w:val="32"/>
          <w:szCs w:val="32"/>
          <w:lang w:val="en-US" w:eastAsia="zh-CN"/>
        </w:rPr>
        <w:t>3</w:t>
      </w:r>
      <w:r>
        <w:rPr>
          <w:rFonts w:hint="eastAsia" w:ascii="仿宋" w:hAnsi="仿宋" w:eastAsia="仿宋" w:cs="仿宋_GB2312"/>
          <w:color w:val="000000"/>
          <w:sz w:val="32"/>
          <w:szCs w:val="32"/>
        </w:rPr>
        <w:t>年度预算项目绩效自评表</w:t>
      </w:r>
    </w:p>
    <w:p>
      <w:pPr>
        <w:adjustRightInd w:val="0"/>
        <w:snapToGrid w:val="0"/>
        <w:spacing w:line="400" w:lineRule="exact"/>
        <w:jc w:val="center"/>
        <w:rPr>
          <w:rFonts w:ascii="仿宋" w:hAnsi="仿宋" w:eastAsia="仿宋" w:cs="仿宋_GB2312"/>
          <w:color w:val="000000"/>
          <w:sz w:val="32"/>
          <w:szCs w:val="32"/>
        </w:rPr>
      </w:pPr>
      <w:r>
        <w:rPr>
          <w:rFonts w:hint="eastAsia" w:ascii="仿宋" w:hAnsi="仿宋" w:eastAsia="仿宋" w:cs="仿宋_GB2312"/>
          <w:color w:val="000000"/>
          <w:sz w:val="32"/>
          <w:szCs w:val="32"/>
        </w:rPr>
        <w:t>（202</w:t>
      </w:r>
      <w:r>
        <w:rPr>
          <w:rFonts w:hint="eastAsia" w:ascii="仿宋" w:hAnsi="仿宋" w:eastAsia="仿宋" w:cs="仿宋_GB2312"/>
          <w:color w:val="000000"/>
          <w:sz w:val="32"/>
          <w:szCs w:val="32"/>
          <w:lang w:val="en-US" w:eastAsia="zh-CN"/>
        </w:rPr>
        <w:t>3</w:t>
      </w:r>
      <w:r>
        <w:rPr>
          <w:rFonts w:hint="eastAsia" w:ascii="仿宋" w:hAnsi="仿宋" w:eastAsia="仿宋" w:cs="仿宋_GB2312"/>
          <w:color w:val="000000"/>
          <w:sz w:val="32"/>
          <w:szCs w:val="32"/>
        </w:rPr>
        <w:t>年度）</w:t>
      </w:r>
    </w:p>
    <w:p>
      <w:pPr>
        <w:adjustRightInd w:val="0"/>
        <w:snapToGrid w:val="0"/>
        <w:spacing w:line="400" w:lineRule="exact"/>
        <w:rPr>
          <w:rFonts w:ascii="仿宋" w:hAnsi="仿宋" w:eastAsia="仿宋" w:cs="仿宋_GB2312"/>
          <w:color w:val="000000"/>
          <w:sz w:val="16"/>
          <w:szCs w:val="16"/>
        </w:rPr>
      </w:pPr>
      <w:r>
        <w:rPr>
          <w:rFonts w:hint="eastAsia" w:ascii="仿宋" w:hAnsi="仿宋" w:eastAsia="仿宋" w:cs="仿宋_GB2312"/>
          <w:color w:val="000000"/>
          <w:sz w:val="16"/>
          <w:szCs w:val="16"/>
        </w:rPr>
        <w:t>填报单位：</w:t>
      </w:r>
      <w:r>
        <w:rPr>
          <w:rFonts w:hint="eastAsia" w:ascii="仿宋" w:hAnsi="仿宋" w:eastAsia="仿宋" w:cs="仿宋_GB2312"/>
          <w:color w:val="000000"/>
          <w:sz w:val="16"/>
          <w:szCs w:val="16"/>
          <w:lang w:val="en-US" w:eastAsia="zh-CN"/>
        </w:rPr>
        <w:t>青龙满族自治县信访局</w:t>
      </w:r>
      <w:r>
        <w:rPr>
          <w:rFonts w:hint="eastAsia" w:ascii="仿宋" w:hAnsi="仿宋" w:eastAsia="仿宋" w:cs="仿宋_GB2312"/>
          <w:color w:val="000000"/>
          <w:sz w:val="16"/>
          <w:szCs w:val="16"/>
        </w:rPr>
        <w:t xml:space="preserve">           </w:t>
      </w:r>
      <w:r>
        <w:rPr>
          <w:rFonts w:ascii="仿宋" w:hAnsi="仿宋" w:eastAsia="仿宋" w:cs="仿宋_GB2312"/>
          <w:color w:val="000000"/>
          <w:sz w:val="16"/>
          <w:szCs w:val="16"/>
        </w:rPr>
        <w:t xml:space="preserve">                      </w:t>
      </w:r>
      <w:r>
        <w:rPr>
          <w:rFonts w:hint="eastAsia" w:ascii="仿宋" w:hAnsi="仿宋" w:eastAsia="仿宋" w:cs="仿宋_GB2312"/>
          <w:color w:val="000000"/>
          <w:sz w:val="16"/>
          <w:szCs w:val="16"/>
        </w:rPr>
        <w:t xml:space="preserve"> 金额单位：万元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1091"/>
        <w:gridCol w:w="1035"/>
        <w:gridCol w:w="1146"/>
        <w:gridCol w:w="898"/>
        <w:gridCol w:w="1066"/>
        <w:gridCol w:w="1131"/>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一、基本情况</w:t>
            </w: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项目名称</w:t>
            </w:r>
          </w:p>
        </w:tc>
        <w:tc>
          <w:tcPr>
            <w:tcW w:w="2181"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特殊疑难信访问题救助资金</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实施（主管）单位</w:t>
            </w:r>
          </w:p>
        </w:tc>
        <w:tc>
          <w:tcPr>
            <w:tcW w:w="3357"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eastAsia="zh-CN"/>
              </w:rPr>
            </w:pPr>
            <w:r>
              <w:rPr>
                <w:rFonts w:hint="eastAsia" w:ascii="仿宋" w:hAnsi="仿宋" w:eastAsia="仿宋" w:cs="仿宋_GB2312"/>
                <w:color w:val="000000"/>
                <w:sz w:val="16"/>
                <w:szCs w:val="16"/>
                <w:lang w:val="en-US" w:eastAsia="zh-CN"/>
              </w:rPr>
              <w:t>信访局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99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二、预算执行情况</w:t>
            </w:r>
          </w:p>
        </w:tc>
        <w:tc>
          <w:tcPr>
            <w:tcW w:w="2126"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预算安排情况（调整后）</w:t>
            </w:r>
          </w:p>
        </w:tc>
        <w:tc>
          <w:tcPr>
            <w:tcW w:w="20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资金到位情况</w:t>
            </w:r>
          </w:p>
        </w:tc>
        <w:tc>
          <w:tcPr>
            <w:tcW w:w="2197"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资金执行情况</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5"/>
                <w:szCs w:val="15"/>
              </w:rPr>
              <w:t>预算执行进度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预算数：</w:t>
            </w: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25</w:t>
            </w:r>
          </w:p>
        </w:tc>
        <w:tc>
          <w:tcPr>
            <w:tcW w:w="114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到位数：</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25</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执行数</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25</w:t>
            </w:r>
          </w:p>
        </w:tc>
        <w:tc>
          <w:tcPr>
            <w:tcW w:w="11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rPr>
            </w:pPr>
            <w:r>
              <w:rPr>
                <w:rFonts w:hint="eastAsia" w:ascii="仿宋" w:hAnsi="仿宋" w:eastAsia="仿宋" w:cs="仿宋_GB2312"/>
                <w:color w:val="000000"/>
                <w:sz w:val="16"/>
                <w:szCs w:val="16"/>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单位：财政  资金</w:t>
            </w: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25</w:t>
            </w:r>
          </w:p>
        </w:tc>
        <w:tc>
          <w:tcPr>
            <w:tcW w:w="114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其中：财政  资金</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25</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其中：财政  资金</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25</w:t>
            </w:r>
          </w:p>
        </w:tc>
        <w:tc>
          <w:tcPr>
            <w:tcW w:w="11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9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14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898"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1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9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三、目标完成情况</w:t>
            </w:r>
          </w:p>
        </w:tc>
        <w:tc>
          <w:tcPr>
            <w:tcW w:w="3272"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年度预期目标</w:t>
            </w:r>
          </w:p>
        </w:tc>
        <w:tc>
          <w:tcPr>
            <w:tcW w:w="3095"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具体完成情况</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总体完成率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9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3272"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00" w:lineRule="exact"/>
              <w:jc w:val="both"/>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 xml:space="preserve">通过化解矛盾、疏导教育等多种措施相结合，达到“案结事了”，息诉罢访，通过对特殊疑难信访个案有实际困难的当事人给予求助，维护社会稳定。     </w:t>
            </w:r>
          </w:p>
        </w:tc>
        <w:tc>
          <w:tcPr>
            <w:tcW w:w="3095"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已完成</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9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四、年度绩效指标完成情况</w:t>
            </w: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一级指标</w:t>
            </w: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二级指标</w:t>
            </w:r>
          </w:p>
        </w:tc>
        <w:tc>
          <w:tcPr>
            <w:tcW w:w="20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三级指标</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预期指标值</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实际完成值</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9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9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产出指标（70）</w:t>
            </w: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数量指标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解决特殊疑难信访个案</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质量指标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3"/>
                <w:szCs w:val="13"/>
                <w:lang w:val="en-US" w:eastAsia="zh-CN"/>
              </w:rPr>
              <w:t>特殊疑难信访个案息诉罢访率</w:t>
            </w: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质量指标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信访救助金核实精准率</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质量指标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救助金发放准确率</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时效指标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救助资金发放时间</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及时支付</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及时支付</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成本指标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救助资金标准</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25</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25</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效益指标（10分）</w:t>
            </w: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可持续影响指标</w:t>
            </w: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default" w:ascii="仿宋" w:hAnsi="仿宋" w:eastAsia="仿宋" w:cs="仿宋_GB2312"/>
                <w:color w:val="000000"/>
                <w:sz w:val="16"/>
                <w:szCs w:val="16"/>
                <w:lang w:val="en-US" w:eastAsia="zh-CN"/>
              </w:rPr>
              <w:t>维护社会稳定</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99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满意度指标（10分）</w:t>
            </w: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服务对象满意度</w:t>
            </w:r>
          </w:p>
        </w:tc>
        <w:tc>
          <w:tcPr>
            <w:tcW w:w="20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服务对象满意度指标</w:t>
            </w:r>
          </w:p>
        </w:tc>
        <w:tc>
          <w:tcPr>
            <w:tcW w:w="1066" w:type="dxa"/>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信访人满意</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信访人满意</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预算执行率（10分）</w:t>
            </w: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p>
        </w:tc>
        <w:tc>
          <w:tcPr>
            <w:tcW w:w="2044"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p>
        </w:tc>
        <w:tc>
          <w:tcPr>
            <w:tcW w:w="1066"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eastAsia" w:ascii="仿宋" w:hAnsi="仿宋" w:eastAsia="仿宋" w:cs="仿宋_GB2312"/>
                <w:color w:val="000000"/>
                <w:sz w:val="16"/>
                <w:szCs w:val="16"/>
                <w:lang w:val="en-US" w:eastAsia="zh-CN"/>
              </w:rPr>
            </w:pPr>
            <w:r>
              <w:rPr>
                <w:rFonts w:hint="eastAsia" w:ascii="仿宋" w:hAnsi="仿宋" w:eastAsia="仿宋" w:cs="仿宋_GB2312"/>
                <w:color w:val="000000"/>
                <w:sz w:val="16"/>
                <w:szCs w:val="16"/>
              </w:rPr>
              <w:t>100%</w:t>
            </w:r>
          </w:p>
        </w:tc>
        <w:tc>
          <w:tcPr>
            <w:tcW w:w="1131"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9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p>
        </w:tc>
        <w:tc>
          <w:tcPr>
            <w:tcW w:w="6367" w:type="dxa"/>
            <w:gridSpan w:val="6"/>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自评总分</w:t>
            </w:r>
          </w:p>
        </w:tc>
        <w:tc>
          <w:tcPr>
            <w:tcW w:w="1160"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hint="default" w:ascii="仿宋" w:hAnsi="仿宋" w:eastAsia="仿宋" w:cs="仿宋_GB2312"/>
                <w:color w:val="000000"/>
                <w:sz w:val="16"/>
                <w:szCs w:val="16"/>
                <w:lang w:val="en-US" w:eastAsia="zh-CN"/>
              </w:rPr>
            </w:pPr>
            <w:r>
              <w:rPr>
                <w:rFonts w:hint="eastAsia" w:ascii="仿宋" w:hAnsi="仿宋" w:eastAsia="仿宋" w:cs="仿宋_GB2312"/>
                <w:color w:val="000000"/>
                <w:sz w:val="16"/>
                <w:szCs w:val="16"/>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五、存在问题、原因及下一步整改措施</w:t>
            </w:r>
          </w:p>
        </w:tc>
        <w:tc>
          <w:tcPr>
            <w:tcW w:w="7527" w:type="dxa"/>
            <w:gridSpan w:val="7"/>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rPr>
                <w:rFonts w:ascii="仿宋" w:hAnsi="仿宋" w:eastAsia="仿宋" w:cs="仿宋_GB2312"/>
                <w:color w:val="000000"/>
                <w:sz w:val="16"/>
                <w:szCs w:val="16"/>
              </w:rPr>
            </w:pPr>
            <w:r>
              <w:rPr>
                <w:rFonts w:hint="eastAsia" w:ascii="仿宋" w:hAnsi="仿宋" w:eastAsia="仿宋" w:cs="仿宋_GB2312"/>
                <w:color w:val="000000"/>
                <w:sz w:val="16"/>
                <w:szCs w:val="16"/>
              </w:rPr>
              <w:t>无</w:t>
            </w:r>
          </w:p>
        </w:tc>
      </w:tr>
    </w:tbl>
    <w:p>
      <w:pPr>
        <w:pStyle w:val="11"/>
        <w:widowControl/>
        <w:snapToGrid w:val="0"/>
        <w:spacing w:beforeAutospacing="0" w:afterAutospacing="0" w:line="360" w:lineRule="auto"/>
        <w:ind w:firstLine="640" w:firstLineChars="200"/>
        <w:rPr>
          <w:rFonts w:ascii="仿宋" w:hAnsi="仿宋" w:eastAsia="仿宋"/>
          <w:kern w:val="2"/>
          <w:sz w:val="32"/>
          <w:szCs w:val="32"/>
          <w:lang w:val="zh-CN"/>
        </w:rPr>
      </w:pPr>
    </w:p>
    <w:p>
      <w:pPr>
        <w:adjustRightInd w:val="0"/>
        <w:snapToGrid w:val="0"/>
        <w:spacing w:after="0" w:line="360" w:lineRule="auto"/>
        <w:ind w:firstLine="321" w:firstLineChars="100"/>
        <w:rPr>
          <w:rFonts w:hint="eastAsia" w:ascii="仿宋" w:hAnsi="仿宋" w:eastAsia="仿宋" w:cs="Times New Roman"/>
          <w:b/>
          <w:bCs/>
          <w:sz w:val="32"/>
          <w:szCs w:val="32"/>
        </w:rPr>
      </w:pPr>
      <w:r>
        <w:rPr>
          <w:rFonts w:ascii="仿宋" w:hAnsi="仿宋" w:eastAsia="仿宋" w:cs="Times New Roman"/>
          <w:b/>
          <w:bCs/>
          <w:sz w:val="32"/>
          <w:szCs w:val="32"/>
        </w:rPr>
        <w:t>（三）部门评价项目绩效评价结果</w:t>
      </w:r>
    </w:p>
    <w:p>
      <w:pPr>
        <w:adjustRightInd w:val="0"/>
        <w:snapToGrid w:val="0"/>
        <w:spacing w:after="0" w:line="360" w:lineRule="auto"/>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无部门评价项目绩效评价结果。</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十、其他需要说明的情况</w:t>
      </w:r>
      <w:bookmarkStart w:id="2" w:name="_GoBack"/>
      <w:bookmarkEnd w:id="2"/>
    </w:p>
    <w:p>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1.本部门2023年度国有资本经营预算经费无收支及结转结余情况, 故公开08表以空表列示。</w:t>
      </w:r>
    </w:p>
    <w:p>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2. 由于决算公开表格中金额数值应当保留两位小数，公开数据为四舍五入计算结果，个别数据合计项与分项之和存在小数点后差额，特此说明。</w:t>
      </w:r>
    </w:p>
    <w:p>
      <w:pPr>
        <w:adjustRightInd w:val="0"/>
        <w:snapToGrid w:val="0"/>
        <w:spacing w:after="0" w:line="360" w:lineRule="auto"/>
        <w:ind w:firstLine="640" w:firstLineChars="200"/>
        <w:rPr>
          <w:rFonts w:ascii="Times New Roman" w:hAns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pPr>
        <w:adjustRightInd w:val="0"/>
        <w:snapToGrid w:val="0"/>
        <w:spacing w:line="580" w:lineRule="exact"/>
        <w:ind w:firstLine="640" w:firstLineChars="200"/>
        <w:rPr>
          <w:rFonts w:ascii="Times New Roman" w:hAnsi="Times New Roman" w:eastAsia="仿宋_GB2312" w:cs="Times New Roman"/>
          <w:sz w:val="32"/>
          <w:szCs w:val="32"/>
        </w:rPr>
      </w:pPr>
    </w:p>
    <w:p>
      <w:pPr>
        <w:adjustRightInd w:val="0"/>
        <w:snapToGrid w:val="0"/>
        <w:spacing w:line="580" w:lineRule="exact"/>
        <w:rPr>
          <w:rFonts w:ascii="Times New Roman" w:hAnsi="Times New Roman" w:eastAsia="仿宋_GB2312" w:cs="Times New Roman"/>
          <w:sz w:val="32"/>
          <w:szCs w:val="32"/>
        </w:rPr>
      </w:pPr>
    </w:p>
    <w:p>
      <w:pPr>
        <w:adjustRightInd w:val="0"/>
        <w:snapToGrid w:val="0"/>
        <w:spacing w:line="580" w:lineRule="exact"/>
        <w:ind w:firstLine="640" w:firstLineChars="200"/>
        <w:rPr>
          <w:rFonts w:ascii="Times New Roman" w:hAnsi="Times New Roman" w:eastAsia="仿宋_GB2312" w:cs="Times New Roman"/>
          <w:sz w:val="32"/>
          <w:szCs w:val="32"/>
        </w:rPr>
      </w:pPr>
    </w:p>
    <w:p>
      <w:pPr>
        <w:adjustRightInd w:val="0"/>
        <w:snapToGrid w:val="0"/>
        <w:spacing w:line="580" w:lineRule="exact"/>
        <w:ind w:firstLine="640" w:firstLineChars="200"/>
        <w:rPr>
          <w:rFonts w:ascii="Times New Roman" w:hAnsi="Times New Roman" w:eastAsia="仿宋_GB2312" w:cs="Times New Roman"/>
          <w:sz w:val="32"/>
          <w:szCs w:val="32"/>
        </w:rPr>
      </w:pPr>
    </w:p>
    <w:p>
      <w:pPr>
        <w:adjustRightInd w:val="0"/>
        <w:snapToGrid w:val="0"/>
        <w:spacing w:line="580" w:lineRule="exact"/>
        <w:ind w:firstLine="640" w:firstLineChars="200"/>
        <w:rPr>
          <w:rFonts w:ascii="Times New Roman" w:hAnsi="Times New Roman" w:eastAsia="仿宋_GB2312" w:cs="Times New Roman"/>
          <w:sz w:val="32"/>
          <w:szCs w:val="32"/>
        </w:rPr>
      </w:pPr>
    </w:p>
    <w:p>
      <w:pPr>
        <w:widowControl/>
        <w:spacing w:line="580" w:lineRule="exact"/>
        <w:ind w:firstLine="883" w:firstLineChars="200"/>
        <w:jc w:val="left"/>
        <w:rPr>
          <w:rFonts w:ascii="Times New Roman" w:hAnsi="Times New Roman" w:eastAsia="宋体" w:cs="Times New Roman"/>
          <w:b/>
          <w:bCs/>
          <w:sz w:val="44"/>
          <w:szCs w:val="44"/>
        </w:rPr>
      </w:pPr>
    </w:p>
    <w:p>
      <w:pPr>
        <w:rPr>
          <w:rFonts w:ascii="Times New Roman" w:hAnsi="Times New Roman" w:eastAsia="仿宋_GB2312" w:cs="Times New Roman"/>
          <w:sz w:val="32"/>
          <w:szCs w:val="32"/>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pacing w:after="0" w:line="360" w:lineRule="auto"/>
        <w:jc w:val="center"/>
        <w:rPr>
          <w:rFonts w:hint="eastAsia"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一、</w:t>
      </w:r>
      <w:r>
        <w:rPr>
          <w:rFonts w:ascii="仿宋" w:hAnsi="仿宋" w:eastAsia="仿宋" w:cs="Times New Roman"/>
          <w:b/>
          <w:bCs/>
          <w:color w:val="000000"/>
          <w:sz w:val="32"/>
          <w:szCs w:val="32"/>
        </w:rPr>
        <w:t>财政拨款收入：</w:t>
      </w:r>
      <w:r>
        <w:rPr>
          <w:rFonts w:ascii="仿宋" w:hAnsi="仿宋" w:eastAsia="仿宋" w:cs="Times New Roman"/>
          <w:bCs/>
          <w:color w:val="000000"/>
          <w:sz w:val="32"/>
          <w:szCs w:val="32"/>
        </w:rPr>
        <w:t>指单位从同级财政部门取得的财政预算资金。</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二、</w:t>
      </w:r>
      <w:r>
        <w:rPr>
          <w:rFonts w:ascii="仿宋" w:hAnsi="仿宋" w:eastAsia="仿宋" w:cs="Times New Roman"/>
          <w:b/>
          <w:bCs/>
          <w:color w:val="000000"/>
          <w:sz w:val="32"/>
          <w:szCs w:val="32"/>
        </w:rPr>
        <w:t>事业收入：</w:t>
      </w:r>
      <w:r>
        <w:rPr>
          <w:rFonts w:ascii="仿宋" w:hAnsi="仿宋" w:eastAsia="仿宋" w:cs="Times New Roman"/>
          <w:bCs/>
          <w:color w:val="000000"/>
          <w:sz w:val="32"/>
          <w:szCs w:val="32"/>
        </w:rPr>
        <w:t>指事业单位开展专业业务活动及辅助活动取得的收入。</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三、</w:t>
      </w:r>
      <w:r>
        <w:rPr>
          <w:rFonts w:ascii="仿宋" w:hAnsi="仿宋" w:eastAsia="仿宋" w:cs="Times New Roman"/>
          <w:b/>
          <w:bCs/>
          <w:color w:val="000000"/>
          <w:sz w:val="32"/>
          <w:szCs w:val="32"/>
        </w:rPr>
        <w:t>经营收入：</w:t>
      </w:r>
      <w:r>
        <w:rPr>
          <w:rFonts w:ascii="仿宋" w:hAnsi="仿宋" w:eastAsia="仿宋" w:cs="Times New Roman"/>
          <w:bCs/>
          <w:color w:val="000000"/>
          <w:sz w:val="32"/>
          <w:szCs w:val="32"/>
        </w:rPr>
        <w:t>指事业单位在专业业务活动及其辅助活动之外开展非独立核算经营活动取得的收入。</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四、</w:t>
      </w:r>
      <w:r>
        <w:rPr>
          <w:rFonts w:ascii="仿宋" w:hAnsi="仿宋" w:eastAsia="仿宋" w:cs="Times New Roman"/>
          <w:b/>
          <w:bCs/>
          <w:color w:val="000000"/>
          <w:sz w:val="32"/>
          <w:szCs w:val="32"/>
        </w:rPr>
        <w:t>其他收入：</w:t>
      </w:r>
      <w:r>
        <w:rPr>
          <w:rFonts w:ascii="仿宋" w:hAnsi="仿宋" w:eastAsia="仿宋" w:cs="Times New Roman"/>
          <w:bCs/>
          <w:color w:val="000000"/>
          <w:sz w:val="32"/>
          <w:szCs w:val="32"/>
        </w:rPr>
        <w:t>指单位取得的除上述收入以外的各项收</w:t>
      </w:r>
    </w:p>
    <w:p>
      <w:pPr>
        <w:spacing w:after="0" w:line="360" w:lineRule="auto"/>
        <w:ind w:firstLine="200"/>
        <w:rPr>
          <w:rFonts w:hint="eastAsia" w:ascii="仿宋" w:hAnsi="仿宋" w:eastAsia="仿宋" w:cs="Times New Roman"/>
          <w:b/>
          <w:bCs/>
          <w:color w:val="000000"/>
          <w:sz w:val="32"/>
          <w:szCs w:val="32"/>
        </w:rPr>
      </w:pPr>
      <w:r>
        <w:rPr>
          <w:rFonts w:ascii="仿宋" w:hAnsi="仿宋" w:eastAsia="仿宋" w:cs="Times New Roman"/>
          <w:bCs/>
          <w:color w:val="000000"/>
          <w:sz w:val="32"/>
          <w:szCs w:val="32"/>
        </w:rPr>
        <w:t>入。主要是事业单位固定资产出租收入、存款利息收入等。</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五、</w:t>
      </w:r>
      <w:r>
        <w:rPr>
          <w:rFonts w:ascii="仿宋" w:hAnsi="仿宋" w:eastAsia="仿宋" w:cs="Times New Roman"/>
          <w:b/>
          <w:bCs/>
          <w:color w:val="000000"/>
          <w:sz w:val="32"/>
          <w:szCs w:val="32"/>
        </w:rPr>
        <w:t>使用非财政拨款结余（含专用结余）：</w:t>
      </w:r>
      <w:r>
        <w:rPr>
          <w:rFonts w:ascii="仿宋" w:hAnsi="仿宋" w:eastAsia="仿宋" w:cs="Times New Roman"/>
          <w:bCs/>
          <w:color w:val="000000"/>
          <w:sz w:val="32"/>
          <w:szCs w:val="32"/>
        </w:rPr>
        <w:t>指事业单位按照预算管理要求使用非财政拨款结余弥补收支差额的金额，以及使用专用结余安排支出的金额。</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六、</w:t>
      </w:r>
      <w:r>
        <w:rPr>
          <w:rFonts w:ascii="仿宋" w:hAnsi="仿宋" w:eastAsia="仿宋" w:cs="Times New Roman"/>
          <w:b/>
          <w:bCs/>
          <w:color w:val="000000"/>
          <w:sz w:val="32"/>
          <w:szCs w:val="32"/>
        </w:rPr>
        <w:t>年初结转和结余：</w:t>
      </w:r>
      <w:r>
        <w:rPr>
          <w:rFonts w:ascii="仿宋" w:hAnsi="仿宋" w:eastAsia="仿宋" w:cs="Times New Roman"/>
          <w:bCs/>
          <w:color w:val="000000"/>
          <w:sz w:val="32"/>
          <w:szCs w:val="32"/>
        </w:rPr>
        <w:t>指单位以前年度尚未完成、结转到本年仍按原规定用途继续使用的资金，或项目已完成等产生的结余资金。</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七、</w:t>
      </w:r>
      <w:r>
        <w:rPr>
          <w:rFonts w:ascii="仿宋" w:hAnsi="仿宋" w:eastAsia="仿宋" w:cs="Times New Roman"/>
          <w:b/>
          <w:bCs/>
          <w:color w:val="000000"/>
          <w:sz w:val="32"/>
          <w:szCs w:val="32"/>
        </w:rPr>
        <w:t>结余分配：</w:t>
      </w:r>
      <w:r>
        <w:rPr>
          <w:rFonts w:ascii="仿宋" w:hAnsi="仿宋" w:eastAsia="仿宋" w:cs="Times New Roman"/>
          <w:bCs/>
          <w:color w:val="000000"/>
          <w:sz w:val="32"/>
          <w:szCs w:val="32"/>
        </w:rPr>
        <w:t>指事业单位按照会计制度规定缴纳的所得税、提取的专用结余以及转入非财政拨款结余的金额等。</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八、</w:t>
      </w:r>
      <w:r>
        <w:rPr>
          <w:rFonts w:ascii="仿宋" w:hAnsi="仿宋" w:eastAsia="仿宋" w:cs="Times New Roman"/>
          <w:b/>
          <w:bCs/>
          <w:color w:val="000000"/>
          <w:sz w:val="32"/>
          <w:szCs w:val="32"/>
        </w:rPr>
        <w:t>年末结转和结余：</w:t>
      </w:r>
      <w:r>
        <w:rPr>
          <w:rFonts w:ascii="仿宋" w:hAnsi="仿宋" w:eastAsia="仿宋" w:cs="Times New Roman"/>
          <w:bCs/>
          <w:color w:val="000000"/>
          <w:sz w:val="32"/>
          <w:szCs w:val="32"/>
        </w:rPr>
        <w:t>指单位按有关规定结转到下年或以后年度继续使用的资金，或项目已完成等产生的结余资金。</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九、</w:t>
      </w:r>
      <w:r>
        <w:rPr>
          <w:rFonts w:ascii="仿宋" w:hAnsi="仿宋" w:eastAsia="仿宋" w:cs="Times New Roman"/>
          <w:b/>
          <w:bCs/>
          <w:color w:val="000000"/>
          <w:sz w:val="32"/>
          <w:szCs w:val="32"/>
        </w:rPr>
        <w:t>基本支出：</w:t>
      </w:r>
      <w:r>
        <w:rPr>
          <w:rFonts w:ascii="仿宋" w:hAnsi="仿宋" w:eastAsia="仿宋" w:cs="Times New Roman"/>
          <w:bCs/>
          <w:color w:val="000000"/>
          <w:sz w:val="32"/>
          <w:szCs w:val="32"/>
        </w:rPr>
        <w:t>指为保障机构正常运转、完成日常工作任务而发生的人员支出和公用支出。</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w:t>
      </w:r>
      <w:r>
        <w:rPr>
          <w:rFonts w:ascii="仿宋" w:hAnsi="仿宋" w:eastAsia="仿宋" w:cs="Times New Roman"/>
          <w:b/>
          <w:bCs/>
          <w:color w:val="000000"/>
          <w:sz w:val="32"/>
          <w:szCs w:val="32"/>
        </w:rPr>
        <w:t>项目支出：</w:t>
      </w:r>
      <w:r>
        <w:rPr>
          <w:rFonts w:ascii="仿宋" w:hAnsi="仿宋" w:eastAsia="仿宋" w:cs="Times New Roman"/>
          <w:color w:val="000000"/>
          <w:sz w:val="32"/>
          <w:szCs w:val="32"/>
        </w:rPr>
        <w:t>指在基本支出之外为完成特定行政任务和事业发展目标所发生的支出。</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十一、</w:t>
      </w:r>
      <w:r>
        <w:rPr>
          <w:rFonts w:ascii="仿宋" w:hAnsi="仿宋" w:eastAsia="仿宋" w:cs="Times New Roman"/>
          <w:b/>
          <w:bCs/>
          <w:color w:val="000000"/>
          <w:sz w:val="32"/>
          <w:szCs w:val="32"/>
        </w:rPr>
        <w:t>经营支出 ：</w:t>
      </w:r>
      <w:r>
        <w:rPr>
          <w:rFonts w:ascii="仿宋" w:hAnsi="仿宋" w:eastAsia="仿宋" w:cs="Times New Roman"/>
          <w:color w:val="000000"/>
          <w:sz w:val="32"/>
          <w:szCs w:val="32"/>
        </w:rPr>
        <w:t>指事业单位在专业业务活动及其辅助活动之外开展非独立核算经营活动发生的支出。</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十二、</w:t>
      </w:r>
      <w:r>
        <w:rPr>
          <w:rFonts w:ascii="仿宋" w:hAnsi="仿宋" w:eastAsia="仿宋" w:cs="Times New Roman"/>
          <w:b/>
          <w:bCs/>
          <w:color w:val="000000"/>
          <w:sz w:val="32"/>
          <w:szCs w:val="32"/>
        </w:rPr>
        <w:t>基本建设支出：</w:t>
      </w:r>
      <w:r>
        <w:rPr>
          <w:rFonts w:ascii="仿宋" w:hAnsi="仿宋" w:eastAsia="仿宋"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after="0" w:line="360" w:lineRule="auto"/>
        <w:ind w:firstLine="643" w:firstLineChars="200"/>
        <w:rPr>
          <w:rFonts w:hint="eastAsia" w:ascii="仿宋" w:hAnsi="仿宋" w:eastAsia="仿宋" w:cs="Times New Roman"/>
          <w:b/>
          <w:bCs/>
          <w:color w:val="000000"/>
          <w:sz w:val="32"/>
          <w:szCs w:val="32"/>
        </w:rPr>
      </w:pPr>
      <w:r>
        <w:rPr>
          <w:rFonts w:hint="eastAsia" w:ascii="仿宋" w:hAnsi="仿宋" w:eastAsia="仿宋" w:cs="Times New Roman"/>
          <w:b/>
          <w:bCs/>
          <w:color w:val="000000"/>
          <w:sz w:val="32"/>
          <w:szCs w:val="32"/>
        </w:rPr>
        <w:t>十三、</w:t>
      </w:r>
      <w:r>
        <w:rPr>
          <w:rFonts w:ascii="仿宋" w:hAnsi="仿宋" w:eastAsia="仿宋" w:cs="Times New Roman"/>
          <w:b/>
          <w:bCs/>
          <w:color w:val="000000"/>
          <w:sz w:val="32"/>
          <w:szCs w:val="32"/>
        </w:rPr>
        <w:t>其他资本性支出：</w:t>
      </w:r>
      <w:r>
        <w:rPr>
          <w:rFonts w:ascii="仿宋" w:hAnsi="仿宋" w:eastAsia="仿宋"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十四、</w:t>
      </w:r>
      <w:r>
        <w:rPr>
          <w:rFonts w:ascii="仿宋" w:hAnsi="仿宋" w:eastAsia="仿宋" w:cs="Times New Roman"/>
          <w:b/>
          <w:bCs/>
          <w:color w:val="000000"/>
          <w:sz w:val="32"/>
          <w:szCs w:val="32"/>
        </w:rPr>
        <w:t>“三公”经费：</w:t>
      </w:r>
      <w:r>
        <w:rPr>
          <w:rFonts w:ascii="仿宋" w:hAnsi="仿宋" w:eastAsia="仿宋"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十五、</w:t>
      </w:r>
      <w:r>
        <w:rPr>
          <w:rFonts w:ascii="仿宋" w:hAnsi="仿宋" w:eastAsia="仿宋" w:cs="Times New Roman"/>
          <w:b/>
          <w:bCs/>
          <w:color w:val="000000"/>
          <w:sz w:val="32"/>
          <w:szCs w:val="32"/>
        </w:rPr>
        <w:t>其他交通费用：</w:t>
      </w:r>
      <w:r>
        <w:rPr>
          <w:rFonts w:ascii="仿宋" w:hAnsi="仿宋" w:eastAsia="仿宋" w:cs="Times New Roman"/>
          <w:color w:val="000000"/>
          <w:sz w:val="32"/>
          <w:szCs w:val="32"/>
        </w:rPr>
        <w:t>填列单位除公务用车运行维护费以外的其他交通费用。如公务交通补贴、租车费用、出租车费用，飞机、船舶等燃料费、维修费、保险费等。</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十六、</w:t>
      </w:r>
      <w:r>
        <w:rPr>
          <w:rFonts w:ascii="仿宋" w:hAnsi="仿宋" w:eastAsia="仿宋" w:cs="Times New Roman"/>
          <w:b/>
          <w:bCs/>
          <w:color w:val="000000"/>
          <w:sz w:val="32"/>
          <w:szCs w:val="32"/>
        </w:rPr>
        <w:t>公务用车购置：</w:t>
      </w:r>
      <w:r>
        <w:rPr>
          <w:rFonts w:ascii="仿宋" w:hAnsi="仿宋" w:eastAsia="仿宋" w:cs="Times New Roman"/>
          <w:color w:val="000000"/>
          <w:sz w:val="32"/>
          <w:szCs w:val="32"/>
        </w:rPr>
        <w:t>填列单位公务用车车辆购置支出（含车辆购置税、牌照费）。</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十七、</w:t>
      </w:r>
      <w:r>
        <w:rPr>
          <w:rFonts w:ascii="仿宋" w:hAnsi="仿宋" w:eastAsia="仿宋" w:cs="Times New Roman"/>
          <w:b/>
          <w:bCs/>
          <w:color w:val="000000"/>
          <w:sz w:val="32"/>
          <w:szCs w:val="32"/>
        </w:rPr>
        <w:t>其他交通工具购置：</w:t>
      </w:r>
      <w:r>
        <w:rPr>
          <w:rFonts w:ascii="仿宋" w:hAnsi="仿宋" w:eastAsia="仿宋" w:cs="Times New Roman"/>
          <w:color w:val="000000"/>
          <w:sz w:val="32"/>
          <w:szCs w:val="32"/>
        </w:rPr>
        <w:t>填列单位除公务用车外的其他各类交通工具（如船舶、飞机等）购置支出（含车辆购置税、牌照费）。</w:t>
      </w:r>
    </w:p>
    <w:p>
      <w:pPr>
        <w:widowControl/>
        <w:spacing w:after="0" w:line="360" w:lineRule="auto"/>
        <w:ind w:firstLine="643" w:firstLineChars="200"/>
        <w:rPr>
          <w:rFonts w:hint="eastAsia" w:ascii="仿宋" w:hAnsi="仿宋" w:eastAsia="仿宋" w:cs="Times New Roman"/>
          <w:color w:val="000000"/>
          <w:sz w:val="32"/>
          <w:szCs w:val="32"/>
        </w:rPr>
      </w:pPr>
      <w:r>
        <w:rPr>
          <w:rFonts w:ascii="仿宋" w:hAnsi="仿宋" w:eastAsia="仿宋" w:cs="Times New Roman"/>
          <w:b/>
          <w:bCs/>
          <w:color w:val="000000"/>
          <w:sz w:val="32"/>
          <w:szCs w:val="32"/>
        </w:rPr>
        <w:t>十八、机关运行经费：</w:t>
      </w:r>
      <w:r>
        <w:rPr>
          <w:rFonts w:ascii="仿宋" w:hAnsi="仿宋" w:eastAsia="仿宋"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after="0" w:line="360" w:lineRule="auto"/>
        <w:ind w:firstLine="643" w:firstLineChars="200"/>
        <w:jc w:val="left"/>
        <w:rPr>
          <w:rFonts w:hint="eastAsia" w:ascii="仿宋" w:hAnsi="仿宋" w:eastAsia="仿宋" w:cs="Times New Roman"/>
          <w:sz w:val="32"/>
          <w:szCs w:val="32"/>
        </w:rPr>
      </w:pPr>
      <w:r>
        <w:rPr>
          <w:rFonts w:ascii="仿宋" w:hAnsi="仿宋" w:eastAsia="仿宋" w:cs="Times New Roman"/>
          <w:b/>
          <w:bCs/>
          <w:color w:val="000000"/>
          <w:sz w:val="32"/>
          <w:szCs w:val="32"/>
        </w:rPr>
        <w:t>十九、经费形式:</w:t>
      </w:r>
      <w:r>
        <w:rPr>
          <w:rFonts w:ascii="仿宋" w:hAnsi="仿宋" w:eastAsia="仿宋" w:cs="Times New Roman"/>
          <w:color w:val="000000"/>
          <w:sz w:val="32"/>
          <w:szCs w:val="32"/>
        </w:rPr>
        <w:t>按照经费来源，</w:t>
      </w:r>
      <w:r>
        <w:rPr>
          <w:rFonts w:ascii="仿宋" w:hAnsi="仿宋" w:eastAsia="仿宋" w:cs="Times New Roman"/>
          <w:sz w:val="32"/>
          <w:szCs w:val="32"/>
        </w:rPr>
        <w:t>可分为财政拨款、财政性资金基本保证、财政性资金定额或定项补助、财政性资金零补助四类</w:t>
      </w:r>
    </w:p>
    <w:p>
      <w:pPr>
        <w:rPr>
          <w:rFonts w:ascii="Times New Roman" w:hAnsi="Times New Roman" w:cs="Times New Roman"/>
        </w:rPr>
      </w:pPr>
    </w:p>
    <w:p>
      <w:pPr>
        <w:pStyle w:val="11"/>
        <w:widowControl/>
        <w:spacing w:beforeAutospacing="0" w:afterAutospacing="0"/>
        <w:rPr>
          <w:rFonts w:ascii="Times New Roman" w:hAnsi="Times New Roman" w:eastAsia="仿宋_GB2312"/>
          <w:color w:val="333333"/>
          <w:sz w:val="33"/>
          <w:szCs w:val="33"/>
          <w:shd w:val="clear" w:color="auto" w:fill="FFFFFF"/>
        </w:rPr>
      </w:pPr>
    </w:p>
    <w:p>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280E65F-C9BD-4721-9483-CAF62256C976}"/>
  </w:font>
  <w:font w:name="黑体">
    <w:panose1 w:val="02010609060101010101"/>
    <w:charset w:val="86"/>
    <w:family w:val="auto"/>
    <w:pitch w:val="default"/>
    <w:sig w:usb0="800002BF" w:usb1="38CF7CFA" w:usb2="00000016" w:usb3="00000000" w:csb0="00040001" w:csb1="00000000"/>
    <w:embedRegular r:id="rId2" w:fontKey="{6A5431ED-7227-41E8-B92C-AE4C14D380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96D3FDF-9AEA-4F5B-9F63-5A01EA4A168F}"/>
  </w:font>
  <w:font w:name="仿宋">
    <w:panose1 w:val="02010609060101010101"/>
    <w:charset w:val="86"/>
    <w:family w:val="modern"/>
    <w:pitch w:val="default"/>
    <w:sig w:usb0="800002BF" w:usb1="38CF7CFA" w:usb2="00000016" w:usb3="00000000" w:csb0="00040001" w:csb1="00000000"/>
    <w:embedRegular r:id="rId4" w:fontKey="{360BAE18-5230-4E8E-8BA3-35CE0EE51359}"/>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embedRegular r:id="rId5" w:fontKey="{360C8C43-D2C7-418F-9260-A8C6006E6597}"/>
  </w:font>
  <w:font w:name="思源黑体 CN Heavy">
    <w:altName w:val="黑体"/>
    <w:panose1 w:val="00000000000000000000"/>
    <w:charset w:val="86"/>
    <w:family w:val="swiss"/>
    <w:pitch w:val="default"/>
    <w:sig w:usb0="00000000" w:usb1="00000000" w:usb2="00000016" w:usb3="00000000" w:csb0="00060107" w:csb1="00000000"/>
    <w:embedRegular r:id="rId6" w:fontKey="{20B2EB34-652D-43EB-8408-9339FDC4316C}"/>
  </w:font>
  <w:font w:name="楷体_GB2312">
    <w:panose1 w:val="02010609030101010101"/>
    <w:charset w:val="86"/>
    <w:family w:val="modern"/>
    <w:pitch w:val="default"/>
    <w:sig w:usb0="00000001" w:usb1="080E0000" w:usb2="00000000" w:usb3="00000000" w:csb0="00040000" w:csb1="00000000"/>
    <w:embedRegular r:id="rId7" w:fontKey="{0374BFA1-5107-459D-B0A2-5A5C4DECC513}"/>
  </w:font>
  <w:font w:name="仿宋_GB2312">
    <w:panose1 w:val="02010609030101010101"/>
    <w:charset w:val="86"/>
    <w:family w:val="modern"/>
    <w:pitch w:val="default"/>
    <w:sig w:usb0="00000001" w:usb1="080E0000" w:usb2="00000000" w:usb3="00000000" w:csb0="00040000" w:csb1="00000000"/>
    <w:embedRegular r:id="rId8" w:fontKey="{6D024695-713B-45FC-BA32-1D48150A0F3E}"/>
  </w:font>
  <w:font w:name="Batang">
    <w:panose1 w:val="02030600000101010101"/>
    <w:charset w:val="81"/>
    <w:family w:val="roman"/>
    <w:pitch w:val="default"/>
    <w:sig w:usb0="B00002AF" w:usb1="69D77CFB" w:usb2="00000030" w:usb3="00000000" w:csb0="4008009F" w:csb1="DFD70000"/>
    <w:embedRegular r:id="rId9" w:fontKey="{C21CA8E5-A9D0-4EEB-AF4E-86FE73C103BC}"/>
  </w:font>
  <w:font w:name="ArialUnicodeMS">
    <w:altName w:val="Malgun Gothic"/>
    <w:panose1 w:val="00000000000000000000"/>
    <w:charset w:val="81"/>
    <w:family w:val="auto"/>
    <w:pitch w:val="default"/>
    <w:sig w:usb0="00000000" w:usb1="00000000" w:usb2="00000010" w:usb3="00000000" w:csb0="00080001" w:csb1="00000000"/>
    <w:embedRegular r:id="rId10" w:fontKey="{3A706AB3-6AE1-4E8D-BAA5-EB3DB4B70D94}"/>
  </w:font>
  <w:font w:name="DengXian-Regular">
    <w:altName w:val="宋体"/>
    <w:panose1 w:val="00000000000000000000"/>
    <w:charset w:val="86"/>
    <w:family w:val="auto"/>
    <w:pitch w:val="default"/>
    <w:sig w:usb0="00000000" w:usb1="00000000" w:usb2="00000010" w:usb3="00000000" w:csb0="00040001" w:csb1="00000000"/>
    <w:embedRegular r:id="rId11" w:fontKey="{07F7F68B-5FD4-4EEA-8FB1-211FE03ADE15}"/>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4518073"/>
      <w:docPartObj>
        <w:docPartGallery w:val="autotext"/>
      </w:docPartObj>
    </w:sdtPr>
    <w:sdtEndPr>
      <w:rPr>
        <w:rFonts w:ascii="Batang" w:hAnsi="Batang" w:eastAsia="Batang"/>
        <w:sz w:val="28"/>
        <w:szCs w:val="28"/>
      </w:rPr>
    </w:sdtEndPr>
    <w:sdtContent>
      <w:p>
        <w:pPr>
          <w:pStyle w:val="9"/>
          <w:jc w:val="center"/>
          <w:rPr>
            <w:rFonts w:hint="eastAsia" w:ascii="Batang" w:hAnsi="Batang" w:eastAsia="Batang"/>
            <w:sz w:val="28"/>
            <w:szCs w:val="28"/>
          </w:rPr>
        </w:pPr>
        <w:r>
          <w:rPr>
            <w:rFonts w:hint="eastAsia" w:ascii="Batang" w:hAnsi="Batang" w:eastAsia="Batang"/>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PAGE   \* MERGEFORMAT</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zh-CN"/>
          </w:rPr>
          <w:t>2</w:t>
        </w:r>
        <w:r>
          <w:rPr>
            <w:rFonts w:hint="eastAsia" w:ascii="仿宋_GB2312" w:hAnsi="仿宋_GB2312" w:eastAsia="仿宋_GB2312" w:cs="仿宋_GB2312"/>
            <w:sz w:val="28"/>
            <w:szCs w:val="28"/>
          </w:rPr>
          <w:fldChar w:fldCharType="end"/>
        </w:r>
        <w:r>
          <w:rPr>
            <w:rFonts w:hint="eastAsia" w:ascii="Batang" w:hAnsi="Batang" w:eastAsia="Batang"/>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0274373"/>
      <w:docPartObj>
        <w:docPartGallery w:val="autotext"/>
      </w:docPartObj>
    </w:sdtPr>
    <w:sdtContent>
      <w:p>
        <w:pPr>
          <w:pStyle w:val="9"/>
          <w:jc w:val="center"/>
        </w:pPr>
        <w:r>
          <w:rPr>
            <w:rFonts w:hint="eastAsia"/>
          </w:rPr>
          <w:t>12313213132213</w:t>
        </w:r>
        <w:r>
          <w:fldChar w:fldCharType="begin"/>
        </w:r>
        <w:r>
          <w:instrText xml:space="preserve">PAGE   \* MERGEFORMAT</w:instrText>
        </w:r>
        <w:r>
          <w:fldChar w:fldCharType="separate"/>
        </w:r>
        <w:r>
          <w:rPr>
            <w:lang w:val="zh-CN"/>
          </w:rPr>
          <w:t>2</w:t>
        </w:r>
        <w:r>
          <w:fldChar w:fldCharType="end"/>
        </w:r>
      </w:p>
    </w:sdtContent>
  </w:sdt>
  <w:p>
    <w:pPr>
      <w:pStyle w:val="9"/>
      <w:jc w:val="center"/>
      <w:rPr>
        <w:rFonts w:hint="eastAsia" w:asciiTheme="minorEastAsia" w:hAnsiTheme="min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DUsImhkaWQiOiJjZWVmYjc4YTg3NDA5NmI3M2FiOGRmYTJiYzQ3ZWQ0MCIsInVzZXJDb3VudCI6NX0="/>
  </w:docVars>
  <w:rsids>
    <w:rsidRoot w:val="00287DAF"/>
    <w:rsid w:val="00037B7D"/>
    <w:rsid w:val="000546A1"/>
    <w:rsid w:val="00061C12"/>
    <w:rsid w:val="00086151"/>
    <w:rsid w:val="00092BE6"/>
    <w:rsid w:val="00096086"/>
    <w:rsid w:val="0009670E"/>
    <w:rsid w:val="000B1680"/>
    <w:rsid w:val="000B20F4"/>
    <w:rsid w:val="000B46E5"/>
    <w:rsid w:val="000E17E7"/>
    <w:rsid w:val="000E3FCF"/>
    <w:rsid w:val="000F6501"/>
    <w:rsid w:val="00110B73"/>
    <w:rsid w:val="001258D4"/>
    <w:rsid w:val="00135E74"/>
    <w:rsid w:val="001369CA"/>
    <w:rsid w:val="00157078"/>
    <w:rsid w:val="00166836"/>
    <w:rsid w:val="001C558D"/>
    <w:rsid w:val="001D611E"/>
    <w:rsid w:val="00204372"/>
    <w:rsid w:val="00236F8C"/>
    <w:rsid w:val="0025113C"/>
    <w:rsid w:val="00267AAE"/>
    <w:rsid w:val="0027101F"/>
    <w:rsid w:val="00275718"/>
    <w:rsid w:val="00287DAF"/>
    <w:rsid w:val="002B2F49"/>
    <w:rsid w:val="002F01EE"/>
    <w:rsid w:val="002F24B7"/>
    <w:rsid w:val="00306385"/>
    <w:rsid w:val="0035487A"/>
    <w:rsid w:val="00361F0E"/>
    <w:rsid w:val="00370DC6"/>
    <w:rsid w:val="00376830"/>
    <w:rsid w:val="00377F32"/>
    <w:rsid w:val="0038751F"/>
    <w:rsid w:val="003A12A0"/>
    <w:rsid w:val="003E3566"/>
    <w:rsid w:val="003F4BEC"/>
    <w:rsid w:val="00407EB8"/>
    <w:rsid w:val="00424926"/>
    <w:rsid w:val="00455DD0"/>
    <w:rsid w:val="00461E31"/>
    <w:rsid w:val="00466E2E"/>
    <w:rsid w:val="0047323C"/>
    <w:rsid w:val="0048604A"/>
    <w:rsid w:val="00494B2C"/>
    <w:rsid w:val="004A2A12"/>
    <w:rsid w:val="005243FE"/>
    <w:rsid w:val="0056005C"/>
    <w:rsid w:val="00560623"/>
    <w:rsid w:val="006227A1"/>
    <w:rsid w:val="00626BDC"/>
    <w:rsid w:val="0063657C"/>
    <w:rsid w:val="0066027C"/>
    <w:rsid w:val="0067075F"/>
    <w:rsid w:val="006773D2"/>
    <w:rsid w:val="006A6A08"/>
    <w:rsid w:val="006C5E31"/>
    <w:rsid w:val="006F3637"/>
    <w:rsid w:val="007006C2"/>
    <w:rsid w:val="00790C94"/>
    <w:rsid w:val="007B1888"/>
    <w:rsid w:val="007C3288"/>
    <w:rsid w:val="007E149C"/>
    <w:rsid w:val="007E7600"/>
    <w:rsid w:val="00802C44"/>
    <w:rsid w:val="00822154"/>
    <w:rsid w:val="00823381"/>
    <w:rsid w:val="0087335C"/>
    <w:rsid w:val="008866CD"/>
    <w:rsid w:val="008D5DDB"/>
    <w:rsid w:val="00906187"/>
    <w:rsid w:val="009071A4"/>
    <w:rsid w:val="0091307C"/>
    <w:rsid w:val="00926DCC"/>
    <w:rsid w:val="009325F5"/>
    <w:rsid w:val="0094592D"/>
    <w:rsid w:val="00952863"/>
    <w:rsid w:val="00953488"/>
    <w:rsid w:val="00961352"/>
    <w:rsid w:val="009D7E38"/>
    <w:rsid w:val="00A07CFF"/>
    <w:rsid w:val="00A169CA"/>
    <w:rsid w:val="00A17B27"/>
    <w:rsid w:val="00A50DF3"/>
    <w:rsid w:val="00A62C78"/>
    <w:rsid w:val="00AC6C8A"/>
    <w:rsid w:val="00AF1DD2"/>
    <w:rsid w:val="00AF3C93"/>
    <w:rsid w:val="00B03561"/>
    <w:rsid w:val="00B15D61"/>
    <w:rsid w:val="00B73503"/>
    <w:rsid w:val="00B90C6B"/>
    <w:rsid w:val="00B97EF2"/>
    <w:rsid w:val="00BF067C"/>
    <w:rsid w:val="00C012F0"/>
    <w:rsid w:val="00C1240F"/>
    <w:rsid w:val="00C142C3"/>
    <w:rsid w:val="00C546E9"/>
    <w:rsid w:val="00C65689"/>
    <w:rsid w:val="00C71FEF"/>
    <w:rsid w:val="00CA13DB"/>
    <w:rsid w:val="00CA42FD"/>
    <w:rsid w:val="00CC1334"/>
    <w:rsid w:val="00CC2C8E"/>
    <w:rsid w:val="00CD4D9A"/>
    <w:rsid w:val="00D22E56"/>
    <w:rsid w:val="00D56C3E"/>
    <w:rsid w:val="00D777BD"/>
    <w:rsid w:val="00D77ACE"/>
    <w:rsid w:val="00DB6259"/>
    <w:rsid w:val="00DC3B1E"/>
    <w:rsid w:val="00DD64E5"/>
    <w:rsid w:val="00DF45A8"/>
    <w:rsid w:val="00E03F28"/>
    <w:rsid w:val="00E20DD6"/>
    <w:rsid w:val="00E32B11"/>
    <w:rsid w:val="00E443E2"/>
    <w:rsid w:val="00E86690"/>
    <w:rsid w:val="00EB0434"/>
    <w:rsid w:val="00EC1488"/>
    <w:rsid w:val="00EE6912"/>
    <w:rsid w:val="00F002F9"/>
    <w:rsid w:val="00F03983"/>
    <w:rsid w:val="00F073C6"/>
    <w:rsid w:val="00F30220"/>
    <w:rsid w:val="00F373B5"/>
    <w:rsid w:val="00F41289"/>
    <w:rsid w:val="00F44A21"/>
    <w:rsid w:val="00F44C48"/>
    <w:rsid w:val="00F53FC4"/>
    <w:rsid w:val="00F66634"/>
    <w:rsid w:val="00F67D18"/>
    <w:rsid w:val="00F705B2"/>
    <w:rsid w:val="00FA4CE8"/>
    <w:rsid w:val="00FA6F14"/>
    <w:rsid w:val="00FB4967"/>
    <w:rsid w:val="00FE2157"/>
    <w:rsid w:val="01A03C5A"/>
    <w:rsid w:val="01A5267D"/>
    <w:rsid w:val="01AF6A8D"/>
    <w:rsid w:val="024808A2"/>
    <w:rsid w:val="025C3821"/>
    <w:rsid w:val="02B551F3"/>
    <w:rsid w:val="02DA3B1B"/>
    <w:rsid w:val="02E57B4D"/>
    <w:rsid w:val="037B12D4"/>
    <w:rsid w:val="03804D63"/>
    <w:rsid w:val="03C81F71"/>
    <w:rsid w:val="03FB73B0"/>
    <w:rsid w:val="049C1B9D"/>
    <w:rsid w:val="04BD008C"/>
    <w:rsid w:val="04C55939"/>
    <w:rsid w:val="04DA28BB"/>
    <w:rsid w:val="04F528BE"/>
    <w:rsid w:val="050E10CE"/>
    <w:rsid w:val="05164FA1"/>
    <w:rsid w:val="054F2DFB"/>
    <w:rsid w:val="059048A3"/>
    <w:rsid w:val="05991C82"/>
    <w:rsid w:val="061416A9"/>
    <w:rsid w:val="061D60A6"/>
    <w:rsid w:val="06236884"/>
    <w:rsid w:val="06B07006"/>
    <w:rsid w:val="06FC7C2A"/>
    <w:rsid w:val="07533AFE"/>
    <w:rsid w:val="07B3657A"/>
    <w:rsid w:val="07C857D0"/>
    <w:rsid w:val="082B509F"/>
    <w:rsid w:val="08AB5AAF"/>
    <w:rsid w:val="09012C64"/>
    <w:rsid w:val="093B2E99"/>
    <w:rsid w:val="095D7943"/>
    <w:rsid w:val="09C006C6"/>
    <w:rsid w:val="0A0E6E5F"/>
    <w:rsid w:val="0A10621F"/>
    <w:rsid w:val="0A464C4F"/>
    <w:rsid w:val="0A6729A3"/>
    <w:rsid w:val="0A694877"/>
    <w:rsid w:val="0AA954BE"/>
    <w:rsid w:val="0AE70639"/>
    <w:rsid w:val="0B4F5E6D"/>
    <w:rsid w:val="0B753AE2"/>
    <w:rsid w:val="0BB67D0A"/>
    <w:rsid w:val="0BC56230"/>
    <w:rsid w:val="0BCF21BD"/>
    <w:rsid w:val="0C4E53E8"/>
    <w:rsid w:val="0C561A73"/>
    <w:rsid w:val="0C6712D6"/>
    <w:rsid w:val="0C9F7900"/>
    <w:rsid w:val="0CB23317"/>
    <w:rsid w:val="0D101068"/>
    <w:rsid w:val="0D4E13BE"/>
    <w:rsid w:val="0D7557DF"/>
    <w:rsid w:val="0D853E34"/>
    <w:rsid w:val="0D9C2A57"/>
    <w:rsid w:val="0DFA5D82"/>
    <w:rsid w:val="0E1E52CE"/>
    <w:rsid w:val="0E6D03C2"/>
    <w:rsid w:val="0E866524"/>
    <w:rsid w:val="0E9268D3"/>
    <w:rsid w:val="0E957F1F"/>
    <w:rsid w:val="0F0E7284"/>
    <w:rsid w:val="0F28110F"/>
    <w:rsid w:val="0F37083F"/>
    <w:rsid w:val="0F891DB8"/>
    <w:rsid w:val="0FAA3B86"/>
    <w:rsid w:val="10191346"/>
    <w:rsid w:val="102A01A6"/>
    <w:rsid w:val="10754A6C"/>
    <w:rsid w:val="108B537D"/>
    <w:rsid w:val="10B11DB1"/>
    <w:rsid w:val="10D54478"/>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64B3A09"/>
    <w:rsid w:val="17223EFF"/>
    <w:rsid w:val="17AA5F28"/>
    <w:rsid w:val="17B713F6"/>
    <w:rsid w:val="184350A0"/>
    <w:rsid w:val="18935485"/>
    <w:rsid w:val="18A34206"/>
    <w:rsid w:val="18DE3B2C"/>
    <w:rsid w:val="1906685D"/>
    <w:rsid w:val="19111683"/>
    <w:rsid w:val="19353916"/>
    <w:rsid w:val="193E101D"/>
    <w:rsid w:val="1953461C"/>
    <w:rsid w:val="19C10AF1"/>
    <w:rsid w:val="19F2732F"/>
    <w:rsid w:val="1A017CDA"/>
    <w:rsid w:val="1A2672DE"/>
    <w:rsid w:val="1A5D72DC"/>
    <w:rsid w:val="1AA81D42"/>
    <w:rsid w:val="1AB433D9"/>
    <w:rsid w:val="1AFB6D70"/>
    <w:rsid w:val="1B1B11EE"/>
    <w:rsid w:val="1B3719E0"/>
    <w:rsid w:val="1B6261C3"/>
    <w:rsid w:val="1B731730"/>
    <w:rsid w:val="1B882BB5"/>
    <w:rsid w:val="1B956C01"/>
    <w:rsid w:val="1B9B33C7"/>
    <w:rsid w:val="1B9D7FEC"/>
    <w:rsid w:val="1BA55461"/>
    <w:rsid w:val="1BBA0FB0"/>
    <w:rsid w:val="1BE74496"/>
    <w:rsid w:val="1C3D67D1"/>
    <w:rsid w:val="1C40731A"/>
    <w:rsid w:val="1C4809CA"/>
    <w:rsid w:val="1C506572"/>
    <w:rsid w:val="1C560392"/>
    <w:rsid w:val="1C581532"/>
    <w:rsid w:val="1CA15E03"/>
    <w:rsid w:val="1CA24F0C"/>
    <w:rsid w:val="1CF8716C"/>
    <w:rsid w:val="1D020211"/>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459CC"/>
    <w:rsid w:val="1F394761"/>
    <w:rsid w:val="1F65664C"/>
    <w:rsid w:val="1F7C149A"/>
    <w:rsid w:val="1F84140D"/>
    <w:rsid w:val="1F9B7FFD"/>
    <w:rsid w:val="1F9C7614"/>
    <w:rsid w:val="1FBE1971"/>
    <w:rsid w:val="1FE8583F"/>
    <w:rsid w:val="2008768D"/>
    <w:rsid w:val="204B327F"/>
    <w:rsid w:val="204C2B10"/>
    <w:rsid w:val="207D30AD"/>
    <w:rsid w:val="209064B9"/>
    <w:rsid w:val="20970D81"/>
    <w:rsid w:val="20D165D5"/>
    <w:rsid w:val="210878E6"/>
    <w:rsid w:val="210E1408"/>
    <w:rsid w:val="211069AD"/>
    <w:rsid w:val="21573FAB"/>
    <w:rsid w:val="2172069C"/>
    <w:rsid w:val="21987BC4"/>
    <w:rsid w:val="21A34999"/>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B50BD7"/>
    <w:rsid w:val="28EA3248"/>
    <w:rsid w:val="28F879DA"/>
    <w:rsid w:val="294B7731"/>
    <w:rsid w:val="29D21FF2"/>
    <w:rsid w:val="2A611B0F"/>
    <w:rsid w:val="2AC1762B"/>
    <w:rsid w:val="2AE845D0"/>
    <w:rsid w:val="2B4975FB"/>
    <w:rsid w:val="2B695031"/>
    <w:rsid w:val="2B735A8F"/>
    <w:rsid w:val="2BA7478D"/>
    <w:rsid w:val="2BB038DB"/>
    <w:rsid w:val="2BB761E0"/>
    <w:rsid w:val="2BB812F9"/>
    <w:rsid w:val="2BE35C27"/>
    <w:rsid w:val="2BFA504B"/>
    <w:rsid w:val="2C1D63FA"/>
    <w:rsid w:val="2C23683D"/>
    <w:rsid w:val="2C593D0D"/>
    <w:rsid w:val="2C681F1F"/>
    <w:rsid w:val="2C8608DC"/>
    <w:rsid w:val="2CA4764A"/>
    <w:rsid w:val="2CC42ECA"/>
    <w:rsid w:val="2CDA4349"/>
    <w:rsid w:val="2D225539"/>
    <w:rsid w:val="2D4618D2"/>
    <w:rsid w:val="2D5F021B"/>
    <w:rsid w:val="2D6E1286"/>
    <w:rsid w:val="2D70583E"/>
    <w:rsid w:val="2E0725DC"/>
    <w:rsid w:val="2E1B4BB8"/>
    <w:rsid w:val="2E210B91"/>
    <w:rsid w:val="2E256CB6"/>
    <w:rsid w:val="2E327977"/>
    <w:rsid w:val="2E5F27E4"/>
    <w:rsid w:val="2E692720"/>
    <w:rsid w:val="2EBD223E"/>
    <w:rsid w:val="2EC10AD1"/>
    <w:rsid w:val="2ECB6A5A"/>
    <w:rsid w:val="2EFC0112"/>
    <w:rsid w:val="2F2B730D"/>
    <w:rsid w:val="2F9F3DC1"/>
    <w:rsid w:val="2FFC7AC2"/>
    <w:rsid w:val="301430AF"/>
    <w:rsid w:val="30171DC7"/>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845F6C"/>
    <w:rsid w:val="35997371"/>
    <w:rsid w:val="35F4343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9F84185"/>
    <w:rsid w:val="3A2510B9"/>
    <w:rsid w:val="3A2B1DFC"/>
    <w:rsid w:val="3AA6422C"/>
    <w:rsid w:val="3AAF46D5"/>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3E4155"/>
    <w:rsid w:val="3E6C0DFA"/>
    <w:rsid w:val="3E740322"/>
    <w:rsid w:val="3E7F4380"/>
    <w:rsid w:val="3E8D171B"/>
    <w:rsid w:val="3EA5630D"/>
    <w:rsid w:val="3EBA731B"/>
    <w:rsid w:val="3EE33949"/>
    <w:rsid w:val="3EFB5800"/>
    <w:rsid w:val="3F213F58"/>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1F84B01"/>
    <w:rsid w:val="42293430"/>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07660"/>
    <w:rsid w:val="4FA743DA"/>
    <w:rsid w:val="4FB3565A"/>
    <w:rsid w:val="500F00E3"/>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C26F6F"/>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B3936"/>
    <w:rsid w:val="5B830730"/>
    <w:rsid w:val="5BBB2DD6"/>
    <w:rsid w:val="5BE263B6"/>
    <w:rsid w:val="5C8E5C5A"/>
    <w:rsid w:val="5C965E61"/>
    <w:rsid w:val="5CF5796F"/>
    <w:rsid w:val="5D242A11"/>
    <w:rsid w:val="5D4848EE"/>
    <w:rsid w:val="5D9217C2"/>
    <w:rsid w:val="5DAD06BF"/>
    <w:rsid w:val="5DE23CB3"/>
    <w:rsid w:val="5DE97EEC"/>
    <w:rsid w:val="5DFA5EB0"/>
    <w:rsid w:val="5E000E4D"/>
    <w:rsid w:val="5E0B583E"/>
    <w:rsid w:val="5E201A7B"/>
    <w:rsid w:val="5EBD0484"/>
    <w:rsid w:val="5F2C5C7C"/>
    <w:rsid w:val="5F36141C"/>
    <w:rsid w:val="5FC5273F"/>
    <w:rsid w:val="6048460C"/>
    <w:rsid w:val="604F6C39"/>
    <w:rsid w:val="60806DF2"/>
    <w:rsid w:val="61072DA5"/>
    <w:rsid w:val="611C0817"/>
    <w:rsid w:val="61224A52"/>
    <w:rsid w:val="61520CCB"/>
    <w:rsid w:val="61724C72"/>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A357A5"/>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40C4C"/>
    <w:rsid w:val="6A292754"/>
    <w:rsid w:val="6A5E3B28"/>
    <w:rsid w:val="6A6B1EBE"/>
    <w:rsid w:val="6A77261D"/>
    <w:rsid w:val="6A8F43F7"/>
    <w:rsid w:val="6AD625F3"/>
    <w:rsid w:val="6B7218BE"/>
    <w:rsid w:val="6B750BA9"/>
    <w:rsid w:val="6BB93285"/>
    <w:rsid w:val="6C0C698C"/>
    <w:rsid w:val="6C222401"/>
    <w:rsid w:val="6C56267F"/>
    <w:rsid w:val="6C7D371F"/>
    <w:rsid w:val="6C826EF9"/>
    <w:rsid w:val="6CAE4C93"/>
    <w:rsid w:val="6CEC2069"/>
    <w:rsid w:val="6D0B1869"/>
    <w:rsid w:val="6D65402D"/>
    <w:rsid w:val="6D683822"/>
    <w:rsid w:val="6D8D136C"/>
    <w:rsid w:val="6DBF2759"/>
    <w:rsid w:val="6DC96F36"/>
    <w:rsid w:val="6DFA3EBF"/>
    <w:rsid w:val="6E0A29DD"/>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2DC3F1C"/>
    <w:rsid w:val="73177841"/>
    <w:rsid w:val="733774FE"/>
    <w:rsid w:val="73617E1B"/>
    <w:rsid w:val="736D7653"/>
    <w:rsid w:val="738035CB"/>
    <w:rsid w:val="73852C46"/>
    <w:rsid w:val="7396335C"/>
    <w:rsid w:val="73C0333B"/>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7E552D2"/>
    <w:rsid w:val="78A27DF6"/>
    <w:rsid w:val="79285B3A"/>
    <w:rsid w:val="79625CA9"/>
    <w:rsid w:val="79A91196"/>
    <w:rsid w:val="7A0B32D3"/>
    <w:rsid w:val="7AC00826"/>
    <w:rsid w:val="7AC13CD3"/>
    <w:rsid w:val="7AE10264"/>
    <w:rsid w:val="7AE4248E"/>
    <w:rsid w:val="7B4A207F"/>
    <w:rsid w:val="7B936F45"/>
    <w:rsid w:val="7BA47419"/>
    <w:rsid w:val="7BB10D45"/>
    <w:rsid w:val="7BB44151"/>
    <w:rsid w:val="7C656A39"/>
    <w:rsid w:val="7CB93996"/>
    <w:rsid w:val="7CBE0F99"/>
    <w:rsid w:val="7D4E45F1"/>
    <w:rsid w:val="7DF338E2"/>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99"/>
    <w:pPr>
      <w:ind w:firstLine="200" w:firstLineChars="200"/>
    </w:pPr>
  </w:style>
  <w:style w:type="paragraph" w:styleId="7">
    <w:name w:val="annotation text"/>
    <w:basedOn w:val="1"/>
    <w:semiHidden/>
    <w:unhideWhenUsed/>
    <w:qFormat/>
    <w:uiPriority w:val="99"/>
    <w:pPr>
      <w:jc w:val="left"/>
    </w:p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Autospacing="1" w:after="0" w:afterAutospacing="1"/>
      <w:jc w:val="left"/>
    </w:pPr>
    <w:rPr>
      <w:rFonts w:cs="Times New Roman"/>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字符"/>
    <w:link w:val="3"/>
    <w:qFormat/>
    <w:uiPriority w:val="0"/>
    <w:rPr>
      <w:rFonts w:ascii="Calibri Light" w:hAnsi="Calibri Light" w:eastAsia="宋体" w:cs="Times New Roman"/>
      <w:b/>
      <w:bCs/>
      <w:sz w:val="28"/>
      <w:szCs w:val="32"/>
    </w:rPr>
  </w:style>
  <w:style w:type="character" w:customStyle="1" w:styleId="17">
    <w:name w:val="页脚 字符"/>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字符"/>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字符"/>
    <w:basedOn w:val="14"/>
    <w:link w:val="8"/>
    <w:semiHidden/>
    <w:qFormat/>
    <w:uiPriority w:val="99"/>
    <w:rPr>
      <w:rFonts w:asciiTheme="minorHAnsi" w:hAnsiTheme="minorHAnsi" w:eastAsiaTheme="minorEastAsia" w:cstheme="minorBidi"/>
      <w:sz w:val="18"/>
      <w:szCs w:val="18"/>
      <w:lang w:val="en-US" w:eastAsia="zh-CN" w:bidi="ar-SA"/>
    </w:rPr>
  </w:style>
  <w:style w:type="table" w:customStyle="1" w:styleId="26">
    <w:name w:val="网格型1"/>
    <w:qFormat/>
    <w:uiPriority w:val="0"/>
    <w:rPr>
      <w:rFonts w:ascii="Times New Roman" w:hAnsi="Times New Roman" w:cs="Times New Roman"/>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996ACE-787C-412D-91B2-87BD10C3E55F}">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37</Pages>
  <Words>8471</Words>
  <Characters>9335</Characters>
  <Lines>41</Lines>
  <Paragraphs>11</Paragraphs>
  <TotalTime>11</TotalTime>
  <ScaleCrop>false</ScaleCrop>
  <LinksUpToDate>false</LinksUpToDate>
  <CharactersWithSpaces>9586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2024-10-08T08:56:00Z</dcterms:created>
  <dc:creator>王明新TIAD</dc:creator>
  <cp:lastModifiedBy>王爷</cp:lastModifiedBy>
  <cp:lastPrinted>2024-10-23T01:55:00Z</cp:lastPrinted>
  <dcterms:modified xsi:type="dcterms:W3CDTF">2024-10-29T06:20:23Z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