
<file path=[Content_Types].xml><?xml version="1.0" encoding="utf-8"?>
<Types xmlns="http://schemas.openxmlformats.org/package/2006/content-types">
  <Default Extension="xml" ContentType="application/xml"/>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p>
    <w:p>
      <w:pPr>
        <w:widowControl/>
        <w:jc w:val="left"/>
      </w:pPr>
      <w:r>
        <w:drawing>
          <wp:anchor distT="0" distB="0" distL="114300" distR="114300" simplePos="0" relativeHeight="251661312" behindDoc="0" locked="0" layoutInCell="1" allowOverlap="1">
            <wp:simplePos x="0" y="0"/>
            <wp:positionH relativeFrom="column">
              <wp:posOffset>-95250</wp:posOffset>
            </wp:positionH>
            <wp:positionV relativeFrom="margin">
              <wp:posOffset>549275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06095" cy="506095"/>
                    </a:xfrm>
                    <a:prstGeom prst="rect">
                      <a:avLst/>
                    </a:prstGeom>
                  </pic:spPr>
                </pic:pic>
              </a:graphicData>
            </a:graphic>
          </wp:anchor>
        </w:drawing>
      </w:r>
    </w:p>
    <w:p>
      <w:pPr>
        <w:widowControl/>
        <w:jc w:val="left"/>
      </w:pPr>
      <w:r>
        <w:drawing>
          <wp:anchor distT="0" distB="0" distL="114300" distR="114300" simplePos="0" relativeHeight="251663360"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1"/>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2"/>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3"/>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0288"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165"/>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0288;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Dp1IfX3QAAAAwBAAAPAAAAAAAAAAEAIAAAACIAAABkcnMvZG93bnJl&#10;di54bWxQSwECFAAUAAAACACHTuJAz8A1lcADAACBDAAADgAAAAAAAAABACAAAAAsAQAAZHJzL2Uy&#10;b0RvYy54bWxQSwUGAAAAAAYABgBZAQAAXg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59264;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3360;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pPr>
        <w:widowControl/>
        <w:jc w:val="left"/>
      </w:pPr>
      <w:r>
        <w:drawing>
          <wp:anchor distT="0" distB="0" distL="114300" distR="114300" simplePos="0" relativeHeight="251662336" behindDoc="1" locked="0" layoutInCell="1" allowOverlap="1">
            <wp:simplePos x="0" y="0"/>
            <wp:positionH relativeFrom="margin">
              <wp:posOffset>-2893060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spacing w:line="600" w:lineRule="auto"/>
        <w:jc w:val="left"/>
        <w:rPr>
          <w:rFonts w:hint="eastAsia" w:ascii="楷体_GB2312" w:hAnsi="楷体_GB2312" w:eastAsia="楷体_GB2312" w:cs="楷体_GB2312"/>
          <w:color w:val="000000"/>
          <w:sz w:val="40"/>
          <w:szCs w:val="40"/>
        </w:rPr>
      </w:pPr>
      <w:r>
        <w:rPr>
          <w:rFonts w:ascii="黑体" w:hAnsi="黑体" w:eastAsia="黑体" w:cs="黑体"/>
          <w:color w:val="000000"/>
          <w:sz w:val="40"/>
          <w:szCs w:val="40"/>
        </w:rPr>
        <mc:AlternateContent>
          <mc:Choice Requires="wps">
            <w:drawing>
              <wp:anchor distT="45720" distB="45720" distL="114300" distR="114300" simplePos="0" relativeHeight="251665408" behindDoc="0" locked="0" layoutInCell="1" allowOverlap="1">
                <wp:simplePos x="0" y="0"/>
                <wp:positionH relativeFrom="column">
                  <wp:posOffset>1170940</wp:posOffset>
                </wp:positionH>
                <wp:positionV relativeFrom="paragraph">
                  <wp:posOffset>558165</wp:posOffset>
                </wp:positionV>
                <wp:extent cx="4105275" cy="171450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05275" cy="1714500"/>
                        </a:xfrm>
                        <a:prstGeom prst="rect">
                          <a:avLst/>
                        </a:prstGeom>
                        <a:noFill/>
                        <a:ln w="9525">
                          <a:noFill/>
                          <a:miter lim="800000"/>
                        </a:ln>
                      </wps:spPr>
                      <wps:txbx>
                        <w:txbxContent>
                          <w:p>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河北青龙物流产业聚集区管理委员会</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2.2pt;margin-top:43.95pt;height:135pt;width:323.25pt;z-index:251665408;mso-width-relative:page;mso-height-relative:page;" filled="f" stroked="f" coordsize="21600,21600" o:gfxdata="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Gyum1gAAAAoBAAAPAAAAAAAAAAEAIAAAACIAAABkcnMvZG93bnJldi54bWxQSwECFAAUAAAACACH&#10;TuJAs50sKiYCAAAsBAAADgAAAAAAAAABACAAAAAlAQAAZHJzL2Uyb0RvYy54bWxQSwUGAAAAAAYA&#10;BgBZAQAAvQUAAAAA&#10;">
                <v:fill on="f" focussize="0,0"/>
                <v:stroke on="f" miterlimit="8" joinstyle="miter"/>
                <v:imagedata o:title=""/>
                <o:lock v:ext="edit" aspectratio="f"/>
                <v:textbox>
                  <w:txbxContent>
                    <w:p>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河北青龙物流产业聚集区管理委员会</w:t>
                      </w:r>
                    </w:p>
                  </w:txbxContent>
                </v:textbox>
              </v:shape>
            </w:pict>
          </mc:Fallback>
        </mc:AlternateContent>
      </w: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 w:hAnsi="楷体" w:eastAsia="楷体" w:cs="黑体"/>
          <w:color w:val="000000"/>
          <w:sz w:val="40"/>
          <w:szCs w:val="40"/>
        </w:rPr>
        <w:t>771</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部门名称</w:t>
      </w:r>
      <w:r>
        <w:rPr>
          <w:rFonts w:hint="eastAsia" w:ascii="楷体_GB2312" w:hAnsi="楷体_GB2312" w:eastAsia="楷体_GB2312" w:cs="楷体_GB2312"/>
          <w:color w:val="000000"/>
          <w:sz w:val="40"/>
          <w:szCs w:val="40"/>
        </w:rPr>
        <w:t>：</w:t>
      </w:r>
    </w:p>
    <w:p>
      <w:pPr>
        <w:spacing w:line="600" w:lineRule="auto"/>
        <w:rPr>
          <w:rFonts w:hint="eastAsia" w:ascii="楷体_GB2312" w:hAnsi="楷体_GB2312" w:eastAsia="楷体_GB2312" w:cs="楷体_GB2312"/>
          <w:color w:val="000000"/>
          <w:sz w:val="40"/>
          <w:szCs w:val="40"/>
        </w:rPr>
      </w:pPr>
    </w:p>
    <w:p>
      <w:pPr>
        <w:spacing w:line="600" w:lineRule="auto"/>
        <w:rPr>
          <w:rFonts w:hint="eastAsia" w:ascii="楷体_GB2312" w:hAnsi="楷体_GB2312" w:eastAsia="楷体_GB2312" w:cs="楷体_GB2312"/>
          <w:color w:val="000000"/>
          <w:sz w:val="40"/>
          <w:szCs w:val="40"/>
        </w:rPr>
      </w:pPr>
    </w:p>
    <w:p>
      <w:pPr>
        <w:spacing w:line="600" w:lineRule="auto"/>
        <w:jc w:val="center"/>
        <w:rPr>
          <w:rFonts w:hint="eastAsia" w:ascii="楷体" w:hAnsi="楷体" w:eastAsia="楷体" w:cs="楷体_GB2312"/>
          <w:color w:val="000000"/>
          <w:sz w:val="40"/>
          <w:szCs w:val="40"/>
        </w:rPr>
      </w:pPr>
      <w:r>
        <w:rPr>
          <w:rFonts w:hint="eastAsia" w:ascii="楷体" w:hAnsi="楷体" w:eastAsia="楷体" w:cs="楷体_GB2312"/>
          <w:color w:val="000000"/>
          <w:sz w:val="40"/>
          <w:szCs w:val="40"/>
        </w:rPr>
        <w:t>二〇二四年十月</w:t>
      </w:r>
    </w:p>
    <w:p>
      <w:pPr>
        <w:spacing w:line="600" w:lineRule="auto"/>
        <w:jc w:val="center"/>
        <w:rPr>
          <w:rFonts w:hint="eastAsia" w:ascii="楷体" w:hAnsi="楷体" w:eastAsia="楷体" w:cs="楷体_GB2312"/>
          <w:color w:val="000000"/>
          <w:sz w:val="40"/>
          <w:szCs w:val="40"/>
        </w:rPr>
      </w:pPr>
    </w:p>
    <w:p>
      <w:pPr>
        <w:tabs>
          <w:tab w:val="left" w:pos="2728"/>
        </w:tabs>
        <w:jc w:val="center"/>
        <w:rPr>
          <w:rFonts w:ascii="黑体" w:hAnsi="Times New Roman" w:eastAsia="黑体" w:cs="Times New Roman"/>
          <w:sz w:val="48"/>
          <w:szCs w:val="48"/>
        </w:rPr>
      </w:pPr>
    </w:p>
    <w:p>
      <w:pPr>
        <w:tabs>
          <w:tab w:val="left" w:pos="2728"/>
        </w:tabs>
        <w:spacing w:after="0" w:line="360" w:lineRule="auto"/>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0" w:line="360" w:lineRule="auto"/>
        <w:ind w:firstLine="640" w:firstLineChars="200"/>
        <w:rPr>
          <w:rFonts w:ascii="Times New Roman" w:hAnsi="Times New Roman" w:eastAsia="黑体" w:cs="Times New Roman"/>
          <w:sz w:val="32"/>
          <w:szCs w:val="32"/>
        </w:rPr>
      </w:pPr>
    </w:p>
    <w:p>
      <w:pPr>
        <w:widowControl/>
        <w:spacing w:after="0" w:line="360" w:lineRule="auto"/>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黑体" w:hAnsi="黑体" w:eastAsia="黑体" w:cs="Times New Roman"/>
          <w:sz w:val="32"/>
          <w:szCs w:val="32"/>
        </w:rPr>
        <w:t>部门</w:t>
      </w:r>
      <w:r>
        <w:rPr>
          <w:rFonts w:ascii="Times New Roman" w:hAnsi="Times New Roman" w:eastAsia="黑体" w:cs="Times New Roman"/>
          <w:sz w:val="32"/>
          <w:szCs w:val="32"/>
        </w:rPr>
        <w:t>概况</w:t>
      </w:r>
    </w:p>
    <w:p>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部门职责</w:t>
      </w:r>
    </w:p>
    <w:p>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机构设置</w:t>
      </w:r>
    </w:p>
    <w:p>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w:t>
      </w:r>
      <w:r>
        <w:rPr>
          <w:rFonts w:ascii="Times New Roman" w:hAnsi="Times New Roman" w:eastAsia="黑体" w:cs="Times New Roman"/>
          <w:sz w:val="32"/>
          <w:szCs w:val="32"/>
        </w:rPr>
        <w:t>度部门决算报表</w:t>
      </w:r>
    </w:p>
    <w:p>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收入支出决算总表</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w:t>
      </w:r>
      <w:r>
        <w:rPr>
          <w:rFonts w:hint="eastAsia" w:ascii="仿宋" w:hAnsi="仿宋" w:eastAsia="仿宋" w:cs="Times New Roman"/>
          <w:sz w:val="32"/>
          <w:szCs w:val="32"/>
        </w:rPr>
        <w:t>表</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w:t>
      </w:r>
      <w:r>
        <w:rPr>
          <w:rFonts w:hint="eastAsia" w:ascii="仿宋" w:hAnsi="仿宋" w:eastAsia="仿宋" w:cs="Times New Roman"/>
          <w:sz w:val="32"/>
          <w:szCs w:val="32"/>
        </w:rPr>
        <w:t>表</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四、</w:t>
      </w:r>
      <w:r>
        <w:rPr>
          <w:rFonts w:hint="eastAsia" w:ascii="仿宋" w:hAnsi="仿宋" w:eastAsia="仿宋" w:cs="Times New Roman"/>
          <w:sz w:val="32"/>
          <w:szCs w:val="32"/>
        </w:rPr>
        <w:t>财政拨款收入支出决算总表</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五、一般公共预算财政拨款支出决算表</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六、一般公共预算财政拨款基本支出决算明细表</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七、政府性基金预算财政拨款收入支出决算表</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w:t>
      </w:r>
      <w:r>
        <w:rPr>
          <w:rFonts w:ascii="仿宋" w:hAnsi="仿宋" w:eastAsia="仿宋" w:cs="Times New Roman"/>
          <w:sz w:val="32"/>
          <w:szCs w:val="32"/>
        </w:rPr>
        <w:t>、</w:t>
      </w:r>
      <w:r>
        <w:rPr>
          <w:rFonts w:hint="eastAsia" w:ascii="仿宋" w:hAnsi="仿宋" w:eastAsia="仿宋" w:cs="Times New Roman"/>
          <w:sz w:val="32"/>
          <w:szCs w:val="32"/>
        </w:rPr>
        <w:t>国有资本经营预算财政拨款支出决算表</w:t>
      </w:r>
    </w:p>
    <w:p>
      <w:pPr>
        <w:widowControl/>
        <w:spacing w:after="0" w:line="360" w:lineRule="auto"/>
        <w:ind w:left="640" w:firstLine="640" w:firstLineChars="200"/>
        <w:rPr>
          <w:rFonts w:ascii="Times New Roman" w:hAnsi="Times New Roman" w:eastAsia="仿宋_GB2312" w:cs="Times New Roman"/>
          <w:sz w:val="20"/>
          <w:szCs w:val="32"/>
        </w:rPr>
      </w:pPr>
      <w:r>
        <w:rPr>
          <w:rFonts w:hint="eastAsia" w:ascii="仿宋" w:hAnsi="仿宋" w:eastAsia="仿宋" w:cs="Times New Roman"/>
          <w:sz w:val="32"/>
          <w:szCs w:val="32"/>
        </w:rPr>
        <w:t>九、财政拨款“三公”经费支出决算表</w:t>
      </w:r>
    </w:p>
    <w:p>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年度</w:t>
      </w:r>
      <w:r>
        <w:rPr>
          <w:rFonts w:ascii="Times New Roman" w:hAnsi="Times New Roman" w:eastAsia="黑体" w:cs="Times New Roman"/>
          <w:sz w:val="32"/>
          <w:szCs w:val="32"/>
        </w:rPr>
        <w:t>部门决算情况说明</w:t>
      </w:r>
    </w:p>
    <w:p>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收入支出决算总体情况说明</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二、收入决算情况说明</w:t>
      </w:r>
    </w:p>
    <w:p>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四、财政拨款收入支出决算总体情况说明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五、财政拨款“三公” 经费支出决算情况说明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六、机关运行经费支出说明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七、政府采购支出说明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八、国有资产占用情况说明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九、预算绩效情况说明</w:t>
      </w:r>
    </w:p>
    <w:p>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十、其他需要说明的情况</w:t>
      </w:r>
    </w:p>
    <w:p>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ascii="Times New Roman" w:hAnsi="Times New Roman" w:eastAsia="黑体" w:cs="Times New Roman"/>
          <w:sz w:val="32"/>
          <w:szCs w:val="32"/>
        </w:rPr>
      </w:pPr>
    </w:p>
    <w:p>
      <w:pPr>
        <w:rPr>
          <w:rFonts w:ascii="Times New Roman" w:hAnsi="Times New Roman" w:eastAsia="黑体" w:cs="Times New Roman"/>
          <w:sz w:val="32"/>
          <w:szCs w:val="32"/>
        </w:rPr>
      </w:pPr>
    </w:p>
    <w:p>
      <w:pPr>
        <w:rPr>
          <w:rFonts w:ascii="Times New Roman" w:hAnsi="Times New Roman" w:eastAsia="黑体" w:cs="Times New Roman"/>
          <w:sz w:val="32"/>
          <w:szCs w:val="32"/>
        </w:rPr>
      </w:pPr>
    </w:p>
    <w:p>
      <w:pPr>
        <w:rPr>
          <w:rFonts w:ascii="Times New Roman" w:hAnsi="Times New Roman" w:eastAsia="黑体" w:cs="Times New Roman"/>
          <w:sz w:val="32"/>
          <w:szCs w:val="32"/>
        </w:rPr>
      </w:pPr>
    </w:p>
    <w:p>
      <w:pP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tabs>
          <w:tab w:val="center" w:pos="4422"/>
        </w:tabs>
        <w:rPr>
          <w:rFonts w:ascii="Times New Roman" w:hAnsi="Times New Roman" w:eastAsia="黑体" w:cs="Times New Roman"/>
          <w:sz w:val="32"/>
          <w:szCs w:val="32"/>
        </w:rPr>
        <w:sectPr>
          <w:footerReference r:id="rId6" w:type="first"/>
          <w:footerReference r:id="rId5" w:type="default"/>
          <w:pgSz w:w="11906" w:h="16838"/>
          <w:pgMar w:top="1474" w:right="1531" w:bottom="1474" w:left="1531" w:header="851" w:footer="510" w:gutter="0"/>
          <w:cols w:space="0" w:num="1"/>
          <w:titlePg/>
          <w:docGrid w:type="lines" w:linePitch="326" w:charSpace="0"/>
        </w:sectPr>
      </w:pPr>
      <w:r>
        <w:rPr>
          <w:rFonts w:ascii="Times New Roman" w:hAnsi="Times New Roman" w:eastAsia="黑体" w:cs="Times New Roman"/>
          <w:sz w:val="32"/>
          <w:szCs w:val="32"/>
        </w:rPr>
        <w:tab/>
      </w:r>
    </w:p>
    <w:p>
      <w:pPr>
        <w:spacing w:line="360" w:lineRule="auto"/>
        <w:rPr>
          <w:rFonts w:ascii="Arial" w:hAnsi="Arial" w:eastAsia="Arial" w:cs="Arial"/>
          <w:color w:val="000000"/>
          <w:sz w:val="18"/>
          <w:szCs w:val="18"/>
          <w:shd w:val="clear" w:color="auto" w:fill="FFFFFF"/>
        </w:rPr>
      </w:pPr>
    </w:p>
    <w:p>
      <w:pPr>
        <w:pStyle w:val="11"/>
        <w:widowControl/>
        <w:shd w:val="clear" w:color="auto" w:fill="FFFFFF"/>
        <w:spacing w:beforeAutospacing="0" w:afterAutospacing="0" w:line="360" w:lineRule="auto"/>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line="360" w:lineRule="auto"/>
        <w:rPr>
          <w:rFonts w:ascii="Arial" w:hAnsi="Arial" w:eastAsia="Arial" w:cs="Arial"/>
          <w:color w:val="000000"/>
          <w:sz w:val="18"/>
          <w:szCs w:val="18"/>
          <w:shd w:val="clear" w:color="auto" w:fill="FFFFFF"/>
        </w:rPr>
      </w:pPr>
    </w:p>
    <w:p>
      <w:pPr>
        <w:pStyle w:val="11"/>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1"/>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1"/>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1"/>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1"/>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pPr>
        <w:pStyle w:val="11"/>
        <w:widowControl/>
        <w:shd w:val="clear" w:color="auto" w:fill="FFFFFF"/>
        <w:spacing w:beforeAutospacing="0" w:afterAutospacing="0" w:line="360" w:lineRule="auto"/>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部门概况</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1"/>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pPr>
        <w:pStyle w:val="3"/>
        <w:numPr>
          <w:ilvl w:val="0"/>
          <w:numId w:val="0"/>
        </w:numPr>
        <w:spacing w:before="0" w:after="0" w:line="580" w:lineRule="exact"/>
        <w:ind w:leftChars="200"/>
        <w:jc w:val="left"/>
        <w:rPr>
          <w:rFonts w:ascii="黑体" w:eastAsia="黑体" w:cs="黑体"/>
          <w:b w:val="0"/>
          <w:bCs w:val="0"/>
          <w:kern w:val="0"/>
          <w:sz w:val="32"/>
          <w:szCs w:val="32"/>
        </w:rPr>
      </w:pPr>
      <w:r>
        <w:rPr>
          <w:rFonts w:hint="eastAsia" w:ascii="黑体" w:eastAsia="黑体" w:cs="黑体"/>
          <w:b w:val="0"/>
          <w:bCs w:val="0"/>
          <w:kern w:val="0"/>
          <w:sz w:val="32"/>
          <w:szCs w:val="32"/>
        </w:rPr>
        <w:t>一、</w:t>
      </w:r>
      <w:r>
        <w:rPr>
          <w:rFonts w:ascii="黑体" w:eastAsia="黑体" w:cs="黑体"/>
          <w:b w:val="0"/>
          <w:bCs w:val="0"/>
          <w:kern w:val="0"/>
          <w:sz w:val="32"/>
          <w:szCs w:val="32"/>
        </w:rPr>
        <w:t>部门</w:t>
      </w:r>
      <w:r>
        <w:rPr>
          <w:rFonts w:hint="eastAsia" w:ascii="黑体" w:eastAsia="黑体" w:cs="黑体"/>
          <w:b w:val="0"/>
          <w:bCs w:val="0"/>
          <w:kern w:val="0"/>
          <w:sz w:val="32"/>
          <w:szCs w:val="32"/>
        </w:rPr>
        <w:t>职责</w:t>
      </w:r>
    </w:p>
    <w:p>
      <w:pPr>
        <w:numPr>
          <w:ilvl w:val="0"/>
          <w:numId w:val="0"/>
        </w:numPr>
        <w:spacing w:line="560" w:lineRule="exact"/>
        <w:ind w:firstLine="643" w:firstLineChars="200"/>
        <w:rPr>
          <w:rFonts w:hint="eastAsia" w:ascii="黑体" w:eastAsia="楷体_GB2312" w:cs="黑体"/>
          <w:b/>
          <w:kern w:val="0"/>
          <w:sz w:val="32"/>
          <w:szCs w:val="32"/>
          <w:lang w:eastAsia="zh-CN"/>
        </w:rPr>
      </w:pPr>
      <w:r>
        <w:rPr>
          <w:rFonts w:hint="eastAsia" w:ascii="黑体" w:eastAsia="楷体_GB2312" w:cs="黑体"/>
          <w:b/>
          <w:kern w:val="0"/>
          <w:sz w:val="32"/>
          <w:szCs w:val="32"/>
          <w:lang w:eastAsia="zh-CN"/>
        </w:rPr>
        <w:t>（一）基本情况</w:t>
      </w:r>
    </w:p>
    <w:p>
      <w:pPr>
        <w:numPr>
          <w:ilvl w:val="0"/>
          <w:numId w:val="0"/>
        </w:numPr>
        <w:spacing w:line="560" w:lineRule="exact"/>
        <w:ind w:firstLine="643" w:firstLineChars="200"/>
        <w:rPr>
          <w:rFonts w:hint="eastAsia" w:ascii="黑体" w:eastAsia="仿宋_GB2312" w:cs="黑体"/>
          <w:b/>
          <w:kern w:val="0"/>
          <w:sz w:val="32"/>
          <w:szCs w:val="32"/>
          <w:lang w:val="en-US" w:eastAsia="zh-CN"/>
        </w:rPr>
      </w:pPr>
      <w:r>
        <w:rPr>
          <w:rFonts w:hint="eastAsia" w:ascii="黑体" w:eastAsia="仿宋_GB2312" w:cs="黑体"/>
          <w:b/>
          <w:kern w:val="0"/>
          <w:sz w:val="32"/>
          <w:szCs w:val="32"/>
          <w:lang w:val="en-US" w:eastAsia="zh-CN"/>
        </w:rPr>
        <w:t>1.主要职能。</w:t>
      </w:r>
    </w:p>
    <w:p>
      <w:pPr>
        <w:spacing w:line="579" w:lineRule="exact"/>
        <w:ind w:firstLine="588"/>
        <w:rPr>
          <w:rFonts w:ascii="仿宋_GB2312" w:hAnsi="Times New Roman" w:eastAsia="仿宋_GB2312" w:cs="DengXian-Regular"/>
          <w:sz w:val="32"/>
          <w:szCs w:val="32"/>
        </w:rPr>
      </w:pPr>
      <w:r>
        <w:rPr>
          <w:rFonts w:hint="eastAsia" w:ascii="仿宋_GB2312" w:hAnsi="Times New Roman" w:eastAsia="仿宋_GB2312" w:cs="DengXian-Regular"/>
          <w:sz w:val="32"/>
          <w:szCs w:val="32"/>
        </w:rPr>
        <w:t>（一）</w:t>
      </w:r>
      <w:r>
        <w:rPr>
          <w:rFonts w:hint="eastAsia" w:ascii="仿宋_GB2312" w:eastAsia="仿宋_GB2312" w:cs="DengXian-Regular"/>
          <w:sz w:val="32"/>
          <w:szCs w:val="32"/>
        </w:rPr>
        <w:t>河北青龙物流产业聚集区</w:t>
      </w:r>
      <w:r>
        <w:rPr>
          <w:rFonts w:hint="eastAsia" w:ascii="仿宋_GB2312" w:hAnsi="Times New Roman" w:eastAsia="仿宋_GB2312" w:cs="DengXian-Regular"/>
          <w:sz w:val="32"/>
          <w:szCs w:val="32"/>
        </w:rPr>
        <w:t>党工委主要职责</w:t>
      </w:r>
      <w:r>
        <w:rPr>
          <w:rFonts w:hint="eastAsia" w:ascii="仿宋_GB2312" w:eastAsia="仿宋_GB2312" w:cs="DengXian-Regular"/>
          <w:sz w:val="32"/>
          <w:szCs w:val="32"/>
        </w:rPr>
        <w:t>：</w:t>
      </w:r>
      <w:r>
        <w:rPr>
          <w:rFonts w:hint="eastAsia" w:ascii="仿宋_GB2312" w:hAnsi="Times New Roman" w:eastAsia="仿宋_GB2312" w:cs="DengXian-Regular"/>
          <w:sz w:val="32"/>
          <w:szCs w:val="32"/>
        </w:rPr>
        <w:t>贯彻落实党的路线、方针、政策和上级党委的决议、指示；研究</w:t>
      </w:r>
      <w:r>
        <w:rPr>
          <w:rFonts w:hint="eastAsia" w:ascii="仿宋_GB2312" w:eastAsia="仿宋_GB2312" w:cs="DengXian-Regular"/>
          <w:sz w:val="32"/>
          <w:szCs w:val="32"/>
        </w:rPr>
        <w:t>聚集区</w:t>
      </w:r>
      <w:r>
        <w:rPr>
          <w:rFonts w:hint="eastAsia" w:ascii="仿宋_GB2312" w:hAnsi="Times New Roman" w:eastAsia="仿宋_GB2312" w:cs="DengXian-Regular"/>
          <w:sz w:val="32"/>
          <w:szCs w:val="32"/>
        </w:rPr>
        <w:t>重大经济社会发展问题；按照授权和干部管理权限负责</w:t>
      </w:r>
      <w:r>
        <w:rPr>
          <w:rFonts w:hint="eastAsia" w:ascii="仿宋_GB2312" w:eastAsia="仿宋_GB2312" w:cs="DengXian-Regular"/>
          <w:sz w:val="32"/>
          <w:szCs w:val="32"/>
        </w:rPr>
        <w:t>聚集区</w:t>
      </w:r>
      <w:r>
        <w:rPr>
          <w:rFonts w:hint="eastAsia" w:ascii="仿宋_GB2312" w:hAnsi="Times New Roman" w:eastAsia="仿宋_GB2312" w:cs="DengXian-Regular"/>
          <w:sz w:val="32"/>
          <w:szCs w:val="32"/>
        </w:rPr>
        <w:t>干部管理；负责</w:t>
      </w:r>
      <w:r>
        <w:rPr>
          <w:rFonts w:hint="eastAsia" w:ascii="仿宋_GB2312" w:eastAsia="仿宋_GB2312" w:cs="DengXian-Regular"/>
          <w:sz w:val="32"/>
          <w:szCs w:val="32"/>
        </w:rPr>
        <w:t>聚集区</w:t>
      </w:r>
      <w:r>
        <w:rPr>
          <w:rFonts w:hint="eastAsia" w:ascii="仿宋_GB2312" w:hAnsi="Times New Roman" w:eastAsia="仿宋_GB2312" w:cs="DengXian-Regular"/>
          <w:sz w:val="32"/>
          <w:szCs w:val="32"/>
        </w:rPr>
        <w:t>党的建设和其他党务工作；负责</w:t>
      </w:r>
      <w:r>
        <w:rPr>
          <w:rFonts w:hint="eastAsia" w:ascii="仿宋_GB2312" w:eastAsia="仿宋_GB2312" w:cs="DengXian-Regular"/>
          <w:sz w:val="32"/>
          <w:szCs w:val="32"/>
        </w:rPr>
        <w:t>聚集区</w:t>
      </w:r>
      <w:r>
        <w:rPr>
          <w:rFonts w:hint="eastAsia" w:ascii="仿宋_GB2312" w:hAnsi="Times New Roman" w:eastAsia="仿宋_GB2312" w:cs="DengXian-Regular"/>
          <w:sz w:val="32"/>
          <w:szCs w:val="32"/>
        </w:rPr>
        <w:t>宣传和精神文明建设工作；</w:t>
      </w:r>
      <w:r>
        <w:rPr>
          <w:rFonts w:hint="eastAsia" w:ascii="仿宋_GB2312" w:eastAsia="仿宋_GB2312" w:cs="DengXian-Regular"/>
          <w:sz w:val="32"/>
          <w:szCs w:val="32"/>
        </w:rPr>
        <w:t>负责聚集区营商环境建设；</w:t>
      </w:r>
      <w:r>
        <w:rPr>
          <w:rFonts w:hint="eastAsia" w:ascii="仿宋_GB2312" w:hAnsi="Times New Roman" w:eastAsia="仿宋_GB2312" w:cs="DengXian-Regular"/>
          <w:sz w:val="32"/>
          <w:szCs w:val="32"/>
        </w:rPr>
        <w:t>负责</w:t>
      </w:r>
      <w:r>
        <w:rPr>
          <w:rFonts w:hint="eastAsia" w:ascii="仿宋_GB2312" w:eastAsia="仿宋_GB2312" w:cs="DengXian-Regular"/>
          <w:sz w:val="32"/>
          <w:szCs w:val="32"/>
        </w:rPr>
        <w:t>聚集区</w:t>
      </w:r>
      <w:r>
        <w:rPr>
          <w:rFonts w:hint="eastAsia" w:ascii="仿宋_GB2312" w:hAnsi="Times New Roman" w:eastAsia="仿宋_GB2312" w:cs="DengXian-Regular"/>
          <w:sz w:val="32"/>
          <w:szCs w:val="32"/>
        </w:rPr>
        <w:t>党的纪律检查工作；负责</w:t>
      </w:r>
      <w:r>
        <w:rPr>
          <w:rFonts w:hint="eastAsia" w:ascii="仿宋_GB2312" w:eastAsia="仿宋_GB2312" w:cs="DengXian-Regular"/>
          <w:sz w:val="32"/>
          <w:szCs w:val="32"/>
        </w:rPr>
        <w:t>聚集区</w:t>
      </w:r>
      <w:r>
        <w:rPr>
          <w:rFonts w:hint="eastAsia" w:ascii="仿宋_GB2312" w:hAnsi="Times New Roman" w:eastAsia="仿宋_GB2312" w:cs="DengXian-Regular"/>
          <w:sz w:val="32"/>
          <w:szCs w:val="32"/>
        </w:rPr>
        <w:t>工会、共青团、妇联等群团工作；完成县委交办的其他</w:t>
      </w:r>
      <w:r>
        <w:rPr>
          <w:rFonts w:hint="eastAsia" w:ascii="仿宋_GB2312" w:eastAsia="仿宋_GB2312" w:cs="DengXian-Regular"/>
          <w:sz w:val="32"/>
          <w:szCs w:val="32"/>
        </w:rPr>
        <w:t>工作任务</w:t>
      </w:r>
      <w:r>
        <w:rPr>
          <w:rFonts w:hint="eastAsia" w:ascii="仿宋_GB2312" w:hAnsi="Times New Roman" w:eastAsia="仿宋_GB2312" w:cs="DengXian-Regular"/>
          <w:sz w:val="32"/>
          <w:szCs w:val="32"/>
        </w:rPr>
        <w:t>。</w:t>
      </w:r>
    </w:p>
    <w:p>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河北青龙物流产业聚集区管委主要职责：编制辖区的总体经济规划和经济、社会发展规划，经批准后组织实施；编制辖区区域性城市发展规划、国土利用规划，经批准后组织实施；审核或审批辖区固定资产投资项目，负责辖区基础设施、公用设施的建设与管理；负责辖区财政管理，实施辖区内财政预算、决算、国有资产管理和财政监督工作；负责辖区招商引资、进出口贸易和国内外经济技术合作工作；负责辖区项目建设、企业发展服务、物流网络布局和物流信息平台建设工作；负责规划辖区内环境保护和安全生产监督管理工作；负责协调辖区内上级有关部门派驻机构的工作；负责青龙满族自治县人民政府交办的其他事项。</w:t>
      </w:r>
    </w:p>
    <w:p>
      <w:pPr>
        <w:pStyle w:val="2"/>
        <w:rPr>
          <w:rFonts w:hint="eastAsia"/>
          <w:b w:val="0"/>
          <w:lang w:val="en-US" w:eastAsia="zh-CN"/>
        </w:rPr>
      </w:pPr>
    </w:p>
    <w:p>
      <w:pPr>
        <w:pStyle w:val="2"/>
        <w:rPr>
          <w:rFonts w:hint="eastAsia" w:ascii="黑体" w:eastAsia="仿宋_GB2312" w:cs="黑体"/>
          <w:b/>
          <w:kern w:val="0"/>
          <w:sz w:val="32"/>
          <w:szCs w:val="32"/>
          <w:lang w:val="en-US" w:eastAsia="zh-CN"/>
        </w:rPr>
      </w:pPr>
      <w:r>
        <w:rPr>
          <w:rFonts w:hint="eastAsia" w:ascii="黑体" w:eastAsia="仿宋_GB2312" w:cs="黑体"/>
          <w:b/>
          <w:kern w:val="0"/>
          <w:sz w:val="32"/>
          <w:szCs w:val="32"/>
          <w:lang w:val="en-US" w:eastAsia="zh-CN"/>
        </w:rPr>
        <w:t>2.机构情况，包括当年变动及原因。</w:t>
      </w:r>
    </w:p>
    <w:p>
      <w:pPr>
        <w:ind w:firstLine="640" w:firstLineChars="200"/>
        <w:rPr>
          <w:rFonts w:hint="default"/>
          <w:b w:val="0"/>
          <w:lang w:val="en-US" w:eastAsia="zh-CN"/>
        </w:rPr>
      </w:pPr>
      <w:r>
        <w:rPr>
          <w:rFonts w:hint="eastAsia" w:ascii="黑体" w:eastAsia="仿宋_GB2312" w:cs="黑体"/>
          <w:b w:val="0"/>
          <w:kern w:val="0"/>
          <w:sz w:val="32"/>
          <w:szCs w:val="32"/>
          <w:lang w:val="en-US" w:eastAsia="zh-CN"/>
        </w:rPr>
        <w:t>无</w:t>
      </w:r>
    </w:p>
    <w:p>
      <w:pPr>
        <w:numPr>
          <w:ilvl w:val="0"/>
          <w:numId w:val="0"/>
        </w:numPr>
        <w:spacing w:line="560" w:lineRule="exact"/>
        <w:ind w:firstLine="643" w:firstLineChars="200"/>
        <w:rPr>
          <w:rFonts w:hint="eastAsia" w:ascii="黑体" w:eastAsia="楷体_GB2312" w:cs="黑体"/>
          <w:b/>
          <w:kern w:val="0"/>
          <w:sz w:val="32"/>
          <w:szCs w:val="32"/>
          <w:lang w:eastAsia="zh-CN"/>
        </w:rPr>
      </w:pPr>
      <w:r>
        <w:rPr>
          <w:rFonts w:hint="eastAsia" w:ascii="黑体" w:eastAsia="楷体_GB2312" w:cs="黑体"/>
          <w:b/>
          <w:kern w:val="0"/>
          <w:sz w:val="32"/>
          <w:szCs w:val="32"/>
          <w:lang w:eastAsia="zh-CN"/>
        </w:rPr>
        <w:t>（二）当年取得的主要事业成效</w:t>
      </w:r>
    </w:p>
    <w:p>
      <w:pPr>
        <w:numPr>
          <w:ilvl w:val="0"/>
          <w:numId w:val="0"/>
        </w:numPr>
        <w:spacing w:line="560" w:lineRule="exact"/>
        <w:ind w:firstLine="643" w:firstLineChars="200"/>
        <w:rPr>
          <w:rFonts w:hint="eastAsia" w:ascii="楷体_GB2312" w:eastAsia="仿宋_GB2312"/>
          <w:b/>
          <w:color w:val="000000"/>
          <w:sz w:val="32"/>
          <w:szCs w:val="32"/>
          <w:lang w:eastAsia="zh-CN"/>
        </w:rPr>
      </w:pPr>
      <w:r>
        <w:rPr>
          <w:rFonts w:hint="eastAsia" w:ascii="楷体_GB2312" w:eastAsia="仿宋_GB2312"/>
          <w:b/>
          <w:color w:val="000000"/>
          <w:sz w:val="32"/>
          <w:szCs w:val="32"/>
          <w:lang w:eastAsia="zh-CN"/>
        </w:rPr>
        <w:t>概述部门工作开展情况及主要事业成效。</w:t>
      </w:r>
    </w:p>
    <w:p>
      <w:pPr>
        <w:numPr>
          <w:ilvl w:val="0"/>
          <w:numId w:val="0"/>
        </w:numPr>
        <w:spacing w:line="560" w:lineRule="exact"/>
        <w:ind w:firstLine="643" w:firstLineChars="200"/>
        <w:rPr>
          <w:rFonts w:hint="eastAsia" w:ascii="仿宋_GB2312" w:eastAsia="仿宋_GB2312"/>
          <w:sz w:val="32"/>
          <w:szCs w:val="32"/>
        </w:rPr>
      </w:pPr>
      <w:r>
        <w:rPr>
          <w:rFonts w:hint="eastAsia" w:ascii="楷体_GB2312" w:eastAsia="楷体_GB2312"/>
          <w:b/>
          <w:color w:val="000000"/>
          <w:sz w:val="32"/>
          <w:szCs w:val="32"/>
          <w:lang w:val="en-US" w:eastAsia="zh-CN"/>
        </w:rPr>
        <w:t>1.</w:t>
      </w:r>
      <w:r>
        <w:rPr>
          <w:rFonts w:hint="eastAsia" w:ascii="楷体_GB2312" w:eastAsia="楷体_GB2312"/>
          <w:b/>
          <w:color w:val="000000"/>
          <w:sz w:val="32"/>
          <w:szCs w:val="32"/>
        </w:rPr>
        <w:t>因地制宜谋划项目。</w:t>
      </w:r>
      <w:r>
        <w:rPr>
          <w:rFonts w:hint="eastAsia" w:ascii="仿宋_GB2312" w:hAnsi="Calibri" w:eastAsia="仿宋_GB2312"/>
          <w:sz w:val="32"/>
          <w:szCs w:val="32"/>
        </w:rPr>
        <w:t>紧密结合聚集区</w:t>
      </w:r>
      <w:r>
        <w:rPr>
          <w:rFonts w:hint="eastAsia" w:ascii="仿宋_GB2312" w:eastAsia="仿宋_GB2312"/>
          <w:sz w:val="32"/>
          <w:szCs w:val="32"/>
        </w:rPr>
        <w:t>产业发展定位</w:t>
      </w:r>
      <w:r>
        <w:rPr>
          <w:rFonts w:hint="eastAsia" w:ascii="仿宋_GB2312" w:eastAsia="仿宋_GB2312" w:cs="Arial"/>
          <w:color w:val="000000"/>
          <w:sz w:val="32"/>
          <w:szCs w:val="32"/>
        </w:rPr>
        <w:t>和县域资源禀赋，通过研判</w:t>
      </w:r>
      <w:r>
        <w:rPr>
          <w:rFonts w:hint="eastAsia" w:ascii="仿宋_GB2312" w:eastAsia="仿宋_GB2312"/>
          <w:sz w:val="32"/>
          <w:szCs w:val="32"/>
        </w:rPr>
        <w:t>国家投资重点方向，采取全员集体研究、副主任牵头负责等方式，积极对接发改、审批、农业农村等部门，先后共谋划项目19个（包括1个10亿元以上项目，10个1亿元以上项目，7个5000万元以上项目，1个5000万元以下项目），其中农产品深加工项目9个（食用菌深加工、板栗深加工、安梨深加工、山楂深加工、枣深加工、豆制品深加工、酱菜深加工、生物质颗粒加工、屠宰肉食深加工），物流中心项目3个（矿产品交易中心、农产品交易中心和物流配送中心），基础设施建设项目3个（管理服务中心改造、桥梁道路等建设、垃圾填埋场），农旅观光、石材产业园、矿泉水、污水处理厂二期等项目4个。</w:t>
      </w:r>
    </w:p>
    <w:p>
      <w:pPr>
        <w:spacing w:line="560" w:lineRule="exact"/>
        <w:ind w:firstLine="643" w:firstLineChars="200"/>
        <w:rPr>
          <w:rFonts w:ascii="仿宋_GB2312" w:eastAsia="仿宋_GB2312"/>
          <w:color w:val="000000"/>
          <w:sz w:val="32"/>
          <w:szCs w:val="32"/>
        </w:rPr>
      </w:pPr>
      <w:r>
        <w:rPr>
          <w:rFonts w:hint="eastAsia" w:ascii="楷体_GB2312" w:hAnsi="楷体_GB2312" w:eastAsia="楷体_GB2312" w:cs="楷体_GB2312"/>
          <w:b/>
          <w:color w:val="000000"/>
          <w:sz w:val="32"/>
          <w:szCs w:val="32"/>
          <w:lang w:val="en-US" w:eastAsia="zh-CN"/>
        </w:rPr>
        <w:t>2.</w:t>
      </w:r>
      <w:r>
        <w:rPr>
          <w:rFonts w:hint="eastAsia" w:ascii="楷体_GB2312" w:hAnsi="楷体_GB2312" w:eastAsia="楷体_GB2312" w:cs="楷体_GB2312"/>
          <w:b/>
          <w:color w:val="000000"/>
          <w:sz w:val="32"/>
          <w:szCs w:val="32"/>
        </w:rPr>
        <w:t>有的放矢开展招商。</w:t>
      </w:r>
      <w:r>
        <w:rPr>
          <w:rFonts w:hint="eastAsia" w:ascii="仿宋_GB2312" w:hAnsi="仿宋_GB2312" w:eastAsia="仿宋_GB2312" w:cs="仿宋_GB2312"/>
          <w:color w:val="000000"/>
          <w:kern w:val="0"/>
          <w:sz w:val="32"/>
          <w:szCs w:val="32"/>
          <w:lang w:bidi="ar"/>
        </w:rPr>
        <w:t>严格落实“三级书记”抓招商的要求，主要领导亲自谋划、经常调度、带头招商。发挥主管招商工作人员主力军作用的同时，落实全员招商要求。</w:t>
      </w:r>
      <w:r>
        <w:rPr>
          <w:rFonts w:hint="eastAsia" w:ascii="仿宋_GB2312" w:eastAsia="仿宋_GB2312"/>
          <w:sz w:val="32"/>
          <w:szCs w:val="32"/>
        </w:rPr>
        <w:t>坚持线上与线下相结合，</w:t>
      </w:r>
      <w:r>
        <w:rPr>
          <w:rFonts w:hint="eastAsia" w:ascii="仿宋_GB2312" w:hAnsi="仿宋_GB2312" w:eastAsia="仿宋_GB2312" w:cs="仿宋_GB2312"/>
          <w:color w:val="000000"/>
          <w:kern w:val="0"/>
          <w:sz w:val="32"/>
          <w:szCs w:val="32"/>
          <w:lang w:bidi="ar"/>
        </w:rPr>
        <w:t>综合运用</w:t>
      </w:r>
      <w:r>
        <w:rPr>
          <w:rFonts w:hint="eastAsia" w:ascii="仿宋_GB2312" w:eastAsia="仿宋_GB2312"/>
          <w:sz w:val="32"/>
          <w:szCs w:val="32"/>
        </w:rPr>
        <w:t>小团组招商、叩门招商、以商招商、乡情招商等多种招商方式，积极开展招商活动。</w:t>
      </w:r>
      <w:r>
        <w:rPr>
          <w:rFonts w:hint="eastAsia" w:ascii="仿宋_GB2312" w:eastAsia="仿宋_GB2312"/>
          <w:b/>
          <w:sz w:val="32"/>
          <w:szCs w:val="32"/>
          <w:lang w:eastAsia="zh-CN"/>
        </w:rPr>
        <w:t>一是</w:t>
      </w:r>
      <w:r>
        <w:rPr>
          <w:rFonts w:hint="eastAsia" w:ascii="仿宋_GB2312" w:eastAsia="仿宋_GB2312"/>
          <w:b/>
          <w:sz w:val="32"/>
          <w:szCs w:val="32"/>
        </w:rPr>
        <w:t>对接涉农项目方面。</w:t>
      </w:r>
      <w:r>
        <w:rPr>
          <w:rFonts w:hint="eastAsia" w:ascii="仿宋_GB2312" w:eastAsia="仿宋_GB2312"/>
          <w:sz w:val="32"/>
          <w:szCs w:val="32"/>
        </w:rPr>
        <w:t>先后</w:t>
      </w:r>
      <w:r>
        <w:rPr>
          <w:rFonts w:hint="eastAsia" w:ascii="仿宋_GB2312" w:eastAsia="仿宋_GB2312"/>
          <w:color w:val="000000"/>
          <w:sz w:val="32"/>
          <w:szCs w:val="32"/>
        </w:rPr>
        <w:t>与</w:t>
      </w:r>
      <w:r>
        <w:rPr>
          <w:rFonts w:hint="eastAsia" w:ascii="仿宋_GB2312" w:eastAsia="仿宋_GB2312"/>
          <w:sz w:val="32"/>
          <w:szCs w:val="32"/>
        </w:rPr>
        <w:t>河南牧</w:t>
      </w:r>
      <w:r>
        <w:rPr>
          <w:rFonts w:hint="eastAsia" w:ascii="仿宋_GB2312" w:hAnsi="Calibri" w:eastAsia="仿宋_GB2312"/>
          <w:sz w:val="32"/>
          <w:szCs w:val="32"/>
        </w:rPr>
        <w:t>原集团</w:t>
      </w:r>
      <w:r>
        <w:rPr>
          <w:rFonts w:hint="eastAsia" w:ascii="仿宋_GB2312" w:eastAsia="仿宋_GB2312"/>
          <w:sz w:val="32"/>
          <w:szCs w:val="32"/>
        </w:rPr>
        <w:t>对接了生猪屠宰深加工项目</w:t>
      </w:r>
      <w:r>
        <w:rPr>
          <w:rFonts w:hint="eastAsia" w:ascii="仿宋_GB2312" w:hAnsi="Calibri" w:eastAsia="仿宋_GB2312"/>
          <w:sz w:val="32"/>
          <w:szCs w:val="32"/>
        </w:rPr>
        <w:t>、</w:t>
      </w:r>
      <w:r>
        <w:rPr>
          <w:rFonts w:hint="eastAsia" w:ascii="仿宋_GB2312" w:eastAsia="仿宋_GB2312"/>
          <w:sz w:val="32"/>
          <w:szCs w:val="32"/>
        </w:rPr>
        <w:t>与</w:t>
      </w:r>
      <w:r>
        <w:rPr>
          <w:rFonts w:hint="eastAsia" w:ascii="仿宋_GB2312" w:hAnsi="Calibri" w:eastAsia="仿宋_GB2312"/>
          <w:sz w:val="32"/>
          <w:szCs w:val="32"/>
        </w:rPr>
        <w:t>北京元鲜记食品科技有限公司</w:t>
      </w:r>
      <w:r>
        <w:rPr>
          <w:rFonts w:hint="eastAsia" w:ascii="仿宋_GB2312" w:eastAsia="仿宋_GB2312"/>
          <w:sz w:val="32"/>
          <w:szCs w:val="32"/>
        </w:rPr>
        <w:t>对接了酱菜深加工项目</w:t>
      </w:r>
      <w:r>
        <w:rPr>
          <w:rFonts w:hint="eastAsia" w:ascii="仿宋_GB2312" w:hAnsi="Calibri" w:eastAsia="仿宋_GB2312"/>
          <w:sz w:val="32"/>
          <w:szCs w:val="32"/>
        </w:rPr>
        <w:t>、</w:t>
      </w:r>
      <w:r>
        <w:rPr>
          <w:rFonts w:hint="eastAsia" w:ascii="仿宋_GB2312" w:eastAsia="仿宋_GB2312"/>
          <w:sz w:val="32"/>
          <w:szCs w:val="32"/>
        </w:rPr>
        <w:t>与</w:t>
      </w:r>
      <w:r>
        <w:rPr>
          <w:rFonts w:hint="eastAsia" w:ascii="仿宋_GB2312" w:hAnsi="Calibri" w:eastAsia="仿宋_GB2312"/>
          <w:sz w:val="32"/>
          <w:szCs w:val="32"/>
        </w:rPr>
        <w:t>秦皇岛栗农生物能源科技有限公司</w:t>
      </w:r>
      <w:r>
        <w:rPr>
          <w:rFonts w:hint="eastAsia" w:ascii="仿宋_GB2312" w:eastAsia="仿宋_GB2312"/>
          <w:sz w:val="32"/>
          <w:szCs w:val="32"/>
        </w:rPr>
        <w:t>对接了生物质颗粒项目、与秦皇岛耘轩生物科技有限公司对接了蔬菜水果加工项目、与秦皇岛乔禾生物有机肥有限公司对接了有机肥项目、与</w:t>
      </w:r>
      <w:r>
        <w:rPr>
          <w:rFonts w:hint="eastAsia" w:ascii="仿宋" w:hAnsi="仿宋" w:eastAsia="仿宋" w:cs="仿宋"/>
          <w:sz w:val="32"/>
          <w:szCs w:val="32"/>
        </w:rPr>
        <w:t>昌黎县追峰饲料有限公司对接了</w:t>
      </w:r>
      <w:r>
        <w:rPr>
          <w:rFonts w:hint="eastAsia" w:ascii="仿宋_GB2312" w:hAnsi="仿宋_GB2312" w:eastAsia="仿宋_GB2312" w:cs="仿宋_GB2312"/>
          <w:sz w:val="32"/>
          <w:szCs w:val="32"/>
        </w:rPr>
        <w:t>追峰升华羊业食品有限公司项目，</w:t>
      </w:r>
      <w:r>
        <w:rPr>
          <w:rFonts w:hint="eastAsia" w:ascii="仿宋_GB2312" w:eastAsia="仿宋_GB2312"/>
          <w:sz w:val="32"/>
          <w:szCs w:val="32"/>
        </w:rPr>
        <w:t>与</w:t>
      </w:r>
      <w:r>
        <w:rPr>
          <w:rFonts w:hint="eastAsia" w:ascii="仿宋_GB2312" w:hAnsi="Calibri" w:eastAsia="仿宋_GB2312"/>
          <w:sz w:val="32"/>
          <w:szCs w:val="32"/>
        </w:rPr>
        <w:t>县扶农公司、百峰贸易、</w:t>
      </w:r>
      <w:r>
        <w:rPr>
          <w:rFonts w:hint="eastAsia" w:ascii="仿宋_GB2312" w:eastAsia="仿宋_GB2312"/>
          <w:sz w:val="32"/>
          <w:szCs w:val="32"/>
        </w:rPr>
        <w:t>桃花泉、中红三融、</w:t>
      </w:r>
      <w:r>
        <w:rPr>
          <w:rFonts w:hint="eastAsia" w:ascii="仿宋_GB2312" w:hAnsi="Calibri" w:eastAsia="仿宋_GB2312"/>
          <w:sz w:val="32"/>
          <w:szCs w:val="32"/>
        </w:rPr>
        <w:t>八旗龙</w:t>
      </w:r>
      <w:r>
        <w:rPr>
          <w:rFonts w:hint="eastAsia" w:ascii="仿宋_GB2312" w:eastAsia="仿宋_GB2312"/>
          <w:sz w:val="32"/>
          <w:szCs w:val="32"/>
        </w:rPr>
        <w:t>分别对接了香菇产业园、板栗加工和冷储、安梨深加工、鸡肉屠宰和加工二期、山楂产业园</w:t>
      </w:r>
      <w:r>
        <w:rPr>
          <w:rFonts w:hint="eastAsia" w:ascii="仿宋_GB2312" w:hAnsi="Calibri" w:eastAsia="仿宋_GB2312"/>
          <w:sz w:val="32"/>
          <w:szCs w:val="32"/>
        </w:rPr>
        <w:t>项目</w:t>
      </w:r>
      <w:r>
        <w:rPr>
          <w:rFonts w:hint="eastAsia" w:ascii="仿宋_GB2312" w:eastAsia="仿宋_GB2312"/>
          <w:sz w:val="32"/>
          <w:szCs w:val="32"/>
        </w:rPr>
        <w:t>。其中上门拜访县内企业15次、秦皇岛市企业4次，接待企业来访17次。</w:t>
      </w:r>
      <w:r>
        <w:rPr>
          <w:rFonts w:hint="eastAsia" w:ascii="仿宋_GB2312" w:eastAsia="仿宋_GB2312"/>
          <w:b/>
          <w:sz w:val="32"/>
          <w:szCs w:val="32"/>
          <w:lang w:eastAsia="zh-CN"/>
        </w:rPr>
        <w:t>二是</w:t>
      </w:r>
      <w:r>
        <w:rPr>
          <w:rFonts w:hint="eastAsia" w:ascii="仿宋_GB2312" w:eastAsia="仿宋_GB2312"/>
          <w:b/>
          <w:sz w:val="32"/>
          <w:szCs w:val="32"/>
        </w:rPr>
        <w:t>对接物流项目方面。</w:t>
      </w:r>
      <w:r>
        <w:rPr>
          <w:rFonts w:hint="eastAsia" w:ascii="仿宋_GB2312" w:eastAsia="仿宋_GB2312"/>
          <w:sz w:val="32"/>
          <w:szCs w:val="32"/>
        </w:rPr>
        <w:t>与秦皇岛耘轩生物科技有限公司对接了有机肥罐装物流项目，与县内春栗华商贸有限公司对接农产品加工、交易、冷藏于一体的商贸物流项目，天兴矿业对接了矿产品物流项目。其中上门拜访5次，接待企业来访2次。</w:t>
      </w:r>
      <w:r>
        <w:rPr>
          <w:rFonts w:hint="eastAsia" w:ascii="仿宋_GB2312" w:eastAsia="仿宋_GB2312"/>
          <w:b/>
          <w:sz w:val="32"/>
          <w:szCs w:val="32"/>
          <w:lang w:eastAsia="zh-CN"/>
        </w:rPr>
        <w:t>三是</w:t>
      </w:r>
      <w:r>
        <w:rPr>
          <w:rFonts w:hint="eastAsia" w:ascii="仿宋_GB2312" w:eastAsia="仿宋_GB2312"/>
          <w:b/>
          <w:sz w:val="32"/>
          <w:szCs w:val="32"/>
        </w:rPr>
        <w:t>对接其他项目方面。</w:t>
      </w:r>
      <w:r>
        <w:rPr>
          <w:rFonts w:hint="eastAsia" w:ascii="仿宋_GB2312" w:eastAsia="仿宋_GB2312"/>
          <w:sz w:val="32"/>
          <w:szCs w:val="32"/>
        </w:rPr>
        <w:t>与</w:t>
      </w:r>
      <w:r>
        <w:rPr>
          <w:rFonts w:hint="eastAsia" w:ascii="仿宋_GB2312" w:eastAsia="仿宋_GB2312"/>
          <w:color w:val="000000"/>
          <w:sz w:val="32"/>
          <w:szCs w:val="32"/>
        </w:rPr>
        <w:t>河北星源环境科技有限公司洽谈污水处理一期提标和二期项目，与县大奎矿业有限公司对接了尾矿制砖项目，与灏谷集团洽谈基础设施合作事宜，与福建客商对接石材项目，接待企业来访6次。</w:t>
      </w:r>
    </w:p>
    <w:p>
      <w:pPr>
        <w:spacing w:line="560" w:lineRule="exact"/>
        <w:ind w:firstLine="640" w:firstLineChars="200"/>
        <w:rPr>
          <w:rStyle w:val="26"/>
          <w:rFonts w:ascii="仿宋_GB2312" w:hAnsi="仿宋_GB2312" w:eastAsia="仿宋_GB2312"/>
          <w:sz w:val="32"/>
          <w:szCs w:val="32"/>
        </w:rPr>
      </w:pPr>
      <w:r>
        <w:rPr>
          <w:rFonts w:hint="eastAsia" w:ascii="仿宋_GB2312" w:eastAsia="仿宋_GB2312"/>
          <w:sz w:val="32"/>
          <w:szCs w:val="32"/>
        </w:rPr>
        <w:t>目前，</w:t>
      </w:r>
      <w:r>
        <w:rPr>
          <w:rFonts w:hint="eastAsia" w:ascii="仿宋_GB2312" w:hAnsi="仿宋_GB2312" w:eastAsia="仿宋_GB2312" w:cs="仿宋_GB2312"/>
          <w:b/>
          <w:bCs/>
          <w:color w:val="000000"/>
          <w:sz w:val="32"/>
          <w:szCs w:val="32"/>
        </w:rPr>
        <w:t>在建项目5个，</w:t>
      </w:r>
      <w:r>
        <w:rPr>
          <w:rFonts w:hint="eastAsia" w:ascii="仿宋_GB2312" w:eastAsia="仿宋_GB2312"/>
          <w:color w:val="000000"/>
          <w:sz w:val="32"/>
          <w:szCs w:val="32"/>
        </w:rPr>
        <w:t>投资亿</w:t>
      </w:r>
      <w:r>
        <w:rPr>
          <w:rFonts w:hint="eastAsia" w:ascii="仿宋_GB2312" w:hAnsi="Calibri" w:eastAsia="仿宋_GB2312"/>
          <w:color w:val="000000"/>
          <w:sz w:val="32"/>
          <w:szCs w:val="32"/>
        </w:rPr>
        <w:t>元的香菇产业园项目进入设备安装调试阶段，板栗冷储加工项目正在进行厂房等主体建设；投资8000万元的安梨深加工项目正在进行设备调试；</w:t>
      </w:r>
      <w:r>
        <w:rPr>
          <w:rFonts w:hint="eastAsia" w:ascii="仿宋_GB2312" w:eastAsia="仿宋_GB2312"/>
          <w:color w:val="000000"/>
          <w:sz w:val="32"/>
          <w:szCs w:val="32"/>
        </w:rPr>
        <w:t>投资</w:t>
      </w:r>
      <w:r>
        <w:rPr>
          <w:rFonts w:hint="eastAsia" w:ascii="仿宋_GB2312" w:eastAsia="仿宋_GB2312"/>
          <w:sz w:val="32"/>
          <w:szCs w:val="32"/>
        </w:rPr>
        <w:t>5000万元的污水处理二期及一期提标改造项目，正在研究投资路径；投资2500万元的生物质颗粒项目正在</w:t>
      </w:r>
      <w:r>
        <w:rPr>
          <w:rFonts w:hint="eastAsia" w:ascii="仿宋_GB2312" w:hAnsi="Calibri" w:eastAsia="仿宋_GB2312"/>
          <w:sz w:val="32"/>
          <w:szCs w:val="32"/>
        </w:rPr>
        <w:t>进行厂房等主体建设</w:t>
      </w:r>
      <w:r>
        <w:rPr>
          <w:rStyle w:val="26"/>
          <w:rFonts w:ascii="仿宋_GB2312" w:hAnsi="仿宋_GB2312" w:eastAsia="仿宋_GB2312"/>
          <w:sz w:val="32"/>
          <w:szCs w:val="32"/>
        </w:rPr>
        <w:t>。</w:t>
      </w:r>
      <w:r>
        <w:rPr>
          <w:rFonts w:hint="eastAsia" w:ascii="仿宋_GB2312" w:hAnsi="仿宋_GB2312" w:eastAsia="仿宋_GB2312" w:cs="仿宋_GB2312"/>
          <w:b/>
          <w:bCs/>
          <w:color w:val="000000"/>
          <w:sz w:val="32"/>
          <w:szCs w:val="32"/>
        </w:rPr>
        <w:t>签约项目2个，</w:t>
      </w:r>
      <w:r>
        <w:rPr>
          <w:rFonts w:hint="eastAsia" w:ascii="仿宋_GB2312" w:eastAsia="仿宋_GB2312"/>
          <w:sz w:val="32"/>
          <w:szCs w:val="32"/>
        </w:rPr>
        <w:t>投资7000万元的北京元鲜记酱菜深加工项目和</w:t>
      </w:r>
      <w:r>
        <w:rPr>
          <w:rFonts w:hint="eastAsia" w:ascii="仿宋_GB2312" w:hAnsi="Calibri" w:eastAsia="仿宋_GB2312"/>
          <w:sz w:val="32"/>
          <w:szCs w:val="32"/>
        </w:rPr>
        <w:t>亿元的</w:t>
      </w:r>
      <w:r>
        <w:rPr>
          <w:rFonts w:hint="eastAsia" w:ascii="仿宋_GB2312" w:hAnsi="仿宋_GB2312" w:eastAsia="仿宋_GB2312" w:cs="仿宋_GB2312"/>
          <w:sz w:val="32"/>
          <w:szCs w:val="32"/>
        </w:rPr>
        <w:t>追峰升华羊业食品有限公司项目</w:t>
      </w:r>
      <w:r>
        <w:rPr>
          <w:rFonts w:hint="eastAsia" w:ascii="仿宋_GB2312" w:eastAsia="仿宋_GB2312"/>
          <w:sz w:val="32"/>
          <w:szCs w:val="32"/>
        </w:rPr>
        <w:t>正在</w:t>
      </w:r>
      <w:r>
        <w:rPr>
          <w:rFonts w:hint="eastAsia" w:ascii="仿宋_GB2312" w:hAnsi="Calibri" w:eastAsia="仿宋_GB2312"/>
          <w:sz w:val="32"/>
          <w:szCs w:val="32"/>
        </w:rPr>
        <w:t>进行规划设计。</w:t>
      </w:r>
      <w:r>
        <w:rPr>
          <w:rFonts w:hint="eastAsia" w:ascii="仿宋_GB2312" w:hAnsi="仿宋_GB2312" w:eastAsia="仿宋_GB2312" w:cs="仿宋_GB2312"/>
          <w:b/>
          <w:bCs/>
          <w:color w:val="000000"/>
          <w:sz w:val="32"/>
          <w:szCs w:val="32"/>
        </w:rPr>
        <w:t>达成意向项目2个，</w:t>
      </w:r>
      <w:r>
        <w:rPr>
          <w:rFonts w:hint="eastAsia" w:ascii="仿宋_GB2312" w:eastAsia="仿宋_GB2312"/>
          <w:sz w:val="32"/>
          <w:szCs w:val="32"/>
        </w:rPr>
        <w:t>分别是中红三融二期屠宰和耘轩生物蔬菜、水果加工项目。</w:t>
      </w:r>
    </w:p>
    <w:p>
      <w:pPr>
        <w:keepNext/>
        <w:keepLines/>
        <w:spacing w:line="580" w:lineRule="exact"/>
        <w:ind w:firstLine="640" w:firstLineChars="200"/>
        <w:jc w:val="left"/>
        <w:outlineLvl w:val="0"/>
        <w:rPr>
          <w:rFonts w:ascii="黑体" w:eastAsia="黑体" w:cs="黑体"/>
          <w:kern w:val="0"/>
          <w:sz w:val="32"/>
          <w:szCs w:val="32"/>
        </w:rPr>
      </w:pPr>
      <w:r>
        <w:rPr>
          <w:rFonts w:hint="eastAsia" w:ascii="黑体" w:eastAsia="黑体" w:cs="黑体"/>
          <w:kern w:val="0"/>
          <w:sz w:val="32"/>
          <w:szCs w:val="32"/>
        </w:rPr>
        <w:t>二、机构设置</w:t>
      </w:r>
    </w:p>
    <w:p>
      <w:pPr>
        <w:spacing w:line="580" w:lineRule="exact"/>
        <w:ind w:firstLine="640" w:firstLineChars="200"/>
        <w:rPr>
          <w:rFonts w:ascii="仿宋_GB2312" w:eastAsia="仿宋" w:cs="ArialUnicodeMS"/>
          <w:kern w:val="0"/>
          <w:sz w:val="32"/>
          <w:szCs w:val="32"/>
        </w:rPr>
      </w:pPr>
      <w:r>
        <w:rPr>
          <w:rFonts w:hint="eastAsia" w:ascii="仿宋_GB2312" w:eastAsia="仿宋" w:cs="ArialUnicodeMS"/>
          <w:kern w:val="0"/>
          <w:sz w:val="32"/>
          <w:szCs w:val="32"/>
        </w:rPr>
        <w:t>从决算编报单位构成看，纳入202</w:t>
      </w:r>
      <w:r>
        <w:rPr>
          <w:rFonts w:ascii="仿宋_GB2312" w:eastAsia="仿宋" w:cs="ArialUnicodeMS"/>
          <w:kern w:val="0"/>
          <w:sz w:val="32"/>
          <w:szCs w:val="32"/>
        </w:rPr>
        <w:t>2</w:t>
      </w:r>
      <w:r>
        <w:rPr>
          <w:rFonts w:hint="eastAsia" w:ascii="仿宋_GB2312" w:eastAsia="仿宋" w:cs="ArialUnicodeMS"/>
          <w:kern w:val="0"/>
          <w:sz w:val="32"/>
          <w:szCs w:val="32"/>
        </w:rPr>
        <w:t>年度本部门决算汇编范围的独立核算单位（以下简称“单位”）共</w:t>
      </w:r>
      <w:r>
        <w:rPr>
          <w:rFonts w:hint="eastAsia" w:ascii="仿宋_GB2312" w:eastAsia="仿宋" w:cs="ArialUnicodeMS"/>
          <w:kern w:val="0"/>
          <w:sz w:val="32"/>
          <w:szCs w:val="32"/>
          <w:lang w:val="en-US" w:eastAsia="zh-CN"/>
        </w:rPr>
        <w:t>1</w:t>
      </w:r>
      <w:r>
        <w:rPr>
          <w:rFonts w:hint="eastAsia" w:ascii="仿宋_GB2312" w:eastAsia="仿宋" w:cs="ArialUnicodeMS"/>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noWrap w:val="0"/>
            <w:vAlign w:val="center"/>
          </w:tcPr>
          <w:p>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序号</w:t>
            </w:r>
          </w:p>
        </w:tc>
        <w:tc>
          <w:tcPr>
            <w:tcW w:w="3485" w:type="dxa"/>
            <w:noWrap w:val="0"/>
            <w:vAlign w:val="center"/>
          </w:tcPr>
          <w:p>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单位名称</w:t>
            </w:r>
          </w:p>
        </w:tc>
        <w:tc>
          <w:tcPr>
            <w:tcW w:w="2445" w:type="dxa"/>
            <w:noWrap w:val="0"/>
            <w:vAlign w:val="center"/>
          </w:tcPr>
          <w:p>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单位基本性质</w:t>
            </w:r>
          </w:p>
        </w:tc>
        <w:tc>
          <w:tcPr>
            <w:tcW w:w="2665" w:type="dxa"/>
            <w:noWrap w:val="0"/>
            <w:vAlign w:val="center"/>
          </w:tcPr>
          <w:p>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noWrap w:val="0"/>
            <w:vAlign w:val="top"/>
          </w:tcPr>
          <w:p>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1</w:t>
            </w:r>
          </w:p>
        </w:tc>
        <w:tc>
          <w:tcPr>
            <w:tcW w:w="3485" w:type="dxa"/>
            <w:noWrap w:val="0"/>
            <w:vAlign w:val="top"/>
          </w:tcPr>
          <w:p>
            <w:pPr>
              <w:spacing w:line="560" w:lineRule="exact"/>
              <w:rPr>
                <w:rFonts w:hint="eastAsia" w:ascii="仿宋_GB2312" w:eastAsia="仿宋_GB2312" w:cs="ArialUnicodeMS"/>
                <w:kern w:val="0"/>
                <w:sz w:val="28"/>
                <w:szCs w:val="28"/>
                <w:lang w:eastAsia="zh-CN"/>
              </w:rPr>
            </w:pPr>
            <w:r>
              <w:rPr>
                <w:rFonts w:hint="eastAsia" w:ascii="仿宋_GB2312" w:eastAsia="仿宋_GB2312" w:cs="ArialUnicodeMS"/>
                <w:kern w:val="0"/>
                <w:sz w:val="28"/>
                <w:szCs w:val="28"/>
                <w:lang w:eastAsia="zh-CN"/>
              </w:rPr>
              <w:t>河北青龙物流产业聚集区管理委员会（本级）</w:t>
            </w:r>
          </w:p>
        </w:tc>
        <w:tc>
          <w:tcPr>
            <w:tcW w:w="2445" w:type="dxa"/>
            <w:noWrap w:val="0"/>
            <w:vAlign w:val="top"/>
          </w:tcPr>
          <w:p>
            <w:pPr>
              <w:spacing w:line="560" w:lineRule="exact"/>
              <w:jc w:val="center"/>
              <w:rPr>
                <w:rFonts w:hint="eastAsia" w:ascii="仿宋_GB2312" w:eastAsia="仿宋_GB2312" w:cs="ArialUnicodeMS"/>
                <w:kern w:val="0"/>
                <w:sz w:val="28"/>
                <w:szCs w:val="28"/>
                <w:lang w:eastAsia="zh-CN"/>
              </w:rPr>
            </w:pPr>
            <w:r>
              <w:rPr>
                <w:rFonts w:hint="eastAsia" w:ascii="仿宋_GB2312" w:eastAsia="仿宋_GB2312" w:cs="ArialUnicodeMS"/>
                <w:kern w:val="0"/>
                <w:sz w:val="28"/>
                <w:szCs w:val="28"/>
                <w:lang w:eastAsia="zh-CN"/>
              </w:rPr>
              <w:t>行政单位</w:t>
            </w:r>
          </w:p>
        </w:tc>
        <w:tc>
          <w:tcPr>
            <w:tcW w:w="2665" w:type="dxa"/>
            <w:noWrap w:val="0"/>
            <w:vAlign w:val="top"/>
          </w:tcPr>
          <w:p>
            <w:pPr>
              <w:spacing w:line="560" w:lineRule="exact"/>
              <w:jc w:val="center"/>
              <w:rPr>
                <w:rFonts w:hint="eastAsia" w:ascii="仿宋_GB2312" w:eastAsia="仿宋_GB2312" w:cs="ArialUnicodeMS"/>
                <w:kern w:val="0"/>
                <w:sz w:val="28"/>
                <w:szCs w:val="28"/>
                <w:lang w:eastAsia="zh-CN"/>
              </w:rPr>
            </w:pPr>
            <w:r>
              <w:rPr>
                <w:rFonts w:hint="eastAsia" w:ascii="仿宋_GB2312"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noWrap w:val="0"/>
            <w:vAlign w:val="top"/>
          </w:tcPr>
          <w:p>
            <w:pPr>
              <w:spacing w:line="560" w:lineRule="exact"/>
              <w:jc w:val="left"/>
              <w:rPr>
                <w:rFonts w:ascii="仿宋" w:hAnsi="仿宋" w:eastAsia="仿宋" w:cs="ArialUnicodeMS"/>
                <w:kern w:val="0"/>
                <w:sz w:val="28"/>
                <w:szCs w:val="28"/>
              </w:rPr>
            </w:pPr>
            <w:r>
              <w:rPr>
                <w:rFonts w:hint="eastAsia" w:ascii="仿宋" w:hAnsi="仿宋" w:eastAsia="仿宋"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 w:hAnsi="仿宋" w:eastAsia="仿宋" w:cs="ArialUnicodeMS"/>
                <w:kern w:val="0"/>
                <w:sz w:val="28"/>
                <w:szCs w:val="28"/>
              </w:rPr>
            </w:pPr>
            <w:r>
              <w:rPr>
                <w:rFonts w:hint="eastAsia" w:ascii="仿宋" w:hAnsi="仿宋" w:eastAsia="仿宋" w:cs="ArialUnicodeMS"/>
                <w:kern w:val="0"/>
                <w:sz w:val="28"/>
                <w:szCs w:val="28"/>
              </w:rPr>
              <w:t>2、经费形式分为财政拨款、财政性资金基本保证、财政性资金定额或定项补助、财政性资金零补助四类。</w:t>
            </w:r>
          </w:p>
        </w:tc>
      </w:tr>
    </w:tbl>
    <w:p>
      <w:pPr>
        <w:spacing w:line="560" w:lineRule="exact"/>
        <w:ind w:firstLine="280" w:firstLineChars="100"/>
        <w:jc w:val="left"/>
        <w:rPr>
          <w:rFonts w:ascii="仿宋" w:hAnsi="仿宋" w:eastAsia="仿宋" w:cs="ArialUnicodeMS"/>
          <w:kern w:val="0"/>
          <w:sz w:val="28"/>
          <w:szCs w:val="28"/>
        </w:rPr>
      </w:pPr>
      <w:r>
        <w:rPr>
          <w:rFonts w:hint="eastAsia" w:ascii="仿宋" w:hAnsi="仿宋" w:eastAsia="仿宋" w:cs="ArialUnicodeMS"/>
          <w:kern w:val="0"/>
          <w:sz w:val="28"/>
          <w:szCs w:val="28"/>
        </w:rPr>
        <w:t>3、我部门无二级预算单位，因此，</w:t>
      </w:r>
      <w:r>
        <w:rPr>
          <w:rFonts w:ascii="仿宋" w:hAnsi="仿宋" w:eastAsia="仿宋" w:cs="ArialUnicodeMS"/>
          <w:kern w:val="0"/>
          <w:sz w:val="28"/>
          <w:szCs w:val="28"/>
        </w:rPr>
        <w:t>河北青龙物流产业聚集区管理委员会</w:t>
      </w:r>
      <w:r>
        <w:rPr>
          <w:rFonts w:hint="eastAsia" w:ascii="仿宋" w:hAnsi="仿宋" w:eastAsia="仿宋" w:cs="ArialUnicodeMS"/>
          <w:kern w:val="0"/>
          <w:sz w:val="28"/>
          <w:szCs w:val="28"/>
        </w:rPr>
        <w:t>2022年度部门决算即</w:t>
      </w:r>
      <w:r>
        <w:rPr>
          <w:rFonts w:ascii="仿宋" w:hAnsi="仿宋" w:eastAsia="仿宋" w:cs="ArialUnicodeMS"/>
          <w:kern w:val="0"/>
          <w:sz w:val="28"/>
          <w:szCs w:val="28"/>
        </w:rPr>
        <w:t>河北青龙物流产业聚集区管理委员会</w:t>
      </w:r>
      <w:r>
        <w:rPr>
          <w:rFonts w:hint="eastAsia" w:ascii="仿宋" w:hAnsi="仿宋" w:eastAsia="仿宋" w:cs="ArialUnicodeMS"/>
          <w:kern w:val="0"/>
          <w:sz w:val="28"/>
          <w:szCs w:val="28"/>
        </w:rPr>
        <w:t>本级2022年度决算。</w:t>
      </w:r>
    </w:p>
    <w:p>
      <w:pPr>
        <w:widowControl/>
        <w:spacing w:after="0" w:line="360" w:lineRule="auto"/>
        <w:ind w:left="-850" w:leftChars="-354" w:right="-821" w:rightChars="-342"/>
        <w:rPr>
          <w:rFonts w:hint="eastAsia" w:ascii="仿宋" w:hAnsi="仿宋" w:eastAsia="仿宋" w:cs="Times New Roman"/>
          <w:sz w:val="28"/>
          <w:szCs w:val="28"/>
        </w:rPr>
        <w:sectPr>
          <w:headerReference r:id="rId7" w:type="default"/>
          <w:pgSz w:w="11906" w:h="16838"/>
          <w:pgMar w:top="1531" w:right="1984" w:bottom="1531" w:left="2098" w:header="851" w:footer="992" w:gutter="0"/>
          <w:cols w:space="720" w:num="1"/>
          <w:docGrid w:type="lines" w:linePitch="312" w:charSpace="0"/>
        </w:sectPr>
      </w:pPr>
    </w:p>
    <w:p>
      <w:pPr>
        <w:widowControl/>
        <w:spacing w:line="580" w:lineRule="exact"/>
        <w:ind w:firstLine="640" w:firstLineChars="200"/>
        <w:rPr>
          <w:rFonts w:ascii="Times New Roman" w:hAnsi="Times New Roman" w:eastAsia="黑体" w:cs="Times New Roman"/>
          <w:sz w:val="32"/>
          <w:szCs w:val="32"/>
          <w:highlight w:val="yellow"/>
        </w:rPr>
      </w:pPr>
    </w:p>
    <w:p>
      <w:pPr>
        <w:pStyle w:val="11"/>
        <w:widowControl/>
        <w:shd w:val="clear" w:color="auto" w:fill="FFFFFF"/>
        <w:spacing w:beforeAutospacing="0" w:afterAutospacing="0"/>
        <w:rPr>
          <w:rFonts w:ascii="Arial" w:hAnsi="Arial" w:eastAsia="Arial" w:cs="Arial"/>
          <w:color w:val="000000"/>
          <w:sz w:val="18"/>
          <w:szCs w:val="18"/>
          <w:shd w:val="clear" w:color="auto" w:fill="FFFFFF"/>
          <w:lang w:bidi="ar"/>
        </w:rPr>
      </w:pPr>
    </w:p>
    <w:p>
      <w:pPr>
        <w:widowControl/>
        <w:shd w:val="clear" w:color="auto" w:fill="FFFFFF"/>
        <w:spacing w:after="0"/>
        <w:jc w:val="left"/>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widowControl/>
        <w:shd w:val="clear" w:color="auto" w:fill="FFFFFF"/>
        <w:spacing w:after="0"/>
        <w:jc w:val="left"/>
        <w:rPr>
          <w:rFonts w:ascii="Arial" w:hAnsi="Arial" w:eastAsia="Arial" w:cs="Arial"/>
          <w:color w:val="000000"/>
          <w:sz w:val="18"/>
          <w:szCs w:val="18"/>
          <w:shd w:val="clear" w:color="auto" w:fill="FFFFFF"/>
        </w:rPr>
      </w:pP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第二部分</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2023年度部门决算报表</w:t>
      </w:r>
    </w:p>
    <w:p>
      <w:pPr>
        <w:pStyle w:val="11"/>
        <w:widowControl/>
        <w:spacing w:beforeAutospacing="0" w:afterAutospacing="0"/>
        <w:jc w:val="center"/>
        <w:rPr>
          <w:rFonts w:hint="eastAsia" w:ascii="仿宋_GB2312" w:hAnsi="仿宋_GB2312" w:eastAsia="仿宋_GB2312" w:cs="仿宋_GB2312"/>
          <w:color w:val="FF0000"/>
          <w:sz w:val="33"/>
          <w:szCs w:val="33"/>
          <w:shd w:val="clear" w:color="auto" w:fill="FFFFFF"/>
        </w:rPr>
        <w:sectPr>
          <w:pgSz w:w="11906" w:h="16838"/>
          <w:pgMar w:top="1531" w:right="1984" w:bottom="1531" w:left="2098" w:header="851" w:footer="992" w:gutter="0"/>
          <w:cols w:space="720" w:num="1"/>
          <w:docGrid w:type="lines" w:linePitch="312" w:charSpace="0"/>
        </w:sectPr>
      </w:pPr>
    </w:p>
    <w:tbl>
      <w:tblPr>
        <w:tblStyle w:val="13"/>
        <w:tblW w:w="144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80" w:hRule="atLeast"/>
        </w:trPr>
        <w:tc>
          <w:tcPr>
            <w:tcW w:w="14480" w:type="dxa"/>
            <w:tcBorders>
              <w:top w:val="nil"/>
              <w:left w:val="nil"/>
              <w:bottom w:val="nil"/>
              <w:right w:val="nil"/>
            </w:tcBorders>
          </w:tcPr>
          <w:p>
            <w:pPr>
              <w:jc w:val="center"/>
              <w:rPr>
                <w:sz w:val="20"/>
                <w:szCs w:val="20"/>
              </w:rPr>
            </w:pPr>
            <w:r>
              <w:rPr>
                <w:rFonts w:hint="eastAsia"/>
                <w:sz w:val="20"/>
                <w:szCs w:val="20"/>
              </w:rPr>
              <w:drawing>
                <wp:anchor distT="0" distB="0" distL="114300" distR="114300" simplePos="0" relativeHeight="251666432" behindDoc="0" locked="0" layoutInCell="1" allowOverlap="1">
                  <wp:simplePos x="0" y="0"/>
                  <wp:positionH relativeFrom="column">
                    <wp:posOffset>1151255</wp:posOffset>
                  </wp:positionH>
                  <wp:positionV relativeFrom="paragraph">
                    <wp:posOffset>91440</wp:posOffset>
                  </wp:positionV>
                  <wp:extent cx="6435725" cy="4965700"/>
                  <wp:effectExtent l="0" t="0" r="3175" b="6350"/>
                  <wp:wrapNone/>
                  <wp:docPr id="90686560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65607"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435725" cy="4965700"/>
                          </a:xfrm>
                          <a:prstGeom prst="rect">
                            <a:avLst/>
                          </a:prstGeom>
                          <a:noFill/>
                          <a:ln>
                            <a:noFill/>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80" w:hRule="atLeast"/>
        </w:trPr>
        <w:tc>
          <w:tcPr>
            <w:tcW w:w="14480" w:type="dxa"/>
            <w:tcBorders>
              <w:top w:val="nil"/>
              <w:left w:val="nil"/>
              <w:bottom w:val="nil"/>
              <w:right w:val="nil"/>
            </w:tcBorders>
          </w:tcPr>
          <w:p>
            <w:pPr>
              <w:jc w:val="center"/>
              <w:rPr>
                <w:sz w:val="20"/>
                <w:szCs w:val="20"/>
              </w:rPr>
            </w:pPr>
            <w:r>
              <w:rPr>
                <w:rFonts w:hint="eastAsia"/>
                <w:sz w:val="20"/>
                <w:szCs w:val="20"/>
              </w:rPr>
              <w:drawing>
                <wp:anchor distT="0" distB="0" distL="114300" distR="114300" simplePos="0" relativeHeight="251667456" behindDoc="0" locked="0" layoutInCell="1" allowOverlap="1">
                  <wp:simplePos x="0" y="0"/>
                  <wp:positionH relativeFrom="column">
                    <wp:posOffset>0</wp:posOffset>
                  </wp:positionH>
                  <wp:positionV relativeFrom="paragraph">
                    <wp:posOffset>21590</wp:posOffset>
                  </wp:positionV>
                  <wp:extent cx="8744585" cy="4705350"/>
                  <wp:effectExtent l="0" t="0" r="0" b="0"/>
                  <wp:wrapNone/>
                  <wp:docPr id="16156375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37547"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744585" cy="4705350"/>
                          </a:xfrm>
                          <a:prstGeom prst="rect">
                            <a:avLst/>
                          </a:prstGeom>
                          <a:noFill/>
                          <a:ln>
                            <a:noFill/>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80" w:hRule="atLeast"/>
        </w:trPr>
        <w:tc>
          <w:tcPr>
            <w:tcW w:w="14480" w:type="dxa"/>
            <w:tcBorders>
              <w:top w:val="nil"/>
              <w:left w:val="nil"/>
              <w:bottom w:val="nil"/>
              <w:right w:val="nil"/>
            </w:tcBorders>
          </w:tcPr>
          <w:p>
            <w:pPr>
              <w:jc w:val="center"/>
              <w:rPr>
                <w:sz w:val="20"/>
                <w:szCs w:val="20"/>
              </w:rPr>
            </w:pPr>
            <w:r>
              <w:rPr>
                <w:rFonts w:hint="eastAsia"/>
                <w:sz w:val="20"/>
                <w:szCs w:val="20"/>
              </w:rPr>
              <w:drawing>
                <wp:anchor distT="0" distB="0" distL="114300" distR="114300" simplePos="0" relativeHeight="251668480" behindDoc="0" locked="0" layoutInCell="1" allowOverlap="1">
                  <wp:simplePos x="0" y="0"/>
                  <wp:positionH relativeFrom="column">
                    <wp:posOffset>231140</wp:posOffset>
                  </wp:positionH>
                  <wp:positionV relativeFrom="paragraph">
                    <wp:posOffset>91440</wp:posOffset>
                  </wp:positionV>
                  <wp:extent cx="8287385" cy="4965700"/>
                  <wp:effectExtent l="0" t="0" r="0" b="6350"/>
                  <wp:wrapNone/>
                  <wp:docPr id="360453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5370"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287385" cy="4965700"/>
                          </a:xfrm>
                          <a:prstGeom prst="rect">
                            <a:avLst/>
                          </a:prstGeom>
                          <a:noFill/>
                          <a:ln>
                            <a:noFill/>
                          </a:ln>
                        </pic:spPr>
                      </pic:pic>
                    </a:graphicData>
                  </a:graphic>
                </wp:anchor>
              </w:drawing>
            </w:r>
          </w:p>
          <w:p>
            <w:pPr>
              <w:widowControl/>
              <w:tabs>
                <w:tab w:val="left" w:pos="5484"/>
              </w:tabs>
              <w:jc w:val="left"/>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80" w:hRule="atLeast"/>
        </w:trPr>
        <w:tc>
          <w:tcPr>
            <w:tcW w:w="14480" w:type="dxa"/>
            <w:tcBorders>
              <w:top w:val="nil"/>
              <w:left w:val="nil"/>
              <w:bottom w:val="nil"/>
              <w:right w:val="nil"/>
            </w:tcBorders>
          </w:tcPr>
          <w:tbl>
            <w:tblPr>
              <w:tblStyle w:val="13"/>
              <w:tblpPr w:leftFromText="180" w:rightFromText="180" w:vertAnchor="text" w:horzAnchor="margin" w:tblpY="2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34" w:hRule="atLeast"/>
              </w:trPr>
              <w:tc>
                <w:tcPr>
                  <w:tcW w:w="14481" w:type="dxa"/>
                  <w:tcBorders>
                    <w:top w:val="nil"/>
                    <w:left w:val="nil"/>
                    <w:bottom w:val="nil"/>
                    <w:right w:val="nil"/>
                  </w:tcBorders>
                </w:tcPr>
                <w:p>
                  <w:pPr>
                    <w:widowControl/>
                    <w:jc w:val="center"/>
                    <w:rPr>
                      <w:sz w:val="20"/>
                      <w:szCs w:val="20"/>
                    </w:rPr>
                  </w:pPr>
                  <w:r>
                    <w:rPr>
                      <w:rFonts w:hint="eastAsia"/>
                      <w:sz w:val="20"/>
                      <w:szCs w:val="20"/>
                    </w:rPr>
                    <w:drawing>
                      <wp:anchor distT="0" distB="0" distL="114300" distR="114300" simplePos="0" relativeHeight="251669504" behindDoc="0" locked="0" layoutInCell="1" allowOverlap="1">
                        <wp:simplePos x="0" y="0"/>
                        <wp:positionH relativeFrom="column">
                          <wp:posOffset>781685</wp:posOffset>
                        </wp:positionH>
                        <wp:positionV relativeFrom="paragraph">
                          <wp:posOffset>89535</wp:posOffset>
                        </wp:positionV>
                        <wp:extent cx="7049135" cy="4965700"/>
                        <wp:effectExtent l="0" t="0" r="0" b="6350"/>
                        <wp:wrapNone/>
                        <wp:docPr id="17927986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98671"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049135" cy="4965700"/>
                                </a:xfrm>
                                <a:prstGeom prst="rect">
                                  <a:avLst/>
                                </a:prstGeom>
                                <a:noFill/>
                                <a:ln>
                                  <a:noFill/>
                                </a:ln>
                              </pic:spPr>
                            </pic:pic>
                          </a:graphicData>
                        </a:graphic>
                      </wp:anchor>
                    </w:drawing>
                  </w:r>
                </w:p>
              </w:tc>
            </w:tr>
          </w:tbl>
          <w:p>
            <w:pPr>
              <w:widowControl/>
              <w:jc w:val="center"/>
              <w:rPr>
                <w:sz w:val="20"/>
                <w:szCs w:val="20"/>
              </w:rPr>
            </w:pPr>
          </w:p>
        </w:tc>
      </w:tr>
    </w:tbl>
    <w:p>
      <w:pPr>
        <w:widowControl/>
        <w:jc w:val="center"/>
        <w:rPr>
          <w:sz w:val="20"/>
          <w:szCs w:val="20"/>
        </w:rPr>
        <w:sectPr>
          <w:pgSz w:w="16838" w:h="11906" w:orient="landscape"/>
          <w:pgMar w:top="2098" w:right="1531" w:bottom="1984" w:left="1531" w:header="851" w:footer="992" w:gutter="0"/>
          <w:cols w:space="720" w:num="1"/>
          <w:docGrid w:type="lines" w:linePitch="326" w:charSpace="0"/>
        </w:sectPr>
      </w:pPr>
    </w:p>
    <w:p>
      <w:pPr>
        <w:widowControl/>
        <w:jc w:val="center"/>
        <w:rPr>
          <w:sz w:val="20"/>
          <w:szCs w:val="20"/>
        </w:rPr>
        <w:sectPr>
          <w:pgSz w:w="16838" w:h="11906" w:orient="landscape"/>
          <w:pgMar w:top="2098" w:right="1531" w:bottom="1984" w:left="1531" w:header="851" w:footer="992" w:gutter="0"/>
          <w:cols w:space="720" w:num="1"/>
          <w:docGrid w:type="lines" w:linePitch="326" w:charSpace="0"/>
        </w:sectPr>
      </w:pPr>
      <w:r>
        <w:rPr>
          <w:sz w:val="20"/>
          <w:szCs w:val="20"/>
        </w:rPr>
        <w:drawing>
          <wp:anchor distT="0" distB="0" distL="114300" distR="114300" simplePos="0" relativeHeight="251670528" behindDoc="0" locked="0" layoutInCell="1" allowOverlap="1">
            <wp:simplePos x="0" y="0"/>
            <wp:positionH relativeFrom="column">
              <wp:posOffset>835025</wp:posOffset>
            </wp:positionH>
            <wp:positionV relativeFrom="paragraph">
              <wp:posOffset>-648970</wp:posOffset>
            </wp:positionV>
            <wp:extent cx="6790690" cy="4968240"/>
            <wp:effectExtent l="0" t="0" r="0" b="3810"/>
            <wp:wrapNone/>
            <wp:docPr id="98647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749"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790690" cy="4968240"/>
                    </a:xfrm>
                    <a:prstGeom prst="rect">
                      <a:avLst/>
                    </a:prstGeom>
                    <a:noFill/>
                    <a:ln>
                      <a:noFill/>
                    </a:ln>
                  </pic:spPr>
                </pic:pic>
              </a:graphicData>
            </a:graphic>
          </wp:anchor>
        </w:drawing>
      </w:r>
      <w:r>
        <w:rPr>
          <w:sz w:val="20"/>
          <w:szCs w:val="20"/>
        </w:rPr>
        <w:t xml:space="preserve"> </w:t>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1552" behindDoc="0" locked="0" layoutInCell="1" allowOverlap="1">
            <wp:simplePos x="0" y="0"/>
            <wp:positionH relativeFrom="column">
              <wp:posOffset>414655</wp:posOffset>
            </wp:positionH>
            <wp:positionV relativeFrom="paragraph">
              <wp:posOffset>-131445</wp:posOffset>
            </wp:positionV>
            <wp:extent cx="8003540" cy="4968240"/>
            <wp:effectExtent l="0" t="0" r="0" b="3810"/>
            <wp:wrapNone/>
            <wp:docPr id="15773097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09791"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003540" cy="4968240"/>
                    </a:xfrm>
                    <a:prstGeom prst="rect">
                      <a:avLst/>
                    </a:prstGeom>
                    <a:noFill/>
                    <a:ln>
                      <a:noFill/>
                    </a:ln>
                  </pic:spPr>
                </pic:pic>
              </a:graphicData>
            </a:graphic>
          </wp:anchor>
        </w:drawing>
      </w: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pPr>
    </w:p>
    <w:p>
      <w:pPr>
        <w:widowControl/>
        <w:jc w:val="center"/>
        <w:rPr>
          <w:sz w:val="20"/>
          <w:szCs w:val="20"/>
        </w:rPr>
      </w:pPr>
      <w:r>
        <w:rPr>
          <w:rFonts w:hint="eastAsia"/>
          <w:sz w:val="20"/>
          <w:szCs w:val="20"/>
        </w:rPr>
        <w:drawing>
          <wp:anchor distT="0" distB="0" distL="114300" distR="114300" simplePos="0" relativeHeight="251672576" behindDoc="0" locked="0" layoutInCell="1" allowOverlap="1">
            <wp:simplePos x="0" y="0"/>
            <wp:positionH relativeFrom="column">
              <wp:posOffset>0</wp:posOffset>
            </wp:positionH>
            <wp:positionV relativeFrom="paragraph">
              <wp:posOffset>73025</wp:posOffset>
            </wp:positionV>
            <wp:extent cx="8747760" cy="3023870"/>
            <wp:effectExtent l="0" t="0" r="0" b="5080"/>
            <wp:wrapNone/>
            <wp:docPr id="13284777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77751"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747760" cy="3023870"/>
                    </a:xfrm>
                    <a:prstGeom prst="rect">
                      <a:avLst/>
                    </a:prstGeom>
                    <a:noFill/>
                    <a:ln>
                      <a:noFill/>
                    </a:ln>
                  </pic:spPr>
                </pic:pic>
              </a:graphicData>
            </a:graphic>
          </wp:anchor>
        </w:drawing>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3600" behindDoc="0" locked="0" layoutInCell="1" allowOverlap="1">
            <wp:simplePos x="0" y="0"/>
            <wp:positionH relativeFrom="column">
              <wp:posOffset>1047115</wp:posOffset>
            </wp:positionH>
            <wp:positionV relativeFrom="paragraph">
              <wp:posOffset>4445</wp:posOffset>
            </wp:positionV>
            <wp:extent cx="6644005" cy="3159760"/>
            <wp:effectExtent l="0" t="0" r="4445" b="2540"/>
            <wp:wrapNone/>
            <wp:docPr id="8020315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31585"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644005" cy="3159760"/>
                    </a:xfrm>
                    <a:prstGeom prst="rect">
                      <a:avLst/>
                    </a:prstGeom>
                    <a:noFill/>
                    <a:ln>
                      <a:noFill/>
                    </a:ln>
                  </pic:spPr>
                </pic:pic>
              </a:graphicData>
            </a:graphic>
          </wp:anchor>
        </w:drawing>
      </w:r>
      <w:r>
        <w:rPr>
          <w:sz w:val="20"/>
          <w:szCs w:val="20"/>
        </w:rPr>
        <w:br w:type="page"/>
      </w:r>
    </w:p>
    <w:p>
      <w:pPr>
        <w:widowControl/>
        <w:jc w:val="center"/>
        <w:rPr>
          <w:sz w:val="20"/>
          <w:szCs w:val="20"/>
        </w:rPr>
        <w:sectPr>
          <w:pgSz w:w="16838" w:h="11906" w:orient="landscape"/>
          <w:pgMar w:top="2098" w:right="1531" w:bottom="1984" w:left="1531" w:header="851" w:footer="992" w:gutter="0"/>
          <w:cols w:space="720" w:num="1"/>
          <w:docGrid w:type="lines" w:linePitch="312" w:charSpace="0"/>
        </w:sectPr>
      </w:pPr>
      <w:r>
        <w:rPr>
          <w:rFonts w:hint="eastAsia"/>
          <w:sz w:val="20"/>
          <w:szCs w:val="20"/>
        </w:rPr>
        <w:drawing>
          <wp:anchor distT="0" distB="0" distL="114300" distR="114300" simplePos="0" relativeHeight="251674624" behindDoc="0" locked="0" layoutInCell="1" allowOverlap="1">
            <wp:simplePos x="0" y="0"/>
            <wp:positionH relativeFrom="column">
              <wp:posOffset>0</wp:posOffset>
            </wp:positionH>
            <wp:positionV relativeFrom="paragraph">
              <wp:posOffset>15875</wp:posOffset>
            </wp:positionV>
            <wp:extent cx="8747760" cy="1749425"/>
            <wp:effectExtent l="0" t="0" r="0" b="3175"/>
            <wp:wrapNone/>
            <wp:docPr id="9986331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33115"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747760" cy="1749425"/>
                    </a:xfrm>
                    <a:prstGeom prst="rect">
                      <a:avLst/>
                    </a:prstGeom>
                    <a:noFill/>
                    <a:ln>
                      <a:noFill/>
                    </a:ln>
                  </pic:spPr>
                </pic:pic>
              </a:graphicData>
            </a:graphic>
          </wp:anchor>
        </w:drawing>
      </w:r>
    </w:p>
    <w:p>
      <w:pPr>
        <w:pStyle w:val="11"/>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color w:val="000000"/>
          <w:sz w:val="18"/>
          <w:szCs w:val="18"/>
          <w:shd w:val="clear" w:color="auto" w:fill="FFFFFF"/>
        </w:rPr>
      </w:pPr>
    </w:p>
    <w:p>
      <w:pPr>
        <w:pStyle w:val="11"/>
        <w:widowControl/>
        <w:spacing w:beforeAutospacing="0" w:afterAutospacing="0"/>
        <w:jc w:val="center"/>
        <w:rPr>
          <w:rFonts w:ascii="Arial" w:hAnsi="Arial" w:eastAsia="Arial" w:cs="Arial"/>
          <w:color w:val="000000"/>
          <w:sz w:val="18"/>
          <w:szCs w:val="18"/>
          <w:shd w:val="clear" w:color="auto" w:fill="FFFFFF"/>
        </w:rPr>
      </w:pPr>
    </w:p>
    <w:p>
      <w:pPr>
        <w:pStyle w:val="11"/>
        <w:widowControl/>
        <w:spacing w:beforeAutospacing="0" w:afterAutospacing="0"/>
        <w:jc w:val="center"/>
        <w:rPr>
          <w:rFonts w:ascii="Arial" w:hAnsi="Arial" w:eastAsia="Arial" w:cs="Arial"/>
          <w:color w:val="000000"/>
          <w:sz w:val="18"/>
          <w:szCs w:val="18"/>
          <w:shd w:val="clear" w:color="auto" w:fill="FFFFFF"/>
        </w:rPr>
      </w:pPr>
    </w:p>
    <w:p>
      <w:pPr>
        <w:pStyle w:val="11"/>
        <w:widowControl/>
        <w:spacing w:beforeAutospacing="0" w:afterAutospacing="0"/>
        <w:jc w:val="center"/>
        <w:rPr>
          <w:rFonts w:ascii="Arial" w:hAnsi="Arial" w:eastAsia="Arial" w:cs="Arial"/>
          <w:color w:val="000000"/>
          <w:sz w:val="18"/>
          <w:szCs w:val="18"/>
          <w:shd w:val="clear" w:color="auto" w:fill="FFFFFF"/>
        </w:rPr>
      </w:pPr>
    </w:p>
    <w:p>
      <w:pPr>
        <w:pStyle w:val="11"/>
        <w:widowControl/>
        <w:spacing w:beforeAutospacing="0" w:afterAutospacing="0"/>
        <w:jc w:val="center"/>
        <w:rPr>
          <w:rFonts w:ascii="Arial" w:hAnsi="Arial" w:eastAsia="Arial" w:cs="Arial"/>
          <w:color w:val="000000"/>
          <w:sz w:val="18"/>
          <w:szCs w:val="18"/>
          <w:shd w:val="clear" w:color="auto" w:fill="FFFFFF"/>
        </w:rPr>
      </w:pP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第三部分</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2023年度部门决算情况</w:t>
      </w:r>
    </w:p>
    <w:p>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说明</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1"/>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rPr>
          <w:rFonts w:ascii="Arial" w:hAnsi="Arial" w:eastAsia="Arial" w:cs="Arial"/>
        </w:rPr>
      </w:pPr>
      <w:r>
        <w:rPr>
          <w:rFonts w:ascii="Arial" w:hAnsi="Arial" w:eastAsia="Arial" w:cs="Arial"/>
          <w:color w:val="000000"/>
          <w:sz w:val="18"/>
          <w:szCs w:val="18"/>
          <w:shd w:val="clear" w:color="auto" w:fill="FFFFFF"/>
        </w:rPr>
        <w:br w:type="page"/>
      </w:r>
    </w:p>
    <w:p>
      <w:pPr>
        <w:snapToGrid w:val="0"/>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一、收入支出决算总体情况说明</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本部门2023年度收、支总计（含结转和结余）776.28万元。与2022年度决算相比，收支各增加425.51万元，增长121.3%，</w:t>
      </w:r>
      <w:r>
        <w:rPr>
          <w:rFonts w:hint="eastAsia" w:ascii="仿宋" w:hAnsi="仿宋" w:eastAsia="仿宋" w:cs="Times New Roman"/>
          <w:kern w:val="2"/>
          <w:sz w:val="32"/>
          <w:szCs w:val="32"/>
          <w:lang w:val="en-US" w:eastAsia="zh-CN"/>
        </w:rPr>
        <w:t>主要原因是</w:t>
      </w:r>
      <w:r>
        <w:rPr>
          <w:rFonts w:hint="eastAsia" w:ascii="仿宋" w:hAnsi="仿宋" w:eastAsia="仿宋" w:cs="DengXian-Regular"/>
          <w:sz w:val="32"/>
          <w:szCs w:val="32"/>
          <w:lang w:eastAsia="zh-CN"/>
        </w:rPr>
        <w:t>对完善园区基础设施增加了投入</w:t>
      </w:r>
      <w:r>
        <w:rPr>
          <w:rFonts w:hint="eastAsia" w:ascii="仿宋" w:hAnsi="仿宋" w:eastAsia="仿宋" w:cs="DengXian-Regular"/>
          <w:sz w:val="32"/>
          <w:szCs w:val="32"/>
        </w:rPr>
        <w:t>。</w:t>
      </w:r>
    </w:p>
    <w:tbl>
      <w:tblPr>
        <w:tblStyle w:val="13"/>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5648" behindDoc="0" locked="0" layoutInCell="1" allowOverlap="1">
                  <wp:simplePos x="0" y="0"/>
                  <wp:positionH relativeFrom="column">
                    <wp:posOffset>302895</wp:posOffset>
                  </wp:positionH>
                  <wp:positionV relativeFrom="paragraph">
                    <wp:posOffset>67945</wp:posOffset>
                  </wp:positionV>
                  <wp:extent cx="4224655" cy="2853055"/>
                  <wp:effectExtent l="0" t="0" r="4445" b="4445"/>
                  <wp:wrapNone/>
                  <wp:docPr id="89814908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49085"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24655" cy="2853055"/>
                          </a:xfrm>
                          <a:prstGeom prst="rect">
                            <a:avLst/>
                          </a:prstGeom>
                          <a:noFill/>
                          <a:ln>
                            <a:noFill/>
                          </a:ln>
                        </pic:spPr>
                      </pic:pic>
                    </a:graphicData>
                  </a:graphic>
                </wp:anchor>
              </w:drawing>
            </w:r>
          </w:p>
        </w:tc>
      </w:tr>
    </w:tbl>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二、收入决算情况说明</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本部门2023年度本年收入合计776.28万元，其中：财政拨款收入776.28万元，占100.0%；上级补助收入0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w:t>
      </w:r>
      <w:r>
        <w:rPr>
          <w:rFonts w:hint="eastAsia" w:ascii="仿宋" w:hAnsi="仿宋" w:eastAsia="仿宋" w:cs="Times New Roman"/>
          <w:kern w:val="2"/>
          <w:sz w:val="32"/>
          <w:szCs w:val="32"/>
        </w:rPr>
        <w:t>0.0</w:t>
      </w:r>
      <w:r>
        <w:rPr>
          <w:rFonts w:ascii="仿宋" w:hAnsi="仿宋" w:eastAsia="仿宋" w:cs="Times New Roman"/>
          <w:kern w:val="2"/>
          <w:sz w:val="32"/>
          <w:szCs w:val="32"/>
          <w:lang w:val="zh-CN"/>
        </w:rPr>
        <w:t>%；事业收入0.00万元，占0.0%；经营收入0.00万元，占0.0%；附属单位上缴收入0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lang w:val="zh-CN"/>
        </w:rPr>
        <w:t>，占0.0%</w:t>
      </w:r>
      <w:r>
        <w:rPr>
          <w:rFonts w:ascii="仿宋" w:hAnsi="仿宋" w:eastAsia="仿宋" w:cs="Times New Roman"/>
          <w:kern w:val="2"/>
          <w:sz w:val="32"/>
          <w:szCs w:val="32"/>
          <w:lang w:val="zh-CN"/>
        </w:rPr>
        <w:t>；其他收入</w:t>
      </w:r>
      <w:r>
        <w:rPr>
          <w:rFonts w:hint="eastAsia" w:ascii="仿宋" w:hAnsi="仿宋" w:eastAsia="仿宋" w:cs="Times New Roman"/>
          <w:kern w:val="2"/>
          <w:sz w:val="32"/>
          <w:szCs w:val="32"/>
          <w:lang w:val="zh-CN"/>
        </w:rPr>
        <w:t>0.00</w:t>
      </w:r>
      <w:r>
        <w:rPr>
          <w:rFonts w:ascii="仿宋" w:hAnsi="仿宋" w:eastAsia="仿宋" w:cs="Times New Roman"/>
          <w:kern w:val="2"/>
          <w:sz w:val="32"/>
          <w:szCs w:val="32"/>
          <w:lang w:val="zh-CN"/>
        </w:rPr>
        <w:t>万元，占0.0%</w:t>
      </w:r>
      <w:r>
        <w:rPr>
          <w:rFonts w:hint="eastAsia" w:ascii="仿宋" w:hAnsi="仿宋" w:eastAsia="仿宋" w:cs="Times New Roman"/>
          <w:kern w:val="2"/>
          <w:sz w:val="32"/>
          <w:szCs w:val="32"/>
          <w:lang w:val="zh-CN"/>
        </w:rPr>
        <w:t>。</w:t>
      </w:r>
    </w:p>
    <w:tbl>
      <w:tblPr>
        <w:tblStyle w:val="13"/>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6672" behindDoc="0" locked="0" layoutInCell="1" allowOverlap="1">
                  <wp:simplePos x="0" y="0"/>
                  <wp:positionH relativeFrom="column">
                    <wp:posOffset>273685</wp:posOffset>
                  </wp:positionH>
                  <wp:positionV relativeFrom="paragraph">
                    <wp:posOffset>-288925</wp:posOffset>
                  </wp:positionV>
                  <wp:extent cx="4276725" cy="3217545"/>
                  <wp:effectExtent l="0" t="0" r="9525" b="1905"/>
                  <wp:wrapNone/>
                  <wp:docPr id="106830820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08208"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276725" cy="3217545"/>
                          </a:xfrm>
                          <a:prstGeom prst="rect">
                            <a:avLst/>
                          </a:prstGeom>
                          <a:noFill/>
                          <a:ln>
                            <a:noFill/>
                          </a:ln>
                        </pic:spPr>
                      </pic:pic>
                    </a:graphicData>
                  </a:graphic>
                </wp:anchor>
              </w:drawing>
            </w:r>
          </w:p>
        </w:tc>
      </w:tr>
    </w:tbl>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三、支出决算情况说明</w:t>
      </w:r>
    </w:p>
    <w:p>
      <w:pPr>
        <w:autoSpaceDE w:val="0"/>
        <w:autoSpaceDN w:val="0"/>
        <w:adjustRightInd w:val="0"/>
        <w:snapToGrid w:val="0"/>
        <w:spacing w:after="0" w:line="360" w:lineRule="auto"/>
        <w:ind w:firstLine="6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本部门2023年度本年支出合计776.28万元，其中：基本支出153.93万元，占19.8%；项目支出622.35万元，占80.2%；上缴上级支出0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%；经营支出0.00万元，占0.0%；对附属单位补助支出0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w:t>
      </w:r>
    </w:p>
    <w:tbl>
      <w:tblPr>
        <w:tblStyle w:val="13"/>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8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bookmarkStart w:id="0" w:name="_Hlk177575033"/>
            <w:r>
              <w:rPr>
                <w:rFonts w:hint="eastAsia" w:ascii="仿宋_GB2312" w:hAnsi="Times New Roman" w:eastAsia="仿宋" w:cs="DengXian-Regular"/>
                <w:sz w:val="32"/>
                <w:szCs w:val="32"/>
              </w:rPr>
              <w:drawing>
                <wp:anchor distT="0" distB="0" distL="114300" distR="114300" simplePos="0" relativeHeight="251677696" behindDoc="0" locked="0" layoutInCell="1" allowOverlap="1">
                  <wp:simplePos x="0" y="0"/>
                  <wp:positionH relativeFrom="column">
                    <wp:posOffset>291465</wp:posOffset>
                  </wp:positionH>
                  <wp:positionV relativeFrom="paragraph">
                    <wp:posOffset>108585</wp:posOffset>
                  </wp:positionV>
                  <wp:extent cx="4253865" cy="2812415"/>
                  <wp:effectExtent l="0" t="0" r="0" b="6985"/>
                  <wp:wrapNone/>
                  <wp:docPr id="177026326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63264"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253865" cy="2812415"/>
                          </a:xfrm>
                          <a:prstGeom prst="rect">
                            <a:avLst/>
                          </a:prstGeom>
                          <a:noFill/>
                          <a:ln>
                            <a:noFill/>
                          </a:ln>
                        </pic:spPr>
                      </pic:pic>
                    </a:graphicData>
                  </a:graphic>
                </wp:anchor>
              </w:drawing>
            </w:r>
          </w:p>
        </w:tc>
      </w:tr>
      <w:bookmarkEnd w:id="0"/>
    </w:tbl>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四、财政拨款收入支出决算总体情况说明</w:t>
      </w:r>
    </w:p>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（一）财政拨款收支与2022年度决算对比情况</w:t>
      </w:r>
    </w:p>
    <w:p>
      <w:pPr>
        <w:pStyle w:val="11"/>
        <w:widowControl/>
        <w:snapToGrid w:val="0"/>
        <w:spacing w:beforeAutospacing="0" w:afterAutospacing="0" w:line="360" w:lineRule="auto"/>
        <w:ind w:firstLine="640" w:firstLineChars="200"/>
        <w:rPr>
          <w:rFonts w:hint="eastAsia" w:ascii="仿宋" w:hAnsi="仿宋" w:eastAsia="仿宋"/>
          <w:sz w:val="30"/>
          <w:szCs w:val="30"/>
        </w:rPr>
      </w:pP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kern w:val="2"/>
          <w:sz w:val="32"/>
          <w:szCs w:val="32"/>
        </w:rPr>
        <w:t>776.28万</w:t>
      </w:r>
      <w:r>
        <w:rPr>
          <w:rFonts w:ascii="仿宋" w:hAnsi="仿宋" w:eastAsia="仿宋"/>
          <w:kern w:val="2"/>
          <w:sz w:val="32"/>
          <w:szCs w:val="32"/>
          <w:lang w:val="zh-CN"/>
        </w:rPr>
        <w:t>元</w:t>
      </w:r>
      <w:r>
        <w:rPr>
          <w:rFonts w:hint="eastAsia"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增加425.51</w:t>
      </w:r>
      <w:r>
        <w:rPr>
          <w:rFonts w:ascii="仿宋" w:hAnsi="仿宋" w:eastAsia="仿宋"/>
          <w:kern w:val="2"/>
          <w:sz w:val="32"/>
          <w:szCs w:val="32"/>
          <w:lang w:val="zh-CN"/>
        </w:rPr>
        <w:t>万元</w:t>
      </w:r>
      <w:r>
        <w:rPr>
          <w:rFonts w:ascii="仿宋" w:hAnsi="仿宋" w:eastAsia="仿宋"/>
          <w:kern w:val="2"/>
          <w:sz w:val="32"/>
          <w:szCs w:val="32"/>
        </w:rPr>
        <w:t>，增长121.3%，</w:t>
      </w:r>
      <w:r>
        <w:rPr>
          <w:rFonts w:ascii="仿宋" w:hAnsi="仿宋" w:eastAsia="仿宋"/>
          <w:kern w:val="2"/>
          <w:sz w:val="32"/>
          <w:szCs w:val="32"/>
          <w:highlight w:val="yellow"/>
          <w:lang w:val="zh-CN"/>
        </w:rPr>
        <w:t>主要</w:t>
      </w:r>
      <w:r>
        <w:rPr>
          <w:rFonts w:hint="eastAsia" w:ascii="仿宋" w:hAnsi="仿宋" w:eastAsia="仿宋"/>
          <w:kern w:val="2"/>
          <w:sz w:val="32"/>
          <w:szCs w:val="32"/>
          <w:highlight w:val="yellow"/>
          <w:lang w:val="zh-CN"/>
        </w:rPr>
        <w:t>原因是</w:t>
      </w:r>
      <w:r>
        <w:rPr>
          <w:rFonts w:hint="eastAsia" w:ascii="仿宋" w:hAnsi="仿宋" w:eastAsia="仿宋"/>
          <w:kern w:val="2"/>
          <w:sz w:val="32"/>
          <w:szCs w:val="32"/>
          <w:highlight w:val="yellow"/>
        </w:rPr>
        <w:t>：XXX</w:t>
      </w:r>
      <w:r>
        <w:rPr>
          <w:rFonts w:ascii="仿宋" w:hAnsi="仿宋" w:eastAsia="仿宋"/>
          <w:kern w:val="2"/>
          <w:sz w:val="32"/>
          <w:szCs w:val="32"/>
        </w:rPr>
        <w:t>；</w:t>
      </w:r>
      <w:r>
        <w:rPr>
          <w:rFonts w:ascii="仿宋" w:hAnsi="仿宋" w:eastAsia="仿宋"/>
          <w:kern w:val="2"/>
          <w:sz w:val="32"/>
          <w:szCs w:val="32"/>
          <w:lang w:val="zh-CN"/>
        </w:rPr>
        <w:t>本年支出</w:t>
      </w:r>
      <w:r>
        <w:rPr>
          <w:rFonts w:hint="eastAsia" w:ascii="仿宋" w:hAnsi="仿宋" w:eastAsia="仿宋"/>
          <w:kern w:val="2"/>
          <w:sz w:val="32"/>
          <w:szCs w:val="32"/>
          <w:lang w:val="zh-CN"/>
        </w:rPr>
        <w:t>合计</w:t>
      </w:r>
      <w:r>
        <w:rPr>
          <w:rFonts w:ascii="仿宋" w:hAnsi="仿宋" w:eastAsia="仿宋"/>
          <w:kern w:val="2"/>
          <w:sz w:val="32"/>
          <w:szCs w:val="32"/>
        </w:rPr>
        <w:t>776.28</w:t>
      </w:r>
      <w:r>
        <w:rPr>
          <w:rFonts w:ascii="仿宋" w:hAnsi="仿宋" w:eastAsia="仿宋"/>
          <w:kern w:val="2"/>
          <w:sz w:val="32"/>
          <w:szCs w:val="32"/>
          <w:lang w:val="zh-CN"/>
        </w:rPr>
        <w:t>元</w:t>
      </w:r>
      <w:r>
        <w:rPr>
          <w:rFonts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增加425.51</w:t>
      </w:r>
      <w:r>
        <w:rPr>
          <w:rFonts w:ascii="仿宋" w:hAnsi="仿宋" w:eastAsia="仿宋"/>
          <w:kern w:val="2"/>
          <w:sz w:val="32"/>
          <w:szCs w:val="32"/>
          <w:lang w:val="zh-CN"/>
        </w:rPr>
        <w:t>万元</w:t>
      </w:r>
      <w:r>
        <w:rPr>
          <w:rFonts w:ascii="仿宋" w:hAnsi="仿宋" w:eastAsia="仿宋"/>
          <w:kern w:val="2"/>
          <w:sz w:val="32"/>
          <w:szCs w:val="32"/>
        </w:rPr>
        <w:t>，增长121.3%，</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对完善园区基础设施增加了投入</w:t>
      </w:r>
      <w:r>
        <w:rPr>
          <w:rFonts w:ascii="仿宋" w:hAnsi="仿宋" w:eastAsia="仿宋"/>
          <w:kern w:val="2"/>
          <w:sz w:val="32"/>
          <w:szCs w:val="32"/>
          <w:lang w:val="zh-CN"/>
        </w:rPr>
        <w:t>。具体情况如下：</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1. </w:t>
      </w:r>
      <w:r>
        <w:rPr>
          <w:rFonts w:ascii="仿宋" w:hAnsi="仿宋" w:eastAsia="仿宋" w:cs="Times New Roman"/>
          <w:kern w:val="2"/>
          <w:sz w:val="32"/>
          <w:szCs w:val="32"/>
          <w:lang w:val="zh-CN"/>
        </w:rPr>
        <w:t>一般公共预算财政拨款本年收入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746.28</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增加400.51</w:t>
      </w:r>
      <w:r>
        <w:rPr>
          <w:rFonts w:ascii="仿宋" w:hAnsi="仿宋" w:eastAsia="仿宋" w:cs="Times New Roman"/>
          <w:kern w:val="2"/>
          <w:sz w:val="32"/>
          <w:szCs w:val="32"/>
          <w:lang w:val="zh-CN"/>
        </w:rPr>
        <w:t>万元</w:t>
      </w:r>
      <w:r>
        <w:rPr>
          <w:rFonts w:ascii="仿宋" w:hAnsi="仿宋" w:eastAsia="仿宋" w:cs="Times New Roman"/>
          <w:kern w:val="2"/>
          <w:sz w:val="32"/>
          <w:szCs w:val="32"/>
        </w:rPr>
        <w:t>，增长115.8%</w:t>
      </w:r>
      <w:r>
        <w:rPr>
          <w:rFonts w:hint="eastAsia" w:ascii="仿宋" w:hAnsi="仿宋" w:eastAsia="仿宋" w:cs="Times New Roman"/>
          <w:kern w:val="2"/>
          <w:sz w:val="32"/>
          <w:szCs w:val="32"/>
        </w:rPr>
        <w:t>，</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对完善园区基础设施增加了投入</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746.28万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增加400.51</w:t>
      </w:r>
      <w:r>
        <w:rPr>
          <w:rFonts w:ascii="仿宋" w:hAnsi="仿宋" w:eastAsia="仿宋" w:cs="Times New Roman"/>
          <w:kern w:val="2"/>
          <w:sz w:val="32"/>
          <w:szCs w:val="32"/>
          <w:lang w:val="zh-CN"/>
        </w:rPr>
        <w:t>万元</w:t>
      </w:r>
      <w:r>
        <w:rPr>
          <w:rFonts w:ascii="仿宋" w:hAnsi="仿宋" w:eastAsia="仿宋" w:cs="Times New Roman"/>
          <w:kern w:val="2"/>
          <w:sz w:val="32"/>
          <w:szCs w:val="32"/>
        </w:rPr>
        <w:t>，增长115.8%，</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对完善园区基础设施增加了投入</w:t>
      </w:r>
      <w:r>
        <w:rPr>
          <w:rFonts w:hint="eastAsia" w:ascii="仿宋" w:hAnsi="仿宋" w:eastAsia="仿宋" w:cs="DengXian-Regular"/>
          <w:sz w:val="32"/>
          <w:szCs w:val="32"/>
        </w:rPr>
        <w:t>。</w:t>
      </w:r>
    </w:p>
    <w:p>
      <w:pPr>
        <w:autoSpaceDE w:val="0"/>
        <w:autoSpaceDN w:val="0"/>
        <w:adjustRightInd w:val="0"/>
        <w:snapToGrid w:val="0"/>
        <w:spacing w:after="0" w:line="360" w:lineRule="auto"/>
        <w:ind w:firstLine="640" w:firstLineChars="200"/>
        <w:jc w:val="left"/>
        <w:rPr>
          <w:rFonts w:hint="eastAsia" w:ascii="仿宋" w:hAnsi="仿宋" w:eastAsia="仿宋" w:cs="Times New Roman"/>
          <w:sz w:val="32"/>
          <w:szCs w:val="32"/>
        </w:rPr>
      </w:pPr>
      <w:r>
        <w:rPr>
          <w:rFonts w:ascii="仿宋" w:hAnsi="仿宋" w:eastAsia="仿宋" w:cs="Times New Roman"/>
          <w:kern w:val="2"/>
          <w:sz w:val="32"/>
          <w:szCs w:val="32"/>
        </w:rPr>
        <w:t xml:space="preserve">2. </w:t>
      </w:r>
      <w:r>
        <w:rPr>
          <w:rFonts w:ascii="仿宋" w:hAnsi="仿宋" w:eastAsia="仿宋" w:cs="Times New Roman"/>
          <w:kern w:val="2"/>
          <w:sz w:val="32"/>
          <w:szCs w:val="32"/>
          <w:lang w:val="zh-CN"/>
        </w:rPr>
        <w:t>政府性基金预算财政拨款本年收入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30.00万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增加25.00</w:t>
      </w:r>
      <w:r>
        <w:rPr>
          <w:rFonts w:ascii="仿宋" w:hAnsi="仿宋" w:eastAsia="仿宋" w:cs="Times New Roman"/>
          <w:kern w:val="2"/>
          <w:sz w:val="32"/>
          <w:szCs w:val="32"/>
          <w:lang w:val="zh-CN"/>
        </w:rPr>
        <w:t>万元</w:t>
      </w:r>
      <w:r>
        <w:rPr>
          <w:rFonts w:ascii="仿宋" w:hAnsi="仿宋" w:eastAsia="仿宋" w:cs="Times New Roman"/>
          <w:kern w:val="2"/>
          <w:sz w:val="32"/>
          <w:szCs w:val="32"/>
        </w:rPr>
        <w:t>，增长500.0%，</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保障正常办公，增加了房屋租赁开支</w:t>
      </w:r>
      <w:r>
        <w:rPr>
          <w:rFonts w:hint="eastAsia" w:ascii="仿宋" w:hAnsi="仿宋" w:eastAsia="仿宋" w:cs="DengXian-Regular"/>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30.00万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增加25.00</w:t>
      </w:r>
      <w:r>
        <w:rPr>
          <w:rFonts w:ascii="仿宋" w:hAnsi="仿宋" w:eastAsia="仿宋" w:cs="Times New Roman"/>
          <w:kern w:val="2"/>
          <w:sz w:val="32"/>
          <w:szCs w:val="32"/>
          <w:lang w:val="zh-CN"/>
        </w:rPr>
        <w:t>万元</w:t>
      </w:r>
      <w:r>
        <w:rPr>
          <w:rFonts w:ascii="仿宋" w:hAnsi="仿宋" w:eastAsia="仿宋" w:cs="Times New Roman"/>
          <w:kern w:val="2"/>
          <w:sz w:val="32"/>
          <w:szCs w:val="32"/>
        </w:rPr>
        <w:t>，增长500.0%，</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保障正常办公，增加了房屋租赁开支。</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3. </w:t>
      </w:r>
      <w:r>
        <w:rPr>
          <w:rFonts w:ascii="仿宋" w:hAnsi="仿宋" w:eastAsia="仿宋" w:cs="Times New Roman"/>
          <w:kern w:val="2"/>
          <w:sz w:val="32"/>
          <w:szCs w:val="32"/>
          <w:lang w:val="zh-CN"/>
        </w:rPr>
        <w:t>国有资本经营预算财政拨款本年收入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tbl>
      <w:tblPr>
        <w:tblStyle w:val="13"/>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537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bookmarkStart w:id="1" w:name="_Hlk177574799"/>
            <w:r>
              <w:rPr>
                <w:rFonts w:hint="eastAsia" w:ascii="仿宋_GB2312" w:hAnsi="Times New Roman" w:eastAsia="仿宋" w:cs="DengXian-Regular"/>
                <w:sz w:val="32"/>
                <w:szCs w:val="32"/>
              </w:rPr>
              <w:drawing>
                <wp:anchor distT="0" distB="0" distL="114300" distR="114300" simplePos="0" relativeHeight="251678720" behindDoc="0" locked="0" layoutInCell="1" allowOverlap="1">
                  <wp:simplePos x="0" y="0"/>
                  <wp:positionH relativeFrom="column">
                    <wp:posOffset>273685</wp:posOffset>
                  </wp:positionH>
                  <wp:positionV relativeFrom="paragraph">
                    <wp:posOffset>69215</wp:posOffset>
                  </wp:positionV>
                  <wp:extent cx="4276725" cy="3171190"/>
                  <wp:effectExtent l="0" t="0" r="9525" b="0"/>
                  <wp:wrapNone/>
                  <wp:docPr id="115148607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86076" name="图片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276725" cy="3171190"/>
                          </a:xfrm>
                          <a:prstGeom prst="rect">
                            <a:avLst/>
                          </a:prstGeom>
                          <a:noFill/>
                          <a:ln>
                            <a:noFill/>
                          </a:ln>
                        </pic:spPr>
                      </pic:pic>
                    </a:graphicData>
                  </a:graphic>
                </wp:anchor>
              </w:drawing>
            </w:r>
          </w:p>
        </w:tc>
      </w:tr>
      <w:bookmarkEnd w:id="1"/>
    </w:tbl>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（二）财政拨款收支与年初预算数对比情况</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776.28万元，完成年初预算的497.1%，比年初预算增加620.11万元，决算数大于预算数</w:t>
      </w:r>
      <w:r>
        <w:rPr>
          <w:rFonts w:hint="eastAsia" w:ascii="仿宋" w:hAnsi="仿宋" w:eastAsia="仿宋" w:cs="Times New Roman"/>
          <w:kern w:val="2"/>
          <w:sz w:val="32"/>
          <w:szCs w:val="32"/>
          <w:lang w:val="zh-CN"/>
        </w:rPr>
        <w:t>，</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人员工资上调，同时加大了招商引资工作力度</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776.28万元，完成年初预算的497.1%，比年初预算增加620.11万元，决算数大于预算数</w:t>
      </w:r>
      <w:r>
        <w:rPr>
          <w:rFonts w:hint="eastAsia" w:ascii="仿宋" w:hAnsi="仿宋" w:eastAsia="仿宋" w:cs="Times New Roman"/>
          <w:kern w:val="2"/>
          <w:sz w:val="32"/>
          <w:szCs w:val="32"/>
          <w:lang w:val="zh-CN"/>
        </w:rPr>
        <w:t>，</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人员工资上调，同时加大了招商引资工作力度</w:t>
      </w:r>
      <w:r>
        <w:rPr>
          <w:rFonts w:hint="eastAsia" w:ascii="仿宋" w:hAnsi="仿宋" w:eastAsia="仿宋" w:cs="DengXian-Regular"/>
          <w:sz w:val="32"/>
          <w:szCs w:val="32"/>
        </w:rPr>
        <w:t>。</w:t>
      </w:r>
      <w:r>
        <w:rPr>
          <w:rFonts w:ascii="仿宋" w:hAnsi="仿宋" w:eastAsia="仿宋" w:cs="Times New Roman"/>
          <w:kern w:val="2"/>
          <w:sz w:val="32"/>
          <w:szCs w:val="32"/>
          <w:lang w:val="zh-CN"/>
        </w:rPr>
        <w:t>具体情况如下：</w:t>
      </w:r>
    </w:p>
    <w:p>
      <w:pPr>
        <w:adjustRightInd w:val="0"/>
        <w:snapToGrid w:val="0"/>
        <w:spacing w:line="580" w:lineRule="exact"/>
        <w:ind w:firstLine="640" w:firstLineChars="200"/>
        <w:rPr>
          <w:rFonts w:hint="eastAsia" w:ascii="仿宋" w:hAnsi="仿宋" w:eastAsia="仿宋" w:cs="DengXian-Regular"/>
          <w:sz w:val="32"/>
          <w:szCs w:val="32"/>
        </w:rPr>
      </w:pPr>
      <w:r>
        <w:rPr>
          <w:rFonts w:ascii="仿宋" w:hAnsi="仿宋" w:eastAsia="仿宋" w:cs="Times New Roman"/>
          <w:kern w:val="2"/>
          <w:sz w:val="32"/>
          <w:szCs w:val="32"/>
        </w:rPr>
        <w:t>1.</w:t>
      </w:r>
      <w:r>
        <w:rPr>
          <w:rFonts w:ascii="仿宋" w:hAnsi="仿宋" w:eastAsia="仿宋" w:cs="Times New Roman"/>
          <w:kern w:val="2"/>
          <w:sz w:val="32"/>
          <w:szCs w:val="32"/>
          <w:lang w:val="zh-CN"/>
        </w:rPr>
        <w:t>一般公共预算财政拨款</w:t>
      </w:r>
      <w:r>
        <w:rPr>
          <w:rFonts w:ascii="仿宋" w:hAnsi="仿宋" w:eastAsia="仿宋" w:cs="Times New Roman"/>
          <w:kern w:val="2"/>
          <w:sz w:val="32"/>
          <w:szCs w:val="32"/>
        </w:rPr>
        <w:t>本年</w:t>
      </w:r>
      <w:r>
        <w:rPr>
          <w:rFonts w:ascii="仿宋" w:hAnsi="仿宋" w:eastAsia="仿宋" w:cs="Times New Roman"/>
          <w:kern w:val="2"/>
          <w:sz w:val="32"/>
          <w:szCs w:val="32"/>
          <w:lang w:val="zh-CN"/>
        </w:rPr>
        <w:t>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746.28</w:t>
      </w:r>
      <w:r>
        <w:rPr>
          <w:rFonts w:ascii="仿宋" w:hAnsi="仿宋" w:eastAsia="仿宋" w:cs="Times New Roman"/>
          <w:kern w:val="2"/>
          <w:sz w:val="32"/>
          <w:szCs w:val="32"/>
          <w:lang w:val="zh-CN"/>
        </w:rPr>
        <w:t>万元，完成年初预算的568.9%，比年初预算增加615.11万元，</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人员工资上调，同时加大了招商引资工作力度</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746.28</w:t>
      </w:r>
      <w:r>
        <w:rPr>
          <w:rFonts w:ascii="仿宋" w:hAnsi="仿宋" w:eastAsia="仿宋" w:cs="Times New Roman"/>
          <w:kern w:val="2"/>
          <w:sz w:val="32"/>
          <w:szCs w:val="32"/>
          <w:lang w:val="zh-CN"/>
        </w:rPr>
        <w:t>万元，完成年初预算的568.9%，比年初预算增加615.11万元，</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人员工资上调，同时加大了招商引资工作力度</w:t>
      </w:r>
      <w:r>
        <w:rPr>
          <w:rFonts w:hint="eastAsia" w:ascii="仿宋" w:hAnsi="仿宋" w:eastAsia="仿宋" w:cs="DengXian-Regular"/>
          <w:sz w:val="32"/>
          <w:szCs w:val="32"/>
        </w:rPr>
        <w:t>。</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2. 政府性基金预算财政拨款本年收入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30.00</w:t>
      </w:r>
      <w:r>
        <w:rPr>
          <w:rFonts w:ascii="仿宋" w:hAnsi="仿宋" w:eastAsia="仿宋" w:cs="Times New Roman"/>
          <w:kern w:val="2"/>
          <w:sz w:val="32"/>
          <w:szCs w:val="32"/>
          <w:lang w:val="zh-CN"/>
        </w:rPr>
        <w:t>万元，完成年初预算的120.0%，比年初预算增加5.00万元，</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节俭开支</w:t>
      </w:r>
      <w:r>
        <w:rPr>
          <w:rFonts w:hint="eastAsia" w:ascii="仿宋" w:hAnsi="仿宋" w:eastAsia="仿宋" w:cs="DengXian-Regular"/>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30.00</w:t>
      </w:r>
      <w:r>
        <w:rPr>
          <w:rFonts w:ascii="仿宋" w:hAnsi="仿宋" w:eastAsia="仿宋" w:cs="Times New Roman"/>
          <w:kern w:val="2"/>
          <w:sz w:val="32"/>
          <w:szCs w:val="32"/>
          <w:lang w:val="zh-CN"/>
        </w:rPr>
        <w:t>万元，完成年初预算的120.0%，比年初预算增加5.00万元，</w:t>
      </w:r>
      <w:r>
        <w:rPr>
          <w:rFonts w:hint="eastAsia" w:ascii="仿宋" w:hAnsi="仿宋" w:eastAsia="仿宋" w:cs="DengXian-Regular"/>
          <w:sz w:val="32"/>
          <w:szCs w:val="32"/>
        </w:rPr>
        <w:t>主要原因是：</w:t>
      </w:r>
      <w:r>
        <w:rPr>
          <w:rFonts w:hint="eastAsia" w:ascii="仿宋" w:hAnsi="仿宋" w:eastAsia="仿宋" w:cs="DengXian-Regular"/>
          <w:sz w:val="32"/>
          <w:szCs w:val="32"/>
          <w:lang w:eastAsia="zh-CN"/>
        </w:rPr>
        <w:t>节俭开支。</w:t>
      </w:r>
    </w:p>
    <w:p>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 xml:space="preserve">3. </w:t>
      </w:r>
      <w:r>
        <w:rPr>
          <w:rFonts w:hint="eastAsia" w:ascii="仿宋" w:hAnsi="仿宋" w:eastAsia="仿宋" w:cs="仿宋_GB2312"/>
          <w:kern w:val="2"/>
          <w:sz w:val="32"/>
          <w:szCs w:val="32"/>
          <w:lang w:val="zh-CN"/>
        </w:rPr>
        <w:t>国有资本经营预算财政拨款本年收入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w:t>
      </w:r>
      <w:r>
        <w:rPr>
          <w:rFonts w:ascii="仿宋" w:hAnsi="仿宋" w:eastAsia="仿宋" w:cs="Times New Roman"/>
          <w:kern w:val="2"/>
          <w:sz w:val="32"/>
          <w:szCs w:val="32"/>
          <w:lang w:val="zh-CN"/>
        </w:rPr>
        <w:t>。</w:t>
      </w:r>
    </w:p>
    <w:tbl>
      <w:tblPr>
        <w:tblStyle w:val="13"/>
        <w:tblW w:w="78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cantSplit/>
          <w:trHeight w:val="5203" w:hRule="atLeast"/>
          <w:jc w:val="center"/>
        </w:trPr>
        <w:tc>
          <w:tcPr>
            <w:tcW w:w="7842"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9744" behindDoc="0" locked="0" layoutInCell="1" allowOverlap="1">
                  <wp:simplePos x="0" y="0"/>
                  <wp:positionH relativeFrom="column">
                    <wp:posOffset>255270</wp:posOffset>
                  </wp:positionH>
                  <wp:positionV relativeFrom="paragraph">
                    <wp:posOffset>268605</wp:posOffset>
                  </wp:positionV>
                  <wp:extent cx="4328795" cy="2853055"/>
                  <wp:effectExtent l="0" t="0" r="0" b="4445"/>
                  <wp:wrapNone/>
                  <wp:docPr id="78116199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61998" name="图片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328795" cy="2853055"/>
                          </a:xfrm>
                          <a:prstGeom prst="rect">
                            <a:avLst/>
                          </a:prstGeom>
                          <a:noFill/>
                          <a:ln>
                            <a:noFill/>
                          </a:ln>
                        </pic:spPr>
                      </pic:pic>
                    </a:graphicData>
                  </a:graphic>
                </wp:anchor>
              </w:drawing>
            </w:r>
          </w:p>
        </w:tc>
      </w:tr>
    </w:tbl>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（三）财政拨款支出决算结构情况</w:t>
      </w:r>
    </w:p>
    <w:p>
      <w:pPr>
        <w:adjustRightInd w:val="0"/>
        <w:snapToGrid w:val="0"/>
        <w:spacing w:after="0" w:line="360" w:lineRule="auto"/>
        <w:ind w:firstLine="640" w:firstLineChars="200"/>
        <w:jc w:val="left"/>
        <w:rPr>
          <w:rFonts w:hint="eastAsia" w:ascii="仿宋" w:hAnsi="仿宋" w:eastAsia="仿宋" w:cs="Times New Roman"/>
          <w:sz w:val="32"/>
          <w:szCs w:val="32"/>
          <w:highlight w:val="yellow"/>
        </w:rPr>
      </w:pPr>
      <w:r>
        <w:rPr>
          <w:rFonts w:ascii="仿宋" w:hAnsi="仿宋" w:eastAsia="仿宋" w:cs="Times New Roman"/>
          <w:kern w:val="2"/>
          <w:sz w:val="32"/>
          <w:szCs w:val="32"/>
          <w:lang w:val="zh-CN"/>
        </w:rPr>
        <w:t>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年度财政拨款支出</w:t>
      </w:r>
      <w:r>
        <w:rPr>
          <w:rFonts w:hint="eastAsia" w:ascii="仿宋" w:hAnsi="仿宋" w:eastAsia="仿宋"/>
          <w:kern w:val="2"/>
          <w:sz w:val="32"/>
          <w:szCs w:val="32"/>
          <w:lang w:val="zh-CN"/>
        </w:rPr>
        <w:t>合计</w:t>
      </w:r>
      <w:r>
        <w:rPr>
          <w:rFonts w:hint="eastAsia" w:ascii="仿宋" w:hAnsi="仿宋" w:eastAsia="仿宋" w:cs="仿宋_GB2312"/>
          <w:kern w:val="2"/>
          <w:sz w:val="32"/>
          <w:szCs w:val="32"/>
          <w:lang w:val="zh-CN"/>
        </w:rPr>
        <w:t>776.28</w:t>
      </w:r>
      <w:r>
        <w:rPr>
          <w:rFonts w:ascii="仿宋" w:hAnsi="仿宋" w:eastAsia="仿宋" w:cs="Times New Roman"/>
          <w:kern w:val="2"/>
          <w:sz w:val="32"/>
          <w:szCs w:val="32"/>
          <w:lang w:val="zh-CN"/>
        </w:rPr>
        <w:t>万元，主要用于以下方面：</w:t>
      </w:r>
    </w:p>
    <w:p>
      <w:pPr>
        <w:adjustRightInd w:val="0"/>
        <w:snapToGrid w:val="0"/>
        <w:spacing w:line="580" w:lineRule="exact"/>
        <w:ind w:firstLine="640" w:firstLineChars="200"/>
        <w:rPr>
          <w:rFonts w:hint="eastAsia" w:ascii="仿宋" w:hAnsi="仿宋" w:eastAsia="仿宋" w:cs="DengXian-Regular"/>
          <w:sz w:val="32"/>
          <w:szCs w:val="32"/>
        </w:rPr>
      </w:pPr>
      <w:r>
        <w:rPr>
          <w:rFonts w:hint="eastAsia" w:ascii="仿宋" w:hAnsi="仿宋" w:eastAsia="仿宋" w:cs="仿宋_GB2312"/>
          <w:sz w:val="32"/>
          <w:szCs w:val="32"/>
        </w:rPr>
        <w:t>一般公共服务（类）支出134.12万元，占17.3%，</w:t>
      </w:r>
      <w:r>
        <w:rPr>
          <w:rFonts w:hint="eastAsia" w:ascii="仿宋" w:hAnsi="仿宋" w:eastAsia="仿宋" w:cs="DengXian-Regular"/>
          <w:sz w:val="32"/>
          <w:szCs w:val="32"/>
        </w:rPr>
        <w:t>主要用于</w:t>
      </w:r>
      <w:r>
        <w:rPr>
          <w:rFonts w:hint="eastAsia" w:ascii="仿宋" w:hAnsi="仿宋" w:eastAsia="仿宋" w:cs="DengXian-Regular"/>
          <w:sz w:val="32"/>
          <w:szCs w:val="32"/>
          <w:lang w:eastAsia="zh-CN"/>
        </w:rPr>
        <w:t>行政运行和一般行政管理事务</w:t>
      </w:r>
      <w:r>
        <w:rPr>
          <w:rFonts w:hint="eastAsia" w:ascii="仿宋" w:hAnsi="仿宋" w:eastAsia="仿宋" w:cs="DengXian-Regular"/>
          <w:sz w:val="32"/>
          <w:szCs w:val="32"/>
        </w:rPr>
        <w:t>等支出；</w:t>
      </w:r>
      <w:r>
        <w:rPr>
          <w:rFonts w:hint="eastAsia" w:ascii="仿宋" w:hAnsi="仿宋" w:eastAsia="仿宋" w:cs="仿宋_GB2312"/>
          <w:sz w:val="32"/>
          <w:szCs w:val="32"/>
        </w:rPr>
        <w:t>社会保障和就业（类）支出12.71万元，占1.6%，</w:t>
      </w:r>
      <w:r>
        <w:rPr>
          <w:rFonts w:hint="eastAsia" w:ascii="仿宋" w:hAnsi="仿宋" w:eastAsia="仿宋" w:cs="DengXian-Regular"/>
          <w:sz w:val="32"/>
          <w:szCs w:val="32"/>
        </w:rPr>
        <w:t>主要用于机关事业单位基本养老保险缴费等支出；</w:t>
      </w:r>
      <w:r>
        <w:rPr>
          <w:rFonts w:hint="eastAsia" w:ascii="仿宋" w:hAnsi="仿宋" w:eastAsia="仿宋" w:cs="仿宋_GB2312"/>
          <w:sz w:val="32"/>
          <w:szCs w:val="32"/>
        </w:rPr>
        <w:t>卫生健康（类）支出6.12万元，占0.8%，</w:t>
      </w:r>
      <w:r>
        <w:rPr>
          <w:rFonts w:hint="eastAsia" w:ascii="仿宋" w:hAnsi="仿宋" w:eastAsia="仿宋" w:cs="DengXian-Regular"/>
          <w:sz w:val="32"/>
          <w:szCs w:val="32"/>
        </w:rPr>
        <w:t>主要用于</w:t>
      </w:r>
      <w:r>
        <w:rPr>
          <w:rFonts w:hint="eastAsia" w:ascii="仿宋" w:hAnsi="仿宋" w:eastAsia="仿宋" w:cs="DengXian-Regular"/>
          <w:sz w:val="32"/>
          <w:szCs w:val="32"/>
          <w:lang w:val="en-US" w:eastAsia="zh-CN"/>
        </w:rPr>
        <w:t>行政事业单位医疗</w:t>
      </w:r>
      <w:r>
        <w:rPr>
          <w:rFonts w:hint="eastAsia" w:ascii="仿宋" w:hAnsi="仿宋" w:eastAsia="仿宋" w:cs="DengXian-Regular"/>
          <w:sz w:val="32"/>
          <w:szCs w:val="32"/>
        </w:rPr>
        <w:t>等支出；</w:t>
      </w:r>
      <w:r>
        <w:rPr>
          <w:rFonts w:hint="eastAsia" w:ascii="仿宋" w:hAnsi="仿宋" w:eastAsia="仿宋" w:cs="仿宋_GB2312"/>
          <w:sz w:val="32"/>
          <w:szCs w:val="32"/>
        </w:rPr>
        <w:t>城乡社区（类）支出30.00万元，占3.9%，</w:t>
      </w:r>
      <w:r>
        <w:rPr>
          <w:rFonts w:hint="eastAsia" w:ascii="仿宋" w:hAnsi="仿宋" w:eastAsia="仿宋" w:cs="DengXian-Regular"/>
          <w:sz w:val="32"/>
          <w:szCs w:val="32"/>
        </w:rPr>
        <w:t>主要用于</w:t>
      </w:r>
      <w:r>
        <w:rPr>
          <w:rFonts w:hint="eastAsia" w:ascii="仿宋" w:hAnsi="仿宋" w:eastAsia="仿宋" w:cs="DengXian-Regular"/>
          <w:sz w:val="32"/>
          <w:szCs w:val="32"/>
          <w:lang w:eastAsia="zh-CN"/>
        </w:rPr>
        <w:t>国有土地使用权出让收入安排</w:t>
      </w:r>
      <w:r>
        <w:rPr>
          <w:rFonts w:hint="eastAsia" w:ascii="仿宋" w:hAnsi="仿宋" w:eastAsia="仿宋" w:cs="DengXian-Regular"/>
          <w:sz w:val="32"/>
          <w:szCs w:val="32"/>
        </w:rPr>
        <w:t>等支出；</w:t>
      </w:r>
      <w:r>
        <w:rPr>
          <w:rFonts w:hint="eastAsia" w:ascii="仿宋" w:hAnsi="仿宋" w:eastAsia="仿宋" w:cs="仿宋_GB2312"/>
          <w:sz w:val="32"/>
          <w:szCs w:val="32"/>
        </w:rPr>
        <w:t>交通运输（类）支出579.85万元，占74.7%，</w:t>
      </w:r>
      <w:r>
        <w:rPr>
          <w:rFonts w:hint="eastAsia" w:ascii="仿宋" w:hAnsi="仿宋" w:eastAsia="仿宋" w:cs="DengXian-Regular"/>
          <w:sz w:val="32"/>
          <w:szCs w:val="32"/>
        </w:rPr>
        <w:t>主要用于</w:t>
      </w:r>
      <w:r>
        <w:rPr>
          <w:rFonts w:hint="eastAsia" w:ascii="仿宋" w:hAnsi="仿宋" w:eastAsia="仿宋" w:cs="DengXian-Regular"/>
          <w:sz w:val="32"/>
          <w:szCs w:val="32"/>
          <w:lang w:eastAsia="zh-CN"/>
        </w:rPr>
        <w:t>公路建设</w:t>
      </w:r>
      <w:r>
        <w:rPr>
          <w:rFonts w:hint="eastAsia" w:ascii="仿宋" w:hAnsi="仿宋" w:eastAsia="仿宋" w:cs="DengXian-Regular"/>
          <w:sz w:val="32"/>
          <w:szCs w:val="32"/>
        </w:rPr>
        <w:t>等支出；</w:t>
      </w:r>
      <w:r>
        <w:rPr>
          <w:rFonts w:hint="eastAsia" w:ascii="仿宋" w:hAnsi="仿宋" w:eastAsia="仿宋" w:cs="仿宋_GB2312"/>
          <w:sz w:val="32"/>
          <w:szCs w:val="32"/>
        </w:rPr>
        <w:t>住房保障（类）支出13.47万元，占1.7%，</w:t>
      </w:r>
      <w:r>
        <w:rPr>
          <w:rFonts w:hint="eastAsia" w:ascii="仿宋" w:hAnsi="仿宋" w:eastAsia="仿宋" w:cs="DengXian-Regular"/>
          <w:sz w:val="32"/>
          <w:szCs w:val="32"/>
        </w:rPr>
        <w:t>主要用于</w:t>
      </w:r>
      <w:r>
        <w:rPr>
          <w:rFonts w:hint="eastAsia" w:ascii="仿宋" w:hAnsi="仿宋" w:eastAsia="仿宋" w:cs="DengXian-Regular"/>
          <w:sz w:val="32"/>
          <w:szCs w:val="32"/>
          <w:lang w:val="en-US" w:eastAsia="zh-CN"/>
        </w:rPr>
        <w:t>住房公积金</w:t>
      </w:r>
      <w:r>
        <w:rPr>
          <w:rFonts w:hint="eastAsia" w:ascii="仿宋" w:hAnsi="仿宋" w:eastAsia="仿宋" w:cs="DengXian-Regular"/>
          <w:sz w:val="32"/>
          <w:szCs w:val="32"/>
        </w:rPr>
        <w:t>等支出。</w:t>
      </w:r>
    </w:p>
    <w:p>
      <w:pPr>
        <w:pStyle w:val="11"/>
        <w:widowControl/>
        <w:snapToGrid w:val="0"/>
        <w:spacing w:beforeAutospacing="0" w:afterAutospacing="0" w:line="360" w:lineRule="auto"/>
        <w:ind w:firstLine="640" w:firstLineChars="200"/>
        <w:rPr>
          <w:rFonts w:hint="eastAsia" w:ascii="仿宋" w:hAnsi="仿宋" w:eastAsia="仿宋"/>
          <w:kern w:val="2"/>
          <w:sz w:val="32"/>
          <w:szCs w:val="32"/>
          <w:lang w:val="zh-CN"/>
        </w:rPr>
      </w:pPr>
    </w:p>
    <w:p>
      <w:pPr>
        <w:snapToGrid w:val="0"/>
        <w:spacing w:after="0" w:line="360" w:lineRule="auto"/>
        <w:ind w:firstLine="643" w:firstLineChars="200"/>
        <w:rPr>
          <w:rFonts w:hint="eastAsia" w:ascii="楷体" w:hAnsi="楷体" w:eastAsia="楷体"/>
          <w:b/>
          <w:bCs/>
          <w:sz w:val="32"/>
          <w:szCs w:val="32"/>
        </w:rPr>
      </w:pPr>
      <w:r>
        <w:rPr>
          <w:rFonts w:hint="eastAsia" w:ascii="楷体" w:hAnsi="楷体" w:eastAsia="楷体"/>
          <w:b/>
          <w:bCs/>
          <w:sz w:val="32"/>
          <w:szCs w:val="32"/>
        </w:rPr>
        <w:t>（四）</w:t>
      </w:r>
      <w:r>
        <w:rPr>
          <w:rFonts w:ascii="楷体" w:hAnsi="楷体" w:eastAsia="楷体"/>
          <w:b/>
          <w:bCs/>
          <w:sz w:val="32"/>
          <w:szCs w:val="32"/>
        </w:rPr>
        <w:t>一般公共预算基本支出决算情况说明</w:t>
      </w:r>
    </w:p>
    <w:p>
      <w:pPr>
        <w:pStyle w:val="11"/>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2023年度财政拨款基本支出153.93万元，其中：</w:t>
      </w:r>
    </w:p>
    <w:p>
      <w:pPr>
        <w:pStyle w:val="11"/>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人员经费132.62万元，主要包括:基本工资、津贴补贴、奖金、绩效工资、机关事业单位基本养老保险缴费、职工基本医疗保险缴费、其他社会保障缴费、住房公积金；</w:t>
      </w:r>
    </w:p>
    <w:p>
      <w:pPr>
        <w:pStyle w:val="11"/>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公用经费21.31万元，主要包括:办公费、电费、差旅费、公务接待费、其他交通费用。</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五、财政拨款“三公” 经费支出决算情况说明</w:t>
      </w:r>
    </w:p>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（一）“三公”经费财政拨款支出决算总体情况说明</w:t>
      </w:r>
    </w:p>
    <w:p>
      <w:pPr>
        <w:pStyle w:val="11"/>
        <w:widowControl/>
        <w:snapToGrid w:val="0"/>
        <w:spacing w:beforeAutospacing="0" w:afterAutospacing="0" w:line="360" w:lineRule="auto"/>
        <w:ind w:firstLine="640" w:firstLineChars="200"/>
        <w:rPr>
          <w:rFonts w:hint="eastAsia" w:ascii="仿宋" w:hAnsi="仿宋" w:eastAsia="仿宋"/>
          <w:kern w:val="2"/>
          <w:sz w:val="32"/>
          <w:szCs w:val="32"/>
        </w:rPr>
      </w:pP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w:t>
      </w:r>
      <w:r>
        <w:rPr>
          <w:rFonts w:ascii="仿宋" w:hAnsi="仿宋" w:eastAsia="仿宋"/>
          <w:kern w:val="2"/>
          <w:sz w:val="32"/>
          <w:szCs w:val="32"/>
        </w:rPr>
        <w:t>“</w:t>
      </w:r>
      <w:r>
        <w:rPr>
          <w:rFonts w:ascii="仿宋" w:hAnsi="仿宋" w:eastAsia="仿宋"/>
          <w:kern w:val="2"/>
          <w:sz w:val="32"/>
          <w:szCs w:val="32"/>
          <w:lang w:val="zh-CN"/>
        </w:rPr>
        <w:t>三公</w:t>
      </w:r>
      <w:r>
        <w:rPr>
          <w:rFonts w:ascii="仿宋" w:hAnsi="仿宋" w:eastAsia="仿宋"/>
          <w:kern w:val="2"/>
          <w:sz w:val="32"/>
          <w:szCs w:val="32"/>
        </w:rPr>
        <w:t>”</w:t>
      </w:r>
      <w:r>
        <w:rPr>
          <w:rFonts w:ascii="仿宋" w:hAnsi="仿宋" w:eastAsia="仿宋"/>
          <w:kern w:val="2"/>
          <w:sz w:val="32"/>
          <w:szCs w:val="32"/>
          <w:lang w:val="zh-CN"/>
        </w:rPr>
        <w:t>经费财政拨款支出预算为</w:t>
      </w:r>
      <w:r>
        <w:rPr>
          <w:rFonts w:ascii="仿宋" w:hAnsi="仿宋" w:eastAsia="仿宋"/>
          <w:kern w:val="2"/>
          <w:sz w:val="32"/>
          <w:szCs w:val="32"/>
        </w:rPr>
        <w:t>3.50</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支出决算为</w:t>
      </w:r>
      <w:r>
        <w:rPr>
          <w:rFonts w:ascii="仿宋" w:hAnsi="仿宋" w:eastAsia="仿宋"/>
          <w:kern w:val="2"/>
          <w:sz w:val="32"/>
          <w:szCs w:val="32"/>
        </w:rPr>
        <w:t>3.50</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完成预算的</w:t>
      </w:r>
      <w:r>
        <w:rPr>
          <w:rFonts w:ascii="仿宋" w:hAnsi="仿宋" w:eastAsia="仿宋"/>
          <w:kern w:val="2"/>
          <w:sz w:val="32"/>
          <w:szCs w:val="32"/>
        </w:rPr>
        <w:t>100.0%，</w:t>
      </w:r>
      <w:r>
        <w:rPr>
          <w:rFonts w:ascii="仿宋" w:hAnsi="仿宋" w:eastAsia="仿宋"/>
          <w:kern w:val="2"/>
          <w:sz w:val="32"/>
          <w:szCs w:val="32"/>
          <w:lang w:val="zh-CN"/>
        </w:rPr>
        <w:t>与预算持平，与2022年度决算持平。</w:t>
      </w:r>
    </w:p>
    <w:p>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（二）“三公”经费财政拨款支出决算具体情况说明</w:t>
      </w:r>
    </w:p>
    <w:p>
      <w:pPr>
        <w:pStyle w:val="11"/>
        <w:widowControl/>
        <w:snapToGrid w:val="0"/>
        <w:spacing w:beforeAutospacing="0" w:afterAutospacing="0" w:line="360" w:lineRule="auto"/>
        <w:ind w:firstLine="643" w:firstLineChars="200"/>
        <w:rPr>
          <w:rFonts w:hint="eastAsia" w:ascii="仿宋" w:hAnsi="仿宋" w:eastAsia="仿宋"/>
          <w:kern w:val="2"/>
          <w:sz w:val="32"/>
          <w:szCs w:val="32"/>
        </w:rPr>
      </w:pPr>
      <w:r>
        <w:rPr>
          <w:rFonts w:ascii="仿宋" w:hAnsi="仿宋" w:eastAsia="仿宋"/>
          <w:b/>
          <w:bCs/>
          <w:kern w:val="2"/>
          <w:sz w:val="32"/>
          <w:szCs w:val="32"/>
        </w:rPr>
        <w:t>1.因公出国（境）费支出情况。</w:t>
      </w:r>
      <w:r>
        <w:rPr>
          <w:rFonts w:ascii="仿宋" w:hAnsi="仿宋" w:eastAsia="仿宋"/>
          <w:kern w:val="2"/>
          <w:sz w:val="32"/>
          <w:szCs w:val="32"/>
          <w:lang w:val="zh-CN"/>
        </w:rPr>
        <w:t>本部门</w:t>
      </w:r>
      <w:r>
        <w:rPr>
          <w:rFonts w:ascii="仿宋" w:hAnsi="仿宋" w:eastAsia="仿宋"/>
          <w:kern w:val="2"/>
          <w:sz w:val="32"/>
          <w:szCs w:val="32"/>
        </w:rPr>
        <w:t>2023年度因公出国（境）费支出预算为0.00万元</w:t>
      </w:r>
      <w:r>
        <w:rPr>
          <w:rFonts w:hint="eastAsia" w:ascii="仿宋" w:hAnsi="仿宋" w:eastAsia="仿宋"/>
          <w:kern w:val="2"/>
          <w:sz w:val="32"/>
          <w:szCs w:val="32"/>
        </w:rPr>
        <w:t>，</w:t>
      </w:r>
      <w:r>
        <w:rPr>
          <w:rFonts w:ascii="仿宋" w:hAnsi="仿宋" w:eastAsia="仿宋"/>
          <w:kern w:val="2"/>
          <w:sz w:val="32"/>
          <w:szCs w:val="32"/>
        </w:rPr>
        <w:t>支出决算0.00万元。因公出国（境）费支出与预算持平，与上年持平。因公出国（境）团组0个、共0人</w:t>
      </w:r>
      <w:r>
        <w:rPr>
          <w:rFonts w:hint="eastAsia" w:ascii="仿宋" w:hAnsi="仿宋" w:eastAsia="仿宋"/>
          <w:kern w:val="2"/>
          <w:sz w:val="32"/>
          <w:szCs w:val="32"/>
        </w:rPr>
        <w:t>，其中：</w:t>
      </w:r>
      <w:r>
        <w:rPr>
          <w:rFonts w:ascii="仿宋" w:hAnsi="仿宋" w:eastAsia="仿宋"/>
          <w:kern w:val="2"/>
          <w:sz w:val="32"/>
          <w:szCs w:val="32"/>
        </w:rPr>
        <w:t>本部门组织的出国（境）团组</w:t>
      </w:r>
      <w:r>
        <w:rPr>
          <w:rFonts w:hint="eastAsia" w:ascii="仿宋" w:hAnsi="仿宋" w:eastAsia="仿宋"/>
          <w:kern w:val="2"/>
          <w:sz w:val="32"/>
          <w:szCs w:val="32"/>
        </w:rPr>
        <w:t>0个、共0人;</w:t>
      </w:r>
      <w:r>
        <w:rPr>
          <w:rFonts w:ascii="仿宋" w:hAnsi="仿宋" w:eastAsia="仿宋"/>
          <w:kern w:val="2"/>
          <w:sz w:val="32"/>
          <w:szCs w:val="32"/>
        </w:rPr>
        <w:t xml:space="preserve"> 参加其他单位组织的因公出国（境）团组</w:t>
      </w:r>
      <w:r>
        <w:rPr>
          <w:rFonts w:hint="eastAsia" w:ascii="仿宋" w:hAnsi="仿宋" w:eastAsia="仿宋"/>
          <w:kern w:val="2"/>
          <w:sz w:val="32"/>
          <w:szCs w:val="32"/>
        </w:rPr>
        <w:t>0</w:t>
      </w:r>
      <w:r>
        <w:rPr>
          <w:rFonts w:ascii="仿宋" w:hAnsi="仿宋" w:eastAsia="仿宋"/>
          <w:kern w:val="2"/>
          <w:sz w:val="32"/>
          <w:szCs w:val="32"/>
        </w:rPr>
        <w:t>个、共</w:t>
      </w:r>
      <w:r>
        <w:rPr>
          <w:rFonts w:hint="eastAsia" w:ascii="仿宋" w:hAnsi="仿宋" w:eastAsia="仿宋"/>
          <w:kern w:val="2"/>
          <w:sz w:val="32"/>
          <w:szCs w:val="32"/>
        </w:rPr>
        <w:t>0</w:t>
      </w:r>
      <w:r>
        <w:rPr>
          <w:rFonts w:ascii="仿宋" w:hAnsi="仿宋" w:eastAsia="仿宋"/>
          <w:kern w:val="2"/>
          <w:sz w:val="32"/>
          <w:szCs w:val="32"/>
        </w:rPr>
        <w:t>人。</w:t>
      </w:r>
    </w:p>
    <w:p>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2.</w:t>
      </w:r>
      <w:r>
        <w:rPr>
          <w:rFonts w:hint="eastAsia" w:ascii="仿宋" w:hAnsi="仿宋" w:eastAsia="仿宋"/>
          <w:b/>
          <w:bCs/>
          <w:sz w:val="32"/>
          <w:szCs w:val="32"/>
        </w:rPr>
        <w:t>公务用车购置及运行维护费支出情况。</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年度公务用车购置及运行维护费预算为0.00万元，支出决算0.00万元</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公务用车购置及运行维护费支出与预算持平，与上年持平。其中：</w:t>
      </w:r>
    </w:p>
    <w:p>
      <w:pPr>
        <w:adjustRightInd w:val="0"/>
        <w:snapToGrid w:val="0"/>
        <w:spacing w:after="0" w:line="360" w:lineRule="auto"/>
        <w:ind w:firstLine="643" w:firstLineChars="200"/>
        <w:rPr>
          <w:rFonts w:hint="eastAsia" w:ascii="仿宋" w:hAnsi="仿宋" w:eastAsia="仿宋" w:cs="Times New Roman"/>
          <w:kern w:val="2"/>
          <w:sz w:val="32"/>
          <w:szCs w:val="32"/>
          <w:lang w:val="zh-CN"/>
        </w:rPr>
      </w:pPr>
      <w:r>
        <w:rPr>
          <w:rFonts w:ascii="仿宋" w:hAnsi="仿宋" w:eastAsia="仿宋" w:cs="Times New Roman"/>
          <w:b/>
          <w:sz w:val="32"/>
          <w:szCs w:val="32"/>
        </w:rPr>
        <w:t>公务用车购置费支出</w:t>
      </w:r>
      <w:r>
        <w:rPr>
          <w:rFonts w:ascii="仿宋" w:hAnsi="仿宋" w:eastAsia="仿宋" w:cs="Times New Roman"/>
          <w:b/>
          <w:bCs/>
          <w:sz w:val="32"/>
          <w:szCs w:val="32"/>
        </w:rPr>
        <w:t>0.00万元</w:t>
      </w:r>
      <w:r>
        <w:rPr>
          <w:rFonts w:ascii="仿宋" w:hAnsi="仿宋" w:eastAsia="仿宋" w:cs="Times New Roman"/>
          <w:b/>
          <w:sz w:val="32"/>
          <w:szCs w:val="32"/>
        </w:rPr>
        <w:t>：</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年度公务用车购置量0辆，发生“公务用车购置”经费支出0.00万元。公务用车购置费支出与预算持平，与上年持平。</w:t>
      </w:r>
    </w:p>
    <w:p>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sz w:val="32"/>
          <w:szCs w:val="32"/>
        </w:rPr>
        <w:t>公务用车运行维护费支出0.00</w:t>
      </w:r>
      <w:r>
        <w:rPr>
          <w:rFonts w:ascii="仿宋" w:hAnsi="仿宋" w:eastAsia="仿宋" w:cs="Times New Roman"/>
          <w:b/>
          <w:bCs/>
          <w:sz w:val="32"/>
          <w:szCs w:val="32"/>
        </w:rPr>
        <w:t>万元</w:t>
      </w:r>
      <w:r>
        <w:rPr>
          <w:rFonts w:ascii="仿宋" w:hAnsi="仿宋" w:eastAsia="仿宋" w:cs="Times New Roman"/>
          <w:b/>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年度单位公务用车保有量0辆，发生运行维护费支出</w:t>
      </w:r>
      <w:r>
        <w:rPr>
          <w:rFonts w:hint="eastAsia" w:ascii="仿宋" w:hAnsi="仿宋" w:eastAsia="仿宋" w:cs="Times New Roman"/>
          <w:kern w:val="2"/>
          <w:sz w:val="32"/>
          <w:szCs w:val="32"/>
        </w:rPr>
        <w:t>0.00</w:t>
      </w:r>
      <w:r>
        <w:rPr>
          <w:rFonts w:ascii="仿宋" w:hAnsi="仿宋" w:eastAsia="仿宋" w:cs="Times New Roman"/>
          <w:kern w:val="2"/>
          <w:sz w:val="32"/>
          <w:szCs w:val="32"/>
          <w:lang w:val="zh-CN"/>
        </w:rPr>
        <w:t>万元。公车运行维护费支出与预算持平，与上年持平。</w:t>
      </w:r>
    </w:p>
    <w:p>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3.公务接待费</w:t>
      </w:r>
      <w:r>
        <w:rPr>
          <w:rFonts w:hint="eastAsia" w:ascii="仿宋" w:hAnsi="仿宋" w:eastAsia="仿宋" w:cs="Times New Roman"/>
          <w:b/>
          <w:bCs/>
          <w:kern w:val="2"/>
          <w:sz w:val="32"/>
          <w:szCs w:val="32"/>
        </w:rPr>
        <w:t>支出情况</w:t>
      </w:r>
      <w:r>
        <w:rPr>
          <w:rFonts w:ascii="仿宋" w:hAnsi="仿宋" w:eastAsia="仿宋" w:cs="Times New Roman"/>
          <w:b/>
          <w:bCs/>
          <w:kern w:val="2"/>
          <w:sz w:val="32"/>
          <w:szCs w:val="32"/>
        </w:rPr>
        <w:t>。</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年度公务接待费支出预算为3.50万元，支出决算3.50万元，完成预算的100.0%。公务接待费支出与预算持平，与上年持平。本年度共发生公务接待32批次、210人次。</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六、机关运行经费支出说明</w:t>
      </w:r>
    </w:p>
    <w:p>
      <w:pPr>
        <w:adjustRightInd w:val="0"/>
        <w:snapToGrid w:val="0"/>
        <w:spacing w:line="580" w:lineRule="exact"/>
        <w:ind w:firstLine="380" w:firstLineChars="200"/>
        <w:rPr>
          <w:rFonts w:hint="eastAsia" w:ascii="仿宋" w:hAnsi="仿宋" w:eastAsia="仿宋"/>
          <w:sz w:val="32"/>
          <w:szCs w:val="32"/>
          <w:highlight w:val="yellow"/>
          <w:lang w:val="en-US" w:eastAsia="zh-CN"/>
        </w:rPr>
      </w:pPr>
      <w:r>
        <w:rPr>
          <w:rFonts w:ascii="Times New Roman" w:hAnsi="Times New Roman" w:eastAsia="Arial"/>
          <w:color w:val="333333"/>
          <w:sz w:val="19"/>
          <w:szCs w:val="19"/>
          <w:shd w:val="clear" w:color="auto" w:fill="FFFFFF"/>
        </w:rPr>
        <w:t> </w:t>
      </w:r>
      <w:r>
        <w:rPr>
          <w:rFonts w:ascii="Times New Roman" w:hAnsi="Times New Roman" w:eastAsia="宋体"/>
          <w:color w:val="333333"/>
          <w:sz w:val="19"/>
          <w:szCs w:val="19"/>
          <w:shd w:val="clear" w:color="auto" w:fill="FFFFFF"/>
        </w:rPr>
        <w:t xml:space="preserve">  </w:t>
      </w:r>
      <w:r>
        <w:rPr>
          <w:rFonts w:ascii="Times New Roman" w:hAnsi="Times New Roman" w:eastAsia="仿宋_GB2312"/>
          <w:color w:val="333333"/>
          <w:sz w:val="33"/>
          <w:szCs w:val="33"/>
          <w:shd w:val="clear" w:color="auto" w:fill="FFFFFF"/>
        </w:rPr>
        <w:t>   </w:t>
      </w:r>
      <w:r>
        <w:rPr>
          <w:rFonts w:ascii="仿宋" w:hAnsi="仿宋" w:eastAsia="仿宋"/>
          <w:color w:val="333333"/>
          <w:sz w:val="33"/>
          <w:szCs w:val="33"/>
          <w:shd w:val="clear" w:color="auto" w:fill="FFFFFF"/>
        </w:rPr>
        <w:t xml:space="preserve"> </w:t>
      </w: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年度机关运行经费支出</w:t>
      </w:r>
      <w:r>
        <w:rPr>
          <w:rFonts w:ascii="仿宋" w:hAnsi="仿宋" w:eastAsia="仿宋"/>
          <w:kern w:val="2"/>
          <w:sz w:val="32"/>
          <w:szCs w:val="32"/>
        </w:rPr>
        <w:t>21.31</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较</w:t>
      </w:r>
      <w:r>
        <w:rPr>
          <w:rFonts w:ascii="仿宋" w:hAnsi="仿宋" w:eastAsia="仿宋"/>
          <w:kern w:val="2"/>
          <w:sz w:val="32"/>
          <w:szCs w:val="32"/>
        </w:rPr>
        <w:t>2022</w:t>
      </w:r>
      <w:r>
        <w:rPr>
          <w:rFonts w:ascii="仿宋" w:hAnsi="仿宋" w:eastAsia="仿宋"/>
          <w:kern w:val="2"/>
          <w:sz w:val="32"/>
          <w:szCs w:val="32"/>
          <w:lang w:val="zh-CN"/>
        </w:rPr>
        <w:t>年度</w:t>
      </w:r>
      <w:r>
        <w:rPr>
          <w:rFonts w:ascii="仿宋" w:hAnsi="仿宋" w:eastAsia="仿宋"/>
          <w:kern w:val="2"/>
          <w:sz w:val="32"/>
          <w:szCs w:val="32"/>
        </w:rPr>
        <w:t>减少9.52</w:t>
      </w:r>
      <w:r>
        <w:rPr>
          <w:rFonts w:ascii="仿宋" w:hAnsi="仿宋" w:eastAsia="仿宋"/>
          <w:kern w:val="2"/>
          <w:sz w:val="32"/>
          <w:szCs w:val="32"/>
          <w:lang w:val="zh-CN"/>
        </w:rPr>
        <w:t>万元</w:t>
      </w:r>
      <w:r>
        <w:rPr>
          <w:rFonts w:ascii="仿宋" w:hAnsi="仿宋" w:eastAsia="仿宋"/>
          <w:kern w:val="2"/>
          <w:sz w:val="32"/>
          <w:szCs w:val="32"/>
        </w:rPr>
        <w:t>，降低30.9%</w:t>
      </w:r>
      <w:r>
        <w:rPr>
          <w:rFonts w:ascii="仿宋" w:hAnsi="仿宋" w:eastAsia="仿宋"/>
          <w:kern w:val="2"/>
          <w:sz w:val="32"/>
          <w:szCs w:val="32"/>
          <w:lang w:val="zh-CN"/>
        </w:rPr>
        <w:t>。</w:t>
      </w:r>
      <w:r>
        <w:rPr>
          <w:rFonts w:hint="eastAsia" w:ascii="仿宋" w:hAnsi="仿宋" w:eastAsia="仿宋" w:cs="DengXian-Regular"/>
          <w:sz w:val="32"/>
          <w:szCs w:val="32"/>
        </w:rPr>
        <w:t>主要原因是：</w:t>
      </w:r>
      <w:r>
        <w:rPr>
          <w:rFonts w:hint="eastAsia" w:ascii="仿宋" w:hAnsi="仿宋" w:eastAsia="仿宋" w:cs="DengXian-Regular"/>
          <w:sz w:val="32"/>
          <w:szCs w:val="32"/>
          <w:lang w:val="en-US" w:eastAsia="zh-CN"/>
        </w:rPr>
        <w:t>招商引资力度增大</w:t>
      </w:r>
      <w:r>
        <w:rPr>
          <w:rFonts w:hint="eastAsia" w:ascii="仿宋" w:hAnsi="仿宋" w:eastAsia="仿宋" w:cs="DengXian-Regular"/>
          <w:sz w:val="32"/>
          <w:szCs w:val="32"/>
        </w:rPr>
        <w:t>。</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七、政府采购支出说明</w:t>
      </w:r>
    </w:p>
    <w:p>
      <w:pPr>
        <w:pStyle w:val="11"/>
        <w:widowControl/>
        <w:snapToGrid w:val="0"/>
        <w:spacing w:beforeAutospacing="0" w:afterAutospacing="0" w:line="360" w:lineRule="auto"/>
        <w:ind w:firstLine="640" w:firstLineChars="200"/>
        <w:rPr>
          <w:rFonts w:hint="eastAsia" w:ascii="仿宋" w:hAnsi="仿宋" w:eastAsia="仿宋"/>
          <w:sz w:val="32"/>
          <w:szCs w:val="32"/>
          <w:highlight w:val="yellow"/>
        </w:rPr>
      </w:pPr>
      <w:r>
        <w:rPr>
          <w:rFonts w:ascii="仿宋" w:hAnsi="仿宋" w:eastAsia="仿宋"/>
          <w:kern w:val="2"/>
          <w:sz w:val="32"/>
          <w:szCs w:val="32"/>
          <w:lang w:val="zh-CN"/>
        </w:rPr>
        <w:t>本部门202</w:t>
      </w:r>
      <w:r>
        <w:rPr>
          <w:rFonts w:ascii="仿宋" w:hAnsi="仿宋" w:eastAsia="仿宋"/>
          <w:kern w:val="2"/>
          <w:sz w:val="32"/>
          <w:szCs w:val="32"/>
        </w:rPr>
        <w:t>3</w:t>
      </w:r>
      <w:r>
        <w:rPr>
          <w:rFonts w:ascii="仿宋" w:hAnsi="仿宋" w:eastAsia="仿宋"/>
          <w:kern w:val="2"/>
          <w:sz w:val="32"/>
          <w:szCs w:val="32"/>
          <w:lang w:val="zh-CN"/>
        </w:rPr>
        <w:t>年度政府采购支出总额0.00万元，从采购类型来看，政府采购货物支出0.00万元、政府采购工程支出0.00万元、政府采购服务支出0.00万元。授予中小企业</w:t>
      </w:r>
      <w:r>
        <w:rPr>
          <w:rFonts w:ascii="仿宋" w:hAnsi="仿宋" w:eastAsia="仿宋"/>
          <w:kern w:val="2"/>
          <w:sz w:val="32"/>
          <w:szCs w:val="32"/>
        </w:rPr>
        <w:t>合同金额</w:t>
      </w:r>
      <w:r>
        <w:rPr>
          <w:rFonts w:ascii="仿宋" w:hAnsi="仿宋" w:eastAsia="仿宋"/>
          <w:kern w:val="2"/>
          <w:sz w:val="32"/>
          <w:szCs w:val="32"/>
          <w:lang w:val="zh-CN"/>
        </w:rPr>
        <w:t>0.00万元，其中授予小微企业合同金额0.00万元。</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八、国有资产占用情况说明</w:t>
      </w:r>
    </w:p>
    <w:p>
      <w:pPr>
        <w:pStyle w:val="11"/>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截至202</w:t>
      </w:r>
      <w:r>
        <w:rPr>
          <w:rFonts w:ascii="仿宋" w:hAnsi="仿宋" w:eastAsia="仿宋"/>
          <w:kern w:val="2"/>
          <w:sz w:val="32"/>
          <w:szCs w:val="32"/>
        </w:rPr>
        <w:t>3</w:t>
      </w:r>
      <w:r>
        <w:rPr>
          <w:rFonts w:ascii="仿宋" w:hAnsi="仿宋" w:eastAsia="仿宋"/>
          <w:kern w:val="2"/>
          <w:sz w:val="32"/>
          <w:szCs w:val="32"/>
          <w:lang w:val="zh-CN"/>
        </w:rPr>
        <w:t>年12月31日，本部门共有车辆0辆，与上年持平。其中，副部（省）级及以上领导用车0辆，主要</w:t>
      </w:r>
      <w:r>
        <w:rPr>
          <w:rFonts w:ascii="仿宋" w:hAnsi="仿宋" w:eastAsia="仿宋"/>
          <w:kern w:val="2"/>
          <w:sz w:val="32"/>
          <w:szCs w:val="32"/>
        </w:rPr>
        <w:t>负责人</w:t>
      </w:r>
      <w:r>
        <w:rPr>
          <w:rFonts w:ascii="仿宋" w:hAnsi="仿宋" w:eastAsia="仿宋"/>
          <w:kern w:val="2"/>
          <w:sz w:val="32"/>
          <w:szCs w:val="32"/>
          <w:lang w:val="zh-CN"/>
        </w:rPr>
        <w:t>用车0辆，机要通信用车0辆，应急保障用车0辆，执法执勤用车0辆，特种专业技术用车0辆，离退休干部用车0辆，其他用车0辆。</w:t>
      </w:r>
    </w:p>
    <w:p>
      <w:pPr>
        <w:pStyle w:val="11"/>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单位价值100万元（含）以上设备（不含车辆）0台（套）。</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九、预算绩效情况说明</w:t>
      </w:r>
    </w:p>
    <w:p>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（一）预算绩效管理工作开展情况</w:t>
      </w:r>
    </w:p>
    <w:p>
      <w:pPr>
        <w:pStyle w:val="11"/>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根据预算绩效管理要求，本部门组织对2023年度一般公共预算项目支出全面开展绩效自评，其中，一级项目</w:t>
      </w:r>
      <w:r>
        <w:rPr>
          <w:rFonts w:hint="eastAsia" w:ascii="仿宋" w:hAnsi="仿宋" w:eastAsia="仿宋"/>
          <w:kern w:val="2"/>
          <w:sz w:val="32"/>
          <w:szCs w:val="32"/>
          <w:lang w:val="en-US" w:eastAsia="zh-CN"/>
        </w:rPr>
        <w:t>4</w:t>
      </w:r>
      <w:r>
        <w:rPr>
          <w:rFonts w:ascii="仿宋" w:hAnsi="仿宋" w:eastAsia="仿宋"/>
          <w:kern w:val="2"/>
          <w:sz w:val="32"/>
          <w:szCs w:val="32"/>
          <w:lang w:val="zh-CN"/>
        </w:rPr>
        <w:t>个，二级项目</w:t>
      </w:r>
      <w:r>
        <w:rPr>
          <w:rFonts w:hint="eastAsia" w:ascii="仿宋" w:hAnsi="仿宋" w:eastAsia="仿宋"/>
          <w:kern w:val="2"/>
          <w:sz w:val="32"/>
          <w:szCs w:val="32"/>
          <w:lang w:val="en-US" w:eastAsia="zh-CN"/>
        </w:rPr>
        <w:t>0</w:t>
      </w:r>
      <w:r>
        <w:rPr>
          <w:rFonts w:ascii="仿宋" w:hAnsi="仿宋" w:eastAsia="仿宋"/>
          <w:kern w:val="2"/>
          <w:sz w:val="32"/>
          <w:szCs w:val="32"/>
          <w:lang w:val="zh-CN"/>
        </w:rPr>
        <w:t>个，共涉及资金</w:t>
      </w:r>
      <w:r>
        <w:rPr>
          <w:rFonts w:hint="eastAsia" w:ascii="仿宋" w:hAnsi="仿宋" w:eastAsia="仿宋"/>
          <w:kern w:val="2"/>
          <w:sz w:val="32"/>
          <w:szCs w:val="32"/>
          <w:lang w:val="en-US" w:eastAsia="zh-CN"/>
        </w:rPr>
        <w:t>637.5</w:t>
      </w:r>
      <w:r>
        <w:rPr>
          <w:rFonts w:ascii="仿宋" w:hAnsi="仿宋" w:eastAsia="仿宋"/>
          <w:kern w:val="2"/>
          <w:sz w:val="32"/>
          <w:szCs w:val="32"/>
          <w:lang w:val="zh-CN"/>
        </w:rPr>
        <w:t>万元，占一般公共预算项目支出总额的</w:t>
      </w:r>
      <w:r>
        <w:rPr>
          <w:rFonts w:hint="eastAsia" w:ascii="仿宋" w:hAnsi="仿宋" w:eastAsia="仿宋"/>
          <w:kern w:val="2"/>
          <w:sz w:val="32"/>
          <w:szCs w:val="32"/>
          <w:lang w:val="en-US" w:eastAsia="zh-CN"/>
        </w:rPr>
        <w:t>100</w:t>
      </w:r>
      <w:r>
        <w:rPr>
          <w:rFonts w:ascii="仿宋" w:hAnsi="仿宋" w:eastAsia="仿宋"/>
          <w:kern w:val="2"/>
          <w:sz w:val="32"/>
          <w:szCs w:val="32"/>
          <w:lang w:val="zh-CN"/>
        </w:rPr>
        <w:t>%。组织对2023年</w:t>
      </w:r>
      <w:r>
        <w:rPr>
          <w:rFonts w:hint="eastAsia" w:ascii="仿宋" w:hAnsi="仿宋" w:eastAsia="仿宋" w:cs="DengXian-Regular"/>
          <w:sz w:val="32"/>
          <w:szCs w:val="32"/>
          <w:lang w:eastAsia="zh-CN"/>
        </w:rPr>
        <w:t>招商引资经费</w:t>
      </w:r>
      <w:r>
        <w:rPr>
          <w:rFonts w:hint="eastAsia" w:ascii="仿宋" w:hAnsi="仿宋" w:eastAsia="仿宋" w:cs="DengXian-Regular"/>
          <w:sz w:val="32"/>
          <w:szCs w:val="32"/>
        </w:rPr>
        <w:t>、办公用房租赁费</w:t>
      </w:r>
      <w:r>
        <w:rPr>
          <w:rFonts w:hint="eastAsia" w:ascii="仿宋" w:hAnsi="仿宋" w:eastAsia="仿宋" w:cs="DengXian-Regular"/>
          <w:sz w:val="32"/>
          <w:szCs w:val="32"/>
          <w:lang w:eastAsia="zh-CN"/>
        </w:rPr>
        <w:t>、污水处理补贴</w:t>
      </w:r>
      <w:r>
        <w:rPr>
          <w:rFonts w:ascii="仿宋" w:hAnsi="仿宋" w:eastAsia="仿宋"/>
          <w:kern w:val="2"/>
          <w:sz w:val="32"/>
          <w:szCs w:val="32"/>
          <w:lang w:val="zh-CN"/>
        </w:rPr>
        <w:t>等</w:t>
      </w:r>
      <w:r>
        <w:rPr>
          <w:rFonts w:hint="eastAsia" w:ascii="仿宋" w:hAnsi="仿宋" w:eastAsia="仿宋"/>
          <w:kern w:val="2"/>
          <w:sz w:val="32"/>
          <w:szCs w:val="32"/>
          <w:lang w:val="en-US" w:eastAsia="zh-CN"/>
        </w:rPr>
        <w:t>3</w:t>
      </w:r>
      <w:r>
        <w:rPr>
          <w:rFonts w:ascii="仿宋" w:hAnsi="仿宋" w:eastAsia="仿宋"/>
          <w:kern w:val="2"/>
          <w:sz w:val="32"/>
          <w:szCs w:val="32"/>
          <w:lang w:val="zh-CN"/>
        </w:rPr>
        <w:t>个政府性基金预算项目支出开展绩效自评，共涉及资金</w:t>
      </w:r>
      <w:r>
        <w:rPr>
          <w:rFonts w:hint="eastAsia" w:ascii="仿宋" w:hAnsi="仿宋" w:eastAsia="仿宋"/>
          <w:kern w:val="2"/>
          <w:sz w:val="32"/>
          <w:szCs w:val="32"/>
          <w:lang w:val="en-US" w:eastAsia="zh-CN"/>
        </w:rPr>
        <w:t>37.5</w:t>
      </w:r>
      <w:r>
        <w:rPr>
          <w:rFonts w:ascii="仿宋" w:hAnsi="仿宋" w:eastAsia="仿宋"/>
          <w:kern w:val="2"/>
          <w:sz w:val="32"/>
          <w:szCs w:val="32"/>
          <w:lang w:val="zh-CN"/>
        </w:rPr>
        <w:t>万元，占政府性基金预算项目支出总额的</w:t>
      </w:r>
      <w:r>
        <w:rPr>
          <w:rFonts w:hint="eastAsia" w:ascii="仿宋" w:hAnsi="仿宋" w:eastAsia="仿宋"/>
          <w:kern w:val="2"/>
          <w:sz w:val="32"/>
          <w:szCs w:val="32"/>
          <w:lang w:val="en-US" w:eastAsia="zh-CN"/>
        </w:rPr>
        <w:t>100</w:t>
      </w:r>
      <w:r>
        <w:rPr>
          <w:rFonts w:ascii="仿宋" w:hAnsi="仿宋" w:eastAsia="仿宋"/>
          <w:kern w:val="2"/>
          <w:sz w:val="32"/>
          <w:szCs w:val="32"/>
          <w:lang w:val="zh-CN"/>
        </w:rPr>
        <w:t>%。</w:t>
      </w:r>
    </w:p>
    <w:p>
      <w:pPr>
        <w:pStyle w:val="11"/>
        <w:widowControl/>
        <w:snapToGrid w:val="0"/>
        <w:spacing w:beforeAutospacing="0" w:afterAutospacing="0" w:line="360" w:lineRule="auto"/>
        <w:ind w:firstLine="640" w:firstLineChars="200"/>
        <w:rPr>
          <w:rFonts w:hint="eastAsia" w:ascii="仿宋" w:hAnsi="仿宋" w:eastAsia="仿宋"/>
          <w:sz w:val="32"/>
          <w:szCs w:val="32"/>
          <w:highlight w:val="yellow"/>
        </w:rPr>
      </w:pPr>
      <w:r>
        <w:rPr>
          <w:rFonts w:hint="eastAsia" w:ascii="仿宋" w:hAnsi="仿宋" w:eastAsia="仿宋" w:cs="仿宋_GB2312"/>
          <w:sz w:val="32"/>
          <w:szCs w:val="32"/>
          <w:lang w:val="en-US" w:eastAsia="zh-CN"/>
        </w:rPr>
        <w:t>组织对</w:t>
      </w:r>
      <w:r>
        <w:rPr>
          <w:rFonts w:hint="eastAsia" w:ascii="仿宋" w:hAnsi="仿宋" w:eastAsia="仿宋" w:cs="仿宋_GB2312"/>
          <w:sz w:val="32"/>
          <w:szCs w:val="32"/>
          <w:lang w:eastAsia="zh-CN"/>
        </w:rPr>
        <w:t>河北青龙物流产业聚集区第二片区道路工程、</w:t>
      </w:r>
      <w:r>
        <w:rPr>
          <w:rFonts w:ascii="仿宋" w:hAnsi="仿宋" w:eastAsia="仿宋"/>
          <w:kern w:val="2"/>
          <w:sz w:val="32"/>
          <w:szCs w:val="32"/>
          <w:lang w:val="zh-CN"/>
        </w:rPr>
        <w:t>2023年</w:t>
      </w:r>
      <w:r>
        <w:rPr>
          <w:rFonts w:hint="eastAsia" w:ascii="仿宋" w:hAnsi="仿宋" w:eastAsia="仿宋" w:cs="DengXian-Regular"/>
          <w:sz w:val="32"/>
          <w:szCs w:val="32"/>
          <w:lang w:eastAsia="zh-CN"/>
        </w:rPr>
        <w:t>招商引资经费</w:t>
      </w:r>
      <w:r>
        <w:rPr>
          <w:rFonts w:hint="eastAsia" w:ascii="仿宋" w:hAnsi="仿宋" w:eastAsia="仿宋" w:cs="DengXian-Regular"/>
          <w:sz w:val="32"/>
          <w:szCs w:val="32"/>
        </w:rPr>
        <w:t>、办公用房租赁费</w:t>
      </w:r>
      <w:r>
        <w:rPr>
          <w:rFonts w:hint="eastAsia" w:ascii="仿宋" w:hAnsi="仿宋" w:eastAsia="仿宋" w:cs="DengXian-Regular"/>
          <w:sz w:val="32"/>
          <w:szCs w:val="32"/>
          <w:lang w:eastAsia="zh-CN"/>
        </w:rPr>
        <w:t>、污水处理补贴</w:t>
      </w:r>
      <w:r>
        <w:rPr>
          <w:rFonts w:ascii="仿宋" w:hAnsi="仿宋" w:eastAsia="仿宋"/>
          <w:kern w:val="2"/>
          <w:sz w:val="32"/>
          <w:szCs w:val="32"/>
          <w:lang w:val="zh-CN"/>
        </w:rPr>
        <w:t>等</w:t>
      </w:r>
      <w:r>
        <w:rPr>
          <w:rFonts w:hint="eastAsia" w:ascii="仿宋" w:hAnsi="仿宋" w:eastAsia="仿宋"/>
          <w:kern w:val="2"/>
          <w:sz w:val="32"/>
          <w:szCs w:val="32"/>
          <w:lang w:val="en-US" w:eastAsia="zh-CN"/>
        </w:rPr>
        <w:t>4</w:t>
      </w:r>
      <w:r>
        <w:rPr>
          <w:rFonts w:ascii="仿宋" w:hAnsi="仿宋" w:eastAsia="仿宋"/>
          <w:kern w:val="2"/>
          <w:sz w:val="32"/>
          <w:szCs w:val="32"/>
          <w:lang w:val="zh-CN"/>
        </w:rPr>
        <w:t>个项目开展了部门评价，涉及一般公共预算支出</w:t>
      </w:r>
      <w:r>
        <w:rPr>
          <w:rFonts w:hint="eastAsia" w:ascii="仿宋" w:hAnsi="仿宋" w:eastAsia="仿宋"/>
          <w:kern w:val="2"/>
          <w:sz w:val="32"/>
          <w:szCs w:val="32"/>
          <w:lang w:val="en-US" w:eastAsia="zh-CN"/>
        </w:rPr>
        <w:t>600</w:t>
      </w:r>
      <w:r>
        <w:rPr>
          <w:rFonts w:ascii="仿宋" w:hAnsi="仿宋" w:eastAsia="仿宋"/>
          <w:kern w:val="2"/>
          <w:sz w:val="32"/>
          <w:szCs w:val="32"/>
          <w:lang w:val="zh-CN"/>
        </w:rPr>
        <w:t>万元，政府性基金预算支出</w:t>
      </w:r>
      <w:r>
        <w:rPr>
          <w:rFonts w:hint="eastAsia" w:ascii="仿宋" w:hAnsi="仿宋" w:eastAsia="仿宋"/>
          <w:kern w:val="2"/>
          <w:sz w:val="32"/>
          <w:szCs w:val="32"/>
          <w:lang w:val="en-US" w:eastAsia="zh-CN"/>
        </w:rPr>
        <w:t>37.5</w:t>
      </w:r>
      <w:r>
        <w:rPr>
          <w:rFonts w:ascii="仿宋" w:hAnsi="仿宋" w:eastAsia="仿宋"/>
          <w:kern w:val="2"/>
          <w:sz w:val="32"/>
          <w:szCs w:val="32"/>
          <w:lang w:val="zh-CN"/>
        </w:rPr>
        <w:t>万元。从评价情况来看</w:t>
      </w:r>
      <w:r>
        <w:rPr>
          <w:rFonts w:hint="eastAsia" w:ascii="仿宋" w:hAnsi="仿宋" w:eastAsia="仿宋"/>
          <w:kern w:val="2"/>
          <w:sz w:val="32"/>
          <w:szCs w:val="32"/>
          <w:lang w:val="zh-CN"/>
        </w:rPr>
        <w:t>，</w:t>
      </w:r>
      <w:r>
        <w:rPr>
          <w:rFonts w:hint="eastAsia" w:ascii="仿宋" w:hAnsi="仿宋" w:eastAsia="仿宋" w:cs="DengXian-Regular"/>
          <w:sz w:val="32"/>
          <w:szCs w:val="32"/>
          <w:lang w:eastAsia="zh-CN"/>
        </w:rPr>
        <w:t>未发现问题</w:t>
      </w:r>
      <w:r>
        <w:rPr>
          <w:rFonts w:hint="eastAsia" w:ascii="仿宋" w:hAnsi="仿宋" w:eastAsia="仿宋" w:cs="DengXian-Regular"/>
          <w:sz w:val="32"/>
          <w:szCs w:val="32"/>
        </w:rPr>
        <w:t>。</w:t>
      </w:r>
    </w:p>
    <w:p>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（二）部门决算中项目绩效自评结果（如有）</w:t>
      </w:r>
    </w:p>
    <w:p>
      <w:pPr>
        <w:adjustRightInd w:val="0"/>
        <w:snapToGrid w:val="0"/>
        <w:spacing w:line="580" w:lineRule="exact"/>
        <w:ind w:firstLine="640" w:firstLineChars="200"/>
        <w:rPr>
          <w:rFonts w:hint="eastAsia" w:ascii="仿宋" w:hAnsi="仿宋" w:eastAsia="仿宋"/>
          <w:kern w:val="2"/>
          <w:sz w:val="32"/>
          <w:szCs w:val="32"/>
          <w:lang w:val="zh-CN"/>
        </w:rPr>
      </w:pPr>
      <w:r>
        <w:rPr>
          <w:rFonts w:hint="eastAsia" w:ascii="仿宋" w:hAnsi="仿宋" w:eastAsia="仿宋" w:cs="DengXian-Regular"/>
          <w:sz w:val="32"/>
          <w:szCs w:val="32"/>
        </w:rPr>
        <w:t>本部门在今年部门决算公开中反映</w:t>
      </w:r>
      <w:r>
        <w:rPr>
          <w:rFonts w:hint="eastAsia" w:ascii="仿宋" w:hAnsi="仿宋" w:eastAsia="仿宋" w:cs="DengXian-Regular"/>
          <w:sz w:val="32"/>
          <w:szCs w:val="32"/>
          <w:lang w:eastAsia="zh-CN"/>
        </w:rPr>
        <w:t>招商引资工作经</w:t>
      </w:r>
      <w:r>
        <w:rPr>
          <w:rFonts w:hint="eastAsia" w:ascii="仿宋" w:hAnsi="仿宋" w:eastAsia="仿宋" w:cs="仿宋_GB2312"/>
          <w:sz w:val="32"/>
          <w:szCs w:val="32"/>
          <w:lang w:eastAsia="zh-CN"/>
        </w:rPr>
        <w:t>费</w:t>
      </w:r>
      <w:r>
        <w:rPr>
          <w:rFonts w:hint="eastAsia" w:ascii="仿宋" w:hAnsi="仿宋" w:eastAsia="仿宋" w:cs="仿宋_GB2312"/>
          <w:sz w:val="32"/>
          <w:szCs w:val="32"/>
        </w:rPr>
        <w:t>、办公用房租赁及取暖费</w:t>
      </w:r>
      <w:r>
        <w:rPr>
          <w:rFonts w:hint="eastAsia" w:ascii="仿宋" w:hAnsi="仿宋" w:eastAsia="仿宋" w:cs="仿宋_GB2312"/>
          <w:sz w:val="32"/>
          <w:szCs w:val="32"/>
          <w:lang w:eastAsia="zh-CN"/>
        </w:rPr>
        <w:t>、关于下达2022年第六批政府债券资金（冀财债[2022]30号）-河北青龙物流产业聚集区第二片区道路工程、招商引资经费</w:t>
      </w:r>
      <w:r>
        <w:rPr>
          <w:rFonts w:hint="eastAsia" w:ascii="仿宋" w:hAnsi="仿宋" w:eastAsia="仿宋" w:cs="仿宋_GB2312"/>
          <w:sz w:val="32"/>
          <w:szCs w:val="32"/>
        </w:rPr>
        <w:t>等</w:t>
      </w:r>
      <w:r>
        <w:rPr>
          <w:rFonts w:hint="eastAsia" w:ascii="仿宋" w:hAnsi="仿宋" w:eastAsia="仿宋" w:cs="仿宋_GB2312"/>
          <w:sz w:val="32"/>
          <w:szCs w:val="32"/>
          <w:lang w:val="en-US" w:eastAsia="zh-CN"/>
        </w:rPr>
        <w:t>4</w:t>
      </w:r>
      <w:r>
        <w:rPr>
          <w:rFonts w:hint="eastAsia" w:ascii="仿宋" w:hAnsi="仿宋" w:eastAsia="仿宋" w:cs="仿宋_GB2312"/>
          <w:sz w:val="32"/>
          <w:szCs w:val="32"/>
        </w:rPr>
        <w:t>个项目绩效自评结果。</w:t>
      </w:r>
    </w:p>
    <w:p>
      <w:pPr>
        <w:numPr>
          <w:ilvl w:val="0"/>
          <w:numId w:val="2"/>
        </w:numPr>
        <w:adjustRightInd w:val="0"/>
        <w:snapToGrid w:val="0"/>
        <w:spacing w:line="580" w:lineRule="exact"/>
        <w:ind w:left="-160" w:leftChars="0" w:firstLine="640" w:firstLineChars="0"/>
        <w:rPr>
          <w:rFonts w:ascii="仿宋" w:hAnsi="仿宋" w:eastAsia="仿宋" w:cs="仿宋_GB2312"/>
          <w:sz w:val="32"/>
          <w:szCs w:val="32"/>
        </w:rPr>
      </w:pPr>
      <w:r>
        <w:rPr>
          <w:rFonts w:hint="eastAsia" w:ascii="仿宋" w:hAnsi="仿宋" w:eastAsia="仿宋" w:cs="仿宋_GB2312"/>
          <w:sz w:val="32"/>
          <w:szCs w:val="32"/>
          <w:lang w:eastAsia="zh-CN"/>
        </w:rPr>
        <w:t>招商引资工作经费</w:t>
      </w:r>
      <w:r>
        <w:rPr>
          <w:rFonts w:hint="eastAsia" w:ascii="仿宋" w:hAnsi="仿宋" w:eastAsia="仿宋" w:cs="仿宋_GB2312"/>
          <w:sz w:val="32"/>
          <w:szCs w:val="32"/>
        </w:rPr>
        <w:t>项目自评综述：根据年初设定的绩效目标，</w:t>
      </w:r>
      <w:r>
        <w:rPr>
          <w:rFonts w:hint="eastAsia" w:ascii="仿宋" w:hAnsi="仿宋" w:eastAsia="仿宋" w:cs="仿宋_GB2312"/>
          <w:sz w:val="32"/>
          <w:szCs w:val="32"/>
          <w:lang w:eastAsia="zh-CN"/>
        </w:rPr>
        <w:t>招商引资工作经费</w:t>
      </w:r>
      <w:r>
        <w:rPr>
          <w:rFonts w:hint="eastAsia" w:ascii="仿宋" w:hAnsi="仿宋" w:eastAsia="仿宋" w:cs="仿宋_GB2312"/>
          <w:sz w:val="32"/>
          <w:szCs w:val="32"/>
        </w:rPr>
        <w:t>项目绩效自评得分为</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。项目绩效目标完成情况：</w:t>
      </w:r>
      <w:r>
        <w:rPr>
          <w:rFonts w:hint="eastAsia" w:ascii="仿宋_GB2312" w:hAnsi="仿宋_GB2312" w:eastAsia="仿宋_GB2312" w:cs="仿宋_GB2312"/>
          <w:sz w:val="32"/>
          <w:szCs w:val="32"/>
          <w:lang w:val="en-US" w:eastAsia="zh-CN"/>
        </w:rPr>
        <w:t>通过招商引资工作经费</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完成了年初设定的各项绩效目标，未发现问题</w:t>
      </w:r>
      <w:r>
        <w:rPr>
          <w:rFonts w:hint="eastAsia" w:ascii="仿宋_GB2312" w:hAnsi="仿宋_GB2312" w:eastAsia="仿宋_GB2312" w:cs="仿宋_GB2312"/>
          <w:sz w:val="32"/>
          <w:szCs w:val="32"/>
          <w:lang w:eastAsia="zh-CN"/>
        </w:rPr>
        <w:t>。</w:t>
      </w:r>
    </w:p>
    <w:p>
      <w:pPr>
        <w:numPr>
          <w:ilvl w:val="0"/>
          <w:numId w:val="2"/>
        </w:numPr>
        <w:adjustRightInd w:val="0"/>
        <w:snapToGrid w:val="0"/>
        <w:spacing w:line="580" w:lineRule="exact"/>
        <w:ind w:left="-160" w:leftChars="0" w:firstLine="640" w:firstLineChars="0"/>
        <w:rPr>
          <w:rFonts w:ascii="仿宋" w:hAnsi="仿宋" w:eastAsia="仿宋" w:cs="仿宋_GB2312"/>
          <w:sz w:val="32"/>
          <w:szCs w:val="32"/>
        </w:rPr>
      </w:pPr>
      <w:r>
        <w:rPr>
          <w:rFonts w:hint="eastAsia" w:ascii="仿宋" w:hAnsi="仿宋" w:eastAsia="仿宋" w:cs="仿宋_GB2312"/>
          <w:sz w:val="32"/>
          <w:szCs w:val="32"/>
        </w:rPr>
        <w:t>办公用房租赁及取暖费项目绩效自评综述</w:t>
      </w:r>
      <w:r>
        <w:rPr>
          <w:rFonts w:hint="eastAsia" w:ascii="仿宋" w:hAnsi="仿宋" w:eastAsia="仿宋" w:cs="仿宋_GB2312"/>
          <w:sz w:val="32"/>
          <w:szCs w:val="32"/>
          <w:lang w:eastAsia="zh-CN"/>
        </w:rPr>
        <w:t>：</w:t>
      </w:r>
      <w:r>
        <w:rPr>
          <w:rFonts w:hint="eastAsia" w:ascii="仿宋" w:hAnsi="仿宋" w:eastAsia="仿宋" w:cs="仿宋_GB2312"/>
          <w:sz w:val="32"/>
          <w:szCs w:val="32"/>
        </w:rPr>
        <w:t>根据年初设定的绩效目标，办公用房租赁及取暖费项目绩效自评得分为</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2.5</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2.5</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。项目绩效目标完成情况：</w:t>
      </w:r>
      <w:r>
        <w:rPr>
          <w:rFonts w:hint="eastAsia" w:ascii="仿宋_GB2312" w:hAnsi="仿宋_GB2312" w:eastAsia="仿宋_GB2312" w:cs="仿宋_GB2312"/>
          <w:sz w:val="32"/>
          <w:szCs w:val="32"/>
          <w:lang w:val="en-US" w:eastAsia="zh-CN"/>
        </w:rPr>
        <w:t>通过</w:t>
      </w:r>
      <w:r>
        <w:rPr>
          <w:rFonts w:hint="eastAsia" w:ascii="仿宋" w:hAnsi="仿宋" w:eastAsia="仿宋" w:cs="仿宋_GB2312"/>
          <w:sz w:val="32"/>
          <w:szCs w:val="32"/>
        </w:rPr>
        <w:t>办公用房租赁及取暖费</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完成了年初设定的各项绩效目标，未发现问题</w:t>
      </w:r>
      <w:r>
        <w:rPr>
          <w:rFonts w:hint="eastAsia" w:ascii="仿宋_GB2312" w:hAnsi="仿宋_GB2312" w:eastAsia="仿宋_GB2312" w:cs="仿宋_GB2312"/>
          <w:sz w:val="32"/>
          <w:szCs w:val="32"/>
          <w:lang w:eastAsia="zh-CN"/>
        </w:rPr>
        <w:t>。</w:t>
      </w:r>
    </w:p>
    <w:p>
      <w:pPr>
        <w:numPr>
          <w:ilvl w:val="0"/>
          <w:numId w:val="2"/>
        </w:numPr>
        <w:adjustRightInd w:val="0"/>
        <w:snapToGrid w:val="0"/>
        <w:spacing w:line="580" w:lineRule="exact"/>
        <w:ind w:left="-160" w:leftChars="0" w:firstLine="640" w:firstLineChars="0"/>
        <w:rPr>
          <w:rFonts w:ascii="仿宋" w:hAnsi="仿宋" w:eastAsia="仿宋" w:cs="仿宋_GB2312"/>
          <w:sz w:val="32"/>
          <w:szCs w:val="32"/>
        </w:rPr>
      </w:pPr>
      <w:r>
        <w:rPr>
          <w:rFonts w:hint="eastAsia" w:ascii="仿宋" w:hAnsi="仿宋" w:eastAsia="仿宋" w:cs="仿宋_GB2312"/>
          <w:sz w:val="32"/>
          <w:szCs w:val="32"/>
          <w:lang w:eastAsia="zh-CN"/>
        </w:rPr>
        <w:t>关于下达2022年第六批政府债券资金（冀财债[2022]30号）-河北青龙物流产业聚集区第二片区道路工程</w:t>
      </w:r>
      <w:r>
        <w:rPr>
          <w:rFonts w:hint="eastAsia" w:ascii="仿宋" w:hAnsi="仿宋" w:eastAsia="仿宋" w:cs="仿宋_GB2312"/>
          <w:sz w:val="32"/>
          <w:szCs w:val="32"/>
        </w:rPr>
        <w:t>项目绩效自评综述</w:t>
      </w:r>
      <w:r>
        <w:rPr>
          <w:rFonts w:hint="eastAsia" w:ascii="仿宋" w:hAnsi="仿宋" w:eastAsia="仿宋" w:cs="仿宋_GB2312"/>
          <w:sz w:val="32"/>
          <w:szCs w:val="32"/>
          <w:lang w:eastAsia="zh-CN"/>
        </w:rPr>
        <w:t>：</w:t>
      </w:r>
      <w:r>
        <w:rPr>
          <w:rFonts w:hint="eastAsia" w:ascii="仿宋" w:hAnsi="仿宋" w:eastAsia="仿宋" w:cs="仿宋_GB2312"/>
          <w:sz w:val="32"/>
          <w:szCs w:val="32"/>
        </w:rPr>
        <w:t>根据年初设定的绩效目标，</w:t>
      </w:r>
      <w:r>
        <w:rPr>
          <w:rFonts w:hint="eastAsia" w:ascii="仿宋" w:hAnsi="仿宋" w:eastAsia="仿宋" w:cs="仿宋_GB2312"/>
          <w:sz w:val="32"/>
          <w:szCs w:val="32"/>
          <w:lang w:eastAsia="zh-CN"/>
        </w:rPr>
        <w:t>关于下达2022年第六批政府债券资金（冀财债[2022]30号）-河北青龙物流产业聚集区第二片区道路工程</w:t>
      </w:r>
      <w:r>
        <w:rPr>
          <w:rFonts w:hint="eastAsia" w:ascii="仿宋" w:hAnsi="仿宋" w:eastAsia="仿宋" w:cs="仿宋_GB2312"/>
          <w:sz w:val="32"/>
          <w:szCs w:val="32"/>
        </w:rPr>
        <w:t>项目绩效自评得分为</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600</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600</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。项目绩效目标完成情况：</w:t>
      </w:r>
      <w:r>
        <w:rPr>
          <w:rFonts w:hint="eastAsia" w:ascii="仿宋_GB2312" w:hAnsi="仿宋_GB2312" w:eastAsia="仿宋_GB2312" w:cs="仿宋_GB2312"/>
          <w:sz w:val="32"/>
          <w:szCs w:val="32"/>
          <w:lang w:val="en-US" w:eastAsia="zh-CN"/>
        </w:rPr>
        <w:t>通过</w:t>
      </w:r>
      <w:r>
        <w:rPr>
          <w:rFonts w:hint="eastAsia" w:ascii="仿宋" w:hAnsi="仿宋" w:eastAsia="仿宋" w:cs="仿宋_GB2312"/>
          <w:sz w:val="32"/>
          <w:szCs w:val="32"/>
          <w:lang w:eastAsia="zh-CN"/>
        </w:rPr>
        <w:t>关于下达2022年第六批政府债券资金（冀财债[2022]30号）-河北青龙物流产业聚集区第二片区道路工程</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完成了年初设定的各项绩效目标，未发现问题</w:t>
      </w:r>
      <w:r>
        <w:rPr>
          <w:rFonts w:hint="eastAsia" w:ascii="仿宋_GB2312" w:hAnsi="仿宋_GB2312" w:eastAsia="仿宋_GB2312" w:cs="仿宋_GB2312"/>
          <w:sz w:val="32"/>
          <w:szCs w:val="32"/>
          <w:lang w:eastAsia="zh-CN"/>
        </w:rPr>
        <w:t>。</w:t>
      </w:r>
    </w:p>
    <w:p>
      <w:pPr>
        <w:numPr>
          <w:ilvl w:val="0"/>
          <w:numId w:val="2"/>
        </w:numPr>
        <w:adjustRightInd w:val="0"/>
        <w:snapToGrid w:val="0"/>
        <w:spacing w:line="580" w:lineRule="exact"/>
        <w:ind w:left="-160" w:leftChars="0" w:firstLine="640" w:firstLineChars="0"/>
        <w:rPr>
          <w:rFonts w:hint="eastAsia" w:ascii="仿宋_GB2312" w:hAnsi="仿宋_GB2312" w:eastAsia="仿宋_GB2312" w:cs="仿宋_GB2312"/>
          <w:sz w:val="32"/>
          <w:szCs w:val="32"/>
          <w:lang w:eastAsia="zh-CN"/>
        </w:rPr>
      </w:pPr>
      <w:r>
        <w:rPr>
          <w:rFonts w:hint="eastAsia" w:ascii="仿宋" w:hAnsi="仿宋" w:eastAsia="仿宋" w:cs="仿宋_GB2312"/>
          <w:sz w:val="32"/>
          <w:szCs w:val="32"/>
          <w:lang w:eastAsia="zh-CN"/>
        </w:rPr>
        <w:t>招商引资经费</w:t>
      </w:r>
      <w:r>
        <w:rPr>
          <w:rFonts w:hint="eastAsia" w:ascii="仿宋" w:hAnsi="仿宋" w:eastAsia="仿宋" w:cs="仿宋_GB2312"/>
          <w:sz w:val="32"/>
          <w:szCs w:val="32"/>
        </w:rPr>
        <w:t>项目绩效自评综述</w:t>
      </w:r>
      <w:r>
        <w:rPr>
          <w:rFonts w:hint="eastAsia" w:ascii="仿宋" w:hAnsi="仿宋" w:eastAsia="仿宋" w:cs="仿宋_GB2312"/>
          <w:sz w:val="32"/>
          <w:szCs w:val="32"/>
          <w:lang w:eastAsia="zh-CN"/>
        </w:rPr>
        <w:t>：</w:t>
      </w:r>
      <w:r>
        <w:rPr>
          <w:rFonts w:hint="eastAsia" w:ascii="仿宋" w:hAnsi="仿宋" w:eastAsia="仿宋" w:cs="仿宋_GB2312"/>
          <w:sz w:val="32"/>
          <w:szCs w:val="32"/>
        </w:rPr>
        <w:t>根据年初设定的绩效目标，</w:t>
      </w:r>
      <w:r>
        <w:rPr>
          <w:rFonts w:hint="eastAsia" w:ascii="仿宋" w:hAnsi="仿宋" w:eastAsia="仿宋" w:cs="仿宋_GB2312"/>
          <w:sz w:val="32"/>
          <w:szCs w:val="32"/>
          <w:lang w:eastAsia="zh-CN"/>
        </w:rPr>
        <w:t>招商引资经费</w:t>
      </w:r>
      <w:r>
        <w:rPr>
          <w:rFonts w:hint="eastAsia" w:ascii="仿宋" w:hAnsi="仿宋" w:eastAsia="仿宋" w:cs="仿宋_GB2312"/>
          <w:sz w:val="32"/>
          <w:szCs w:val="32"/>
        </w:rPr>
        <w:t>项目绩效自评得分为</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分（绩效自评表附后）。全年预算数为</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100%</w:t>
      </w:r>
      <w:r>
        <w:rPr>
          <w:rFonts w:hint="eastAsia" w:ascii="仿宋" w:hAnsi="仿宋" w:eastAsia="仿宋" w:cs="仿宋_GB2312"/>
          <w:sz w:val="32"/>
          <w:szCs w:val="32"/>
        </w:rPr>
        <w:t>。项目绩效目标完成情况：</w:t>
      </w:r>
      <w:r>
        <w:rPr>
          <w:rFonts w:hint="eastAsia" w:ascii="仿宋_GB2312" w:hAnsi="仿宋_GB2312" w:eastAsia="仿宋_GB2312" w:cs="仿宋_GB2312"/>
          <w:sz w:val="32"/>
          <w:szCs w:val="32"/>
          <w:lang w:val="en-US" w:eastAsia="zh-CN"/>
        </w:rPr>
        <w:t>通过</w:t>
      </w:r>
      <w:r>
        <w:rPr>
          <w:rFonts w:hint="eastAsia" w:ascii="仿宋" w:hAnsi="仿宋" w:eastAsia="仿宋" w:cs="仿宋_GB2312"/>
          <w:sz w:val="32"/>
          <w:szCs w:val="32"/>
          <w:lang w:eastAsia="zh-CN"/>
        </w:rPr>
        <w:t>招商引资经费</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完成了年初设定的各项绩效目标，未发现问题</w:t>
      </w:r>
      <w:r>
        <w:rPr>
          <w:rFonts w:hint="eastAsia" w:ascii="仿宋_GB2312" w:hAnsi="仿宋_GB2312" w:eastAsia="仿宋_GB2312" w:cs="仿宋_GB2312"/>
          <w:sz w:val="32"/>
          <w:szCs w:val="32"/>
          <w:lang w:eastAsia="zh-CN"/>
        </w:rPr>
        <w:t>。</w:t>
      </w:r>
    </w:p>
    <w:p>
      <w:pPr>
        <w:pStyle w:val="2"/>
        <w:rPr>
          <w:rFonts w:hint="default"/>
          <w:lang w:val="en-US" w:eastAsia="zh-CN"/>
        </w:rPr>
      </w:pPr>
      <w:r>
        <w:rPr>
          <w:rFonts w:hint="eastAsia" w:ascii="仿宋_GB2312" w:hAnsi="仿宋_GB2312" w:eastAsia="仿宋_GB2312" w:cs="仿宋_GB2312"/>
          <w:sz w:val="32"/>
          <w:szCs w:val="32"/>
          <w:lang w:val="en-US" w:eastAsia="zh-CN"/>
        </w:rPr>
        <w:t>附项目支出绩效自评表</w:t>
      </w:r>
      <w:bookmarkStart w:id="2" w:name="_GoBack"/>
      <w:bookmarkEnd w:id="2"/>
    </w:p>
    <w:tbl>
      <w:tblPr>
        <w:tblStyle w:val="12"/>
        <w:tblW w:w="531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56"/>
        <w:gridCol w:w="2776"/>
        <w:gridCol w:w="537"/>
        <w:gridCol w:w="23"/>
        <w:gridCol w:w="3"/>
        <w:gridCol w:w="370"/>
        <w:gridCol w:w="8"/>
        <w:gridCol w:w="37"/>
        <w:gridCol w:w="408"/>
        <w:gridCol w:w="12"/>
        <w:gridCol w:w="354"/>
        <w:gridCol w:w="399"/>
        <w:gridCol w:w="20"/>
        <w:gridCol w:w="267"/>
        <w:gridCol w:w="686"/>
        <w:gridCol w:w="5"/>
        <w:gridCol w:w="671"/>
        <w:gridCol w:w="5"/>
        <w:gridCol w:w="820"/>
        <w:gridCol w:w="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300" w:hRule="atLeast"/>
        </w:trPr>
        <w:tc>
          <w:tcPr>
            <w:tcW w:w="913" w:type="pct"/>
            <w:tcBorders>
              <w:top w:val="nil"/>
              <w:left w:val="nil"/>
              <w:bottom w:val="nil"/>
              <w:right w:val="nil"/>
            </w:tcBorders>
            <w:noWrap/>
            <w:vAlign w:val="bottom"/>
          </w:tcPr>
          <w:p>
            <w:pPr>
              <w:keepNext w:val="0"/>
              <w:keepLines w:val="0"/>
              <w:widowControl/>
              <w:suppressLineNumbers w:val="0"/>
              <w:spacing w:after="0" w:line="240" w:lineRule="auto"/>
              <w:jc w:val="left"/>
              <w:textAlignment w:val="bottom"/>
              <w:rPr>
                <w:rFonts w:ascii="黑体" w:hAnsi="宋体" w:eastAsia="黑体" w:cs="黑体"/>
                <w:i w:val="0"/>
                <w:iCs w:val="0"/>
                <w:color w:val="000000"/>
                <w:kern w:val="2"/>
                <w:sz w:val="28"/>
                <w:szCs w:val="28"/>
                <w:u w:val="none"/>
              </w:rPr>
            </w:pPr>
          </w:p>
        </w:tc>
        <w:tc>
          <w:tcPr>
            <w:tcW w:w="1532" w:type="pct"/>
            <w:tcBorders>
              <w:top w:val="nil"/>
              <w:left w:val="nil"/>
              <w:bottom w:val="nil"/>
              <w:right w:val="nil"/>
            </w:tcBorders>
            <w:noWrap/>
            <w:vAlign w:val="center"/>
          </w:tcPr>
          <w:p>
            <w:pPr>
              <w:spacing w:after="0" w:line="240" w:lineRule="auto"/>
              <w:rPr>
                <w:rFonts w:hint="eastAsia" w:ascii="宋体" w:hAnsi="宋体" w:eastAsia="宋体" w:cs="宋体"/>
                <w:i w:val="0"/>
                <w:iCs w:val="0"/>
                <w:color w:val="000000"/>
                <w:kern w:val="2"/>
                <w:sz w:val="22"/>
                <w:szCs w:val="22"/>
                <w:u w:val="none"/>
              </w:rPr>
            </w:pPr>
          </w:p>
        </w:tc>
        <w:tc>
          <w:tcPr>
            <w:tcW w:w="307" w:type="pct"/>
            <w:tcBorders>
              <w:top w:val="nil"/>
              <w:left w:val="nil"/>
              <w:bottom w:val="nil"/>
              <w:right w:val="nil"/>
            </w:tcBorders>
            <w:noWrap/>
            <w:vAlign w:val="center"/>
          </w:tcPr>
          <w:p>
            <w:pPr>
              <w:spacing w:after="0" w:line="240" w:lineRule="auto"/>
              <w:rPr>
                <w:rFonts w:hint="eastAsia" w:ascii="宋体" w:hAnsi="宋体" w:eastAsia="宋体" w:cs="宋体"/>
                <w:i w:val="0"/>
                <w:iCs w:val="0"/>
                <w:color w:val="000000"/>
                <w:kern w:val="2"/>
                <w:sz w:val="22"/>
                <w:szCs w:val="22"/>
                <w:u w:val="none"/>
              </w:rPr>
            </w:pPr>
          </w:p>
        </w:tc>
        <w:tc>
          <w:tcPr>
            <w:tcW w:w="286" w:type="pct"/>
            <w:gridSpan w:val="5"/>
            <w:tcBorders>
              <w:top w:val="nil"/>
              <w:left w:val="nil"/>
              <w:bottom w:val="nil"/>
              <w:right w:val="nil"/>
            </w:tcBorders>
            <w:noWrap/>
            <w:vAlign w:val="center"/>
          </w:tcPr>
          <w:p>
            <w:pPr>
              <w:spacing w:after="0" w:line="240" w:lineRule="auto"/>
              <w:rPr>
                <w:rFonts w:hint="eastAsia" w:ascii="宋体" w:hAnsi="宋体" w:eastAsia="宋体" w:cs="宋体"/>
                <w:i w:val="0"/>
                <w:iCs w:val="0"/>
                <w:color w:val="000000"/>
                <w:kern w:val="2"/>
                <w:sz w:val="22"/>
                <w:szCs w:val="22"/>
                <w:u w:val="none"/>
              </w:rPr>
            </w:pPr>
          </w:p>
        </w:tc>
        <w:tc>
          <w:tcPr>
            <w:tcW w:w="462" w:type="pct"/>
            <w:gridSpan w:val="3"/>
            <w:tcBorders>
              <w:top w:val="nil"/>
              <w:left w:val="nil"/>
              <w:bottom w:val="nil"/>
              <w:right w:val="nil"/>
            </w:tcBorders>
            <w:noWrap/>
            <w:vAlign w:val="center"/>
          </w:tcPr>
          <w:p>
            <w:pPr>
              <w:spacing w:after="0" w:line="240" w:lineRule="auto"/>
              <w:rPr>
                <w:rFonts w:hint="eastAsia" w:ascii="宋体" w:hAnsi="宋体" w:eastAsia="宋体" w:cs="宋体"/>
                <w:i w:val="0"/>
                <w:iCs w:val="0"/>
                <w:color w:val="000000"/>
                <w:kern w:val="2"/>
                <w:sz w:val="22"/>
                <w:szCs w:val="22"/>
                <w:u w:val="none"/>
              </w:rPr>
            </w:pPr>
          </w:p>
        </w:tc>
        <w:tc>
          <w:tcPr>
            <w:tcW w:w="378" w:type="pct"/>
            <w:gridSpan w:val="3"/>
            <w:tcBorders>
              <w:top w:val="nil"/>
              <w:left w:val="nil"/>
              <w:bottom w:val="nil"/>
              <w:right w:val="nil"/>
            </w:tcBorders>
            <w:noWrap/>
            <w:vAlign w:val="center"/>
          </w:tcPr>
          <w:p>
            <w:pPr>
              <w:spacing w:after="0" w:line="240" w:lineRule="auto"/>
              <w:rPr>
                <w:rFonts w:hint="eastAsia" w:ascii="宋体" w:hAnsi="宋体" w:eastAsia="宋体" w:cs="宋体"/>
                <w:i w:val="0"/>
                <w:iCs w:val="0"/>
                <w:color w:val="000000"/>
                <w:kern w:val="2"/>
                <w:sz w:val="22"/>
                <w:szCs w:val="22"/>
                <w:u w:val="none"/>
              </w:rPr>
            </w:pPr>
          </w:p>
        </w:tc>
        <w:tc>
          <w:tcPr>
            <w:tcW w:w="378" w:type="pct"/>
            <w:tcBorders>
              <w:top w:val="nil"/>
              <w:left w:val="nil"/>
              <w:bottom w:val="nil"/>
              <w:right w:val="nil"/>
            </w:tcBorders>
            <w:noWrap/>
            <w:vAlign w:val="center"/>
          </w:tcPr>
          <w:p>
            <w:pPr>
              <w:spacing w:after="0" w:line="240" w:lineRule="auto"/>
              <w:rPr>
                <w:rFonts w:hint="eastAsia" w:ascii="宋体" w:hAnsi="宋体" w:eastAsia="宋体" w:cs="宋体"/>
                <w:i w:val="0"/>
                <w:iCs w:val="0"/>
                <w:color w:val="000000"/>
                <w:kern w:val="2"/>
                <w:sz w:val="22"/>
                <w:szCs w:val="22"/>
                <w:u w:val="none"/>
              </w:rPr>
            </w:pPr>
          </w:p>
        </w:tc>
        <w:tc>
          <w:tcPr>
            <w:tcW w:w="282" w:type="pct"/>
            <w:gridSpan w:val="2"/>
            <w:tcBorders>
              <w:top w:val="nil"/>
              <w:left w:val="nil"/>
              <w:bottom w:val="nil"/>
              <w:right w:val="nil"/>
            </w:tcBorders>
            <w:noWrap/>
            <w:vAlign w:val="center"/>
          </w:tcPr>
          <w:p>
            <w:pPr>
              <w:spacing w:after="0" w:line="240" w:lineRule="auto"/>
              <w:rPr>
                <w:rFonts w:hint="eastAsia" w:ascii="宋体" w:hAnsi="宋体" w:eastAsia="宋体" w:cs="宋体"/>
                <w:i w:val="0"/>
                <w:iCs w:val="0"/>
                <w:color w:val="000000"/>
                <w:kern w:val="2"/>
                <w:sz w:val="22"/>
                <w:szCs w:val="22"/>
                <w:u w:val="none"/>
              </w:rPr>
            </w:pPr>
          </w:p>
        </w:tc>
        <w:tc>
          <w:tcPr>
            <w:tcW w:w="454" w:type="pct"/>
            <w:gridSpan w:val="2"/>
            <w:tcBorders>
              <w:top w:val="nil"/>
              <w:left w:val="nil"/>
              <w:bottom w:val="nil"/>
              <w:right w:val="nil"/>
            </w:tcBorders>
            <w:noWrap/>
            <w:vAlign w:val="center"/>
          </w:tcPr>
          <w:p>
            <w:pPr>
              <w:spacing w:after="0" w:line="240" w:lineRule="auto"/>
              <w:rPr>
                <w:rFonts w:hint="eastAsia" w:ascii="宋体" w:hAnsi="宋体" w:eastAsia="宋体" w:cs="宋体"/>
                <w:i w:val="0"/>
                <w:iCs w:val="0"/>
                <w:color w:val="000000"/>
                <w:kern w:val="2"/>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405" w:hRule="atLeast"/>
        </w:trPr>
        <w:tc>
          <w:tcPr>
            <w:tcW w:w="4997" w:type="pct"/>
            <w:gridSpan w:val="19"/>
            <w:tcBorders>
              <w:top w:val="nil"/>
              <w:left w:val="nil"/>
              <w:bottom w:val="nil"/>
              <w:right w:val="nil"/>
            </w:tcBorders>
            <w:noWrap/>
            <w:vAlign w:val="center"/>
          </w:tcPr>
          <w:p>
            <w:pPr>
              <w:keepNext w:val="0"/>
              <w:keepLines w:val="0"/>
              <w:widowControl/>
              <w:suppressLineNumbers w:val="0"/>
              <w:spacing w:after="0" w:line="240" w:lineRule="auto"/>
              <w:jc w:val="center"/>
              <w:textAlignment w:val="center"/>
              <w:rPr>
                <w:rFonts w:hint="eastAsia" w:ascii="黑体" w:hAnsi="宋体" w:eastAsia="黑体" w:cs="黑体"/>
                <w:i w:val="0"/>
                <w:iCs w:val="0"/>
                <w:color w:val="000000"/>
                <w:kern w:val="2"/>
                <w:sz w:val="40"/>
                <w:szCs w:val="40"/>
                <w:u w:val="none"/>
              </w:rPr>
            </w:pPr>
            <w:r>
              <w:rPr>
                <w:rFonts w:hint="eastAsia" w:ascii="黑体" w:hAnsi="宋体" w:eastAsia="黑体" w:cs="黑体"/>
                <w:i w:val="0"/>
                <w:iCs w:val="0"/>
                <w:color w:val="000000"/>
                <w:kern w:val="0"/>
                <w:sz w:val="40"/>
                <w:szCs w:val="40"/>
                <w:u w:val="none"/>
                <w:lang w:val="en-US" w:eastAsia="zh-CN" w:bidi="ar"/>
              </w:rPr>
              <w:t>2023年度县级项目支出绩效自评表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22" w:hRule="atLeast"/>
        </w:trPr>
        <w:tc>
          <w:tcPr>
            <w:tcW w:w="913" w:type="pct"/>
            <w:tcBorders>
              <w:top w:val="nil"/>
              <w:left w:val="nil"/>
              <w:bottom w:val="nil"/>
              <w:right w:val="nil"/>
            </w:tcBorders>
            <w:noWrap/>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填报单位（盖章）：</w:t>
            </w:r>
          </w:p>
        </w:tc>
        <w:tc>
          <w:tcPr>
            <w:tcW w:w="1532" w:type="pct"/>
            <w:tcBorders>
              <w:top w:val="nil"/>
              <w:left w:val="nil"/>
              <w:bottom w:val="nil"/>
              <w:right w:val="nil"/>
            </w:tcBorders>
            <w:noWrap/>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河北青龙物流产业聚集区管理委员会</w:t>
            </w:r>
          </w:p>
        </w:tc>
        <w:tc>
          <w:tcPr>
            <w:tcW w:w="307" w:type="pct"/>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286" w:type="pct"/>
            <w:gridSpan w:val="5"/>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462" w:type="pct"/>
            <w:gridSpan w:val="3"/>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78" w:type="pct"/>
            <w:gridSpan w:val="3"/>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78" w:type="pct"/>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737" w:type="pct"/>
            <w:gridSpan w:val="4"/>
            <w:tcBorders>
              <w:top w:val="nil"/>
              <w:left w:val="nil"/>
              <w:bottom w:val="nil"/>
              <w:right w:val="nil"/>
            </w:tcBorders>
            <w:noWrap/>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375" w:hRule="atLeast"/>
        </w:trPr>
        <w:tc>
          <w:tcPr>
            <w:tcW w:w="913"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olor w:val="000000"/>
                <w:kern w:val="2"/>
                <w:sz w:val="16"/>
                <w:szCs w:val="16"/>
                <w:u w:val="none"/>
                <w:lang w:val="en-US" w:eastAsia="zh-CN" w:bidi="ar"/>
              </w:rPr>
              <w:t>一、</w:t>
            </w:r>
            <w:r>
              <w:rPr>
                <w:rFonts w:ascii="Calibri" w:hAnsi="Calibri" w:eastAsia="宋体" w:cs="Calibri"/>
                <w:color w:val="000000"/>
                <w:kern w:val="2"/>
                <w:sz w:val="16"/>
                <w:szCs w:val="16"/>
                <w:u w:val="none"/>
                <w:lang w:val="en-US" w:eastAsia="zh-CN" w:bidi="ar"/>
              </w:rPr>
              <w:t xml:space="preserve"> </w:t>
            </w:r>
            <w:r>
              <w:rPr>
                <w:rFonts w:hint="eastAsia" w:ascii="宋体" w:hAnsi="宋体" w:eastAsia="宋体"/>
                <w:color w:val="000000"/>
                <w:kern w:val="2"/>
                <w:sz w:val="16"/>
                <w:szCs w:val="16"/>
                <w:u w:val="none"/>
                <w:lang w:val="en-US" w:eastAsia="zh-CN" w:bidi="ar"/>
              </w:rPr>
              <w:t>基本情况</w:t>
            </w: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551" w:type="pct"/>
            <w:gridSpan w:val="1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righ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招商引资工作经费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300" w:hRule="atLeast"/>
        </w:trPr>
        <w:tc>
          <w:tcPr>
            <w:tcW w:w="913" w:type="pct"/>
            <w:tcBorders>
              <w:top w:val="single" w:color="000000" w:sz="4" w:space="0"/>
              <w:left w:val="single" w:color="000000" w:sz="4" w:space="0"/>
              <w:bottom w:val="nil"/>
              <w:right w:val="single" w:color="000000" w:sz="4" w:space="0"/>
            </w:tcBorders>
            <w:noWrap w:val="0"/>
            <w:vAlign w:val="center"/>
          </w:tcPr>
          <w:p>
            <w:pPr>
              <w:spacing w:after="0" w:line="240" w:lineRule="auto"/>
              <w:jc w:val="left"/>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主管部门</w:t>
            </w:r>
          </w:p>
        </w:tc>
        <w:tc>
          <w:tcPr>
            <w:tcW w:w="1057" w:type="pct"/>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河北青龙物流产业聚集区管理委员会</w:t>
            </w:r>
          </w:p>
        </w:tc>
        <w:tc>
          <w:tcPr>
            <w:tcW w:w="378" w:type="pct"/>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实施单位</w:t>
            </w:r>
          </w:p>
        </w:tc>
        <w:tc>
          <w:tcPr>
            <w:tcW w:w="1115"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河北青龙物流产业聚集区管理委员会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55" w:hRule="atLeast"/>
        </w:trPr>
        <w:tc>
          <w:tcPr>
            <w:tcW w:w="913" w:type="pct"/>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594"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年初预算数</w:t>
            </w:r>
          </w:p>
        </w:tc>
        <w:tc>
          <w:tcPr>
            <w:tcW w:w="841"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全年预算数</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全年执行数</w:t>
            </w: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88"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年度项目资金总额</w:t>
            </w:r>
          </w:p>
        </w:tc>
        <w:tc>
          <w:tcPr>
            <w:tcW w:w="594"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lang w:val="en-US" w:eastAsia="zh-CN"/>
              </w:rPr>
            </w:pPr>
            <w:r>
              <w:rPr>
                <w:rFonts w:hint="eastAsia" w:ascii="宋体" w:hAnsi="宋体" w:eastAsia="宋体" w:cs="宋体"/>
                <w:i w:val="0"/>
                <w:iCs w:val="0"/>
                <w:color w:val="000000"/>
                <w:kern w:val="2"/>
                <w:sz w:val="16"/>
                <w:szCs w:val="16"/>
                <w:u w:val="none"/>
                <w:lang w:val="en-US" w:eastAsia="zh-CN"/>
              </w:rPr>
              <w:t>5</w:t>
            </w:r>
          </w:p>
        </w:tc>
        <w:tc>
          <w:tcPr>
            <w:tcW w:w="841"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70"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righ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其中：当年财政拨款</w:t>
            </w:r>
          </w:p>
        </w:tc>
        <w:tc>
          <w:tcPr>
            <w:tcW w:w="594"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841"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88"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righ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上年结转资金</w:t>
            </w:r>
          </w:p>
        </w:tc>
        <w:tc>
          <w:tcPr>
            <w:tcW w:w="594"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841"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88"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 xml:space="preserve">      其他资金</w:t>
            </w:r>
          </w:p>
        </w:tc>
        <w:tc>
          <w:tcPr>
            <w:tcW w:w="594"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841"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88" w:hRule="atLeast"/>
        </w:trPr>
        <w:tc>
          <w:tcPr>
            <w:tcW w:w="913" w:type="pct"/>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126" w:type="pct"/>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219" w:type="pct"/>
            <w:gridSpan w:val="7"/>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37" w:type="pct"/>
            <w:gridSpan w:val="4"/>
            <w:tcBorders>
              <w:top w:val="nil"/>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460"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2126" w:type="pct"/>
            <w:gridSpan w:val="7"/>
            <w:tcBorders>
              <w:top w:val="nil"/>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增强招商队伍本领，提高聚集区招商工作能力，到京津唐、长三角、珠三角等经济发达地区开展招商活动。</w:t>
            </w:r>
          </w:p>
        </w:tc>
        <w:tc>
          <w:tcPr>
            <w:tcW w:w="1219" w:type="pct"/>
            <w:gridSpan w:val="7"/>
            <w:tcBorders>
              <w:top w:val="nil"/>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增强了招商队伍本领，提高了聚集区招商工作能力，到京津唐、长三角、珠三角等经济发达地区开展招商活动。</w:t>
            </w: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70" w:hRule="atLeast"/>
        </w:trPr>
        <w:tc>
          <w:tcPr>
            <w:tcW w:w="91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1532"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749" w:type="pct"/>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378"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分值</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restart"/>
            <w:tcBorders>
              <w:top w:val="single" w:color="000000" w:sz="4" w:space="0"/>
              <w:left w:val="nil"/>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产出指标（50）</w:t>
            </w:r>
          </w:p>
        </w:tc>
        <w:tc>
          <w:tcPr>
            <w:tcW w:w="30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749" w:type="pct"/>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招商引资工作人员培训</w:t>
            </w:r>
          </w:p>
        </w:tc>
        <w:tc>
          <w:tcPr>
            <w:tcW w:w="378"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≥6次</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12次</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07"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749" w:type="pct"/>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开展招商引资活动</w:t>
            </w:r>
          </w:p>
        </w:tc>
        <w:tc>
          <w:tcPr>
            <w:tcW w:w="378"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≥10次</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15次</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07"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749" w:type="pct"/>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制作宣传册</w:t>
            </w:r>
          </w:p>
        </w:tc>
        <w:tc>
          <w:tcPr>
            <w:tcW w:w="378"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≥1000册</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1500册</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749" w:type="pct"/>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制作宣传视频</w:t>
            </w:r>
          </w:p>
        </w:tc>
        <w:tc>
          <w:tcPr>
            <w:tcW w:w="378"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≥1集</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1集</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384"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749" w:type="pct"/>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及时支付比率</w:t>
            </w:r>
          </w:p>
        </w:tc>
        <w:tc>
          <w:tcPr>
            <w:tcW w:w="378"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2022年12月底</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2022年12月底</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749" w:type="pct"/>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预算范围内</w:t>
            </w:r>
          </w:p>
        </w:tc>
        <w:tc>
          <w:tcPr>
            <w:tcW w:w="378"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≤3.02万元</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3.02万元</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restart"/>
            <w:tcBorders>
              <w:top w:val="single" w:color="000000" w:sz="4" w:space="0"/>
              <w:left w:val="nil"/>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效益指标（30）</w:t>
            </w:r>
          </w:p>
        </w:tc>
        <w:tc>
          <w:tcPr>
            <w:tcW w:w="30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749" w:type="pct"/>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招商活动签约</w:t>
            </w:r>
          </w:p>
        </w:tc>
        <w:tc>
          <w:tcPr>
            <w:tcW w:w="378"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≥4个</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4个</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15</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07"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749" w:type="pct"/>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招商活动签约</w:t>
            </w:r>
          </w:p>
        </w:tc>
        <w:tc>
          <w:tcPr>
            <w:tcW w:w="378"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≥5000万元</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5000万元</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15</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restar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满意度指标（10）</w:t>
            </w:r>
          </w:p>
        </w:tc>
        <w:tc>
          <w:tcPr>
            <w:tcW w:w="30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749" w:type="pct"/>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企业对政府服务满意率</w:t>
            </w:r>
          </w:p>
        </w:tc>
        <w:tc>
          <w:tcPr>
            <w:tcW w:w="378"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w:t>
            </w:r>
            <w:r>
              <w:rPr>
                <w:rFonts w:hint="default" w:ascii="Calibri" w:hAnsi="Calibri" w:eastAsia="宋体" w:cs="Calibri"/>
                <w:color w:val="000000"/>
                <w:kern w:val="2"/>
                <w:sz w:val="21"/>
                <w:szCs w:val="21"/>
                <w:u w:val="none"/>
                <w:lang w:val="en-US" w:eastAsia="zh-CN" w:bidi="ar"/>
              </w:rPr>
              <w:t>95%</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705"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07"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749" w:type="pct"/>
            <w:gridSpan w:val="8"/>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满意度大于等于90%的得10分；小于90%且大于等于80%得8分，小于80%且大于等于60%得5分，小于60%不得分。</w:t>
            </w:r>
          </w:p>
        </w:tc>
        <w:tc>
          <w:tcPr>
            <w:tcW w:w="378" w:type="pct"/>
            <w:gridSpan w:val="3"/>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378" w:type="pct"/>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282" w:type="pct"/>
            <w:gridSpan w:val="2"/>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454" w:type="pct"/>
            <w:gridSpan w:val="2"/>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1065"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nil"/>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预算执行率（10）</w:t>
            </w:r>
          </w:p>
        </w:tc>
        <w:tc>
          <w:tcPr>
            <w:tcW w:w="307"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749" w:type="pct"/>
            <w:gridSpan w:val="8"/>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项目完成且执行数控制在年度预算规模之内，得10分；项目尚未完成，预算执行率小于90%且大于等于80%得7分，小于80%且大于等于60%得5分，小于60%不得分。</w:t>
            </w:r>
          </w:p>
        </w:tc>
        <w:tc>
          <w:tcPr>
            <w:tcW w:w="378" w:type="pct"/>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378"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282" w:type="pct"/>
            <w:gridSpan w:val="2"/>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4" w:type="pct"/>
            <w:gridSpan w:val="2"/>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629" w:type="pct"/>
            <w:gridSpan w:val="16"/>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总分（共计100分）</w:t>
            </w:r>
          </w:p>
        </w:tc>
        <w:tc>
          <w:tcPr>
            <w:tcW w:w="454" w:type="pct"/>
            <w:gridSpan w:val="2"/>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629" w:type="pct"/>
            <w:gridSpan w:val="16"/>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评价等级（优：90（含）-100分；良：80（含）-90分；中60（含）-80分；差：60分以下）</w:t>
            </w:r>
          </w:p>
        </w:tc>
        <w:tc>
          <w:tcPr>
            <w:tcW w:w="454" w:type="pct"/>
            <w:gridSpan w:val="2"/>
            <w:tcBorders>
              <w:top w:val="nil"/>
              <w:left w:val="nil"/>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660" w:hRule="atLeast"/>
        </w:trPr>
        <w:tc>
          <w:tcPr>
            <w:tcW w:w="913" w:type="pc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color w:val="000000"/>
                <w:kern w:val="2"/>
                <w:sz w:val="16"/>
                <w:szCs w:val="16"/>
                <w:u w:val="none"/>
                <w:lang w:val="en-US" w:eastAsia="zh-CN" w:bidi="ar"/>
              </w:rPr>
              <w:t xml:space="preserve"> </w:t>
            </w:r>
            <w:r>
              <w:rPr>
                <w:rFonts w:hint="eastAsia" w:ascii="宋体" w:hAnsi="宋体" w:eastAsia="宋体"/>
                <w:color w:val="000000"/>
                <w:kern w:val="2"/>
                <w:sz w:val="16"/>
                <w:szCs w:val="16"/>
                <w:u w:val="none"/>
                <w:lang w:val="en-US" w:eastAsia="zh-CN" w:bidi="ar"/>
              </w:rPr>
              <w:t>存在问题、原因及下一步整改措施</w:t>
            </w:r>
          </w:p>
        </w:tc>
        <w:tc>
          <w:tcPr>
            <w:tcW w:w="4083" w:type="pct"/>
            <w:gridSpan w:val="18"/>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5000" w:type="pct"/>
            <w:gridSpan w:val="20"/>
            <w:tcBorders>
              <w:top w:val="nil"/>
              <w:left w:val="nil"/>
              <w:bottom w:val="nil"/>
              <w:right w:val="nil"/>
            </w:tcBorders>
            <w:noWrap/>
            <w:vAlign w:val="center"/>
          </w:tcPr>
          <w:p>
            <w:pPr>
              <w:keepNext w:val="0"/>
              <w:keepLines w:val="0"/>
              <w:widowControl/>
              <w:suppressLineNumbers w:val="0"/>
              <w:spacing w:after="0" w:line="240" w:lineRule="auto"/>
              <w:jc w:val="center"/>
              <w:textAlignment w:val="center"/>
              <w:rPr>
                <w:rFonts w:ascii="黑体" w:hAnsi="宋体" w:eastAsia="黑体" w:cs="黑体"/>
                <w:i w:val="0"/>
                <w:iCs w:val="0"/>
                <w:color w:val="000000"/>
                <w:kern w:val="2"/>
                <w:sz w:val="40"/>
                <w:szCs w:val="40"/>
                <w:u w:val="none"/>
              </w:rPr>
            </w:pPr>
            <w:r>
              <w:rPr>
                <w:rFonts w:hint="eastAsia" w:ascii="黑体" w:hAnsi="宋体" w:eastAsia="黑体" w:cs="黑体"/>
                <w:i w:val="0"/>
                <w:iCs w:val="0"/>
                <w:color w:val="000000"/>
                <w:kern w:val="0"/>
                <w:sz w:val="40"/>
                <w:szCs w:val="40"/>
                <w:u w:val="none"/>
                <w:lang w:val="en-US" w:eastAsia="zh-CN" w:bidi="ar"/>
              </w:rPr>
              <w:t>2023年度县级项目支出绩效自评表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trPr>
        <w:tc>
          <w:tcPr>
            <w:tcW w:w="913" w:type="pct"/>
            <w:tcBorders>
              <w:top w:val="nil"/>
              <w:left w:val="nil"/>
              <w:bottom w:val="nil"/>
              <w:right w:val="nil"/>
            </w:tcBorders>
            <w:noWrap/>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填报单位（盖章）：</w:t>
            </w:r>
          </w:p>
        </w:tc>
        <w:tc>
          <w:tcPr>
            <w:tcW w:w="1532" w:type="pct"/>
            <w:tcBorders>
              <w:top w:val="nil"/>
              <w:left w:val="nil"/>
              <w:bottom w:val="nil"/>
              <w:right w:val="nil"/>
            </w:tcBorders>
            <w:noWrap/>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河北青龙物流产业聚集区管理委员会</w:t>
            </w:r>
          </w:p>
        </w:tc>
        <w:tc>
          <w:tcPr>
            <w:tcW w:w="333" w:type="pct"/>
            <w:gridSpan w:val="3"/>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230" w:type="pct"/>
            <w:gridSpan w:val="2"/>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282" w:type="pct"/>
            <w:gridSpan w:val="3"/>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443" w:type="pct"/>
            <w:gridSpan w:val="3"/>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27" w:type="pct"/>
            <w:gridSpan w:val="3"/>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737" w:type="pct"/>
            <w:gridSpan w:val="4"/>
            <w:tcBorders>
              <w:top w:val="nil"/>
              <w:left w:val="nil"/>
              <w:bottom w:val="nil"/>
              <w:right w:val="nil"/>
            </w:tcBorders>
            <w:noWrap/>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13"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olor w:val="000000"/>
                <w:kern w:val="2"/>
                <w:sz w:val="16"/>
                <w:szCs w:val="16"/>
                <w:u w:val="none"/>
                <w:lang w:val="en-US" w:eastAsia="zh-CN" w:bidi="ar"/>
              </w:rPr>
              <w:t>一、</w:t>
            </w:r>
            <w:r>
              <w:rPr>
                <w:rFonts w:ascii="Calibri" w:hAnsi="Calibri" w:eastAsia="宋体" w:cs="Calibri"/>
                <w:color w:val="000000"/>
                <w:kern w:val="2"/>
                <w:sz w:val="16"/>
                <w:szCs w:val="16"/>
                <w:u w:val="none"/>
                <w:lang w:val="en-US" w:eastAsia="zh-CN" w:bidi="ar"/>
              </w:rPr>
              <w:t xml:space="preserve"> </w:t>
            </w:r>
            <w:r>
              <w:rPr>
                <w:rFonts w:hint="eastAsia" w:ascii="宋体" w:hAnsi="宋体" w:eastAsia="宋体"/>
                <w:color w:val="000000"/>
                <w:kern w:val="2"/>
                <w:sz w:val="16"/>
                <w:szCs w:val="16"/>
                <w:u w:val="none"/>
                <w:lang w:val="en-US" w:eastAsia="zh-CN" w:bidi="ar"/>
              </w:rPr>
              <w:t>基本情况</w:t>
            </w: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554" w:type="pct"/>
            <w:gridSpan w:val="1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righ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办公用房租赁费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3" w:type="pct"/>
            <w:tcBorders>
              <w:top w:val="single" w:color="000000" w:sz="4" w:space="0"/>
              <w:left w:val="single" w:color="000000" w:sz="4" w:space="0"/>
              <w:bottom w:val="nil"/>
              <w:right w:val="single" w:color="000000" w:sz="4" w:space="0"/>
            </w:tcBorders>
            <w:noWrap w:val="0"/>
            <w:vAlign w:val="center"/>
          </w:tcPr>
          <w:p>
            <w:pPr>
              <w:spacing w:after="0" w:line="240" w:lineRule="auto"/>
              <w:jc w:val="left"/>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主管部门</w:t>
            </w:r>
          </w:p>
        </w:tc>
        <w:tc>
          <w:tcPr>
            <w:tcW w:w="845" w:type="pct"/>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河北青龙物流产业聚集区管理委员会</w:t>
            </w:r>
          </w:p>
        </w:tc>
        <w:tc>
          <w:tcPr>
            <w:tcW w:w="443" w:type="pct"/>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实施单位</w:t>
            </w:r>
          </w:p>
        </w:tc>
        <w:tc>
          <w:tcPr>
            <w:tcW w:w="1264" w:type="pct"/>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河北青龙物流产业聚集区管理委员会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13" w:type="pct"/>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563"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年初预算数</w:t>
            </w:r>
          </w:p>
        </w:tc>
        <w:tc>
          <w:tcPr>
            <w:tcW w:w="725"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全年预算数</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全年执行数</w:t>
            </w: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年度项目资金总额</w:t>
            </w:r>
          </w:p>
        </w:tc>
        <w:tc>
          <w:tcPr>
            <w:tcW w:w="563"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宋体" w:hAnsi="宋体" w:eastAsia="宋体" w:cs="宋体"/>
                <w:i w:val="0"/>
                <w:iCs w:val="0"/>
                <w:color w:val="000000"/>
                <w:kern w:val="2"/>
                <w:sz w:val="16"/>
                <w:szCs w:val="16"/>
                <w:u w:val="none"/>
                <w:lang w:val="en-US"/>
              </w:rPr>
            </w:pPr>
            <w:r>
              <w:rPr>
                <w:rFonts w:hint="eastAsia" w:ascii="宋体" w:hAnsi="宋体" w:eastAsia="宋体" w:cs="宋体"/>
                <w:i w:val="0"/>
                <w:iCs w:val="0"/>
                <w:color w:val="000000"/>
                <w:kern w:val="0"/>
                <w:sz w:val="16"/>
                <w:szCs w:val="16"/>
                <w:u w:val="none"/>
                <w:lang w:val="en-US" w:eastAsia="zh-CN" w:bidi="ar"/>
              </w:rPr>
              <w:t>2.5</w:t>
            </w:r>
          </w:p>
        </w:tc>
        <w:tc>
          <w:tcPr>
            <w:tcW w:w="725"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宋体" w:hAnsi="宋体" w:eastAsia="宋体" w:cs="宋体"/>
                <w:i w:val="0"/>
                <w:iCs w:val="0"/>
                <w:color w:val="000000"/>
                <w:kern w:val="2"/>
                <w:sz w:val="16"/>
                <w:szCs w:val="16"/>
                <w:u w:val="none"/>
                <w:lang w:val="en-US"/>
              </w:rPr>
            </w:pPr>
            <w:r>
              <w:rPr>
                <w:rFonts w:hint="eastAsia" w:ascii="宋体" w:hAnsi="宋体" w:eastAsia="宋体" w:cs="宋体"/>
                <w:i w:val="0"/>
                <w:iCs w:val="0"/>
                <w:color w:val="000000"/>
                <w:kern w:val="0"/>
                <w:sz w:val="16"/>
                <w:szCs w:val="16"/>
                <w:u w:val="none"/>
                <w:lang w:val="en-US" w:eastAsia="zh-CN" w:bidi="ar"/>
              </w:rPr>
              <w:t>2.5</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宋体" w:hAnsi="宋体" w:eastAsia="宋体" w:cs="宋体"/>
                <w:i w:val="0"/>
                <w:iCs w:val="0"/>
                <w:color w:val="000000"/>
                <w:kern w:val="2"/>
                <w:sz w:val="16"/>
                <w:szCs w:val="16"/>
                <w:u w:val="none"/>
                <w:lang w:val="en-US"/>
              </w:rPr>
            </w:pPr>
            <w:r>
              <w:rPr>
                <w:rFonts w:hint="eastAsia" w:ascii="宋体" w:hAnsi="宋体" w:eastAsia="宋体" w:cs="宋体"/>
                <w:i w:val="0"/>
                <w:iCs w:val="0"/>
                <w:color w:val="000000"/>
                <w:kern w:val="0"/>
                <w:sz w:val="16"/>
                <w:szCs w:val="16"/>
                <w:u w:val="none"/>
                <w:lang w:val="en-US" w:eastAsia="zh-CN" w:bidi="ar"/>
              </w:rPr>
              <w:t>2.5</w:t>
            </w: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righ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其中：当年财政拨款</w:t>
            </w:r>
          </w:p>
        </w:tc>
        <w:tc>
          <w:tcPr>
            <w:tcW w:w="563" w:type="pct"/>
            <w:gridSpan w:val="5"/>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725"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righ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上年结转资金</w:t>
            </w:r>
          </w:p>
        </w:tc>
        <w:tc>
          <w:tcPr>
            <w:tcW w:w="563" w:type="pct"/>
            <w:gridSpan w:val="5"/>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725"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 xml:space="preserve">      其他资金</w:t>
            </w:r>
          </w:p>
        </w:tc>
        <w:tc>
          <w:tcPr>
            <w:tcW w:w="563" w:type="pct"/>
            <w:gridSpan w:val="5"/>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725"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095"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253" w:type="pct"/>
            <w:gridSpan w:val="9"/>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37" w:type="pct"/>
            <w:gridSpan w:val="4"/>
            <w:tcBorders>
              <w:top w:val="nil"/>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2095" w:type="pct"/>
            <w:gridSpan w:val="6"/>
            <w:tcBorders>
              <w:top w:val="nil"/>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通过租赁办公用房，达到保证正常办公效果。通过租赁办公用房，实现高效服务。</w:t>
            </w:r>
          </w:p>
        </w:tc>
        <w:tc>
          <w:tcPr>
            <w:tcW w:w="1253" w:type="pct"/>
            <w:gridSpan w:val="9"/>
            <w:tcBorders>
              <w:top w:val="nil"/>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通过租赁办公用房，达到了保证正常办公效果。通过租赁办公用房，实现了高效服务。</w:t>
            </w: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1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1532"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分值</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restart"/>
            <w:tcBorders>
              <w:top w:val="single" w:color="000000" w:sz="4" w:space="0"/>
              <w:left w:val="nil"/>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产出指标（50）</w:t>
            </w:r>
          </w:p>
        </w:tc>
        <w:tc>
          <w:tcPr>
            <w:tcW w:w="333" w:type="pct"/>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解决办公用房面积及取暖</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等于280平米</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280平米</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3" w:type="pct"/>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每年支付房租次数</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1次/年</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1次</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3" w:type="pct"/>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支付房租及取暖年数</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等于2年</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2年</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3" w:type="pct"/>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租赁合同完成率</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等于100%</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3" w:type="pct"/>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支付取暖完成率</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等于100%</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及时支付比率</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等于100%</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预算范围内</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≤7万元/年</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7万元</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nil"/>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效益指标（30）</w:t>
            </w:r>
          </w:p>
        </w:tc>
        <w:tc>
          <w:tcPr>
            <w:tcW w:w="33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解决办公用房人数</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等于11人</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11人</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30</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restar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满意度指标（10）</w:t>
            </w:r>
          </w:p>
        </w:tc>
        <w:tc>
          <w:tcPr>
            <w:tcW w:w="333" w:type="pct"/>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租户对政府服务满意率</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w:t>
            </w:r>
            <w:r>
              <w:rPr>
                <w:rFonts w:hint="default" w:ascii="Calibri" w:hAnsi="Calibri" w:eastAsia="宋体" w:cs="Calibri"/>
                <w:color w:val="000000"/>
                <w:kern w:val="2"/>
                <w:sz w:val="21"/>
                <w:szCs w:val="21"/>
                <w:u w:val="none"/>
                <w:lang w:val="en-US" w:eastAsia="zh-CN" w:bidi="ar"/>
              </w:rPr>
              <w:t>95%</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3" w:type="pct"/>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12" w:type="pct"/>
            <w:gridSpan w:val="5"/>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满意度大于等于90%的得10分；小于90%且大于等于80%得8分，小于80%且大于等于60%得5分，小于60%不得分。</w:t>
            </w:r>
          </w:p>
        </w:tc>
        <w:tc>
          <w:tcPr>
            <w:tcW w:w="443" w:type="pct"/>
            <w:gridSpan w:val="3"/>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527" w:type="pct"/>
            <w:gridSpan w:val="3"/>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280" w:type="pct"/>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456" w:type="pct"/>
            <w:gridSpan w:val="3"/>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nil"/>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预算执行率（10）</w:t>
            </w:r>
          </w:p>
        </w:tc>
        <w:tc>
          <w:tcPr>
            <w:tcW w:w="333" w:type="pct"/>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512" w:type="pct"/>
            <w:gridSpan w:val="5"/>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项目完成且执行数控制在年度预算规模之内，得10分；项目尚未完成，预算执行率小于90%且大于等于80%得7分，小于80%且大于等于60%得5分，小于60%不得分。</w:t>
            </w:r>
          </w:p>
        </w:tc>
        <w:tc>
          <w:tcPr>
            <w:tcW w:w="443" w:type="pct"/>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27" w:type="pct"/>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280"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6" w:type="pct"/>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629" w:type="pct"/>
            <w:gridSpan w:val="16"/>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总分（共计100分）</w:t>
            </w:r>
          </w:p>
        </w:tc>
        <w:tc>
          <w:tcPr>
            <w:tcW w:w="456" w:type="pct"/>
            <w:gridSpan w:val="3"/>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629" w:type="pct"/>
            <w:gridSpan w:val="16"/>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评价等级（优：90（含）-100分；良：80（含）-90分；中60（含）-80分；差：60分以下）</w:t>
            </w:r>
          </w:p>
        </w:tc>
        <w:tc>
          <w:tcPr>
            <w:tcW w:w="456" w:type="pct"/>
            <w:gridSpan w:val="3"/>
            <w:tcBorders>
              <w:top w:val="nil"/>
              <w:left w:val="nil"/>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13" w:type="pc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color w:val="000000"/>
                <w:kern w:val="2"/>
                <w:sz w:val="16"/>
                <w:szCs w:val="16"/>
                <w:u w:val="none"/>
                <w:lang w:val="en-US" w:eastAsia="zh-CN" w:bidi="ar"/>
              </w:rPr>
              <w:t xml:space="preserve"> </w:t>
            </w:r>
            <w:r>
              <w:rPr>
                <w:rFonts w:hint="eastAsia" w:ascii="宋体" w:hAnsi="宋体" w:eastAsia="宋体"/>
                <w:color w:val="000000"/>
                <w:kern w:val="2"/>
                <w:sz w:val="16"/>
                <w:szCs w:val="16"/>
                <w:u w:val="none"/>
                <w:lang w:val="en-US" w:eastAsia="zh-CN" w:bidi="ar"/>
              </w:rPr>
              <w:t>存在问题、原因及下一步整改措施</w:t>
            </w:r>
          </w:p>
        </w:tc>
        <w:tc>
          <w:tcPr>
            <w:tcW w:w="4086" w:type="pct"/>
            <w:gridSpan w:val="19"/>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5000" w:type="pct"/>
            <w:gridSpan w:val="20"/>
            <w:tcBorders>
              <w:top w:val="nil"/>
              <w:left w:val="nil"/>
              <w:bottom w:val="nil"/>
              <w:right w:val="nil"/>
            </w:tcBorders>
            <w:noWrap/>
            <w:vAlign w:val="center"/>
          </w:tcPr>
          <w:p>
            <w:pPr>
              <w:keepNext w:val="0"/>
              <w:keepLines w:val="0"/>
              <w:widowControl/>
              <w:suppressLineNumbers w:val="0"/>
              <w:spacing w:after="0" w:line="240" w:lineRule="auto"/>
              <w:jc w:val="center"/>
              <w:textAlignment w:val="center"/>
              <w:rPr>
                <w:rFonts w:ascii="黑体" w:hAnsi="宋体" w:eastAsia="黑体" w:cs="黑体"/>
                <w:i w:val="0"/>
                <w:iCs w:val="0"/>
                <w:color w:val="000000"/>
                <w:kern w:val="2"/>
                <w:sz w:val="40"/>
                <w:szCs w:val="40"/>
                <w:u w:val="none"/>
              </w:rPr>
            </w:pPr>
            <w:r>
              <w:rPr>
                <w:rFonts w:hint="eastAsia" w:ascii="黑体" w:hAnsi="宋体" w:eastAsia="黑体" w:cs="黑体"/>
                <w:i w:val="0"/>
                <w:iCs w:val="0"/>
                <w:color w:val="000000"/>
                <w:kern w:val="0"/>
                <w:sz w:val="40"/>
                <w:szCs w:val="40"/>
                <w:u w:val="none"/>
                <w:lang w:val="en-US" w:eastAsia="zh-CN" w:bidi="ar"/>
              </w:rPr>
              <w:t>2023年度县级项目支出绩效自评表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trPr>
        <w:tc>
          <w:tcPr>
            <w:tcW w:w="913" w:type="pct"/>
            <w:tcBorders>
              <w:top w:val="nil"/>
              <w:left w:val="nil"/>
              <w:bottom w:val="nil"/>
              <w:right w:val="nil"/>
            </w:tcBorders>
            <w:noWrap/>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填报单位（盖章）：</w:t>
            </w:r>
          </w:p>
        </w:tc>
        <w:tc>
          <w:tcPr>
            <w:tcW w:w="1532" w:type="pct"/>
            <w:tcBorders>
              <w:top w:val="nil"/>
              <w:left w:val="nil"/>
              <w:bottom w:val="nil"/>
              <w:right w:val="nil"/>
            </w:tcBorders>
            <w:noWrap/>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河北青龙物流产业聚集区管理委员会</w:t>
            </w:r>
          </w:p>
        </w:tc>
        <w:tc>
          <w:tcPr>
            <w:tcW w:w="330" w:type="pct"/>
            <w:gridSpan w:val="2"/>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226" w:type="pct"/>
            <w:gridSpan w:val="2"/>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278" w:type="pct"/>
            <w:gridSpan w:val="3"/>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442" w:type="pct"/>
            <w:gridSpan w:val="3"/>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38" w:type="pct"/>
            <w:gridSpan w:val="4"/>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737" w:type="pct"/>
            <w:gridSpan w:val="4"/>
            <w:tcBorders>
              <w:top w:val="nil"/>
              <w:left w:val="nil"/>
              <w:bottom w:val="nil"/>
              <w:right w:val="nil"/>
            </w:tcBorders>
            <w:noWrap/>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13"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554" w:type="pct"/>
            <w:gridSpan w:val="1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righ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关于下达2022年第六批政府债券资金（冀财债[2022]30号）-河北青龙物流产业聚集区第二片区道路工程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3" w:type="pct"/>
            <w:tcBorders>
              <w:top w:val="single" w:color="000000" w:sz="4" w:space="0"/>
              <w:left w:val="single" w:color="000000" w:sz="4" w:space="0"/>
              <w:bottom w:val="nil"/>
              <w:right w:val="single" w:color="000000" w:sz="4" w:space="0"/>
            </w:tcBorders>
            <w:noWrap w:val="0"/>
            <w:vAlign w:val="center"/>
          </w:tcPr>
          <w:p>
            <w:pPr>
              <w:spacing w:after="0" w:line="240" w:lineRule="auto"/>
              <w:jc w:val="left"/>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主管部门</w:t>
            </w:r>
          </w:p>
        </w:tc>
        <w:tc>
          <w:tcPr>
            <w:tcW w:w="835" w:type="pct"/>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河北青龙物流产业聚集区管理委员会</w:t>
            </w:r>
          </w:p>
        </w:tc>
        <w:tc>
          <w:tcPr>
            <w:tcW w:w="442" w:type="pct"/>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实施单位</w:t>
            </w:r>
          </w:p>
        </w:tc>
        <w:tc>
          <w:tcPr>
            <w:tcW w:w="1275" w:type="pct"/>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河北青龙物流产业聚集区管理委员会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13" w:type="pct"/>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556"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年初预算数</w:t>
            </w:r>
          </w:p>
        </w:tc>
        <w:tc>
          <w:tcPr>
            <w:tcW w:w="721"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全年预算数</w:t>
            </w:r>
          </w:p>
        </w:tc>
        <w:tc>
          <w:tcPr>
            <w:tcW w:w="538"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全年执行数</w:t>
            </w: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年度项目资金总额</w:t>
            </w:r>
          </w:p>
        </w:tc>
        <w:tc>
          <w:tcPr>
            <w:tcW w:w="556"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宋体" w:hAnsi="宋体" w:eastAsia="宋体" w:cs="宋体"/>
                <w:i w:val="0"/>
                <w:iCs w:val="0"/>
                <w:color w:val="000000"/>
                <w:kern w:val="2"/>
                <w:sz w:val="16"/>
                <w:szCs w:val="16"/>
                <w:u w:val="none"/>
                <w:lang w:val="en-US" w:eastAsia="zh-CN"/>
              </w:rPr>
            </w:pPr>
            <w:r>
              <w:rPr>
                <w:rFonts w:hint="eastAsia" w:ascii="宋体" w:hAnsi="宋体" w:eastAsia="宋体" w:cs="宋体"/>
                <w:i w:val="0"/>
                <w:iCs w:val="0"/>
                <w:color w:val="000000"/>
                <w:kern w:val="2"/>
                <w:sz w:val="16"/>
                <w:szCs w:val="16"/>
                <w:u w:val="none"/>
                <w:lang w:val="en-US" w:eastAsia="zh-CN"/>
              </w:rPr>
              <w:t>600</w:t>
            </w:r>
          </w:p>
        </w:tc>
        <w:tc>
          <w:tcPr>
            <w:tcW w:w="721"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宋体" w:hAnsi="宋体" w:eastAsia="宋体" w:cs="宋体"/>
                <w:i w:val="0"/>
                <w:iCs w:val="0"/>
                <w:color w:val="000000"/>
                <w:kern w:val="2"/>
                <w:sz w:val="16"/>
                <w:szCs w:val="16"/>
                <w:u w:val="none"/>
                <w:lang w:val="en-US" w:eastAsia="zh-CN"/>
              </w:rPr>
            </w:pPr>
            <w:r>
              <w:rPr>
                <w:rFonts w:hint="eastAsia" w:ascii="宋体" w:hAnsi="宋体" w:eastAsia="宋体" w:cs="宋体"/>
                <w:i w:val="0"/>
                <w:iCs w:val="0"/>
                <w:color w:val="000000"/>
                <w:kern w:val="2"/>
                <w:sz w:val="16"/>
                <w:szCs w:val="16"/>
                <w:u w:val="none"/>
                <w:lang w:val="en-US" w:eastAsia="zh-CN"/>
              </w:rPr>
              <w:t>600</w:t>
            </w:r>
          </w:p>
        </w:tc>
        <w:tc>
          <w:tcPr>
            <w:tcW w:w="538"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宋体" w:hAnsi="宋体" w:eastAsia="宋体" w:cs="宋体"/>
                <w:i w:val="0"/>
                <w:iCs w:val="0"/>
                <w:color w:val="000000"/>
                <w:kern w:val="2"/>
                <w:sz w:val="16"/>
                <w:szCs w:val="16"/>
                <w:u w:val="none"/>
                <w:lang w:val="en-US" w:eastAsia="zh-CN"/>
              </w:rPr>
            </w:pPr>
            <w:r>
              <w:rPr>
                <w:rFonts w:hint="eastAsia" w:ascii="宋体" w:hAnsi="宋体" w:eastAsia="宋体" w:cs="宋体"/>
                <w:i w:val="0"/>
                <w:iCs w:val="0"/>
                <w:color w:val="000000"/>
                <w:kern w:val="2"/>
                <w:sz w:val="16"/>
                <w:szCs w:val="16"/>
                <w:u w:val="none"/>
                <w:lang w:val="en-US" w:eastAsia="zh-CN"/>
              </w:rPr>
              <w:t>600</w:t>
            </w: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righ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其中：当年财政拨款</w:t>
            </w:r>
          </w:p>
        </w:tc>
        <w:tc>
          <w:tcPr>
            <w:tcW w:w="556"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721"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38"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righ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上年结转资金</w:t>
            </w:r>
          </w:p>
        </w:tc>
        <w:tc>
          <w:tcPr>
            <w:tcW w:w="556"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721"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38"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 xml:space="preserve">      其他资金</w:t>
            </w:r>
          </w:p>
        </w:tc>
        <w:tc>
          <w:tcPr>
            <w:tcW w:w="556"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721"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38"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088"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259" w:type="pct"/>
            <w:gridSpan w:val="10"/>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37" w:type="pct"/>
            <w:gridSpan w:val="4"/>
            <w:tcBorders>
              <w:top w:val="nil"/>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2088" w:type="pct"/>
            <w:gridSpan w:val="5"/>
            <w:tcBorders>
              <w:top w:val="nil"/>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通过提高验收合格率，提升招商环境。通过新建通达道路，到达增加招商企业数量。</w:t>
            </w:r>
          </w:p>
        </w:tc>
        <w:tc>
          <w:tcPr>
            <w:tcW w:w="1259" w:type="pct"/>
            <w:gridSpan w:val="10"/>
            <w:tcBorders>
              <w:top w:val="nil"/>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通过提高验收合格率，提升了招商环境。通过新建通达道路，到达了增加招商企业数量。</w:t>
            </w: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1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1532"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505"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42"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38"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分值</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restart"/>
            <w:tcBorders>
              <w:top w:val="single" w:color="000000" w:sz="4" w:space="0"/>
              <w:left w:val="nil"/>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产出指标（50）</w:t>
            </w:r>
          </w:p>
        </w:tc>
        <w:tc>
          <w:tcPr>
            <w:tcW w:w="330" w:type="pct"/>
            <w:gridSpan w:val="2"/>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505"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新建道路里程</w:t>
            </w:r>
          </w:p>
        </w:tc>
        <w:tc>
          <w:tcPr>
            <w:tcW w:w="442"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&lt;2000米</w:t>
            </w:r>
          </w:p>
        </w:tc>
        <w:tc>
          <w:tcPr>
            <w:tcW w:w="538"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1882.46米</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0" w:type="pct"/>
            <w:gridSpan w:val="2"/>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505"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验收合格率</w:t>
            </w:r>
          </w:p>
        </w:tc>
        <w:tc>
          <w:tcPr>
            <w:tcW w:w="442"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538"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505"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项目按时完成率</w:t>
            </w:r>
          </w:p>
        </w:tc>
        <w:tc>
          <w:tcPr>
            <w:tcW w:w="442"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538"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505"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完成工作需要资金</w:t>
            </w:r>
          </w:p>
        </w:tc>
        <w:tc>
          <w:tcPr>
            <w:tcW w:w="442"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等于200万元</w:t>
            </w:r>
          </w:p>
        </w:tc>
        <w:tc>
          <w:tcPr>
            <w:tcW w:w="538"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200万元</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restart"/>
            <w:tcBorders>
              <w:top w:val="single" w:color="000000" w:sz="4" w:space="0"/>
              <w:left w:val="nil"/>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效益指标（30）</w:t>
            </w:r>
          </w:p>
        </w:tc>
        <w:tc>
          <w:tcPr>
            <w:tcW w:w="330" w:type="pct"/>
            <w:gridSpan w:val="2"/>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505"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解决办公用房人数</w:t>
            </w:r>
          </w:p>
        </w:tc>
        <w:tc>
          <w:tcPr>
            <w:tcW w:w="442"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等于11人</w:t>
            </w:r>
          </w:p>
        </w:tc>
        <w:tc>
          <w:tcPr>
            <w:tcW w:w="538"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11人</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0" w:type="pct"/>
            <w:gridSpan w:val="2"/>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505"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企业和居民满意度</w:t>
            </w:r>
          </w:p>
        </w:tc>
        <w:tc>
          <w:tcPr>
            <w:tcW w:w="442"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w:t>
            </w:r>
            <w:r>
              <w:rPr>
                <w:rFonts w:hint="default" w:ascii="Calibri" w:hAnsi="Calibri" w:eastAsia="宋体" w:cs="Calibri"/>
                <w:i w:val="0"/>
                <w:iCs w:val="0"/>
                <w:color w:val="000000"/>
                <w:kern w:val="0"/>
                <w:sz w:val="21"/>
                <w:szCs w:val="21"/>
                <w:u w:val="none"/>
                <w:lang w:val="en-US" w:eastAsia="zh-CN" w:bidi="ar"/>
              </w:rPr>
              <w:t>95%</w:t>
            </w:r>
          </w:p>
        </w:tc>
        <w:tc>
          <w:tcPr>
            <w:tcW w:w="538"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0" w:type="pct"/>
            <w:gridSpan w:val="2"/>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505"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项目实施对生态环境的影响</w:t>
            </w:r>
          </w:p>
        </w:tc>
        <w:tc>
          <w:tcPr>
            <w:tcW w:w="442"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影响非常小</w:t>
            </w:r>
          </w:p>
        </w:tc>
        <w:tc>
          <w:tcPr>
            <w:tcW w:w="538"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影响非常小</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0" w:type="pct"/>
            <w:gridSpan w:val="2"/>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505"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促进地方经济发展</w:t>
            </w:r>
          </w:p>
        </w:tc>
        <w:tc>
          <w:tcPr>
            <w:tcW w:w="442"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效果明显</w:t>
            </w:r>
          </w:p>
        </w:tc>
        <w:tc>
          <w:tcPr>
            <w:tcW w:w="538"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效果明显</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满意度指标（10）</w:t>
            </w:r>
          </w:p>
        </w:tc>
        <w:tc>
          <w:tcPr>
            <w:tcW w:w="33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505"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相关人员满意度</w:t>
            </w:r>
          </w:p>
        </w:tc>
        <w:tc>
          <w:tcPr>
            <w:tcW w:w="442"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w:t>
            </w:r>
            <w:r>
              <w:rPr>
                <w:rFonts w:hint="default" w:ascii="Calibri" w:hAnsi="Calibri" w:eastAsia="宋体" w:cs="Calibri"/>
                <w:i w:val="0"/>
                <w:iCs w:val="0"/>
                <w:color w:val="000000"/>
                <w:kern w:val="0"/>
                <w:sz w:val="21"/>
                <w:szCs w:val="21"/>
                <w:u w:val="none"/>
                <w:lang w:val="en-US" w:eastAsia="zh-CN" w:bidi="ar"/>
              </w:rPr>
              <w:t>95%</w:t>
            </w:r>
          </w:p>
        </w:tc>
        <w:tc>
          <w:tcPr>
            <w:tcW w:w="538"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8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4"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nil"/>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预算执行率（10）</w:t>
            </w:r>
          </w:p>
        </w:tc>
        <w:tc>
          <w:tcPr>
            <w:tcW w:w="330" w:type="pct"/>
            <w:gridSpan w:val="2"/>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505" w:type="pct"/>
            <w:gridSpan w:val="5"/>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项目完成且执行数控制在年度预算规模之内，得10分；项目尚未完成，预算执行率小于90%且大于等于80%得7分，小于80%且大于等于60%得5分，小于60%不得分。</w:t>
            </w:r>
          </w:p>
        </w:tc>
        <w:tc>
          <w:tcPr>
            <w:tcW w:w="442" w:type="pct"/>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38" w:type="pct"/>
            <w:gridSpan w:val="4"/>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282" w:type="pct"/>
            <w:gridSpan w:val="2"/>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4" w:type="pct"/>
            <w:gridSpan w:val="2"/>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631" w:type="pct"/>
            <w:gridSpan w:val="17"/>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总分（共计100分）</w:t>
            </w:r>
          </w:p>
        </w:tc>
        <w:tc>
          <w:tcPr>
            <w:tcW w:w="454" w:type="pct"/>
            <w:gridSpan w:val="2"/>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631" w:type="pct"/>
            <w:gridSpan w:val="17"/>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评价等级（优：90（含）-100分；良：80（含）-90分；中60（含）-80分；差：60分以下）</w:t>
            </w:r>
          </w:p>
        </w:tc>
        <w:tc>
          <w:tcPr>
            <w:tcW w:w="454" w:type="pct"/>
            <w:gridSpan w:val="2"/>
            <w:tcBorders>
              <w:top w:val="nil"/>
              <w:left w:val="nil"/>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13" w:type="pc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4086" w:type="pct"/>
            <w:gridSpan w:val="19"/>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5000" w:type="pct"/>
            <w:gridSpan w:val="20"/>
            <w:tcBorders>
              <w:top w:val="nil"/>
              <w:left w:val="nil"/>
              <w:bottom w:val="nil"/>
              <w:right w:val="nil"/>
            </w:tcBorders>
            <w:noWrap/>
            <w:vAlign w:val="center"/>
          </w:tcPr>
          <w:p>
            <w:pPr>
              <w:keepNext w:val="0"/>
              <w:keepLines w:val="0"/>
              <w:widowControl/>
              <w:suppressLineNumbers w:val="0"/>
              <w:spacing w:after="0" w:line="240" w:lineRule="auto"/>
              <w:jc w:val="center"/>
              <w:textAlignment w:val="center"/>
              <w:rPr>
                <w:rFonts w:ascii="黑体" w:hAnsi="宋体" w:eastAsia="黑体" w:cs="黑体"/>
                <w:i w:val="0"/>
                <w:iCs w:val="0"/>
                <w:color w:val="000000"/>
                <w:kern w:val="2"/>
                <w:sz w:val="40"/>
                <w:szCs w:val="40"/>
                <w:u w:val="none"/>
              </w:rPr>
            </w:pPr>
            <w:r>
              <w:rPr>
                <w:rFonts w:hint="eastAsia" w:ascii="黑体" w:hAnsi="宋体" w:eastAsia="黑体" w:cs="黑体"/>
                <w:i w:val="0"/>
                <w:iCs w:val="0"/>
                <w:color w:val="000000"/>
                <w:kern w:val="0"/>
                <w:sz w:val="40"/>
                <w:szCs w:val="40"/>
                <w:u w:val="none"/>
                <w:lang w:val="en-US" w:eastAsia="zh-CN" w:bidi="ar"/>
              </w:rPr>
              <w:t>2023年度县级项目支出绩效自评表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trPr>
        <w:tc>
          <w:tcPr>
            <w:tcW w:w="913" w:type="pct"/>
            <w:tcBorders>
              <w:top w:val="nil"/>
              <w:left w:val="nil"/>
              <w:bottom w:val="nil"/>
              <w:right w:val="nil"/>
            </w:tcBorders>
            <w:noWrap/>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填报单位（盖章）：</w:t>
            </w:r>
          </w:p>
        </w:tc>
        <w:tc>
          <w:tcPr>
            <w:tcW w:w="1532" w:type="pct"/>
            <w:tcBorders>
              <w:top w:val="nil"/>
              <w:left w:val="nil"/>
              <w:bottom w:val="nil"/>
              <w:right w:val="nil"/>
            </w:tcBorders>
            <w:noWrap/>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河北青龙物流产业聚集区管理委员会</w:t>
            </w:r>
          </w:p>
        </w:tc>
        <w:tc>
          <w:tcPr>
            <w:tcW w:w="333" w:type="pct"/>
            <w:gridSpan w:val="3"/>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230" w:type="pct"/>
            <w:gridSpan w:val="2"/>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282" w:type="pct"/>
            <w:gridSpan w:val="3"/>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443" w:type="pct"/>
            <w:gridSpan w:val="3"/>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27" w:type="pct"/>
            <w:gridSpan w:val="3"/>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737" w:type="pct"/>
            <w:gridSpan w:val="4"/>
            <w:tcBorders>
              <w:top w:val="nil"/>
              <w:left w:val="nil"/>
              <w:bottom w:val="nil"/>
              <w:right w:val="nil"/>
            </w:tcBorders>
            <w:noWrap/>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13"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554" w:type="pct"/>
            <w:gridSpan w:val="1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right"/>
              <w:textAlignment w:val="center"/>
              <w:rPr>
                <w:rFonts w:hint="eastAsia" w:ascii="宋体" w:hAnsi="宋体" w:eastAsia="宋体" w:cs="宋体"/>
                <w:i w:val="0"/>
                <w:iCs w:val="0"/>
                <w:color w:val="000000"/>
                <w:kern w:val="2"/>
                <w:sz w:val="16"/>
                <w:szCs w:val="16"/>
                <w:u w:val="none"/>
                <w:lang w:eastAsia="zh-CN"/>
              </w:rPr>
            </w:pPr>
            <w:r>
              <w:rPr>
                <w:rFonts w:hint="eastAsia" w:ascii="宋体" w:hAnsi="宋体" w:eastAsia="宋体" w:cs="宋体"/>
                <w:i w:val="0"/>
                <w:iCs w:val="0"/>
                <w:color w:val="000000"/>
                <w:kern w:val="2"/>
                <w:sz w:val="16"/>
                <w:szCs w:val="16"/>
                <w:u w:val="none"/>
                <w:lang w:eastAsia="zh-CN"/>
              </w:rPr>
              <w:t>污水处理厂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3" w:type="pct"/>
            <w:tcBorders>
              <w:top w:val="single" w:color="000000" w:sz="4" w:space="0"/>
              <w:left w:val="single" w:color="000000" w:sz="4" w:space="0"/>
              <w:bottom w:val="nil"/>
              <w:right w:val="single" w:color="000000" w:sz="4" w:space="0"/>
            </w:tcBorders>
            <w:noWrap w:val="0"/>
            <w:vAlign w:val="center"/>
          </w:tcPr>
          <w:p>
            <w:pPr>
              <w:spacing w:after="0" w:line="240" w:lineRule="auto"/>
              <w:jc w:val="left"/>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主管部门</w:t>
            </w:r>
          </w:p>
        </w:tc>
        <w:tc>
          <w:tcPr>
            <w:tcW w:w="845" w:type="pct"/>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河北青龙物流产业聚集区管理委员会</w:t>
            </w:r>
          </w:p>
        </w:tc>
        <w:tc>
          <w:tcPr>
            <w:tcW w:w="443" w:type="pct"/>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实施单位</w:t>
            </w:r>
          </w:p>
        </w:tc>
        <w:tc>
          <w:tcPr>
            <w:tcW w:w="1264" w:type="pct"/>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河北青龙物流产业聚集区管理委员会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13" w:type="pct"/>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563"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年初预算数</w:t>
            </w:r>
          </w:p>
        </w:tc>
        <w:tc>
          <w:tcPr>
            <w:tcW w:w="725"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全年预算数</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全年执行数</w:t>
            </w: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年度项目资金总额</w:t>
            </w:r>
          </w:p>
        </w:tc>
        <w:tc>
          <w:tcPr>
            <w:tcW w:w="563"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宋体" w:hAnsi="宋体" w:eastAsia="宋体" w:cs="宋体"/>
                <w:i w:val="0"/>
                <w:iCs w:val="0"/>
                <w:color w:val="000000"/>
                <w:kern w:val="2"/>
                <w:sz w:val="16"/>
                <w:szCs w:val="16"/>
                <w:u w:val="none"/>
                <w:lang w:val="en-US" w:eastAsia="zh-CN"/>
              </w:rPr>
            </w:pPr>
            <w:r>
              <w:rPr>
                <w:rFonts w:hint="eastAsia" w:ascii="宋体" w:hAnsi="宋体" w:eastAsia="宋体" w:cs="宋体"/>
                <w:i w:val="0"/>
                <w:iCs w:val="0"/>
                <w:color w:val="000000"/>
                <w:kern w:val="2"/>
                <w:sz w:val="16"/>
                <w:szCs w:val="16"/>
                <w:u w:val="none"/>
                <w:lang w:val="en-US" w:eastAsia="zh-CN"/>
              </w:rPr>
              <w:t>30</w:t>
            </w:r>
          </w:p>
        </w:tc>
        <w:tc>
          <w:tcPr>
            <w:tcW w:w="725"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宋体" w:hAnsi="宋体" w:eastAsia="宋体" w:cs="宋体"/>
                <w:i w:val="0"/>
                <w:iCs w:val="0"/>
                <w:color w:val="000000"/>
                <w:kern w:val="2"/>
                <w:sz w:val="16"/>
                <w:szCs w:val="16"/>
                <w:u w:val="none"/>
                <w:lang w:val="en-US" w:eastAsia="zh-CN"/>
              </w:rPr>
            </w:pPr>
            <w:r>
              <w:rPr>
                <w:rFonts w:hint="eastAsia" w:ascii="宋体" w:hAnsi="宋体" w:eastAsia="宋体" w:cs="宋体"/>
                <w:i w:val="0"/>
                <w:iCs w:val="0"/>
                <w:color w:val="000000"/>
                <w:kern w:val="2"/>
                <w:sz w:val="16"/>
                <w:szCs w:val="16"/>
                <w:u w:val="none"/>
                <w:lang w:val="en-US" w:eastAsia="zh-CN"/>
              </w:rPr>
              <w:t>30</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宋体" w:hAnsi="宋体" w:eastAsia="宋体" w:cs="宋体"/>
                <w:i w:val="0"/>
                <w:iCs w:val="0"/>
                <w:color w:val="000000"/>
                <w:kern w:val="2"/>
                <w:sz w:val="16"/>
                <w:szCs w:val="16"/>
                <w:u w:val="none"/>
                <w:lang w:val="en-US" w:eastAsia="zh-CN"/>
              </w:rPr>
            </w:pPr>
            <w:r>
              <w:rPr>
                <w:rFonts w:hint="eastAsia" w:ascii="宋体" w:hAnsi="宋体" w:eastAsia="宋体" w:cs="宋体"/>
                <w:i w:val="0"/>
                <w:iCs w:val="0"/>
                <w:color w:val="000000"/>
                <w:kern w:val="2"/>
                <w:sz w:val="16"/>
                <w:szCs w:val="16"/>
                <w:u w:val="none"/>
                <w:lang w:val="en-US" w:eastAsia="zh-CN"/>
              </w:rPr>
              <w:t>30</w:t>
            </w: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righ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其中：当年财政拨款</w:t>
            </w:r>
          </w:p>
        </w:tc>
        <w:tc>
          <w:tcPr>
            <w:tcW w:w="563" w:type="pct"/>
            <w:gridSpan w:val="5"/>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725"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righ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上年结转资金</w:t>
            </w:r>
          </w:p>
        </w:tc>
        <w:tc>
          <w:tcPr>
            <w:tcW w:w="563" w:type="pct"/>
            <w:gridSpan w:val="5"/>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725"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 xml:space="preserve">      其他资金</w:t>
            </w:r>
          </w:p>
        </w:tc>
        <w:tc>
          <w:tcPr>
            <w:tcW w:w="563" w:type="pct"/>
            <w:gridSpan w:val="5"/>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725"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095"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253" w:type="pct"/>
            <w:gridSpan w:val="9"/>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37" w:type="pct"/>
            <w:gridSpan w:val="4"/>
            <w:tcBorders>
              <w:top w:val="nil"/>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2095" w:type="pct"/>
            <w:gridSpan w:val="6"/>
            <w:tcBorders>
              <w:top w:val="nil"/>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增强招商队伍本领，提高聚集区招商工作能力，到京津唐、长三角、珠三角等经济发达地区开展招商活动。</w:t>
            </w:r>
          </w:p>
        </w:tc>
        <w:tc>
          <w:tcPr>
            <w:tcW w:w="1253" w:type="pct"/>
            <w:gridSpan w:val="9"/>
            <w:tcBorders>
              <w:top w:val="nil"/>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增强了招商队伍本领，提高了聚集区招商工作能力，到京津唐、长三角、珠三角等经济发达地区开展招商活动。</w:t>
            </w: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1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四、年度绩效指标完成情况</w:t>
            </w:r>
          </w:p>
        </w:tc>
        <w:tc>
          <w:tcPr>
            <w:tcW w:w="1532"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一级指标</w:t>
            </w:r>
          </w:p>
        </w:tc>
        <w:tc>
          <w:tcPr>
            <w:tcW w:w="33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二级指标</w:t>
            </w: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三级指标</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预期指标值</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实际完成值</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分值</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1532" w:type="pct"/>
            <w:vMerge w:val="restart"/>
            <w:tcBorders>
              <w:top w:val="single" w:color="000000" w:sz="4" w:space="0"/>
              <w:left w:val="nil"/>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产出指标（50）</w:t>
            </w:r>
          </w:p>
        </w:tc>
        <w:tc>
          <w:tcPr>
            <w:tcW w:w="6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数量指标</w:t>
            </w:r>
          </w:p>
        </w:tc>
        <w:tc>
          <w:tcPr>
            <w:tcW w:w="928"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聚集区企业数量和排放污水企业数量</w:t>
            </w:r>
          </w:p>
        </w:tc>
        <w:tc>
          <w:tcPr>
            <w:tcW w:w="8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反映聚集区企业数量和排放污水企业数量</w:t>
            </w:r>
          </w:p>
        </w:tc>
        <w:tc>
          <w:tcPr>
            <w:tcW w:w="956" w:type="dxa"/>
            <w:gridSpan w:val="3"/>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&gt;=</w:t>
            </w:r>
          </w:p>
        </w:tc>
        <w:tc>
          <w:tcPr>
            <w:tcW w:w="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3.00</w:t>
            </w:r>
          </w:p>
        </w:tc>
        <w:tc>
          <w:tcPr>
            <w:tcW w:w="828"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6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数量指标</w:t>
            </w:r>
          </w:p>
        </w:tc>
        <w:tc>
          <w:tcPr>
            <w:tcW w:w="928"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工业、农业用水水源地水质达标率</w:t>
            </w:r>
          </w:p>
        </w:tc>
        <w:tc>
          <w:tcPr>
            <w:tcW w:w="8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反映工业、农业用水水源地水质达标情况</w:t>
            </w:r>
          </w:p>
        </w:tc>
        <w:tc>
          <w:tcPr>
            <w:tcW w:w="956" w:type="dxa"/>
            <w:gridSpan w:val="3"/>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&gt;=</w:t>
            </w:r>
          </w:p>
        </w:tc>
        <w:tc>
          <w:tcPr>
            <w:tcW w:w="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95.00</w:t>
            </w:r>
          </w:p>
        </w:tc>
        <w:tc>
          <w:tcPr>
            <w:tcW w:w="828"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6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数量指标</w:t>
            </w:r>
          </w:p>
        </w:tc>
        <w:tc>
          <w:tcPr>
            <w:tcW w:w="928"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日处理污水排放量（吨）</w:t>
            </w:r>
          </w:p>
        </w:tc>
        <w:tc>
          <w:tcPr>
            <w:tcW w:w="8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反应日处理污水排放量</w:t>
            </w:r>
          </w:p>
        </w:tc>
        <w:tc>
          <w:tcPr>
            <w:tcW w:w="956" w:type="dxa"/>
            <w:gridSpan w:val="3"/>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&gt;=</w:t>
            </w:r>
          </w:p>
        </w:tc>
        <w:tc>
          <w:tcPr>
            <w:tcW w:w="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≥3000</w:t>
            </w:r>
          </w:p>
        </w:tc>
        <w:tc>
          <w:tcPr>
            <w:tcW w:w="828"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604" w:type="dxa"/>
            <w:gridSpan w:val="3"/>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质量指标</w:t>
            </w:r>
          </w:p>
        </w:tc>
        <w:tc>
          <w:tcPr>
            <w:tcW w:w="928"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污水处理达标率</w:t>
            </w:r>
          </w:p>
        </w:tc>
        <w:tc>
          <w:tcPr>
            <w:tcW w:w="8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反应污水处理达标情况</w:t>
            </w:r>
          </w:p>
        </w:tc>
        <w:tc>
          <w:tcPr>
            <w:tcW w:w="956" w:type="dxa"/>
            <w:gridSpan w:val="3"/>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&gt;=</w:t>
            </w:r>
          </w:p>
        </w:tc>
        <w:tc>
          <w:tcPr>
            <w:tcW w:w="508"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100.00</w:t>
            </w:r>
          </w:p>
        </w:tc>
        <w:tc>
          <w:tcPr>
            <w:tcW w:w="828"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604" w:type="dxa"/>
            <w:gridSpan w:val="3"/>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成本指标</w:t>
            </w:r>
          </w:p>
        </w:tc>
        <w:tc>
          <w:tcPr>
            <w:tcW w:w="928"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预算范围内</w:t>
            </w:r>
          </w:p>
        </w:tc>
        <w:tc>
          <w:tcPr>
            <w:tcW w:w="8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控制预算范围内</w:t>
            </w:r>
          </w:p>
        </w:tc>
        <w:tc>
          <w:tcPr>
            <w:tcW w:w="956" w:type="dxa"/>
            <w:gridSpan w:val="3"/>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&lt;=</w:t>
            </w:r>
          </w:p>
        </w:tc>
        <w:tc>
          <w:tcPr>
            <w:tcW w:w="508"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167.88</w:t>
            </w:r>
          </w:p>
        </w:tc>
        <w:tc>
          <w:tcPr>
            <w:tcW w:w="828"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万元/年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604" w:type="dxa"/>
            <w:gridSpan w:val="3"/>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时效指标</w:t>
            </w:r>
          </w:p>
        </w:tc>
        <w:tc>
          <w:tcPr>
            <w:tcW w:w="928"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及时支付比率</w:t>
            </w:r>
          </w:p>
        </w:tc>
        <w:tc>
          <w:tcPr>
            <w:tcW w:w="8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支付完成率</w:t>
            </w:r>
          </w:p>
        </w:tc>
        <w:tc>
          <w:tcPr>
            <w:tcW w:w="956" w:type="dxa"/>
            <w:gridSpan w:val="3"/>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文字描述</w:t>
            </w:r>
          </w:p>
        </w:tc>
        <w:tc>
          <w:tcPr>
            <w:tcW w:w="508" w:type="dxa"/>
            <w:tcBorders>
              <w:top w:val="single" w:color="000000" w:sz="4" w:space="0"/>
              <w:left w:val="single" w:color="000000" w:sz="4" w:space="0"/>
              <w:bottom w:val="single" w:color="000000" w:sz="4" w:space="0"/>
              <w:right w:val="single" w:color="000000" w:sz="4" w:space="0"/>
            </w:tcBorders>
            <w:noWrap w:val="0"/>
            <w:vAlign w:val="bottom"/>
          </w:tcPr>
          <w:p>
            <w:pPr>
              <w:rPr>
                <w:rFonts w:hint="eastAsia" w:ascii="宋体" w:hAnsi="宋体" w:eastAsia="宋体" w:cs="宋体"/>
                <w:i w:val="0"/>
                <w:iCs w:val="0"/>
                <w:color w:val="000000"/>
                <w:kern w:val="2"/>
                <w:sz w:val="13"/>
                <w:szCs w:val="13"/>
                <w:u w:val="none"/>
              </w:rPr>
            </w:pPr>
          </w:p>
        </w:tc>
        <w:tc>
          <w:tcPr>
            <w:tcW w:w="828"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2022年12月底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1532" w:type="pct"/>
            <w:vMerge w:val="restart"/>
            <w:tcBorders>
              <w:top w:val="single" w:color="000000" w:sz="4" w:space="0"/>
              <w:left w:val="nil"/>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效益指标（30）</w:t>
            </w:r>
          </w:p>
        </w:tc>
        <w:tc>
          <w:tcPr>
            <w:tcW w:w="604" w:type="dxa"/>
            <w:gridSpan w:val="3"/>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经济效益指标</w:t>
            </w:r>
          </w:p>
        </w:tc>
        <w:tc>
          <w:tcPr>
            <w:tcW w:w="928"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促进项目投产</w:t>
            </w:r>
          </w:p>
        </w:tc>
        <w:tc>
          <w:tcPr>
            <w:tcW w:w="8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反映项目投产数量</w:t>
            </w:r>
          </w:p>
        </w:tc>
        <w:tc>
          <w:tcPr>
            <w:tcW w:w="956" w:type="dxa"/>
            <w:gridSpan w:val="3"/>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&gt;=</w:t>
            </w:r>
          </w:p>
        </w:tc>
        <w:tc>
          <w:tcPr>
            <w:tcW w:w="508"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2.00</w:t>
            </w:r>
          </w:p>
        </w:tc>
        <w:tc>
          <w:tcPr>
            <w:tcW w:w="828"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604" w:type="dxa"/>
            <w:gridSpan w:val="3"/>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生态效益指标</w:t>
            </w:r>
          </w:p>
        </w:tc>
        <w:tc>
          <w:tcPr>
            <w:tcW w:w="928"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较少污水处理</w:t>
            </w:r>
          </w:p>
        </w:tc>
        <w:tc>
          <w:tcPr>
            <w:tcW w:w="8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反应减少的污水处理量</w:t>
            </w:r>
          </w:p>
        </w:tc>
        <w:tc>
          <w:tcPr>
            <w:tcW w:w="956" w:type="dxa"/>
            <w:gridSpan w:val="3"/>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&gt;=</w:t>
            </w:r>
          </w:p>
        </w:tc>
        <w:tc>
          <w:tcPr>
            <w:tcW w:w="508"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5000.00</w:t>
            </w:r>
          </w:p>
        </w:tc>
        <w:tc>
          <w:tcPr>
            <w:tcW w:w="828"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1532" w:type="pct"/>
            <w:vMerge w:val="restar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满意度指标（10）</w:t>
            </w:r>
          </w:p>
        </w:tc>
        <w:tc>
          <w:tcPr>
            <w:tcW w:w="604" w:type="dxa"/>
            <w:gridSpan w:val="3"/>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服务对象满意度指标</w:t>
            </w:r>
          </w:p>
        </w:tc>
        <w:tc>
          <w:tcPr>
            <w:tcW w:w="928"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服务对象满意度指标</w:t>
            </w:r>
          </w:p>
        </w:tc>
        <w:tc>
          <w:tcPr>
            <w:tcW w:w="8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企业对政府服务满意率</w:t>
            </w:r>
          </w:p>
        </w:tc>
        <w:tc>
          <w:tcPr>
            <w:tcW w:w="956" w:type="dxa"/>
            <w:gridSpan w:val="3"/>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&gt;=</w:t>
            </w:r>
          </w:p>
        </w:tc>
        <w:tc>
          <w:tcPr>
            <w:tcW w:w="508"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righ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95.00</w:t>
            </w:r>
          </w:p>
        </w:tc>
        <w:tc>
          <w:tcPr>
            <w:tcW w:w="828"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1532" w:type="pct"/>
            <w:vMerge w:val="continue"/>
            <w:tcBorders>
              <w:top w:val="single" w:color="000000" w:sz="4" w:space="0"/>
              <w:left w:val="nil"/>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60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数量指标</w:t>
            </w:r>
          </w:p>
        </w:tc>
        <w:tc>
          <w:tcPr>
            <w:tcW w:w="928" w:type="dxa"/>
            <w:gridSpan w:val="5"/>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聚集区企业数量和排放污水企业数量</w:t>
            </w:r>
          </w:p>
        </w:tc>
        <w:tc>
          <w:tcPr>
            <w:tcW w:w="804" w:type="dxa"/>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反映聚集区企业数量和排放污水企业数量</w:t>
            </w:r>
          </w:p>
        </w:tc>
        <w:tc>
          <w:tcPr>
            <w:tcW w:w="956" w:type="dxa"/>
            <w:gridSpan w:val="3"/>
            <w:tcBorders>
              <w:top w:val="single" w:color="000000" w:sz="4" w:space="0"/>
              <w:left w:val="single" w:color="000000" w:sz="4" w:space="0"/>
              <w:bottom w:val="nil"/>
              <w:right w:val="single" w:color="000000" w:sz="4" w:space="0"/>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&gt;=</w:t>
            </w:r>
          </w:p>
        </w:tc>
        <w:tc>
          <w:tcPr>
            <w:tcW w:w="508"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3.00</w:t>
            </w:r>
          </w:p>
        </w:tc>
        <w:tc>
          <w:tcPr>
            <w:tcW w:w="828" w:type="dxa"/>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1532" w:type="pct"/>
            <w:tcBorders>
              <w:top w:val="single" w:color="000000" w:sz="4" w:space="0"/>
              <w:left w:val="nil"/>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预算执行率（10）</w:t>
            </w:r>
          </w:p>
        </w:tc>
        <w:tc>
          <w:tcPr>
            <w:tcW w:w="604" w:type="dxa"/>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数量指标</w:t>
            </w:r>
          </w:p>
        </w:tc>
        <w:tc>
          <w:tcPr>
            <w:tcW w:w="928" w:type="dxa"/>
            <w:gridSpan w:val="5"/>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工业、农业用水水源地水质达标率</w:t>
            </w:r>
          </w:p>
        </w:tc>
        <w:tc>
          <w:tcPr>
            <w:tcW w:w="804" w:type="dxa"/>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反映工业、农业用水水源地水质达标情况</w:t>
            </w:r>
          </w:p>
        </w:tc>
        <w:tc>
          <w:tcPr>
            <w:tcW w:w="956" w:type="dxa"/>
            <w:gridSpan w:val="3"/>
            <w:tcBorders>
              <w:top w:val="single" w:color="000000" w:sz="4" w:space="0"/>
              <w:left w:val="single" w:color="000000" w:sz="4" w:space="0"/>
              <w:bottom w:val="nil"/>
              <w:right w:val="single" w:color="000000" w:sz="4" w:space="0"/>
            </w:tcBorders>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&gt;=</w:t>
            </w:r>
          </w:p>
        </w:tc>
        <w:tc>
          <w:tcPr>
            <w:tcW w:w="508"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95.00</w:t>
            </w:r>
          </w:p>
        </w:tc>
        <w:tc>
          <w:tcPr>
            <w:tcW w:w="828" w:type="dxa"/>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3629" w:type="pct"/>
            <w:gridSpan w:val="16"/>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总分（共计100分）</w:t>
            </w:r>
          </w:p>
        </w:tc>
        <w:tc>
          <w:tcPr>
            <w:tcW w:w="456" w:type="pct"/>
            <w:gridSpan w:val="3"/>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3"/>
                <w:szCs w:val="13"/>
                <w:u w:val="none"/>
              </w:rPr>
            </w:pPr>
          </w:p>
        </w:tc>
        <w:tc>
          <w:tcPr>
            <w:tcW w:w="3629" w:type="pct"/>
            <w:gridSpan w:val="16"/>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评价等级（优：90（含）-100分；良：80（含）-90分；中60（含）-80分；差：60分以下）</w:t>
            </w:r>
          </w:p>
        </w:tc>
        <w:tc>
          <w:tcPr>
            <w:tcW w:w="456" w:type="pct"/>
            <w:gridSpan w:val="3"/>
            <w:tcBorders>
              <w:top w:val="nil"/>
              <w:left w:val="nil"/>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13" w:type="pc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五、 存在问题、原因及下一步整改措施</w:t>
            </w:r>
          </w:p>
        </w:tc>
        <w:tc>
          <w:tcPr>
            <w:tcW w:w="4086" w:type="pct"/>
            <w:gridSpan w:val="19"/>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3"/>
                <w:szCs w:val="13"/>
                <w:u w:val="none"/>
              </w:rPr>
            </w:pPr>
            <w:r>
              <w:rPr>
                <w:rFonts w:hint="eastAsia" w:ascii="宋体" w:hAnsi="宋体" w:eastAsia="宋体" w:cs="宋体"/>
                <w:i w:val="0"/>
                <w:iCs w:val="0"/>
                <w:color w:val="000000"/>
                <w:kern w:val="0"/>
                <w:sz w:val="13"/>
                <w:szCs w:val="13"/>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5000" w:type="pct"/>
            <w:gridSpan w:val="20"/>
            <w:tcBorders>
              <w:top w:val="nil"/>
              <w:left w:val="nil"/>
              <w:bottom w:val="nil"/>
              <w:right w:val="nil"/>
            </w:tcBorders>
            <w:noWrap/>
            <w:vAlign w:val="center"/>
          </w:tcPr>
          <w:p>
            <w:pPr>
              <w:keepNext w:val="0"/>
              <w:keepLines w:val="0"/>
              <w:widowControl/>
              <w:suppressLineNumbers w:val="0"/>
              <w:spacing w:after="0" w:line="240" w:lineRule="auto"/>
              <w:jc w:val="center"/>
              <w:textAlignment w:val="center"/>
              <w:rPr>
                <w:rFonts w:ascii="黑体" w:hAnsi="宋体" w:eastAsia="黑体" w:cs="黑体"/>
                <w:i w:val="0"/>
                <w:iCs w:val="0"/>
                <w:color w:val="000000"/>
                <w:kern w:val="2"/>
                <w:sz w:val="40"/>
                <w:szCs w:val="40"/>
                <w:u w:val="none"/>
              </w:rPr>
            </w:pPr>
            <w:r>
              <w:rPr>
                <w:rFonts w:hint="eastAsia" w:ascii="黑体" w:hAnsi="宋体" w:eastAsia="黑体" w:cs="黑体"/>
                <w:i w:val="0"/>
                <w:iCs w:val="0"/>
                <w:color w:val="000000"/>
                <w:kern w:val="0"/>
                <w:sz w:val="40"/>
                <w:szCs w:val="40"/>
                <w:u w:val="none"/>
                <w:lang w:val="en-US" w:eastAsia="zh-CN" w:bidi="ar"/>
              </w:rPr>
              <w:t>2022年度县级项目支出绩效自评表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trPr>
        <w:tc>
          <w:tcPr>
            <w:tcW w:w="913" w:type="pct"/>
            <w:tcBorders>
              <w:top w:val="nil"/>
              <w:left w:val="nil"/>
              <w:bottom w:val="nil"/>
              <w:right w:val="nil"/>
            </w:tcBorders>
            <w:noWrap/>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填报单位（盖章）：</w:t>
            </w:r>
          </w:p>
        </w:tc>
        <w:tc>
          <w:tcPr>
            <w:tcW w:w="1532" w:type="pct"/>
            <w:tcBorders>
              <w:top w:val="nil"/>
              <w:left w:val="nil"/>
              <w:bottom w:val="nil"/>
              <w:right w:val="nil"/>
            </w:tcBorders>
            <w:noWrap/>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河北青龙物流产业聚集区管理委员会</w:t>
            </w:r>
          </w:p>
        </w:tc>
        <w:tc>
          <w:tcPr>
            <w:tcW w:w="333" w:type="pct"/>
            <w:gridSpan w:val="3"/>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230" w:type="pct"/>
            <w:gridSpan w:val="2"/>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282" w:type="pct"/>
            <w:gridSpan w:val="3"/>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443" w:type="pct"/>
            <w:gridSpan w:val="3"/>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27" w:type="pct"/>
            <w:gridSpan w:val="3"/>
            <w:tcBorders>
              <w:top w:val="nil"/>
              <w:left w:val="nil"/>
              <w:bottom w:val="nil"/>
              <w:right w:val="nil"/>
            </w:tcBorders>
            <w:noWrap/>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737" w:type="pct"/>
            <w:gridSpan w:val="4"/>
            <w:tcBorders>
              <w:top w:val="nil"/>
              <w:left w:val="nil"/>
              <w:bottom w:val="nil"/>
              <w:right w:val="nil"/>
            </w:tcBorders>
            <w:noWrap/>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13"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一、</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554" w:type="pct"/>
            <w:gridSpan w:val="1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righ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办公用房租赁及取暖费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3" w:type="pct"/>
            <w:tcBorders>
              <w:top w:val="single" w:color="000000" w:sz="4" w:space="0"/>
              <w:left w:val="single" w:color="000000" w:sz="4" w:space="0"/>
              <w:bottom w:val="nil"/>
              <w:right w:val="single" w:color="000000" w:sz="4" w:space="0"/>
            </w:tcBorders>
            <w:noWrap w:val="0"/>
            <w:vAlign w:val="center"/>
          </w:tcPr>
          <w:p>
            <w:pPr>
              <w:spacing w:after="0" w:line="240" w:lineRule="auto"/>
              <w:jc w:val="left"/>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主管部门</w:t>
            </w:r>
          </w:p>
        </w:tc>
        <w:tc>
          <w:tcPr>
            <w:tcW w:w="845" w:type="pct"/>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河北青龙物流产业聚集区管理委员会</w:t>
            </w:r>
          </w:p>
        </w:tc>
        <w:tc>
          <w:tcPr>
            <w:tcW w:w="443" w:type="pct"/>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实施单位</w:t>
            </w:r>
          </w:p>
        </w:tc>
        <w:tc>
          <w:tcPr>
            <w:tcW w:w="1264" w:type="pct"/>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河北青龙物流产业聚集区管理委员会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13" w:type="pct"/>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563"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年初预算数</w:t>
            </w:r>
          </w:p>
        </w:tc>
        <w:tc>
          <w:tcPr>
            <w:tcW w:w="725"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全年预算数</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全年执行数</w:t>
            </w: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年度项目资金总额</w:t>
            </w:r>
          </w:p>
        </w:tc>
        <w:tc>
          <w:tcPr>
            <w:tcW w:w="563"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725"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righ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其中：当年财政拨款</w:t>
            </w:r>
          </w:p>
        </w:tc>
        <w:tc>
          <w:tcPr>
            <w:tcW w:w="563" w:type="pct"/>
            <w:gridSpan w:val="5"/>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725"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righ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上年结转资金</w:t>
            </w:r>
          </w:p>
        </w:tc>
        <w:tc>
          <w:tcPr>
            <w:tcW w:w="563" w:type="pct"/>
            <w:gridSpan w:val="5"/>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725"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 xml:space="preserve">      其他资金</w:t>
            </w:r>
          </w:p>
        </w:tc>
        <w:tc>
          <w:tcPr>
            <w:tcW w:w="563" w:type="pct"/>
            <w:gridSpan w:val="5"/>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725" w:type="pct"/>
            <w:gridSpan w:val="6"/>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095"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253" w:type="pct"/>
            <w:gridSpan w:val="9"/>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37" w:type="pct"/>
            <w:gridSpan w:val="4"/>
            <w:tcBorders>
              <w:top w:val="nil"/>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13" w:type="pct"/>
            <w:vMerge w:val="continue"/>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2095" w:type="pct"/>
            <w:gridSpan w:val="6"/>
            <w:tcBorders>
              <w:top w:val="nil"/>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聚集区原桌椅、电脑、打印机等办公用设备因使用年限较长，无法满足正常办公所需，已移交给肖营子镇政府。按照《河北省省级行政事业单位通用办公设备及家具配置标准》，购买了办公设备。</w:t>
            </w:r>
          </w:p>
        </w:tc>
        <w:tc>
          <w:tcPr>
            <w:tcW w:w="1253" w:type="pct"/>
            <w:gridSpan w:val="9"/>
            <w:tcBorders>
              <w:top w:val="nil"/>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聚集区原桌椅、电脑、打印机等办公用设备因使用年限较长，无法满足正常办公所需，已移交给肖营子镇政府。按照《河北省省级行政事业单位通用办公设备及家具配置标准》，购买了办公设备。</w:t>
            </w:r>
          </w:p>
        </w:tc>
        <w:tc>
          <w:tcPr>
            <w:tcW w:w="737"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1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1532" w:type="pc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分值</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restart"/>
            <w:tcBorders>
              <w:top w:val="single" w:color="000000" w:sz="4" w:space="0"/>
              <w:left w:val="nil"/>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产出指标（50）</w:t>
            </w:r>
          </w:p>
        </w:tc>
        <w:tc>
          <w:tcPr>
            <w:tcW w:w="333" w:type="pct"/>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解决办公用房面积及取暖</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等于280平米</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280平米</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3" w:type="pct"/>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每年支付房租次数</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1次/年</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1次</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3" w:type="pct"/>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支付房租及取暖年数</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等于1年</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1年</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3" w:type="pct"/>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租赁合同完成率</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大于等于95%</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3" w:type="pct"/>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支付取暖完成率</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大于等于95%</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及时支付比率</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大于等于95%</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nil"/>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预算范围内</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≤2万元/年</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2万元</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nil"/>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效益指标（30）</w:t>
            </w:r>
          </w:p>
        </w:tc>
        <w:tc>
          <w:tcPr>
            <w:tcW w:w="33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解决办公用房人数</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等于11人</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11人</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30</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restar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满意度指标（10）</w:t>
            </w:r>
          </w:p>
        </w:tc>
        <w:tc>
          <w:tcPr>
            <w:tcW w:w="333" w:type="pct"/>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512"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租户对政府服务满意率</w:t>
            </w:r>
          </w:p>
        </w:tc>
        <w:tc>
          <w:tcPr>
            <w:tcW w:w="443"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w:t>
            </w:r>
            <w:r>
              <w:rPr>
                <w:rFonts w:hint="default" w:ascii="Calibri" w:hAnsi="Calibri" w:eastAsia="宋体" w:cs="Calibri"/>
                <w:i w:val="0"/>
                <w:iCs w:val="0"/>
                <w:color w:val="000000"/>
                <w:kern w:val="0"/>
                <w:sz w:val="21"/>
                <w:szCs w:val="21"/>
                <w:u w:val="none"/>
                <w:lang w:val="en-US" w:eastAsia="zh-CN" w:bidi="ar"/>
              </w:rPr>
              <w:t>95%</w:t>
            </w:r>
          </w:p>
        </w:tc>
        <w:tc>
          <w:tcPr>
            <w:tcW w:w="5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8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6"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vMerge w:val="continue"/>
            <w:tcBorders>
              <w:top w:val="single" w:color="000000" w:sz="4" w:space="0"/>
              <w:left w:val="nil"/>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33" w:type="pct"/>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512" w:type="pct"/>
            <w:gridSpan w:val="5"/>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满意度大于等于90%的得10分；小于90%且大于等于80%得8分，小于80%且大于等于60%得5分，小于60%不得分。</w:t>
            </w:r>
          </w:p>
        </w:tc>
        <w:tc>
          <w:tcPr>
            <w:tcW w:w="443" w:type="pct"/>
            <w:gridSpan w:val="3"/>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527" w:type="pct"/>
            <w:gridSpan w:val="3"/>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280" w:type="pct"/>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c>
          <w:tcPr>
            <w:tcW w:w="456" w:type="pct"/>
            <w:gridSpan w:val="3"/>
            <w:tcBorders>
              <w:top w:val="single" w:color="000000" w:sz="4" w:space="0"/>
              <w:left w:val="single" w:color="000000" w:sz="4" w:space="0"/>
              <w:bottom w:val="nil"/>
              <w:right w:val="single" w:color="000000" w:sz="4" w:space="0"/>
            </w:tcBorders>
            <w:noWrap w:val="0"/>
            <w:vAlign w:val="center"/>
          </w:tcPr>
          <w:p>
            <w:pPr>
              <w:spacing w:after="0" w:line="240" w:lineRule="auto"/>
              <w:jc w:val="center"/>
              <w:rPr>
                <w:rFonts w:hint="default" w:ascii="Calibri" w:hAnsi="Calibri" w:eastAsia="宋体" w:cs="Calibri"/>
                <w:i w:val="0"/>
                <w:iCs w:val="0"/>
                <w:color w:val="000000"/>
                <w:kern w:val="2"/>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1532" w:type="pct"/>
            <w:tcBorders>
              <w:top w:val="single" w:color="000000" w:sz="4" w:space="0"/>
              <w:left w:val="nil"/>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预算执行率（10）</w:t>
            </w:r>
          </w:p>
        </w:tc>
        <w:tc>
          <w:tcPr>
            <w:tcW w:w="333" w:type="pct"/>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512" w:type="pct"/>
            <w:gridSpan w:val="5"/>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项目完成且执行数控制在年度预算规模之内，得10分；项目尚未完成，预算执行率小于90%且大于等于80%得7分，小于80%且大于等于60%得5分，小于60%不得分。</w:t>
            </w:r>
          </w:p>
        </w:tc>
        <w:tc>
          <w:tcPr>
            <w:tcW w:w="443" w:type="pct"/>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527" w:type="pct"/>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280" w:type="pc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456" w:type="pct"/>
            <w:gridSpan w:val="3"/>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629" w:type="pct"/>
            <w:gridSpan w:val="16"/>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总分（共计100分）</w:t>
            </w:r>
          </w:p>
        </w:tc>
        <w:tc>
          <w:tcPr>
            <w:tcW w:w="456" w:type="pct"/>
            <w:gridSpan w:val="3"/>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default" w:ascii="Calibri" w:hAnsi="Calibri" w:eastAsia="宋体" w:cs="Calibri"/>
                <w:i w:val="0"/>
                <w:iCs w:val="0"/>
                <w:color w:val="000000"/>
                <w:kern w:val="2"/>
                <w:sz w:val="21"/>
                <w:szCs w:val="21"/>
                <w:u w:val="none"/>
              </w:rPr>
            </w:pPr>
            <w:r>
              <w:rPr>
                <w:rFonts w:hint="default" w:ascii="Calibri" w:hAnsi="Calibri" w:eastAsia="宋体" w:cs="Calibri"/>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13" w:type="pct"/>
            <w:vMerge w:val="continue"/>
            <w:tcBorders>
              <w:top w:val="single" w:color="000000" w:sz="4" w:space="0"/>
              <w:left w:val="single" w:color="000000" w:sz="4" w:space="0"/>
              <w:bottom w:val="single" w:color="000000" w:sz="4" w:space="0"/>
              <w:right w:val="single" w:color="000000" w:sz="4" w:space="0"/>
            </w:tcBorders>
            <w:noWrap w:val="0"/>
            <w:vAlign w:val="center"/>
          </w:tcPr>
          <w:p>
            <w:pPr>
              <w:spacing w:after="0" w:line="240" w:lineRule="auto"/>
              <w:jc w:val="center"/>
              <w:rPr>
                <w:rFonts w:hint="eastAsia" w:ascii="宋体" w:hAnsi="宋体" w:eastAsia="宋体" w:cs="宋体"/>
                <w:i w:val="0"/>
                <w:iCs w:val="0"/>
                <w:color w:val="000000"/>
                <w:kern w:val="2"/>
                <w:sz w:val="16"/>
                <w:szCs w:val="16"/>
                <w:u w:val="none"/>
              </w:rPr>
            </w:pPr>
          </w:p>
        </w:tc>
        <w:tc>
          <w:tcPr>
            <w:tcW w:w="3629" w:type="pct"/>
            <w:gridSpan w:val="16"/>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评价等级（优：90（含）-100分；良：80（含）-90分；中60（含）-80分；差：60分以下）</w:t>
            </w:r>
          </w:p>
        </w:tc>
        <w:tc>
          <w:tcPr>
            <w:tcW w:w="456" w:type="pct"/>
            <w:gridSpan w:val="3"/>
            <w:tcBorders>
              <w:top w:val="nil"/>
              <w:left w:val="nil"/>
              <w:bottom w:val="single" w:color="000000" w:sz="4" w:space="0"/>
              <w:right w:val="single" w:color="000000" w:sz="4" w:space="0"/>
            </w:tcBorders>
            <w:noWrap w:val="0"/>
            <w:vAlign w:val="center"/>
          </w:tcPr>
          <w:p>
            <w:pPr>
              <w:spacing w:after="0" w:line="240" w:lineRule="auto"/>
              <w:rPr>
                <w:rFonts w:hint="eastAsia" w:ascii="宋体" w:hAnsi="宋体" w:eastAsia="宋体" w:cs="宋体"/>
                <w:i w:val="0"/>
                <w:iCs w:val="0"/>
                <w:color w:val="000000"/>
                <w:kern w:val="2"/>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13" w:type="pc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五、</w:t>
            </w:r>
            <w:r>
              <w:rPr>
                <w:rFonts w:ascii="Calibri" w:hAnsi="Calibri" w:eastAsia="宋体" w:cs="Calibri"/>
                <w:i w:val="0"/>
                <w:iCs w:val="0"/>
                <w:color w:val="000000"/>
                <w:kern w:val="0"/>
                <w:sz w:val="16"/>
                <w:szCs w:val="16"/>
                <w:u w:val="none"/>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4086" w:type="pct"/>
            <w:gridSpan w:val="19"/>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宋体" w:hAnsi="宋体" w:eastAsia="宋体" w:cs="宋体"/>
                <w:i w:val="0"/>
                <w:iCs w:val="0"/>
                <w:color w:val="000000"/>
                <w:kern w:val="2"/>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bl>
    <w:p>
      <w:pPr>
        <w:snapToGrid w:val="0"/>
        <w:spacing w:after="0" w:line="360" w:lineRule="auto"/>
        <w:ind w:firstLine="200"/>
        <w:rPr>
          <w:rFonts w:hint="eastAsia" w:ascii="仿宋" w:hAnsi="仿宋" w:eastAsia="仿宋" w:cs="Times New Roman"/>
          <w:sz w:val="32"/>
          <w:szCs w:val="32"/>
          <w:highlight w:val="yellow"/>
        </w:rPr>
      </w:pPr>
    </w:p>
    <w:p>
      <w:pPr>
        <w:adjustRightInd w:val="0"/>
        <w:snapToGrid w:val="0"/>
        <w:spacing w:after="0" w:line="360" w:lineRule="auto"/>
        <w:ind w:firstLine="321" w:firstLineChars="100"/>
        <w:rPr>
          <w:rFonts w:hint="eastAsia" w:ascii="仿宋" w:hAnsi="仿宋" w:eastAsia="仿宋" w:cs="Times New Roman"/>
          <w:b/>
          <w:bCs/>
          <w:sz w:val="32"/>
          <w:szCs w:val="32"/>
        </w:rPr>
      </w:pPr>
      <w:r>
        <w:rPr>
          <w:rFonts w:ascii="仿宋" w:hAnsi="仿宋" w:eastAsia="仿宋" w:cs="Times New Roman"/>
          <w:b/>
          <w:bCs/>
          <w:sz w:val="32"/>
          <w:szCs w:val="32"/>
        </w:rPr>
        <w:t>（三）部门评价项目绩效评价结果</w:t>
      </w:r>
    </w:p>
    <w:p>
      <w:pPr>
        <w:adjustRightInd w:val="0"/>
        <w:snapToGrid w:val="0"/>
        <w:spacing w:line="580" w:lineRule="exact"/>
        <w:ind w:firstLine="640" w:firstLineChars="200"/>
        <w:rPr>
          <w:rFonts w:hint="eastAsia" w:ascii="仿宋" w:hAnsi="仿宋" w:eastAsia="仿宋" w:cs="DengXian-Regular"/>
          <w:sz w:val="32"/>
          <w:szCs w:val="32"/>
          <w:lang w:eastAsia="zh-CN"/>
        </w:rPr>
      </w:pPr>
      <w:r>
        <w:rPr>
          <w:rFonts w:hint="eastAsia" w:ascii="仿宋_GB2312" w:hAnsi="仿宋_GB2312" w:eastAsia="仿宋_GB2312" w:cs="仿宋_GB2312"/>
          <w:sz w:val="32"/>
          <w:szCs w:val="32"/>
        </w:rPr>
        <w:t>完成了年初设定的各项绩效目标，未发现问题</w:t>
      </w:r>
      <w:r>
        <w:rPr>
          <w:rFonts w:hint="eastAsia" w:ascii="仿宋_GB2312" w:hAnsi="仿宋_GB2312" w:eastAsia="仿宋_GB2312" w:cs="仿宋_GB2312"/>
          <w:sz w:val="32"/>
          <w:szCs w:val="32"/>
          <w:lang w:eastAsia="zh-CN"/>
        </w:rPr>
        <w:t>。</w:t>
      </w:r>
    </w:p>
    <w:p>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十、其他需要说明的情况</w:t>
      </w:r>
    </w:p>
    <w:p>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1.本部门2023年度国有资本经营预算经费无收支及结转结余情况, 故公开08表以空表列示。</w:t>
      </w:r>
    </w:p>
    <w:p>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2. 由于决算公开表格中金额数值应当保留两位小数，公开数据为四舍五入计算结果，个别数据合计项与分项之和存在小数点后差额，特此说明。</w:t>
      </w:r>
    </w:p>
    <w:p>
      <w:pPr>
        <w:adjustRightInd w:val="0"/>
        <w:snapToGrid w:val="0"/>
        <w:spacing w:after="0" w:line="360" w:lineRule="auto"/>
        <w:ind w:firstLine="640" w:firstLineChars="200"/>
        <w:rPr>
          <w:rFonts w:ascii="Times New Roman" w:hAns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pPr>
        <w:adjustRightInd w:val="0"/>
        <w:snapToGrid w:val="0"/>
        <w:spacing w:line="580" w:lineRule="exact"/>
        <w:ind w:firstLine="640" w:firstLineChars="200"/>
        <w:rPr>
          <w:rFonts w:ascii="Times New Roman" w:hAnsi="Times New Roman" w:eastAsia="仿宋_GB2312" w:cs="Times New Roman"/>
          <w:sz w:val="32"/>
          <w:szCs w:val="32"/>
        </w:rPr>
      </w:pPr>
    </w:p>
    <w:p>
      <w:pPr>
        <w:adjustRightInd w:val="0"/>
        <w:snapToGrid w:val="0"/>
        <w:spacing w:line="580" w:lineRule="exact"/>
        <w:rPr>
          <w:rFonts w:ascii="Times New Roman" w:hAnsi="Times New Roman" w:eastAsia="仿宋_GB2312" w:cs="Times New Roman"/>
          <w:sz w:val="32"/>
          <w:szCs w:val="32"/>
        </w:rPr>
      </w:pPr>
    </w:p>
    <w:p>
      <w:pPr>
        <w:adjustRightInd w:val="0"/>
        <w:snapToGrid w:val="0"/>
        <w:spacing w:line="580" w:lineRule="exact"/>
        <w:ind w:firstLine="640" w:firstLineChars="200"/>
        <w:rPr>
          <w:rFonts w:ascii="Times New Roman" w:hAnsi="Times New Roman" w:eastAsia="仿宋_GB2312" w:cs="Times New Roman"/>
          <w:sz w:val="32"/>
          <w:szCs w:val="32"/>
        </w:rPr>
      </w:pPr>
    </w:p>
    <w:p>
      <w:pPr>
        <w:adjustRightInd w:val="0"/>
        <w:snapToGrid w:val="0"/>
        <w:spacing w:line="580" w:lineRule="exact"/>
        <w:ind w:firstLine="640" w:firstLineChars="200"/>
        <w:rPr>
          <w:rFonts w:ascii="Times New Roman" w:hAnsi="Times New Roman" w:eastAsia="仿宋_GB2312" w:cs="Times New Roman"/>
          <w:sz w:val="32"/>
          <w:szCs w:val="32"/>
        </w:rPr>
      </w:pPr>
    </w:p>
    <w:p>
      <w:pPr>
        <w:adjustRightInd w:val="0"/>
        <w:snapToGrid w:val="0"/>
        <w:spacing w:line="580" w:lineRule="exact"/>
        <w:ind w:firstLine="640" w:firstLineChars="200"/>
        <w:rPr>
          <w:rFonts w:ascii="Times New Roman" w:hAnsi="Times New Roman" w:eastAsia="仿宋_GB2312" w:cs="Times New Roman"/>
          <w:sz w:val="32"/>
          <w:szCs w:val="32"/>
        </w:rPr>
      </w:pPr>
    </w:p>
    <w:p>
      <w:pPr>
        <w:widowControl/>
        <w:spacing w:line="580" w:lineRule="exact"/>
        <w:ind w:firstLine="883" w:firstLineChars="200"/>
        <w:jc w:val="left"/>
        <w:rPr>
          <w:rFonts w:ascii="Times New Roman" w:hAnsi="Times New Roman" w:eastAsia="宋体" w:cs="Times New Roman"/>
          <w:b/>
          <w:bCs/>
          <w:sz w:val="44"/>
          <w:szCs w:val="44"/>
        </w:rPr>
      </w:pPr>
    </w:p>
    <w:p>
      <w:pPr>
        <w:rPr>
          <w:rFonts w:ascii="Times New Roman" w:hAnsi="Times New Roman" w:eastAsia="仿宋_GB2312" w:cs="Times New Roman"/>
          <w:sz w:val="32"/>
          <w:szCs w:val="32"/>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pacing w:after="0" w:line="360" w:lineRule="auto"/>
        <w:jc w:val="center"/>
        <w:rPr>
          <w:rFonts w:hint="eastAsia"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一、</w:t>
      </w:r>
      <w:r>
        <w:rPr>
          <w:rFonts w:ascii="仿宋" w:hAnsi="仿宋" w:eastAsia="仿宋" w:cs="Times New Roman"/>
          <w:b/>
          <w:bCs/>
          <w:color w:val="000000"/>
          <w:sz w:val="32"/>
          <w:szCs w:val="32"/>
        </w:rPr>
        <w:t>财政拨款收入：</w:t>
      </w:r>
      <w:r>
        <w:rPr>
          <w:rFonts w:ascii="仿宋" w:hAnsi="仿宋" w:eastAsia="仿宋" w:cs="Times New Roman"/>
          <w:bCs/>
          <w:color w:val="000000"/>
          <w:sz w:val="32"/>
          <w:szCs w:val="32"/>
        </w:rPr>
        <w:t>指单位从同级财政部门取得的财政预算资金。</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二、</w:t>
      </w:r>
      <w:r>
        <w:rPr>
          <w:rFonts w:ascii="仿宋" w:hAnsi="仿宋" w:eastAsia="仿宋" w:cs="Times New Roman"/>
          <w:b/>
          <w:bCs/>
          <w:color w:val="000000"/>
          <w:sz w:val="32"/>
          <w:szCs w:val="32"/>
        </w:rPr>
        <w:t>事业收入：</w:t>
      </w:r>
      <w:r>
        <w:rPr>
          <w:rFonts w:ascii="仿宋" w:hAnsi="仿宋" w:eastAsia="仿宋" w:cs="Times New Roman"/>
          <w:bCs/>
          <w:color w:val="000000"/>
          <w:sz w:val="32"/>
          <w:szCs w:val="32"/>
        </w:rPr>
        <w:t>指事业单位开展专业业务活动及辅助活动取得的收入。</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三、</w:t>
      </w:r>
      <w:r>
        <w:rPr>
          <w:rFonts w:ascii="仿宋" w:hAnsi="仿宋" w:eastAsia="仿宋" w:cs="Times New Roman"/>
          <w:b/>
          <w:bCs/>
          <w:color w:val="000000"/>
          <w:sz w:val="32"/>
          <w:szCs w:val="32"/>
        </w:rPr>
        <w:t>经营收入：</w:t>
      </w:r>
      <w:r>
        <w:rPr>
          <w:rFonts w:ascii="仿宋" w:hAnsi="仿宋" w:eastAsia="仿宋" w:cs="Times New Roman"/>
          <w:bCs/>
          <w:color w:val="000000"/>
          <w:sz w:val="32"/>
          <w:szCs w:val="32"/>
        </w:rPr>
        <w:t>指事业单位在专业业务活动及其辅助活动之外开展非独立核算经营活动取得的收入。</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四、</w:t>
      </w:r>
      <w:r>
        <w:rPr>
          <w:rFonts w:ascii="仿宋" w:hAnsi="仿宋" w:eastAsia="仿宋" w:cs="Times New Roman"/>
          <w:b/>
          <w:bCs/>
          <w:color w:val="000000"/>
          <w:sz w:val="32"/>
          <w:szCs w:val="32"/>
        </w:rPr>
        <w:t>其他收入：</w:t>
      </w:r>
      <w:r>
        <w:rPr>
          <w:rFonts w:ascii="仿宋" w:hAnsi="仿宋" w:eastAsia="仿宋" w:cs="Times New Roman"/>
          <w:bCs/>
          <w:color w:val="000000"/>
          <w:sz w:val="32"/>
          <w:szCs w:val="32"/>
        </w:rPr>
        <w:t>指单位取得的除上述收入以外的各项收</w:t>
      </w:r>
    </w:p>
    <w:p>
      <w:pPr>
        <w:spacing w:after="0" w:line="360" w:lineRule="auto"/>
        <w:ind w:firstLine="200"/>
        <w:rPr>
          <w:rFonts w:hint="eastAsia" w:ascii="仿宋" w:hAnsi="仿宋" w:eastAsia="仿宋" w:cs="Times New Roman"/>
          <w:b/>
          <w:bCs/>
          <w:color w:val="000000"/>
          <w:sz w:val="32"/>
          <w:szCs w:val="32"/>
        </w:rPr>
      </w:pPr>
      <w:r>
        <w:rPr>
          <w:rFonts w:ascii="仿宋" w:hAnsi="仿宋" w:eastAsia="仿宋" w:cs="Times New Roman"/>
          <w:bCs/>
          <w:color w:val="000000"/>
          <w:sz w:val="32"/>
          <w:szCs w:val="32"/>
        </w:rPr>
        <w:t>入。主要是事业单位固定资产出租收入、存款利息收入等。</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五、</w:t>
      </w:r>
      <w:r>
        <w:rPr>
          <w:rFonts w:ascii="仿宋" w:hAnsi="仿宋" w:eastAsia="仿宋" w:cs="Times New Roman"/>
          <w:b/>
          <w:bCs/>
          <w:color w:val="000000"/>
          <w:sz w:val="32"/>
          <w:szCs w:val="32"/>
        </w:rPr>
        <w:t>使用非财政拨款结余（含专用结余）：</w:t>
      </w:r>
      <w:r>
        <w:rPr>
          <w:rFonts w:ascii="仿宋" w:hAnsi="仿宋" w:eastAsia="仿宋" w:cs="Times New Roman"/>
          <w:bCs/>
          <w:color w:val="000000"/>
          <w:sz w:val="32"/>
          <w:szCs w:val="32"/>
        </w:rPr>
        <w:t>指事业单位按照预算管理要求使用非财政拨款结余弥补收支差额的金额，以及使用专用结余安排支出的金额。</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六、</w:t>
      </w:r>
      <w:r>
        <w:rPr>
          <w:rFonts w:ascii="仿宋" w:hAnsi="仿宋" w:eastAsia="仿宋" w:cs="Times New Roman"/>
          <w:b/>
          <w:bCs/>
          <w:color w:val="000000"/>
          <w:sz w:val="32"/>
          <w:szCs w:val="32"/>
        </w:rPr>
        <w:t>年初结转和结余：</w:t>
      </w:r>
      <w:r>
        <w:rPr>
          <w:rFonts w:ascii="仿宋" w:hAnsi="仿宋" w:eastAsia="仿宋" w:cs="Times New Roman"/>
          <w:bCs/>
          <w:color w:val="000000"/>
          <w:sz w:val="32"/>
          <w:szCs w:val="32"/>
        </w:rPr>
        <w:t>指单位以前年度尚未完成、结转到本年仍按原规定用途继续使用的资金，或项目已完成等产生的结余资金。</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七、</w:t>
      </w:r>
      <w:r>
        <w:rPr>
          <w:rFonts w:ascii="仿宋" w:hAnsi="仿宋" w:eastAsia="仿宋" w:cs="Times New Roman"/>
          <w:b/>
          <w:bCs/>
          <w:color w:val="000000"/>
          <w:sz w:val="32"/>
          <w:szCs w:val="32"/>
        </w:rPr>
        <w:t>结余分配：</w:t>
      </w:r>
      <w:r>
        <w:rPr>
          <w:rFonts w:ascii="仿宋" w:hAnsi="仿宋" w:eastAsia="仿宋" w:cs="Times New Roman"/>
          <w:bCs/>
          <w:color w:val="000000"/>
          <w:sz w:val="32"/>
          <w:szCs w:val="32"/>
        </w:rPr>
        <w:t>指事业单位按照会计制度规定缴纳的所得税、提取的专用结余以及转入非财政拨款结余的金额等。</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八、</w:t>
      </w:r>
      <w:r>
        <w:rPr>
          <w:rFonts w:ascii="仿宋" w:hAnsi="仿宋" w:eastAsia="仿宋" w:cs="Times New Roman"/>
          <w:b/>
          <w:bCs/>
          <w:color w:val="000000"/>
          <w:sz w:val="32"/>
          <w:szCs w:val="32"/>
        </w:rPr>
        <w:t>年末结转和结余：</w:t>
      </w:r>
      <w:r>
        <w:rPr>
          <w:rFonts w:ascii="仿宋" w:hAnsi="仿宋" w:eastAsia="仿宋" w:cs="Times New Roman"/>
          <w:bCs/>
          <w:color w:val="000000"/>
          <w:sz w:val="32"/>
          <w:szCs w:val="32"/>
        </w:rPr>
        <w:t>指单位按有关规定结转到下年或以后年度继续使用的资金，或项目已完成等产生的结余资金。</w:t>
      </w:r>
    </w:p>
    <w:p>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九、</w:t>
      </w:r>
      <w:r>
        <w:rPr>
          <w:rFonts w:ascii="仿宋" w:hAnsi="仿宋" w:eastAsia="仿宋" w:cs="Times New Roman"/>
          <w:b/>
          <w:bCs/>
          <w:color w:val="000000"/>
          <w:sz w:val="32"/>
          <w:szCs w:val="32"/>
        </w:rPr>
        <w:t>基本支出：</w:t>
      </w:r>
      <w:r>
        <w:rPr>
          <w:rFonts w:ascii="仿宋" w:hAnsi="仿宋" w:eastAsia="仿宋" w:cs="Times New Roman"/>
          <w:bCs/>
          <w:color w:val="000000"/>
          <w:sz w:val="32"/>
          <w:szCs w:val="32"/>
        </w:rPr>
        <w:t>指为保障机构正常运转、完成日常工作任务而发生的人员支出和公用支出。</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w:t>
      </w:r>
      <w:r>
        <w:rPr>
          <w:rFonts w:ascii="仿宋" w:hAnsi="仿宋" w:eastAsia="仿宋" w:cs="Times New Roman"/>
          <w:b/>
          <w:bCs/>
          <w:color w:val="000000"/>
          <w:sz w:val="32"/>
          <w:szCs w:val="32"/>
        </w:rPr>
        <w:t>项目支出：</w:t>
      </w:r>
      <w:r>
        <w:rPr>
          <w:rFonts w:ascii="仿宋" w:hAnsi="仿宋" w:eastAsia="仿宋" w:cs="Times New Roman"/>
          <w:color w:val="000000"/>
          <w:sz w:val="32"/>
          <w:szCs w:val="32"/>
        </w:rPr>
        <w:t>指在基本支出之外为完成特定行政任务和事业发展目标所发生的支出。</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十一、</w:t>
      </w:r>
      <w:r>
        <w:rPr>
          <w:rFonts w:ascii="仿宋" w:hAnsi="仿宋" w:eastAsia="仿宋" w:cs="Times New Roman"/>
          <w:b/>
          <w:bCs/>
          <w:color w:val="000000"/>
          <w:sz w:val="32"/>
          <w:szCs w:val="32"/>
        </w:rPr>
        <w:t>经营支出 ：</w:t>
      </w:r>
      <w:r>
        <w:rPr>
          <w:rFonts w:ascii="仿宋" w:hAnsi="仿宋" w:eastAsia="仿宋" w:cs="Times New Roman"/>
          <w:color w:val="000000"/>
          <w:sz w:val="32"/>
          <w:szCs w:val="32"/>
        </w:rPr>
        <w:t>指事业单位在专业业务活动及其辅助活动之外开展非独立核算经营活动发生的支出。</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十二、</w:t>
      </w:r>
      <w:r>
        <w:rPr>
          <w:rFonts w:ascii="仿宋" w:hAnsi="仿宋" w:eastAsia="仿宋" w:cs="Times New Roman"/>
          <w:b/>
          <w:bCs/>
          <w:color w:val="000000"/>
          <w:sz w:val="32"/>
          <w:szCs w:val="32"/>
        </w:rPr>
        <w:t>基本建设支出：</w:t>
      </w:r>
      <w:r>
        <w:rPr>
          <w:rFonts w:ascii="仿宋" w:hAnsi="仿宋" w:eastAsia="仿宋"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after="0" w:line="360" w:lineRule="auto"/>
        <w:ind w:firstLine="643" w:firstLineChars="200"/>
        <w:rPr>
          <w:rFonts w:hint="eastAsia" w:ascii="仿宋" w:hAnsi="仿宋" w:eastAsia="仿宋" w:cs="Times New Roman"/>
          <w:b/>
          <w:bCs/>
          <w:color w:val="000000"/>
          <w:sz w:val="32"/>
          <w:szCs w:val="32"/>
        </w:rPr>
      </w:pPr>
      <w:r>
        <w:rPr>
          <w:rFonts w:hint="eastAsia" w:ascii="仿宋" w:hAnsi="仿宋" w:eastAsia="仿宋" w:cs="Times New Roman"/>
          <w:b/>
          <w:bCs/>
          <w:color w:val="000000"/>
          <w:sz w:val="32"/>
          <w:szCs w:val="32"/>
        </w:rPr>
        <w:t>十三、</w:t>
      </w:r>
      <w:r>
        <w:rPr>
          <w:rFonts w:ascii="仿宋" w:hAnsi="仿宋" w:eastAsia="仿宋" w:cs="Times New Roman"/>
          <w:b/>
          <w:bCs/>
          <w:color w:val="000000"/>
          <w:sz w:val="32"/>
          <w:szCs w:val="32"/>
        </w:rPr>
        <w:t>其他资本性支出：</w:t>
      </w:r>
      <w:r>
        <w:rPr>
          <w:rFonts w:ascii="仿宋" w:hAnsi="仿宋" w:eastAsia="仿宋"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十四、</w:t>
      </w:r>
      <w:r>
        <w:rPr>
          <w:rFonts w:ascii="仿宋" w:hAnsi="仿宋" w:eastAsia="仿宋" w:cs="Times New Roman"/>
          <w:b/>
          <w:bCs/>
          <w:color w:val="000000"/>
          <w:sz w:val="32"/>
          <w:szCs w:val="32"/>
        </w:rPr>
        <w:t>“三公”经费：</w:t>
      </w:r>
      <w:r>
        <w:rPr>
          <w:rFonts w:ascii="仿宋" w:hAnsi="仿宋" w:eastAsia="仿宋"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十五、</w:t>
      </w:r>
      <w:r>
        <w:rPr>
          <w:rFonts w:ascii="仿宋" w:hAnsi="仿宋" w:eastAsia="仿宋" w:cs="Times New Roman"/>
          <w:b/>
          <w:bCs/>
          <w:color w:val="000000"/>
          <w:sz w:val="32"/>
          <w:szCs w:val="32"/>
        </w:rPr>
        <w:t>其他交通费用：</w:t>
      </w:r>
      <w:r>
        <w:rPr>
          <w:rFonts w:ascii="仿宋" w:hAnsi="仿宋" w:eastAsia="仿宋" w:cs="Times New Roman"/>
          <w:color w:val="000000"/>
          <w:sz w:val="32"/>
          <w:szCs w:val="32"/>
        </w:rPr>
        <w:t>填列单位除公务用车运行维护费以外的其他交通费用。如公务交通补贴、租车费用、出租车费用，飞机、船舶等燃料费、维修费、保险费等。</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十六、</w:t>
      </w:r>
      <w:r>
        <w:rPr>
          <w:rFonts w:ascii="仿宋" w:hAnsi="仿宋" w:eastAsia="仿宋" w:cs="Times New Roman"/>
          <w:b/>
          <w:bCs/>
          <w:color w:val="000000"/>
          <w:sz w:val="32"/>
          <w:szCs w:val="32"/>
        </w:rPr>
        <w:t>公务用车购置：</w:t>
      </w:r>
      <w:r>
        <w:rPr>
          <w:rFonts w:ascii="仿宋" w:hAnsi="仿宋" w:eastAsia="仿宋" w:cs="Times New Roman"/>
          <w:color w:val="000000"/>
          <w:sz w:val="32"/>
          <w:szCs w:val="32"/>
        </w:rPr>
        <w:t>填列单位公务用车车辆购置支出（含车辆购置税、牌照费）。</w:t>
      </w:r>
    </w:p>
    <w:p>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十七、</w:t>
      </w:r>
      <w:r>
        <w:rPr>
          <w:rFonts w:ascii="仿宋" w:hAnsi="仿宋" w:eastAsia="仿宋" w:cs="Times New Roman"/>
          <w:b/>
          <w:bCs/>
          <w:color w:val="000000"/>
          <w:sz w:val="32"/>
          <w:szCs w:val="32"/>
        </w:rPr>
        <w:t>其他交通工具购置：</w:t>
      </w:r>
      <w:r>
        <w:rPr>
          <w:rFonts w:ascii="仿宋" w:hAnsi="仿宋" w:eastAsia="仿宋" w:cs="Times New Roman"/>
          <w:color w:val="000000"/>
          <w:sz w:val="32"/>
          <w:szCs w:val="32"/>
        </w:rPr>
        <w:t>填列单位除公务用车外的其他各类交通工具（如船舶、飞机等）购置支出（含车辆购置税、牌照费）。</w:t>
      </w:r>
    </w:p>
    <w:p>
      <w:pPr>
        <w:widowControl/>
        <w:spacing w:after="0" w:line="360" w:lineRule="auto"/>
        <w:ind w:firstLine="643" w:firstLineChars="200"/>
        <w:rPr>
          <w:rFonts w:hint="eastAsia" w:ascii="仿宋" w:hAnsi="仿宋" w:eastAsia="仿宋" w:cs="Times New Roman"/>
          <w:color w:val="000000"/>
          <w:sz w:val="32"/>
          <w:szCs w:val="32"/>
        </w:rPr>
      </w:pPr>
      <w:r>
        <w:rPr>
          <w:rFonts w:ascii="仿宋" w:hAnsi="仿宋" w:eastAsia="仿宋" w:cs="Times New Roman"/>
          <w:b/>
          <w:bCs/>
          <w:color w:val="000000"/>
          <w:sz w:val="32"/>
          <w:szCs w:val="32"/>
        </w:rPr>
        <w:t>十八、机关运行经费：</w:t>
      </w:r>
      <w:r>
        <w:rPr>
          <w:rFonts w:ascii="仿宋" w:hAnsi="仿宋" w:eastAsia="仿宋"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after="0" w:line="360" w:lineRule="auto"/>
        <w:ind w:firstLine="643" w:firstLineChars="200"/>
        <w:jc w:val="left"/>
        <w:rPr>
          <w:rFonts w:hint="eastAsia" w:ascii="仿宋" w:hAnsi="仿宋" w:eastAsia="仿宋" w:cs="Times New Roman"/>
          <w:sz w:val="32"/>
          <w:szCs w:val="32"/>
        </w:rPr>
      </w:pPr>
      <w:r>
        <w:rPr>
          <w:rFonts w:ascii="仿宋" w:hAnsi="仿宋" w:eastAsia="仿宋" w:cs="Times New Roman"/>
          <w:b/>
          <w:bCs/>
          <w:color w:val="000000"/>
          <w:sz w:val="32"/>
          <w:szCs w:val="32"/>
        </w:rPr>
        <w:t>十九、经费形式:</w:t>
      </w:r>
      <w:r>
        <w:rPr>
          <w:rFonts w:ascii="仿宋" w:hAnsi="仿宋" w:eastAsia="仿宋" w:cs="Times New Roman"/>
          <w:color w:val="000000"/>
          <w:sz w:val="32"/>
          <w:szCs w:val="32"/>
        </w:rPr>
        <w:t>按照经费来源，</w:t>
      </w:r>
      <w:r>
        <w:rPr>
          <w:rFonts w:ascii="仿宋" w:hAnsi="仿宋" w:eastAsia="仿宋" w:cs="Times New Roman"/>
          <w:sz w:val="32"/>
          <w:szCs w:val="32"/>
        </w:rPr>
        <w:t>可分为财政拨款、财政性资金基本保证、财政性资金定额或定项补助、财政性资金零补助四类</w:t>
      </w:r>
    </w:p>
    <w:p>
      <w:pPr>
        <w:rPr>
          <w:rFonts w:ascii="Times New Roman" w:hAnsi="Times New Roman" w:cs="Times New Roman"/>
        </w:rPr>
      </w:pPr>
    </w:p>
    <w:p>
      <w:pPr>
        <w:pStyle w:val="11"/>
        <w:widowControl/>
        <w:spacing w:beforeAutospacing="0" w:afterAutospacing="0"/>
        <w:rPr>
          <w:rFonts w:ascii="Times New Roman" w:hAnsi="Times New Roman" w:eastAsia="仿宋_GB2312"/>
          <w:color w:val="333333"/>
          <w:sz w:val="33"/>
          <w:szCs w:val="33"/>
          <w:shd w:val="clear" w:color="auto" w:fill="FFFFFF"/>
        </w:rPr>
      </w:pPr>
    </w:p>
    <w:p>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A780D02-C154-4B34-BFC7-FC832D32FF11}"/>
  </w:font>
  <w:font w:name="黑体">
    <w:panose1 w:val="02010609060101010101"/>
    <w:charset w:val="86"/>
    <w:family w:val="auto"/>
    <w:pitch w:val="default"/>
    <w:sig w:usb0="800002BF" w:usb1="38CF7CFA" w:usb2="00000016" w:usb3="00000000" w:csb0="00040001" w:csb1="00000000"/>
    <w:embedRegular r:id="rId2" w:fontKey="{AD442363-4AFC-474F-B779-EB0B2B7ACA1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83063E5-5172-40AE-81ED-576CDF0571B1}"/>
  </w:font>
  <w:font w:name="仿宋">
    <w:panose1 w:val="02010609060101010101"/>
    <w:charset w:val="86"/>
    <w:family w:val="modern"/>
    <w:pitch w:val="default"/>
    <w:sig w:usb0="800002BF" w:usb1="38CF7CFA" w:usb2="00000016" w:usb3="00000000" w:csb0="00040001" w:csb1="00000000"/>
    <w:embedRegular r:id="rId4" w:fontKey="{DC5B4086-1025-4EAB-9F70-39026B0F413B}"/>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5" w:fontKey="{B3BD65A9-537D-4139-87C8-59A1EB78F612}"/>
  </w:font>
  <w:font w:name="思源黑体 CN Heavy">
    <w:altName w:val="黑体"/>
    <w:panose1 w:val="00000000000000000000"/>
    <w:charset w:val="86"/>
    <w:family w:val="swiss"/>
    <w:pitch w:val="default"/>
    <w:sig w:usb0="00000000" w:usb1="00000000" w:usb2="00000016" w:usb3="00000000" w:csb0="00060107" w:csb1="00000000"/>
    <w:embedRegular r:id="rId6" w:fontKey="{7A648451-900E-4D9A-9CBF-3C46A1DAE080}"/>
  </w:font>
  <w:font w:name="楷体_GB2312">
    <w:panose1 w:val="02010609030101010101"/>
    <w:charset w:val="86"/>
    <w:family w:val="modern"/>
    <w:pitch w:val="default"/>
    <w:sig w:usb0="00000001" w:usb1="080E0000" w:usb2="00000000" w:usb3="00000000" w:csb0="00040000" w:csb1="00000000"/>
    <w:embedRegular r:id="rId7" w:fontKey="{FC8CACBF-AA26-4339-A235-34A8503E2DFD}"/>
  </w:font>
  <w:font w:name="仿宋_GB2312">
    <w:panose1 w:val="02010609030101010101"/>
    <w:charset w:val="86"/>
    <w:family w:val="modern"/>
    <w:pitch w:val="default"/>
    <w:sig w:usb0="00000001" w:usb1="080E0000" w:usb2="00000000" w:usb3="00000000" w:csb0="00040000" w:csb1="00000000"/>
    <w:embedRegular r:id="rId8" w:fontKey="{48C83998-D874-4926-8694-1E19C36292AC}"/>
  </w:font>
  <w:font w:name="Batang">
    <w:panose1 w:val="02030600000101010101"/>
    <w:charset w:val="81"/>
    <w:family w:val="roman"/>
    <w:pitch w:val="default"/>
    <w:sig w:usb0="B00002AF" w:usb1="69D77CFB" w:usb2="00000030" w:usb3="00000000" w:csb0="4008009F" w:csb1="DFD70000"/>
    <w:embedRegular r:id="rId9" w:fontKey="{4083863B-6A4B-4279-99A2-C67434B391CD}"/>
  </w:font>
  <w:font w:name="DengXian-Regular">
    <w:altName w:val="宋体"/>
    <w:panose1 w:val="00000000000000000000"/>
    <w:charset w:val="86"/>
    <w:family w:val="auto"/>
    <w:pitch w:val="default"/>
    <w:sig w:usb0="00000000" w:usb1="00000000" w:usb2="00000010" w:usb3="00000000" w:csb0="00040001" w:csb1="00000000"/>
    <w:embedRegular r:id="rId10" w:fontKey="{DD1656D1-DA87-42BC-BEA4-4A640394BB6C}"/>
  </w:font>
  <w:font w:name="ArialUnicodeMS">
    <w:altName w:val="Malgun Gothic"/>
    <w:panose1 w:val="00000000000000000000"/>
    <w:charset w:val="81"/>
    <w:family w:val="auto"/>
    <w:pitch w:val="default"/>
    <w:sig w:usb0="00000000" w:usb1="00000000" w:usb2="00000010" w:usb3="00000000" w:csb0="00080001" w:csb1="00000000"/>
    <w:embedRegular r:id="rId11" w:fontKey="{E5971F15-E14F-411A-A1BE-0A0801408B72}"/>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4518073"/>
      <w:docPartObj>
        <w:docPartGallery w:val="autotext"/>
      </w:docPartObj>
    </w:sdtPr>
    <w:sdtEndPr>
      <w:rPr>
        <w:rFonts w:ascii="Batang" w:hAnsi="Batang" w:eastAsia="Batang"/>
        <w:sz w:val="28"/>
        <w:szCs w:val="28"/>
      </w:rPr>
    </w:sdtEndPr>
    <w:sdtContent>
      <w:p>
        <w:pPr>
          <w:pStyle w:val="9"/>
          <w:jc w:val="center"/>
          <w:rPr>
            <w:rFonts w:hint="eastAsia" w:ascii="Batang" w:hAnsi="Batang" w:eastAsia="Batang"/>
            <w:sz w:val="28"/>
            <w:szCs w:val="28"/>
          </w:rPr>
        </w:pPr>
        <w:r>
          <w:rPr>
            <w:rFonts w:hint="eastAsia" w:ascii="Batang" w:hAnsi="Batang" w:eastAsia="Batang"/>
            <w:sz w:val="28"/>
            <w:szCs w:val="28"/>
          </w:rPr>
          <w:t xml:space="preserve">— </w:t>
        </w:r>
        <w:r>
          <w:rPr>
            <w:rFonts w:ascii="Batang" w:hAnsi="Batang" w:eastAsia="Batang"/>
            <w:sz w:val="28"/>
            <w:szCs w:val="28"/>
          </w:rPr>
          <w:fldChar w:fldCharType="begin"/>
        </w:r>
        <w:r>
          <w:rPr>
            <w:rFonts w:ascii="Batang" w:hAnsi="Batang" w:eastAsia="Batang"/>
            <w:sz w:val="28"/>
            <w:szCs w:val="28"/>
          </w:rPr>
          <w:instrText xml:space="preserve">PAGE   \* MERGEFORMAT</w:instrText>
        </w:r>
        <w:r>
          <w:rPr>
            <w:rFonts w:ascii="Batang" w:hAnsi="Batang" w:eastAsia="Batang"/>
            <w:sz w:val="28"/>
            <w:szCs w:val="28"/>
          </w:rPr>
          <w:fldChar w:fldCharType="separate"/>
        </w:r>
        <w:r>
          <w:rPr>
            <w:rFonts w:ascii="Batang" w:hAnsi="Batang" w:eastAsia="Batang"/>
            <w:sz w:val="28"/>
            <w:szCs w:val="28"/>
            <w:lang w:val="zh-CN"/>
          </w:rPr>
          <w:t>2</w:t>
        </w:r>
        <w:r>
          <w:rPr>
            <w:rFonts w:ascii="Batang" w:hAnsi="Batang" w:eastAsia="Batang"/>
            <w:sz w:val="28"/>
            <w:szCs w:val="28"/>
          </w:rPr>
          <w:fldChar w:fldCharType="end"/>
        </w:r>
        <w:r>
          <w:rPr>
            <w:rFonts w:hint="eastAsia" w:ascii="Batang" w:hAnsi="Batang" w:eastAsia="Batang"/>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0274373"/>
      <w:docPartObj>
        <w:docPartGallery w:val="autotext"/>
      </w:docPartObj>
    </w:sdtPr>
    <w:sdtContent>
      <w:p>
        <w:pPr>
          <w:pStyle w:val="9"/>
          <w:jc w:val="center"/>
        </w:pPr>
        <w:r>
          <w:rPr>
            <w:rFonts w:hint="eastAsia"/>
          </w:rPr>
          <w:t>12313213132213</w:t>
        </w:r>
        <w:r>
          <w:fldChar w:fldCharType="begin"/>
        </w:r>
        <w:r>
          <w:instrText xml:space="preserve">PAGE   \* MERGEFORMAT</w:instrText>
        </w:r>
        <w:r>
          <w:fldChar w:fldCharType="separate"/>
        </w:r>
        <w:r>
          <w:rPr>
            <w:lang w:val="zh-CN"/>
          </w:rPr>
          <w:t>2</w:t>
        </w:r>
        <w:r>
          <w:fldChar w:fldCharType="end"/>
        </w:r>
      </w:p>
    </w:sdtContent>
  </w:sdt>
  <w:p>
    <w:pPr>
      <w:pStyle w:val="9"/>
      <w:jc w:val="center"/>
      <w:rPr>
        <w:rFonts w:hint="eastAsia" w:asciiTheme="minorEastAsia" w:hAnsiTheme="min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pPr>
        <w:ind w:left="-160"/>
      </w:pPr>
    </w:lvl>
  </w:abstractNum>
  <w:abstractNum w:abstractNumId="1">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4"/>
      <w:lvlText w:val="%1.%2."/>
      <w:lvlJc w:val="left"/>
      <w:pPr>
        <w:ind w:left="567" w:hanging="567"/>
      </w:pPr>
      <w:rPr>
        <w:rFonts w:hint="default"/>
      </w:rPr>
    </w:lvl>
    <w:lvl w:ilvl="2" w:tentative="0">
      <w:start w:val="1"/>
      <w:numFmt w:val="decimal"/>
      <w:pStyle w:val="5"/>
      <w:lvlText w:val="%1.%2.%3."/>
      <w:lvlJc w:val="left"/>
      <w:pPr>
        <w:ind w:left="709" w:hanging="709"/>
      </w:pPr>
      <w:rPr>
        <w:rFonts w:hint="default"/>
      </w:rPr>
    </w:lvl>
    <w:lvl w:ilvl="3" w:tentative="0">
      <w:start w:val="1"/>
      <w:numFmt w:val="decimal"/>
      <w:pStyle w:val="6"/>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gsImhkaWQiOiI5YzJhNTg3ODA1NTc5YTdjYzAyNDE0Y2UzMzVkMmM1MSIsInVzZXJDb3VudCI6M30="/>
    <w:docVar w:name="KSO_WPS_MARK_KEY" w:val="7522daa5-5576-4e39-a191-42fea4e78759"/>
  </w:docVars>
  <w:rsids>
    <w:rsidRoot w:val="00287DAF"/>
    <w:rsid w:val="00037B7D"/>
    <w:rsid w:val="000546A1"/>
    <w:rsid w:val="00061C12"/>
    <w:rsid w:val="00086151"/>
    <w:rsid w:val="00092BE6"/>
    <w:rsid w:val="00096086"/>
    <w:rsid w:val="0009670E"/>
    <w:rsid w:val="000B1680"/>
    <w:rsid w:val="000B20F4"/>
    <w:rsid w:val="000B46E5"/>
    <w:rsid w:val="000E17E7"/>
    <w:rsid w:val="000E3FCF"/>
    <w:rsid w:val="000F21C7"/>
    <w:rsid w:val="000F6501"/>
    <w:rsid w:val="00110B73"/>
    <w:rsid w:val="001258D4"/>
    <w:rsid w:val="00135E74"/>
    <w:rsid w:val="001369CA"/>
    <w:rsid w:val="00157078"/>
    <w:rsid w:val="00166836"/>
    <w:rsid w:val="001C558D"/>
    <w:rsid w:val="001D611E"/>
    <w:rsid w:val="00204372"/>
    <w:rsid w:val="00236F8C"/>
    <w:rsid w:val="0025113C"/>
    <w:rsid w:val="00267AAE"/>
    <w:rsid w:val="0027101F"/>
    <w:rsid w:val="00275718"/>
    <w:rsid w:val="00287DAF"/>
    <w:rsid w:val="002B2F49"/>
    <w:rsid w:val="002F01EE"/>
    <w:rsid w:val="002F24B7"/>
    <w:rsid w:val="00306385"/>
    <w:rsid w:val="0035487A"/>
    <w:rsid w:val="00361F0E"/>
    <w:rsid w:val="00370DC6"/>
    <w:rsid w:val="00376830"/>
    <w:rsid w:val="00377F32"/>
    <w:rsid w:val="0038751F"/>
    <w:rsid w:val="003A12A0"/>
    <w:rsid w:val="003E3566"/>
    <w:rsid w:val="003F4BEC"/>
    <w:rsid w:val="00407EB8"/>
    <w:rsid w:val="00424926"/>
    <w:rsid w:val="00455DD0"/>
    <w:rsid w:val="00461E31"/>
    <w:rsid w:val="00466E2E"/>
    <w:rsid w:val="0047323C"/>
    <w:rsid w:val="0048604A"/>
    <w:rsid w:val="00494B2C"/>
    <w:rsid w:val="004A2A12"/>
    <w:rsid w:val="005243FE"/>
    <w:rsid w:val="0056005C"/>
    <w:rsid w:val="00560623"/>
    <w:rsid w:val="00626BDC"/>
    <w:rsid w:val="0063657C"/>
    <w:rsid w:val="0066027C"/>
    <w:rsid w:val="0067075F"/>
    <w:rsid w:val="006773D2"/>
    <w:rsid w:val="006A6A08"/>
    <w:rsid w:val="006C5E31"/>
    <w:rsid w:val="006F3637"/>
    <w:rsid w:val="007006C2"/>
    <w:rsid w:val="00790C94"/>
    <w:rsid w:val="007B1888"/>
    <w:rsid w:val="007C3288"/>
    <w:rsid w:val="007E149C"/>
    <w:rsid w:val="007E7600"/>
    <w:rsid w:val="00802C44"/>
    <w:rsid w:val="00822154"/>
    <w:rsid w:val="00823381"/>
    <w:rsid w:val="00857E31"/>
    <w:rsid w:val="0087335C"/>
    <w:rsid w:val="008866CD"/>
    <w:rsid w:val="008D5DDB"/>
    <w:rsid w:val="00906187"/>
    <w:rsid w:val="009071A4"/>
    <w:rsid w:val="0091307C"/>
    <w:rsid w:val="00915659"/>
    <w:rsid w:val="00926DCC"/>
    <w:rsid w:val="009325F5"/>
    <w:rsid w:val="0094592D"/>
    <w:rsid w:val="00952863"/>
    <w:rsid w:val="00953488"/>
    <w:rsid w:val="00961352"/>
    <w:rsid w:val="009D7E38"/>
    <w:rsid w:val="00A07CFF"/>
    <w:rsid w:val="00A169CA"/>
    <w:rsid w:val="00A17B27"/>
    <w:rsid w:val="00A50DF3"/>
    <w:rsid w:val="00A62C78"/>
    <w:rsid w:val="00AC6C8A"/>
    <w:rsid w:val="00AF1DD2"/>
    <w:rsid w:val="00AF3C93"/>
    <w:rsid w:val="00B03561"/>
    <w:rsid w:val="00B15D61"/>
    <w:rsid w:val="00B73503"/>
    <w:rsid w:val="00B90C6B"/>
    <w:rsid w:val="00B97EF2"/>
    <w:rsid w:val="00BF067C"/>
    <w:rsid w:val="00C012F0"/>
    <w:rsid w:val="00C1240F"/>
    <w:rsid w:val="00C142C3"/>
    <w:rsid w:val="00C546E9"/>
    <w:rsid w:val="00C65689"/>
    <w:rsid w:val="00C71FEF"/>
    <w:rsid w:val="00CA13DB"/>
    <w:rsid w:val="00CA42FD"/>
    <w:rsid w:val="00CC1334"/>
    <w:rsid w:val="00CC2C8E"/>
    <w:rsid w:val="00D22E56"/>
    <w:rsid w:val="00D56C3E"/>
    <w:rsid w:val="00D777BD"/>
    <w:rsid w:val="00D77ACE"/>
    <w:rsid w:val="00DB6259"/>
    <w:rsid w:val="00DC3B1E"/>
    <w:rsid w:val="00DD64E5"/>
    <w:rsid w:val="00DF45A8"/>
    <w:rsid w:val="00E03F28"/>
    <w:rsid w:val="00E20DD6"/>
    <w:rsid w:val="00E32B11"/>
    <w:rsid w:val="00E86690"/>
    <w:rsid w:val="00EB0434"/>
    <w:rsid w:val="00EC1488"/>
    <w:rsid w:val="00EE6912"/>
    <w:rsid w:val="00F002F9"/>
    <w:rsid w:val="00F03983"/>
    <w:rsid w:val="00F073C6"/>
    <w:rsid w:val="00F30220"/>
    <w:rsid w:val="00F373B5"/>
    <w:rsid w:val="00F41289"/>
    <w:rsid w:val="00F44A21"/>
    <w:rsid w:val="00F44C48"/>
    <w:rsid w:val="00F53FC4"/>
    <w:rsid w:val="00F66634"/>
    <w:rsid w:val="00F67D18"/>
    <w:rsid w:val="00F705B2"/>
    <w:rsid w:val="00FA4CE8"/>
    <w:rsid w:val="00FA6F14"/>
    <w:rsid w:val="00FB4967"/>
    <w:rsid w:val="00FE2157"/>
    <w:rsid w:val="01A03C5A"/>
    <w:rsid w:val="01A5267D"/>
    <w:rsid w:val="01AF6A8D"/>
    <w:rsid w:val="024808A2"/>
    <w:rsid w:val="025C3821"/>
    <w:rsid w:val="02B551F3"/>
    <w:rsid w:val="02DA3B1B"/>
    <w:rsid w:val="02E57B4D"/>
    <w:rsid w:val="037B12D4"/>
    <w:rsid w:val="03804D63"/>
    <w:rsid w:val="03C81F71"/>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0E6E5F"/>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6D03C2"/>
    <w:rsid w:val="0E866524"/>
    <w:rsid w:val="0E9268D3"/>
    <w:rsid w:val="0E957F1F"/>
    <w:rsid w:val="0F0E7284"/>
    <w:rsid w:val="0F28110F"/>
    <w:rsid w:val="0F37083F"/>
    <w:rsid w:val="0F891DB8"/>
    <w:rsid w:val="0FAA3B86"/>
    <w:rsid w:val="10191346"/>
    <w:rsid w:val="102A01A6"/>
    <w:rsid w:val="10754A6C"/>
    <w:rsid w:val="108B537D"/>
    <w:rsid w:val="10B11DB1"/>
    <w:rsid w:val="10D54478"/>
    <w:rsid w:val="11042690"/>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64B3A09"/>
    <w:rsid w:val="17223EFF"/>
    <w:rsid w:val="17AA5F28"/>
    <w:rsid w:val="17B713F6"/>
    <w:rsid w:val="184350A0"/>
    <w:rsid w:val="18935485"/>
    <w:rsid w:val="18A34206"/>
    <w:rsid w:val="18DE3B2C"/>
    <w:rsid w:val="1906685D"/>
    <w:rsid w:val="19111683"/>
    <w:rsid w:val="19353916"/>
    <w:rsid w:val="193E101D"/>
    <w:rsid w:val="1953461C"/>
    <w:rsid w:val="19C10AF1"/>
    <w:rsid w:val="19F2732F"/>
    <w:rsid w:val="1A017CDA"/>
    <w:rsid w:val="1A2672DE"/>
    <w:rsid w:val="1AA81D42"/>
    <w:rsid w:val="1AB433D9"/>
    <w:rsid w:val="1AFB6D70"/>
    <w:rsid w:val="1B1B11EE"/>
    <w:rsid w:val="1B3719E0"/>
    <w:rsid w:val="1B6261C3"/>
    <w:rsid w:val="1B731730"/>
    <w:rsid w:val="1B882BB5"/>
    <w:rsid w:val="1B9B33C7"/>
    <w:rsid w:val="1B9D7FEC"/>
    <w:rsid w:val="1BA55461"/>
    <w:rsid w:val="1BBA0FB0"/>
    <w:rsid w:val="1BE74496"/>
    <w:rsid w:val="1C3D67D1"/>
    <w:rsid w:val="1C40731A"/>
    <w:rsid w:val="1C4809C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5C915D5"/>
    <w:rsid w:val="264D2D17"/>
    <w:rsid w:val="26D50E55"/>
    <w:rsid w:val="271A539C"/>
    <w:rsid w:val="274972D4"/>
    <w:rsid w:val="27AA3D97"/>
    <w:rsid w:val="280A3758"/>
    <w:rsid w:val="289057C5"/>
    <w:rsid w:val="28A67C7A"/>
    <w:rsid w:val="28B50BD7"/>
    <w:rsid w:val="28EA3248"/>
    <w:rsid w:val="28F879DA"/>
    <w:rsid w:val="294B7731"/>
    <w:rsid w:val="29D21FF2"/>
    <w:rsid w:val="2A611B0F"/>
    <w:rsid w:val="2AC1762B"/>
    <w:rsid w:val="2AE845D0"/>
    <w:rsid w:val="2B4975FB"/>
    <w:rsid w:val="2B695031"/>
    <w:rsid w:val="2B735A8F"/>
    <w:rsid w:val="2B9B1FBC"/>
    <w:rsid w:val="2BA7478D"/>
    <w:rsid w:val="2BB038DB"/>
    <w:rsid w:val="2BB761E0"/>
    <w:rsid w:val="2BB812F9"/>
    <w:rsid w:val="2BE35C27"/>
    <w:rsid w:val="2BFA504B"/>
    <w:rsid w:val="2C1D63FA"/>
    <w:rsid w:val="2C23683D"/>
    <w:rsid w:val="2C593D0D"/>
    <w:rsid w:val="2C681F1F"/>
    <w:rsid w:val="2C8608DC"/>
    <w:rsid w:val="2CA4764A"/>
    <w:rsid w:val="2CC42ECA"/>
    <w:rsid w:val="2CDA4349"/>
    <w:rsid w:val="2D225539"/>
    <w:rsid w:val="2D4618D2"/>
    <w:rsid w:val="2D5F021B"/>
    <w:rsid w:val="2D6E1286"/>
    <w:rsid w:val="2D70583E"/>
    <w:rsid w:val="2E0725DC"/>
    <w:rsid w:val="2E1B4BB8"/>
    <w:rsid w:val="2E210B91"/>
    <w:rsid w:val="2E256CB6"/>
    <w:rsid w:val="2E5F27E4"/>
    <w:rsid w:val="2E692720"/>
    <w:rsid w:val="2EBD223E"/>
    <w:rsid w:val="2EC10AD1"/>
    <w:rsid w:val="2EC6666D"/>
    <w:rsid w:val="2ECB6A5A"/>
    <w:rsid w:val="2EFC0112"/>
    <w:rsid w:val="2F2B730D"/>
    <w:rsid w:val="2F9F3DC1"/>
    <w:rsid w:val="2FFC7AC2"/>
    <w:rsid w:val="301430AF"/>
    <w:rsid w:val="30171DC7"/>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845F6C"/>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9F84185"/>
    <w:rsid w:val="3A2510B9"/>
    <w:rsid w:val="3A2B1DFC"/>
    <w:rsid w:val="3AA6422C"/>
    <w:rsid w:val="3AAF46D5"/>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3E4155"/>
    <w:rsid w:val="3E6C0DFA"/>
    <w:rsid w:val="3E740322"/>
    <w:rsid w:val="3E7F4380"/>
    <w:rsid w:val="3E8D171B"/>
    <w:rsid w:val="3EA5630D"/>
    <w:rsid w:val="3EBA731B"/>
    <w:rsid w:val="3EE33949"/>
    <w:rsid w:val="3EFB5800"/>
    <w:rsid w:val="3F213F58"/>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1F84B01"/>
    <w:rsid w:val="42293430"/>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C26F6F"/>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242A11"/>
    <w:rsid w:val="5D4848EE"/>
    <w:rsid w:val="5D9217C2"/>
    <w:rsid w:val="5DAD06BF"/>
    <w:rsid w:val="5DE23CB3"/>
    <w:rsid w:val="5DE97EEC"/>
    <w:rsid w:val="5DFA5EB0"/>
    <w:rsid w:val="5E000E4D"/>
    <w:rsid w:val="5E0B583E"/>
    <w:rsid w:val="5E201A7B"/>
    <w:rsid w:val="5EBD0484"/>
    <w:rsid w:val="5F2C5C7C"/>
    <w:rsid w:val="5F36141C"/>
    <w:rsid w:val="5FC5273F"/>
    <w:rsid w:val="604F6C39"/>
    <w:rsid w:val="60806DF2"/>
    <w:rsid w:val="61072DA5"/>
    <w:rsid w:val="611C0817"/>
    <w:rsid w:val="61224A52"/>
    <w:rsid w:val="61520CCB"/>
    <w:rsid w:val="61724C72"/>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40C4C"/>
    <w:rsid w:val="6A292754"/>
    <w:rsid w:val="6A5E3B28"/>
    <w:rsid w:val="6A6B1EBE"/>
    <w:rsid w:val="6A77261D"/>
    <w:rsid w:val="6A8F43F7"/>
    <w:rsid w:val="6AD625F3"/>
    <w:rsid w:val="6B7218BE"/>
    <w:rsid w:val="6B750BA9"/>
    <w:rsid w:val="6BB93285"/>
    <w:rsid w:val="6C0C698C"/>
    <w:rsid w:val="6C222401"/>
    <w:rsid w:val="6C56267F"/>
    <w:rsid w:val="6C826EF9"/>
    <w:rsid w:val="6CAE4C93"/>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2DC3F1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7E552D2"/>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cs="宋体" w:asciiTheme="minorHAnsi" w:hAnsiTheme="minorHAnsi" w:eastAsiaTheme="minorEastAsia"/>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4">
    <w:name w:val="heading 2"/>
    <w:basedOn w:val="1"/>
    <w:next w:val="1"/>
    <w:link w:val="16"/>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5">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6">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spacing w:before="0" w:after="0"/>
      <w:ind w:firstLine="200" w:firstLineChars="200"/>
      <w:jc w:val="both"/>
    </w:pPr>
    <w:rPr>
      <w:rFonts w:ascii="Calibri" w:hAnsi="Calibri" w:eastAsia="宋体"/>
      <w:kern w:val="2"/>
      <w:sz w:val="21"/>
      <w:lang w:val="en-US" w:eastAsia="zh-CN"/>
    </w:rPr>
  </w:style>
  <w:style w:type="paragraph" w:styleId="7">
    <w:name w:val="annotation text"/>
    <w:basedOn w:val="1"/>
    <w:semiHidden/>
    <w:unhideWhenUsed/>
    <w:qFormat/>
    <w:uiPriority w:val="99"/>
    <w:pPr>
      <w:jc w:val="left"/>
    </w:p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Autospacing="1" w:after="0" w:afterAutospacing="1"/>
      <w:jc w:val="left"/>
    </w:pPr>
    <w:rPr>
      <w:rFonts w:cs="Times New Roman"/>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字符"/>
    <w:link w:val="4"/>
    <w:qFormat/>
    <w:uiPriority w:val="0"/>
    <w:rPr>
      <w:rFonts w:ascii="Calibri Light" w:hAnsi="Calibri Light" w:eastAsia="宋体" w:cs="Times New Roman"/>
      <w:b/>
      <w:bCs/>
      <w:sz w:val="28"/>
      <w:szCs w:val="32"/>
    </w:rPr>
  </w:style>
  <w:style w:type="character" w:customStyle="1" w:styleId="17">
    <w:name w:val="页脚 字符"/>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字符"/>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字符"/>
    <w:basedOn w:val="14"/>
    <w:link w:val="8"/>
    <w:semiHidden/>
    <w:qFormat/>
    <w:uiPriority w:val="99"/>
    <w:rPr>
      <w:rFonts w:asciiTheme="minorHAnsi" w:hAnsiTheme="minorHAnsi" w:eastAsiaTheme="minorEastAsia" w:cstheme="minorBidi"/>
      <w:sz w:val="18"/>
      <w:szCs w:val="18"/>
      <w:lang w:val="en-US" w:eastAsia="zh-CN" w:bidi="ar-SA"/>
    </w:rPr>
  </w:style>
  <w:style w:type="character" w:customStyle="1" w:styleId="26">
    <w:name w:val="NormalCharacter"/>
    <w:semiHidden/>
    <w:qFormat/>
    <w:uiPriority w:val="0"/>
    <w:rPr>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996ACE-787C-412D-91B2-87BD10C3E55F}">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44</Pages>
  <Words>10688</Words>
  <Characters>11861</Characters>
  <Lines>41</Lines>
  <Paragraphs>11</Paragraphs>
  <TotalTime>1</TotalTime>
  <ScaleCrop>false</ScaleCrop>
  <LinksUpToDate>false</LinksUpToDate>
  <CharactersWithSpaces>11982</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2024-10-08T09:07:00Z</dcterms:created>
  <dc:creator>王明新TIAD</dc:creator>
  <cp:lastModifiedBy>自在独行</cp:lastModifiedBy>
  <cp:lastPrinted>2023-08-04T01:00:00Z</cp:lastPrinted>
  <dcterms:modified xsi:type="dcterms:W3CDTF">2024-10-28T08:32:07Z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385BAB943DE646959BA20C464A5D5A76</vt:lpwstr>
  </property>
  <property fmtid="{D5CDD505-2E9C-101B-9397-08002B2CF9AE}" pid="4" name="KSOTemplateUUID">
    <vt:lpwstr>v1.0_mb_S7ajbG3IpAnL1wSthNCxfw==</vt:lpwstr>
  </property>
</Properties>
</file>