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p>
    <w:p>
      <w:pPr>
        <w:widowControl/>
        <w:jc w:val="left"/>
      </w:pPr>
      <w:r>
        <w:drawing>
          <wp:anchor distT="0" distB="0" distL="114300" distR="114300" simplePos="0" relativeHeight="251661312" behindDoc="0" locked="0" layoutInCell="1" allowOverlap="1">
            <wp:simplePos x="0" y="0"/>
            <wp:positionH relativeFrom="column">
              <wp:posOffset>-95250</wp:posOffset>
            </wp:positionH>
            <wp:positionV relativeFrom="margin">
              <wp:posOffset>549275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06095" cy="506095"/>
                    </a:xfrm>
                    <a:prstGeom prst="rect">
                      <a:avLst/>
                    </a:prstGeom>
                  </pic:spPr>
                </pic:pic>
              </a:graphicData>
            </a:graphic>
          </wp:anchor>
        </w:drawing>
      </w:r>
    </w:p>
    <w:p>
      <w:pPr>
        <w:widowControl/>
        <w:jc w:val="left"/>
      </w:pPr>
      <w:r>
        <w:drawing>
          <wp:anchor distT="0" distB="0" distL="114300" distR="114300" simplePos="0" relativeHeight="251663360"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1"/>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2"/>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3"/>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0288"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165"/>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0288;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Dp1IfX3QAAAAwBAAAPAAAAAAAAAAEAIAAAACIAAABkcnMvZG93bnJl&#10;di54bWxQSwECFAAUAAAACACHTuJAz8A1lcADAACBDAAADgAAAAAAAAABACAAAAAsAQAAZHJzL2Uy&#10;b0RvYy54bWxQSwUGAAAAAAYABgBZAQAAXg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59264;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3360;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pPr>
        <w:widowControl/>
        <w:jc w:val="left"/>
      </w:pPr>
      <w:r>
        <w:drawing>
          <wp:anchor distT="0" distB="0" distL="114300" distR="114300" simplePos="0" relativeHeight="251662336" behindDoc="1" locked="0" layoutInCell="1" allowOverlap="1">
            <wp:simplePos x="0" y="0"/>
            <wp:positionH relativeFrom="margin">
              <wp:posOffset>-2893060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left"/>
        <w:rPr>
          <w:rFonts w:hint="eastAsia" w:ascii="楷体_GB2312" w:hAnsi="楷体_GB2312" w:eastAsia="楷体_GB2312" w:cs="楷体_GB2312"/>
          <w:color w:val="000000"/>
          <w:sz w:val="40"/>
          <w:szCs w:val="40"/>
        </w:rPr>
      </w:pPr>
      <w:r>
        <w:rPr>
          <w:rFonts w:ascii="黑体" w:hAnsi="黑体" w:eastAsia="黑体" w:cs="黑体"/>
          <w:color w:val="000000"/>
          <w:sz w:val="40"/>
          <w:szCs w:val="40"/>
        </w:rPr>
        <mc:AlternateContent>
          <mc:Choice Requires="wps">
            <w:drawing>
              <wp:anchor distT="45720" distB="45720" distL="114300" distR="114300" simplePos="0" relativeHeight="251665408" behindDoc="0" locked="0" layoutInCell="1" allowOverlap="1">
                <wp:simplePos x="0" y="0"/>
                <wp:positionH relativeFrom="column">
                  <wp:posOffset>1170940</wp:posOffset>
                </wp:positionH>
                <wp:positionV relativeFrom="paragraph">
                  <wp:posOffset>558165</wp:posOffset>
                </wp:positionV>
                <wp:extent cx="4105275" cy="171450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05275" cy="1714500"/>
                        </a:xfrm>
                        <a:prstGeom prst="rect">
                          <a:avLst/>
                        </a:prstGeom>
                        <a:noFill/>
                        <a:ln w="9525">
                          <a:noFill/>
                          <a:miter lim="800000"/>
                        </a:ln>
                      </wps:spPr>
                      <wps:txbx>
                        <w:txbxContent>
                          <w:p>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青龙满族自治县肖营子镇人民政府</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2.2pt;margin-top:43.95pt;height:135pt;width:323.25pt;z-index:251665408;mso-width-relative:page;mso-height-relative:page;" filled="f" stroked="f" coordsize="21600,21600" o:gfxdata="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Gyum1gAAAAoBAAAPAAAAAAAAAAEAIAAAACIAAABkcnMvZG93bnJldi54bWxQSwECFAAUAAAACACH&#10;TuJAs50sKiYCAAAsBAAADgAAAAAAAAABACAAAAAlAQAAZHJzL2Uyb0RvYy54bWxQSwUGAAAAAAYA&#10;BgBZAQAAvQUAAAAA&#10;">
                <v:fill on="f" focussize="0,0"/>
                <v:stroke on="f" miterlimit="8" joinstyle="miter"/>
                <v:imagedata o:title=""/>
                <o:lock v:ext="edit" aspectratio="f"/>
                <v:textbox>
                  <w:txbxContent>
                    <w:p>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青龙满族自治县肖营子镇人民政府</w:t>
                      </w:r>
                    </w:p>
                  </w:txbxContent>
                </v:textbox>
              </v:shape>
            </w:pict>
          </mc:Fallback>
        </mc:AlternateContent>
      </w: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 w:hAnsi="楷体" w:eastAsia="楷体" w:cs="黑体"/>
          <w:color w:val="000000"/>
          <w:sz w:val="40"/>
          <w:szCs w:val="40"/>
        </w:rPr>
        <w:t>916</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部门名称</w:t>
      </w:r>
      <w:r>
        <w:rPr>
          <w:rFonts w:hint="eastAsia" w:ascii="楷体_GB2312" w:hAnsi="楷体_GB2312" w:eastAsia="楷体_GB2312" w:cs="楷体_GB2312"/>
          <w:color w:val="000000"/>
          <w:sz w:val="40"/>
          <w:szCs w:val="40"/>
        </w:rPr>
        <w:t>：</w:t>
      </w:r>
    </w:p>
    <w:p>
      <w:pPr>
        <w:spacing w:line="600" w:lineRule="auto"/>
        <w:rPr>
          <w:rFonts w:hint="eastAsia" w:ascii="楷体_GB2312" w:hAnsi="楷体_GB2312" w:eastAsia="楷体_GB2312" w:cs="楷体_GB2312"/>
          <w:color w:val="000000"/>
          <w:sz w:val="40"/>
          <w:szCs w:val="40"/>
        </w:rPr>
      </w:pPr>
    </w:p>
    <w:p>
      <w:pPr>
        <w:spacing w:line="600" w:lineRule="auto"/>
        <w:rPr>
          <w:rFonts w:hint="eastAsia" w:ascii="楷体_GB2312" w:hAnsi="楷体_GB2312" w:eastAsia="楷体_GB2312" w:cs="楷体_GB2312"/>
          <w:color w:val="000000"/>
          <w:sz w:val="40"/>
          <w:szCs w:val="40"/>
        </w:rPr>
      </w:pPr>
    </w:p>
    <w:p>
      <w:pPr>
        <w:spacing w:line="600" w:lineRule="auto"/>
        <w:jc w:val="center"/>
        <w:rPr>
          <w:rFonts w:hint="eastAsia" w:ascii="楷体" w:hAnsi="楷体" w:eastAsia="楷体" w:cs="楷体_GB2312"/>
          <w:color w:val="000000"/>
          <w:sz w:val="40"/>
          <w:szCs w:val="40"/>
        </w:rPr>
      </w:pPr>
      <w:r>
        <w:rPr>
          <w:rFonts w:hint="eastAsia" w:ascii="楷体" w:hAnsi="楷体" w:eastAsia="楷体" w:cs="楷体_GB2312"/>
          <w:color w:val="000000"/>
          <w:sz w:val="40"/>
          <w:szCs w:val="40"/>
        </w:rPr>
        <w:t>二〇二四年十月</w:t>
      </w:r>
    </w:p>
    <w:p>
      <w:pPr>
        <w:spacing w:line="600" w:lineRule="auto"/>
        <w:jc w:val="center"/>
        <w:rPr>
          <w:rFonts w:hint="eastAsia" w:ascii="楷体" w:hAnsi="楷体" w:eastAsia="楷体" w:cs="楷体_GB2312"/>
          <w:color w:val="000000"/>
          <w:sz w:val="40"/>
          <w:szCs w:val="40"/>
        </w:rPr>
      </w:pPr>
    </w:p>
    <w:p>
      <w:pPr>
        <w:tabs>
          <w:tab w:val="left" w:pos="2728"/>
        </w:tabs>
        <w:jc w:val="center"/>
        <w:rPr>
          <w:rFonts w:ascii="黑体" w:hAnsi="Times New Roman" w:eastAsia="黑体" w:cs="Times New Roman"/>
          <w:sz w:val="48"/>
          <w:szCs w:val="48"/>
        </w:rPr>
      </w:pPr>
    </w:p>
    <w:p>
      <w:pPr>
        <w:tabs>
          <w:tab w:val="left" w:pos="2728"/>
        </w:tabs>
        <w:spacing w:after="0" w:line="360" w:lineRule="auto"/>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0" w:line="360" w:lineRule="auto"/>
        <w:ind w:firstLine="640" w:firstLineChars="200"/>
        <w:rPr>
          <w:rFonts w:ascii="Times New Roman" w:hAnsi="Times New Roman" w:eastAsia="黑体" w:cs="Times New Roman"/>
          <w:sz w:val="32"/>
          <w:szCs w:val="32"/>
        </w:rPr>
      </w:pPr>
    </w:p>
    <w:p>
      <w:pPr>
        <w:widowControl/>
        <w:spacing w:after="0" w:line="360" w:lineRule="auto"/>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黑体" w:hAnsi="黑体" w:eastAsia="黑体" w:cs="Times New Roman"/>
          <w:sz w:val="32"/>
          <w:szCs w:val="32"/>
        </w:rPr>
        <w:t>部门</w:t>
      </w:r>
      <w:r>
        <w:rPr>
          <w:rFonts w:ascii="Times New Roman" w:hAnsi="Times New Roman" w:eastAsia="黑体" w:cs="Times New Roman"/>
          <w:sz w:val="32"/>
          <w:szCs w:val="32"/>
        </w:rPr>
        <w:t>概况</w:t>
      </w:r>
    </w:p>
    <w:p>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部门职责</w:t>
      </w:r>
    </w:p>
    <w:p>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机构设置</w:t>
      </w:r>
    </w:p>
    <w:p>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度部门决算报表</w:t>
      </w:r>
    </w:p>
    <w:p>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收入支出决算总表</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w:t>
      </w:r>
      <w:r>
        <w:rPr>
          <w:rFonts w:hint="eastAsia" w:ascii="仿宋" w:hAnsi="仿宋" w:eastAsia="仿宋" w:cs="Times New Roman"/>
          <w:sz w:val="32"/>
          <w:szCs w:val="32"/>
        </w:rPr>
        <w:t>表</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w:t>
      </w:r>
      <w:r>
        <w:rPr>
          <w:rFonts w:hint="eastAsia" w:ascii="仿宋" w:hAnsi="仿宋" w:eastAsia="仿宋" w:cs="Times New Roman"/>
          <w:sz w:val="32"/>
          <w:szCs w:val="32"/>
        </w:rPr>
        <w:t>表</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四、</w:t>
      </w:r>
      <w:r>
        <w:rPr>
          <w:rFonts w:hint="eastAsia" w:ascii="仿宋" w:hAnsi="仿宋" w:eastAsia="仿宋" w:cs="Times New Roman"/>
          <w:sz w:val="32"/>
          <w:szCs w:val="32"/>
        </w:rPr>
        <w:t>财政拨款收入支出决算总表</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五、一般公共预算财政拨款支出决算表</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六、一般公共预算财政拨款基本支出决算明细表</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七、政府性基金预算财政拨款收入支出决算表</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w:t>
      </w:r>
      <w:r>
        <w:rPr>
          <w:rFonts w:ascii="仿宋" w:hAnsi="仿宋" w:eastAsia="仿宋" w:cs="Times New Roman"/>
          <w:sz w:val="32"/>
          <w:szCs w:val="32"/>
        </w:rPr>
        <w:t>、</w:t>
      </w:r>
      <w:r>
        <w:rPr>
          <w:rFonts w:hint="eastAsia" w:ascii="仿宋" w:hAnsi="仿宋" w:eastAsia="仿宋" w:cs="Times New Roman"/>
          <w:sz w:val="32"/>
          <w:szCs w:val="32"/>
        </w:rPr>
        <w:t>国有资本经营预算财政拨款支出决算表</w:t>
      </w:r>
    </w:p>
    <w:p>
      <w:pPr>
        <w:widowControl/>
        <w:spacing w:after="0" w:line="360" w:lineRule="auto"/>
        <w:ind w:left="640" w:firstLine="640" w:firstLineChars="200"/>
        <w:rPr>
          <w:rFonts w:ascii="Times New Roman" w:hAnsi="Times New Roman" w:eastAsia="仿宋_GB2312" w:cs="Times New Roman"/>
          <w:sz w:val="20"/>
          <w:szCs w:val="32"/>
        </w:rPr>
      </w:pPr>
      <w:r>
        <w:rPr>
          <w:rFonts w:hint="eastAsia" w:ascii="仿宋" w:hAnsi="仿宋" w:eastAsia="仿宋" w:cs="Times New Roman"/>
          <w:sz w:val="32"/>
          <w:szCs w:val="32"/>
        </w:rPr>
        <w:t>九、财政拨款“三公”经费支出决算表</w:t>
      </w:r>
    </w:p>
    <w:p>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年度</w:t>
      </w:r>
      <w:r>
        <w:rPr>
          <w:rFonts w:ascii="Times New Roman" w:hAnsi="Times New Roman" w:eastAsia="黑体" w:cs="Times New Roman"/>
          <w:sz w:val="32"/>
          <w:szCs w:val="32"/>
        </w:rPr>
        <w:t>部门决算情况说明</w:t>
      </w:r>
    </w:p>
    <w:p>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收入支出决算总体情况说明</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二、收入决算情况说明</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四、财政拨款收入支出决算总体情况说明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五、财政拨款“三公” 经费支出决算情况说明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六、机关运行经费支出说明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七、政府采购支出说明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八、国有资产占用情况说明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九、预算绩效情况说明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十、其他需要说明的情况</w:t>
      </w:r>
    </w:p>
    <w:p>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ascii="Times New Roman" w:hAnsi="Times New Roman" w:eastAsia="黑体" w:cs="Times New Roman"/>
          <w:sz w:val="32"/>
          <w:szCs w:val="32"/>
        </w:rPr>
      </w:pPr>
    </w:p>
    <w:p>
      <w:pPr>
        <w:rPr>
          <w:rFonts w:ascii="Times New Roman" w:hAnsi="Times New Roman" w:eastAsia="黑体" w:cs="Times New Roman"/>
          <w:sz w:val="32"/>
          <w:szCs w:val="32"/>
        </w:rPr>
      </w:pPr>
    </w:p>
    <w:p>
      <w:pPr>
        <w:rPr>
          <w:rFonts w:ascii="Times New Roman" w:hAnsi="Times New Roman" w:eastAsia="黑体" w:cs="Times New Roman"/>
          <w:sz w:val="32"/>
          <w:szCs w:val="32"/>
        </w:rPr>
      </w:pPr>
    </w:p>
    <w:p>
      <w:pPr>
        <w:rPr>
          <w:rFonts w:ascii="Times New Roman" w:hAnsi="Times New Roman" w:eastAsia="黑体" w:cs="Times New Roman"/>
          <w:sz w:val="32"/>
          <w:szCs w:val="32"/>
        </w:rPr>
      </w:pPr>
    </w:p>
    <w:p>
      <w:pP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tabs>
          <w:tab w:val="center" w:pos="4422"/>
        </w:tabs>
        <w:rPr>
          <w:rFonts w:ascii="Times New Roman" w:hAnsi="Times New Roman" w:eastAsia="黑体" w:cs="Times New Roman"/>
          <w:sz w:val="32"/>
          <w:szCs w:val="32"/>
        </w:rPr>
        <w:sectPr>
          <w:footerReference r:id="rId6" w:type="first"/>
          <w:footerReference r:id="rId5" w:type="default"/>
          <w:pgSz w:w="11906" w:h="16838"/>
          <w:pgMar w:top="1474" w:right="1531" w:bottom="1474" w:left="1531" w:header="851" w:footer="510" w:gutter="0"/>
          <w:cols w:space="0" w:num="1"/>
          <w:titlePg/>
          <w:docGrid w:type="lines" w:linePitch="326" w:charSpace="0"/>
        </w:sectPr>
      </w:pPr>
      <w:r>
        <w:rPr>
          <w:rFonts w:ascii="Times New Roman" w:hAnsi="Times New Roman" w:eastAsia="黑体" w:cs="Times New Roman"/>
          <w:sz w:val="32"/>
          <w:szCs w:val="32"/>
        </w:rPr>
        <w:tab/>
      </w:r>
    </w:p>
    <w:p>
      <w:pPr>
        <w:spacing w:line="360" w:lineRule="auto"/>
        <w:rPr>
          <w:rFonts w:ascii="Arial" w:hAnsi="Arial" w:eastAsia="Arial" w:cs="Arial"/>
          <w:color w:val="000000"/>
          <w:sz w:val="18"/>
          <w:szCs w:val="18"/>
          <w:shd w:val="clear" w:color="auto" w:fill="FFFFFF"/>
        </w:rPr>
      </w:pPr>
    </w:p>
    <w:p>
      <w:pPr>
        <w:pStyle w:val="10"/>
        <w:widowControl/>
        <w:shd w:val="clear" w:color="auto" w:fill="FFFFFF"/>
        <w:spacing w:beforeAutospacing="0" w:afterAutospacing="0" w:line="360" w:lineRule="auto"/>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line="360" w:lineRule="auto"/>
        <w:rPr>
          <w:rFonts w:ascii="Arial" w:hAnsi="Arial" w:eastAsia="Arial" w:cs="Arial"/>
          <w:color w:val="000000"/>
          <w:sz w:val="18"/>
          <w:szCs w:val="18"/>
          <w:shd w:val="clear" w:color="auto" w:fill="FFFFFF"/>
        </w:rPr>
      </w:pPr>
    </w:p>
    <w:p>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0"/>
        <w:widowControl/>
        <w:shd w:val="clear" w:color="auto" w:fill="FFFFFF"/>
        <w:spacing w:beforeAutospacing="0" w:afterAutospacing="0" w:line="360" w:lineRule="auto"/>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部门概况</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pPr>
        <w:numPr>
          <w:ilvl w:val="0"/>
          <w:numId w:val="2"/>
        </w:numPr>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rPr>
        <w:t>部门</w:t>
      </w:r>
      <w:r>
        <w:rPr>
          <w:rFonts w:hint="eastAsia" w:ascii="黑体" w:hAnsi="黑体" w:eastAsia="黑体"/>
          <w:sz w:val="32"/>
          <w:szCs w:val="32"/>
          <w:shd w:val="clear" w:color="auto" w:fill="FFFFFF"/>
        </w:rPr>
        <w:t>职责</w:t>
      </w:r>
    </w:p>
    <w:p>
      <w:pPr>
        <w:numPr>
          <w:ilvl w:val="0"/>
          <w:numId w:val="0"/>
        </w:numPr>
        <w:spacing w:after="0" w:line="360" w:lineRule="auto"/>
        <w:ind w:firstLine="640" w:firstLineChars="200"/>
        <w:rPr>
          <w:rFonts w:hint="eastAsia" w:ascii="仿宋_GB2312" w:eastAsia="仿宋" w:cs="ArialUnicodeMS"/>
          <w:kern w:val="0"/>
          <w:sz w:val="32"/>
          <w:szCs w:val="32"/>
          <w:highlight w:val="none"/>
        </w:rPr>
      </w:pPr>
      <w:r>
        <w:rPr>
          <w:rFonts w:hint="eastAsia" w:ascii="仿宋_GB2312" w:eastAsia="仿宋" w:cs="ArialUnicodeMS"/>
          <w:kern w:val="0"/>
          <w:sz w:val="32"/>
          <w:szCs w:val="32"/>
          <w:highlight w:val="none"/>
        </w:rPr>
        <w:t>宣传、贯彻执行党的路线、方针、政策和国家的法律法规，执行本级人民代表大会决议和上级国家行政机关的决定和命令，其主要职责是：</w:t>
      </w:r>
    </w:p>
    <w:p>
      <w:pPr>
        <w:numPr>
          <w:ilvl w:val="0"/>
          <w:numId w:val="3"/>
        </w:numPr>
        <w:spacing w:after="0" w:line="360" w:lineRule="auto"/>
        <w:ind w:firstLine="640" w:firstLineChars="200"/>
        <w:rPr>
          <w:rFonts w:hint="eastAsia" w:ascii="仿宋_GB2312" w:eastAsia="仿宋" w:cs="ArialUnicodeMS"/>
          <w:kern w:val="0"/>
          <w:sz w:val="32"/>
          <w:szCs w:val="32"/>
          <w:highlight w:val="none"/>
        </w:rPr>
      </w:pPr>
      <w:r>
        <w:rPr>
          <w:rFonts w:hint="eastAsia" w:ascii="仿宋_GB2312" w:eastAsia="仿宋" w:cs="ArialUnicodeMS"/>
          <w:kern w:val="0"/>
          <w:sz w:val="32"/>
          <w:szCs w:val="32"/>
          <w:highlight w:val="none"/>
        </w:rPr>
        <w:t>促进经济发展。围绕“工业强县、钢铁立县、开放活县、和谐兴县”的发展战略，科学制定本镇产业发展规划，谋划适应镇实际的经济发展模式；推进农业产业结构调整，努力提高农业产业化和农民进入市场的组织化水平，促进粮食生产稳定发展，农民持续增收；营造良好的发展环境，促进招商引资和项目建设；增强农村集体经济实力，大力发展民营经济，培育和发展农民专业合作组织和中介组织，壮大第二、第三产业，加快城镇化进程。</w:t>
      </w:r>
    </w:p>
    <w:p>
      <w:pPr>
        <w:numPr>
          <w:ilvl w:val="0"/>
          <w:numId w:val="0"/>
        </w:numPr>
        <w:spacing w:after="0" w:line="360" w:lineRule="auto"/>
        <w:ind w:firstLine="640" w:firstLineChars="200"/>
        <w:rPr>
          <w:rFonts w:hint="eastAsia" w:ascii="仿宋_GB2312" w:eastAsia="仿宋" w:cs="ArialUnicodeMS"/>
          <w:kern w:val="0"/>
          <w:sz w:val="32"/>
          <w:szCs w:val="32"/>
          <w:highlight w:val="none"/>
        </w:rPr>
      </w:pPr>
      <w:r>
        <w:rPr>
          <w:rFonts w:hint="eastAsia" w:ascii="仿宋_GB2312" w:eastAsia="仿宋" w:cs="ArialUnicodeMS"/>
          <w:kern w:val="0"/>
          <w:sz w:val="32"/>
          <w:szCs w:val="32"/>
          <w:highlight w:val="none"/>
        </w:rPr>
        <w:t>（二）加强社会管理。组织、监督国家基本公共政策的实施，加强镇村财政资金监管，加强义务教育、公共卫生、计划生育、镇村建设等社会事务的行政管理，促进各项社会事业的发展；协助县直有关部门做好国土资源管理、环境保护、动物防疫、减灾救灾等工作；保障法律法规赋予公民的经济、政治、文化权利，落实公民在选举、决策、管理和监督方面的民主权利，依法行政；加强农村党组织建设，依法推进村民组织自治，加强农村宣传文化工作，抓好农村的思想政治建设和精神文明建设；制定文明生态村建设和构建和谐社会的相关措施，抓好组织实施。</w:t>
      </w:r>
    </w:p>
    <w:p>
      <w:pPr>
        <w:keepNext/>
        <w:keepLines/>
        <w:spacing w:line="580" w:lineRule="exact"/>
        <w:ind w:firstLine="640" w:firstLineChars="200"/>
        <w:jc w:val="left"/>
        <w:outlineLvl w:val="0"/>
        <w:rPr>
          <w:rFonts w:hint="eastAsia" w:ascii="仿宋_GB2312" w:eastAsia="仿宋" w:cs="ArialUnicodeMS"/>
          <w:kern w:val="0"/>
          <w:sz w:val="32"/>
          <w:szCs w:val="32"/>
          <w:highlight w:val="none"/>
        </w:rPr>
      </w:pPr>
      <w:r>
        <w:rPr>
          <w:rFonts w:hint="eastAsia" w:ascii="仿宋_GB2312" w:eastAsia="仿宋" w:cs="ArialUnicodeMS"/>
          <w:kern w:val="0"/>
          <w:sz w:val="32"/>
          <w:szCs w:val="32"/>
          <w:highlight w:val="none"/>
        </w:rPr>
        <w:t>（三）提供公共服务。1、生产保障。提供水利灌溉、道路运输、电力供应、农技推广、病虫害防治等生产性公共产品；2、教育保障。协助教育部门普及九年义务制教育，加强对农村劳动力的职业培训，提高农民的科学文化素质和就业本领；3、医疗保障。农村医疗设施、医疗手段的完善和提高，农村医疗保险制度的建立和落实；4、养老保障。福利院、敬老院的建设，农村养老保险制度的推行；5、生活保障。建设乡村社会各种生活基础设施。建立农村特困户的救助制度和救助体系；6、生育</w:t>
      </w:r>
    </w:p>
    <w:p>
      <w:pPr>
        <w:keepNext/>
        <w:keepLines/>
        <w:spacing w:line="580" w:lineRule="exact"/>
        <w:jc w:val="left"/>
        <w:outlineLvl w:val="0"/>
        <w:rPr>
          <w:rFonts w:hint="eastAsia" w:ascii="仿宋_GB2312" w:eastAsia="仿宋" w:cs="ArialUnicodeMS"/>
          <w:kern w:val="0"/>
          <w:sz w:val="32"/>
          <w:szCs w:val="32"/>
          <w:highlight w:val="none"/>
        </w:rPr>
      </w:pPr>
      <w:r>
        <w:rPr>
          <w:rFonts w:hint="eastAsia" w:ascii="仿宋_GB2312" w:eastAsia="仿宋" w:cs="ArialUnicodeMS"/>
          <w:kern w:val="0"/>
          <w:sz w:val="32"/>
          <w:szCs w:val="32"/>
          <w:highlight w:val="none"/>
        </w:rPr>
        <w:t>保障。为控制人口数量、提高人口素质和生殖健康提供各种优质服务。</w:t>
      </w:r>
    </w:p>
    <w:p>
      <w:pPr>
        <w:keepNext/>
        <w:keepLines/>
        <w:spacing w:line="580" w:lineRule="exact"/>
        <w:ind w:firstLine="640" w:firstLineChars="200"/>
        <w:jc w:val="left"/>
        <w:outlineLvl w:val="0"/>
        <w:rPr>
          <w:rFonts w:hint="eastAsia" w:ascii="黑体" w:eastAsia="黑体" w:cs="黑体"/>
          <w:kern w:val="0"/>
          <w:sz w:val="32"/>
          <w:szCs w:val="32"/>
        </w:rPr>
      </w:pPr>
      <w:r>
        <w:rPr>
          <w:rFonts w:hint="eastAsia" w:ascii="仿宋_GB2312" w:eastAsia="仿宋" w:cs="ArialUnicodeMS"/>
          <w:kern w:val="0"/>
          <w:sz w:val="32"/>
          <w:szCs w:val="32"/>
          <w:highlight w:val="none"/>
        </w:rPr>
        <w:t>（四）维护农村稳定。贯彻执行国家法律法规和政策，增强农民法律意识，教育农民知法、懂法、守法；建立完善协调联动机制，搞好农村矛盾纠纷排查调处，加强社会治安综合治理，维护社会安全秩序；妥善处理突发性、群体性事件，协助司法机关打击各类刑事犯罪活动；保护社会公正，维护社会秩序和社会稳定。</w:t>
      </w:r>
    </w:p>
    <w:p>
      <w:pPr>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二、机构设置</w:t>
      </w:r>
    </w:p>
    <w:p>
      <w:pPr>
        <w:pStyle w:val="10"/>
        <w:widowControl/>
        <w:shd w:val="clear" w:color="auto" w:fill="FFFFFF"/>
        <w:spacing w:beforeAutospacing="0" w:afterAutospacing="0" w:line="360" w:lineRule="auto"/>
        <w:ind w:firstLine="640" w:firstLineChars="200"/>
        <w:rPr>
          <w:rFonts w:hint="eastAsia" w:ascii="仿宋" w:hAnsi="仿宋" w:eastAsia="仿宋" w:cs="仿宋_GB2312"/>
          <w:sz w:val="32"/>
          <w:szCs w:val="32"/>
          <w:shd w:val="clear" w:color="auto" w:fill="FFFFFF"/>
        </w:rPr>
      </w:pPr>
      <w:r>
        <w:rPr>
          <w:rFonts w:ascii="仿宋" w:hAnsi="仿宋" w:eastAsia="仿宋" w:cs="仿宋_GB2312"/>
          <w:sz w:val="32"/>
          <w:szCs w:val="32"/>
          <w:shd w:val="clear" w:color="auto" w:fill="FFFFFF"/>
        </w:rPr>
        <w:t>从决算编报</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构成看，纳入</w:t>
      </w:r>
      <w:r>
        <w:rPr>
          <w:rFonts w:hint="eastAsia" w:ascii="仿宋" w:hAnsi="仿宋" w:eastAsia="仿宋" w:cs="仿宋_GB2312"/>
          <w:sz w:val="32"/>
          <w:szCs w:val="32"/>
          <w:shd w:val="clear" w:color="auto" w:fill="FFFFFF"/>
        </w:rPr>
        <w:t>2023</w:t>
      </w:r>
      <w:r>
        <w:rPr>
          <w:rFonts w:ascii="仿宋" w:hAnsi="仿宋" w:eastAsia="仿宋" w:cs="仿宋_GB2312"/>
          <w:sz w:val="32"/>
          <w:szCs w:val="32"/>
          <w:shd w:val="clear" w:color="auto" w:fill="FFFFFF"/>
        </w:rPr>
        <w:t>年度</w:t>
      </w:r>
      <w:r>
        <w:rPr>
          <w:rFonts w:hint="eastAsia" w:ascii="仿宋" w:hAnsi="仿宋" w:eastAsia="仿宋" w:cs="仿宋_GB2312"/>
          <w:sz w:val="32"/>
          <w:szCs w:val="32"/>
          <w:shd w:val="clear" w:color="auto" w:fill="FFFFFF"/>
        </w:rPr>
        <w:t>本部门</w:t>
      </w:r>
      <w:r>
        <w:rPr>
          <w:rFonts w:ascii="仿宋" w:hAnsi="仿宋" w:eastAsia="仿宋" w:cs="仿宋_GB2312"/>
          <w:sz w:val="32"/>
          <w:szCs w:val="32"/>
          <w:shd w:val="clear" w:color="auto" w:fill="FFFFFF"/>
        </w:rPr>
        <w:t>决算汇编范围的独立核算</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（以下简称“</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w:t>
      </w:r>
      <w:r>
        <w:rPr>
          <w:rFonts w:hint="eastAsia" w:ascii="仿宋_GB2312" w:eastAsia="仿宋" w:cs="ArialUnicodeMS"/>
          <w:kern w:val="0"/>
          <w:sz w:val="32"/>
          <w:szCs w:val="32"/>
          <w:highlight w:val="none"/>
        </w:rPr>
        <w:t>共</w:t>
      </w:r>
      <w:r>
        <w:rPr>
          <w:rFonts w:hint="eastAsia" w:ascii="仿宋_GB2312" w:eastAsia="仿宋" w:cs="ArialUnicodeMS"/>
          <w:kern w:val="0"/>
          <w:sz w:val="32"/>
          <w:szCs w:val="32"/>
          <w:highlight w:val="none"/>
          <w:lang w:val="en-US" w:eastAsia="zh-CN"/>
        </w:rPr>
        <w:t>1</w:t>
      </w:r>
      <w:r>
        <w:rPr>
          <w:rFonts w:hint="eastAsia" w:ascii="仿宋_GB2312" w:eastAsia="仿宋" w:cs="ArialUnicodeMS"/>
          <w:kern w:val="0"/>
          <w:sz w:val="32"/>
          <w:szCs w:val="32"/>
          <w:highlight w:val="none"/>
        </w:rPr>
        <w:t>个</w:t>
      </w:r>
      <w:r>
        <w:rPr>
          <w:rFonts w:ascii="仿宋" w:hAnsi="仿宋" w:eastAsia="仿宋" w:cs="仿宋_GB2312"/>
          <w:sz w:val="32"/>
          <w:szCs w:val="32"/>
          <w:shd w:val="clear" w:color="auto" w:fill="FFFFFF"/>
        </w:rPr>
        <w:t>，具体情况如下：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序号</w:t>
            </w:r>
          </w:p>
        </w:tc>
        <w:tc>
          <w:tcPr>
            <w:tcW w:w="3485" w:type="dxa"/>
            <w:vAlign w:val="center"/>
          </w:tcPr>
          <w:p>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单位名称</w:t>
            </w:r>
          </w:p>
        </w:tc>
        <w:tc>
          <w:tcPr>
            <w:tcW w:w="2445" w:type="dxa"/>
            <w:vAlign w:val="center"/>
          </w:tcPr>
          <w:p>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单位基本性质</w:t>
            </w:r>
          </w:p>
        </w:tc>
        <w:tc>
          <w:tcPr>
            <w:tcW w:w="2665" w:type="dxa"/>
            <w:vAlign w:val="center"/>
          </w:tcPr>
          <w:p>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经费形式</w:t>
            </w:r>
          </w:p>
        </w:tc>
      </w:tr>
    </w:tbl>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1</w:t>
            </w:r>
          </w:p>
        </w:tc>
        <w:tc>
          <w:tcPr>
            <w:tcW w:w="34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cs="ArialUnicodeMS"/>
                <w:kern w:val="0"/>
                <w:sz w:val="28"/>
                <w:szCs w:val="28"/>
              </w:rPr>
            </w:pPr>
            <w:r>
              <w:rPr>
                <w:rFonts w:hint="eastAsia" w:ascii="仿宋_GB2312" w:eastAsia="仿宋_GB2312" w:cs="ArialUnicodeMS"/>
                <w:kern w:val="0"/>
                <w:sz w:val="28"/>
                <w:szCs w:val="28"/>
              </w:rPr>
              <w:t>青龙满族自治县</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仿宋_GB2312" w:eastAsia="仿宋_GB2312" w:cs="ArialUnicodeMS"/>
                <w:kern w:val="0"/>
                <w:sz w:val="28"/>
                <w:szCs w:val="28"/>
              </w:rPr>
            </w:pPr>
            <w:r>
              <w:rPr>
                <w:rFonts w:hint="eastAsia" w:ascii="仿宋_GB2312" w:eastAsia="仿宋_GB2312" w:cs="ArialUnicodeMS"/>
                <w:kern w:val="0"/>
                <w:sz w:val="28"/>
                <w:szCs w:val="28"/>
              </w:rPr>
              <w:t>肖营子镇人民政府</w:t>
            </w:r>
          </w:p>
        </w:tc>
        <w:tc>
          <w:tcPr>
            <w:tcW w:w="2445" w:type="dxa"/>
            <w:vAlign w:val="center"/>
          </w:tcPr>
          <w:p>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行政单位</w:t>
            </w:r>
          </w:p>
        </w:tc>
        <w:tc>
          <w:tcPr>
            <w:tcW w:w="2665" w:type="dxa"/>
            <w:vAlign w:val="center"/>
          </w:tcPr>
          <w:p>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财政拨款</w:t>
            </w:r>
          </w:p>
        </w:tc>
      </w:tr>
    </w:tbl>
    <w:p>
      <w:pPr>
        <w:widowControl/>
        <w:spacing w:after="0" w:line="360" w:lineRule="auto"/>
        <w:ind w:left="-850" w:leftChars="-354" w:right="-821" w:rightChars="-342"/>
        <w:rPr>
          <w:rFonts w:hint="eastAsia" w:ascii="仿宋" w:hAnsi="仿宋" w:eastAsia="仿宋" w:cs="Times New Roman"/>
          <w:sz w:val="28"/>
          <w:szCs w:val="28"/>
        </w:rPr>
        <w:sectPr>
          <w:headerReference r:id="rId7" w:type="default"/>
          <w:pgSz w:w="11906" w:h="16838"/>
          <w:pgMar w:top="1531" w:right="1984" w:bottom="1531" w:left="2098" w:header="851" w:footer="992" w:gutter="0"/>
          <w:cols w:space="720" w:num="1"/>
          <w:docGrid w:type="lines" w:linePitch="312" w:charSpace="0"/>
        </w:sectPr>
      </w:pPr>
      <w:r>
        <w:rPr>
          <w:rFonts w:hint="eastAsia" w:ascii="仿宋" w:hAnsi="仿宋" w:eastAsia="仿宋" w:cs="Times New Roman"/>
          <w:sz w:val="28"/>
          <w:szCs w:val="28"/>
        </w:rPr>
        <w:t>注：1、单位基本性质分为行政单位、参公事业单位、财政补助事业单位、经费自理事业单位四类。</w:t>
      </w:r>
      <w:r>
        <w:rPr>
          <w:rFonts w:hint="eastAsia" w:ascii="仿宋" w:hAnsi="仿宋" w:eastAsia="仿宋" w:cs="Times New Roman"/>
          <w:sz w:val="28"/>
          <w:szCs w:val="28"/>
        </w:rPr>
        <w:cr/>
      </w:r>
      <w:r>
        <w:rPr>
          <w:rFonts w:hint="eastAsia" w:ascii="仿宋" w:hAnsi="仿宋" w:eastAsia="仿宋" w:cs="Times New Roman"/>
          <w:sz w:val="28"/>
          <w:szCs w:val="28"/>
        </w:rPr>
        <w:t xml:space="preserve">    2、经费形式分为财政拨款、财政性资金基本保证、财政性资金定额或定项补助、财政性资金零补助四类。</w:t>
      </w:r>
      <w:r>
        <w:rPr>
          <w:rFonts w:hint="eastAsia" w:ascii="仿宋" w:hAnsi="仿宋" w:eastAsia="仿宋" w:cs="Times New Roman"/>
          <w:sz w:val="28"/>
          <w:szCs w:val="28"/>
        </w:rPr>
        <w:cr/>
      </w:r>
      <w:r>
        <w:rPr>
          <w:rFonts w:hint="eastAsia" w:ascii="仿宋" w:hAnsi="仿宋" w:eastAsia="仿宋" w:cs="Times New Roman"/>
          <w:sz w:val="28"/>
          <w:szCs w:val="28"/>
        </w:rPr>
        <w:t xml:space="preserve">    3、我部门无二级预算单位，因此，青龙满族自治县肖营子镇人民政府2023年度部门决算即青龙满族自治县肖营子镇人民政府本级2023年度决算。</w:t>
      </w:r>
      <w:r>
        <w:rPr>
          <w:rFonts w:ascii="仿宋" w:hAnsi="仿宋" w:eastAsia="仿宋" w:cs="Times New Roman"/>
          <w:sz w:val="28"/>
          <w:szCs w:val="28"/>
        </w:rPr>
        <w:cr/>
      </w:r>
    </w:p>
    <w:p>
      <w:pPr>
        <w:widowControl/>
        <w:spacing w:line="580" w:lineRule="exact"/>
        <w:ind w:firstLine="640" w:firstLineChars="200"/>
        <w:rPr>
          <w:rFonts w:ascii="Times New Roman" w:hAnsi="Times New Roman" w:eastAsia="黑体" w:cs="Times New Roman"/>
          <w:sz w:val="32"/>
          <w:szCs w:val="32"/>
          <w:highlight w:val="yellow"/>
        </w:rPr>
      </w:pPr>
    </w:p>
    <w:p>
      <w:pPr>
        <w:pStyle w:val="10"/>
        <w:widowControl/>
        <w:shd w:val="clear" w:color="auto" w:fill="FFFFFF"/>
        <w:spacing w:beforeAutospacing="0" w:afterAutospacing="0"/>
        <w:rPr>
          <w:rFonts w:ascii="Arial" w:hAnsi="Arial" w:eastAsia="Arial" w:cs="Arial"/>
          <w:color w:val="000000"/>
          <w:sz w:val="18"/>
          <w:szCs w:val="18"/>
          <w:shd w:val="clear" w:color="auto" w:fill="FFFFFF"/>
          <w:lang w:bidi="ar"/>
        </w:rPr>
      </w:pPr>
    </w:p>
    <w:p>
      <w:pPr>
        <w:widowControl/>
        <w:shd w:val="clear" w:color="auto" w:fill="FFFFFF"/>
        <w:spacing w:after="0"/>
        <w:jc w:val="left"/>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第二部分</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2023年度部门决算报表</w:t>
      </w:r>
    </w:p>
    <w:p>
      <w:pPr>
        <w:pStyle w:val="10"/>
        <w:widowControl/>
        <w:spacing w:beforeAutospacing="0" w:afterAutospacing="0"/>
        <w:jc w:val="center"/>
        <w:rPr>
          <w:rFonts w:hint="eastAsia" w:ascii="仿宋_GB2312" w:hAnsi="仿宋_GB2312" w:eastAsia="仿宋_GB2312" w:cs="仿宋_GB2312"/>
          <w:color w:val="FF0000"/>
          <w:sz w:val="33"/>
          <w:szCs w:val="33"/>
          <w:shd w:val="clear" w:color="auto" w:fill="FFFFFF"/>
        </w:rPr>
        <w:sectPr>
          <w:pgSz w:w="11906" w:h="16838"/>
          <w:pgMar w:top="1531" w:right="1984" w:bottom="1531" w:left="2098" w:header="851" w:footer="992" w:gutter="0"/>
          <w:cols w:space="720" w:num="1"/>
          <w:docGrid w:type="lines" w:linePitch="312" w:charSpace="0"/>
        </w:sectPr>
      </w:pP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83" w:hRule="atLeast"/>
        </w:trPr>
        <w:tc>
          <w:tcPr>
            <w:tcW w:w="13960" w:type="dxa"/>
            <w:tcBorders>
              <w:top w:val="nil"/>
              <w:left w:val="nil"/>
              <w:bottom w:val="nil"/>
              <w:right w:val="nil"/>
            </w:tcBorders>
          </w:tcPr>
          <w:p>
            <w:pPr>
              <w:jc w:val="center"/>
              <w:rPr>
                <w:sz w:val="20"/>
                <w:szCs w:val="20"/>
              </w:rPr>
            </w:pPr>
            <w:r>
              <w:rPr>
                <w:rFonts w:hint="eastAsia"/>
                <w:sz w:val="20"/>
                <w:szCs w:val="20"/>
              </w:rPr>
              <w:drawing>
                <wp:anchor distT="0" distB="0" distL="114300" distR="114300" simplePos="0" relativeHeight="251666432" behindDoc="0" locked="0" layoutInCell="1" allowOverlap="1">
                  <wp:simplePos x="0" y="0"/>
                  <wp:positionH relativeFrom="column">
                    <wp:posOffset>1151255</wp:posOffset>
                  </wp:positionH>
                  <wp:positionV relativeFrom="paragraph">
                    <wp:posOffset>91440</wp:posOffset>
                  </wp:positionV>
                  <wp:extent cx="6435725" cy="4965700"/>
                  <wp:effectExtent l="0" t="0" r="3175" b="6350"/>
                  <wp:wrapNone/>
                  <wp:docPr id="17264577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57772"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435725" cy="4965700"/>
                          </a:xfrm>
                          <a:prstGeom prst="rect">
                            <a:avLst/>
                          </a:prstGeom>
                          <a:noFill/>
                          <a:ln>
                            <a:noFill/>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83" w:hRule="atLeast"/>
        </w:trPr>
        <w:tc>
          <w:tcPr>
            <w:tcW w:w="13960" w:type="dxa"/>
            <w:tcBorders>
              <w:top w:val="nil"/>
              <w:left w:val="nil"/>
              <w:bottom w:val="nil"/>
              <w:right w:val="nil"/>
            </w:tcBorders>
          </w:tcPr>
          <w:p>
            <w:pPr>
              <w:jc w:val="center"/>
              <w:rPr>
                <w:sz w:val="20"/>
                <w:szCs w:val="20"/>
              </w:rPr>
            </w:pPr>
            <w:r>
              <w:rPr>
                <w:rFonts w:hint="eastAsia"/>
                <w:sz w:val="20"/>
                <w:szCs w:val="20"/>
              </w:rPr>
              <w:drawing>
                <wp:anchor distT="0" distB="0" distL="114300" distR="114300" simplePos="0" relativeHeight="251667456" behindDoc="0" locked="0" layoutInCell="1" allowOverlap="1">
                  <wp:simplePos x="0" y="0"/>
                  <wp:positionH relativeFrom="column">
                    <wp:posOffset>1654810</wp:posOffset>
                  </wp:positionH>
                  <wp:positionV relativeFrom="paragraph">
                    <wp:posOffset>97155</wp:posOffset>
                  </wp:positionV>
                  <wp:extent cx="5434330" cy="4959985"/>
                  <wp:effectExtent l="0" t="0" r="0" b="0"/>
                  <wp:wrapNone/>
                  <wp:docPr id="8267544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54418"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34330" cy="4959985"/>
                          </a:xfrm>
                          <a:prstGeom prst="rect">
                            <a:avLst/>
                          </a:prstGeom>
                          <a:noFill/>
                          <a:ln>
                            <a:noFill/>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83" w:hRule="atLeast"/>
        </w:trPr>
        <w:tc>
          <w:tcPr>
            <w:tcW w:w="13960" w:type="dxa"/>
            <w:tcBorders>
              <w:top w:val="nil"/>
              <w:left w:val="nil"/>
              <w:bottom w:val="nil"/>
              <w:right w:val="nil"/>
            </w:tcBorders>
          </w:tcPr>
          <w:p>
            <w:pPr>
              <w:jc w:val="center"/>
              <w:rPr>
                <w:sz w:val="20"/>
                <w:szCs w:val="20"/>
              </w:rPr>
            </w:pPr>
            <w:r>
              <w:rPr>
                <w:rFonts w:hint="eastAsia"/>
                <w:sz w:val="20"/>
                <w:szCs w:val="20"/>
              </w:rPr>
              <w:drawing>
                <wp:anchor distT="0" distB="0" distL="114300" distR="114300" simplePos="0" relativeHeight="251668480" behindDoc="0" locked="0" layoutInCell="1" allowOverlap="1">
                  <wp:simplePos x="0" y="0"/>
                  <wp:positionH relativeFrom="column">
                    <wp:posOffset>2169795</wp:posOffset>
                  </wp:positionH>
                  <wp:positionV relativeFrom="paragraph">
                    <wp:posOffset>26035</wp:posOffset>
                  </wp:positionV>
                  <wp:extent cx="4467225" cy="5031105"/>
                  <wp:effectExtent l="0" t="0" r="9525" b="17145"/>
                  <wp:wrapNone/>
                  <wp:docPr id="3261915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91544"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67225" cy="5031105"/>
                          </a:xfrm>
                          <a:prstGeom prst="rect">
                            <a:avLst/>
                          </a:prstGeom>
                          <a:noFill/>
                          <a:ln>
                            <a:noFill/>
                          </a:ln>
                        </pic:spPr>
                      </pic:pic>
                    </a:graphicData>
                  </a:graphic>
                </wp:anchor>
              </w:drawing>
            </w:r>
          </w:p>
          <w:p>
            <w:pPr>
              <w:widowControl/>
              <w:tabs>
                <w:tab w:val="left" w:pos="5484"/>
              </w:tabs>
              <w:jc w:val="left"/>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3960" w:type="dxa"/>
            <w:tcBorders>
              <w:top w:val="nil"/>
              <w:left w:val="nil"/>
              <w:bottom w:val="nil"/>
              <w:right w:val="nil"/>
            </w:tcBorders>
          </w:tcPr>
          <w:tbl>
            <w:tblPr>
              <w:tblStyle w:val="12"/>
              <w:tblpPr w:leftFromText="180" w:rightFromText="180" w:vertAnchor="text" w:horzAnchor="margin" w:tblpY="2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4" w:hRule="atLeast"/>
              </w:trPr>
              <w:tc>
                <w:tcPr>
                  <w:tcW w:w="14481" w:type="dxa"/>
                  <w:tcBorders>
                    <w:top w:val="nil"/>
                    <w:left w:val="nil"/>
                    <w:bottom w:val="nil"/>
                    <w:right w:val="nil"/>
                  </w:tcBorders>
                </w:tcPr>
                <w:p>
                  <w:pPr>
                    <w:widowControl/>
                    <w:jc w:val="center"/>
                    <w:rPr>
                      <w:sz w:val="20"/>
                      <w:szCs w:val="20"/>
                    </w:rPr>
                  </w:pPr>
                  <w:r>
                    <w:rPr>
                      <w:rFonts w:hint="eastAsia"/>
                      <w:sz w:val="20"/>
                      <w:szCs w:val="20"/>
                    </w:rPr>
                    <w:drawing>
                      <wp:anchor distT="0" distB="0" distL="114300" distR="114300" simplePos="0" relativeHeight="251669504" behindDoc="0" locked="0" layoutInCell="1" allowOverlap="1">
                        <wp:simplePos x="0" y="0"/>
                        <wp:positionH relativeFrom="column">
                          <wp:posOffset>781685</wp:posOffset>
                        </wp:positionH>
                        <wp:positionV relativeFrom="paragraph">
                          <wp:posOffset>89535</wp:posOffset>
                        </wp:positionV>
                        <wp:extent cx="7049135" cy="4965700"/>
                        <wp:effectExtent l="0" t="0" r="0" b="6350"/>
                        <wp:wrapNone/>
                        <wp:docPr id="14346169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16926"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049135" cy="4965700"/>
                                </a:xfrm>
                                <a:prstGeom prst="rect">
                                  <a:avLst/>
                                </a:prstGeom>
                                <a:noFill/>
                                <a:ln>
                                  <a:noFill/>
                                </a:ln>
                              </pic:spPr>
                            </pic:pic>
                          </a:graphicData>
                        </a:graphic>
                      </wp:anchor>
                    </w:drawing>
                  </w:r>
                </w:p>
              </w:tc>
            </w:tr>
          </w:tbl>
          <w:p>
            <w:pPr>
              <w:widowControl/>
              <w:jc w:val="center"/>
              <w:rPr>
                <w:sz w:val="20"/>
                <w:szCs w:val="20"/>
              </w:rPr>
            </w:pPr>
          </w:p>
        </w:tc>
      </w:tr>
    </w:tbl>
    <w:p>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sz w:val="20"/>
          <w:szCs w:val="20"/>
        </w:rPr>
        <w:drawing>
          <wp:anchor distT="0" distB="0" distL="114300" distR="114300" simplePos="0" relativeHeight="251670528" behindDoc="0" locked="0" layoutInCell="1" allowOverlap="1">
            <wp:simplePos x="0" y="0"/>
            <wp:positionH relativeFrom="column">
              <wp:posOffset>2650490</wp:posOffset>
            </wp:positionH>
            <wp:positionV relativeFrom="paragraph">
              <wp:posOffset>102870</wp:posOffset>
            </wp:positionV>
            <wp:extent cx="3446145" cy="4968240"/>
            <wp:effectExtent l="0" t="0" r="1905" b="3810"/>
            <wp:wrapNone/>
            <wp:docPr id="7357012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01213"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446145" cy="4968240"/>
                    </a:xfrm>
                    <a:prstGeom prst="rect">
                      <a:avLst/>
                    </a:prstGeom>
                    <a:noFill/>
                    <a:ln>
                      <a:noFill/>
                    </a:ln>
                  </pic:spPr>
                </pic:pic>
              </a:graphicData>
            </a:graphic>
          </wp:anchor>
        </w:drawing>
      </w:r>
    </w:p>
    <w:p>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sz w:val="20"/>
          <w:szCs w:val="20"/>
        </w:rPr>
        <w:t xml:space="preserve"> </w:t>
      </w:r>
      <w:r>
        <w:rPr>
          <w:rFonts w:hint="eastAsia"/>
          <w:sz w:val="20"/>
          <w:szCs w:val="20"/>
        </w:rPr>
        <w:drawing>
          <wp:anchor distT="0" distB="0" distL="114300" distR="114300" simplePos="0" relativeHeight="251671552" behindDoc="0" locked="0" layoutInCell="1" allowOverlap="1">
            <wp:simplePos x="0" y="0"/>
            <wp:positionH relativeFrom="column">
              <wp:posOffset>405130</wp:posOffset>
            </wp:positionH>
            <wp:positionV relativeFrom="paragraph">
              <wp:posOffset>102870</wp:posOffset>
            </wp:positionV>
            <wp:extent cx="8003540" cy="4968240"/>
            <wp:effectExtent l="0" t="0" r="0" b="3810"/>
            <wp:wrapNone/>
            <wp:docPr id="12604822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82267"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003540" cy="4968240"/>
                    </a:xfrm>
                    <a:prstGeom prst="rect">
                      <a:avLst/>
                    </a:prstGeom>
                    <a:noFill/>
                    <a:ln>
                      <a:noFill/>
                    </a:ln>
                  </pic:spPr>
                </pic:pic>
              </a:graphicData>
            </a:graphic>
          </wp:anchor>
        </w:drawing>
      </w:r>
      <w:r>
        <w:rPr>
          <w:sz w:val="20"/>
          <w:szCs w:val="20"/>
        </w:rPr>
        <w:br w:type="page"/>
      </w:r>
    </w:p>
    <w:p>
      <w:pPr>
        <w:widowControl/>
        <w:jc w:val="center"/>
        <w:rPr>
          <w:sz w:val="20"/>
          <w:szCs w:val="20"/>
        </w:rPr>
      </w:pPr>
    </w:p>
    <w:p>
      <w:pPr>
        <w:widowControl/>
        <w:jc w:val="center"/>
        <w:rPr>
          <w:sz w:val="20"/>
          <w:szCs w:val="20"/>
        </w:rPr>
      </w:pPr>
      <w:r>
        <w:rPr>
          <w:rFonts w:hint="eastAsia"/>
          <w:sz w:val="20"/>
          <w:szCs w:val="20"/>
        </w:rPr>
        <w:drawing>
          <wp:anchor distT="0" distB="0" distL="114300" distR="114300" simplePos="0" relativeHeight="251672576" behindDoc="0" locked="0" layoutInCell="1" allowOverlap="1">
            <wp:simplePos x="0" y="0"/>
            <wp:positionH relativeFrom="column">
              <wp:posOffset>0</wp:posOffset>
            </wp:positionH>
            <wp:positionV relativeFrom="paragraph">
              <wp:posOffset>73025</wp:posOffset>
            </wp:positionV>
            <wp:extent cx="8747760" cy="3023870"/>
            <wp:effectExtent l="0" t="0" r="0" b="5080"/>
            <wp:wrapNone/>
            <wp:docPr id="12885162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16226"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747760" cy="3023870"/>
                    </a:xfrm>
                    <a:prstGeom prst="rect">
                      <a:avLst/>
                    </a:prstGeom>
                    <a:noFill/>
                    <a:ln>
                      <a:noFill/>
                    </a:ln>
                  </pic:spPr>
                </pic:pic>
              </a:graphicData>
            </a:graphic>
          </wp:anchor>
        </w:drawing>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3600" behindDoc="0" locked="0" layoutInCell="1" allowOverlap="1">
            <wp:simplePos x="0" y="0"/>
            <wp:positionH relativeFrom="column">
              <wp:posOffset>1047115</wp:posOffset>
            </wp:positionH>
            <wp:positionV relativeFrom="paragraph">
              <wp:posOffset>4445</wp:posOffset>
            </wp:positionV>
            <wp:extent cx="6644005" cy="3159760"/>
            <wp:effectExtent l="0" t="0" r="4445" b="2540"/>
            <wp:wrapNone/>
            <wp:docPr id="112484689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46890"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644005" cy="3159760"/>
                    </a:xfrm>
                    <a:prstGeom prst="rect">
                      <a:avLst/>
                    </a:prstGeom>
                    <a:noFill/>
                    <a:ln>
                      <a:noFill/>
                    </a:ln>
                  </pic:spPr>
                </pic:pic>
              </a:graphicData>
            </a:graphic>
          </wp:anchor>
        </w:drawing>
      </w:r>
      <w:r>
        <w:rPr>
          <w:sz w:val="20"/>
          <w:szCs w:val="20"/>
        </w:rPr>
        <w:br w:type="page"/>
      </w:r>
    </w:p>
    <w:p>
      <w:pPr>
        <w:widowControl/>
        <w:jc w:val="center"/>
        <w:rPr>
          <w:sz w:val="20"/>
          <w:szCs w:val="20"/>
        </w:rPr>
        <w:sectPr>
          <w:pgSz w:w="16838" w:h="11906" w:orient="landscape"/>
          <w:pgMar w:top="2098" w:right="1531" w:bottom="1984" w:left="1531" w:header="851" w:footer="992" w:gutter="0"/>
          <w:cols w:space="720" w:num="1"/>
          <w:docGrid w:type="lines" w:linePitch="312" w:charSpace="0"/>
        </w:sectPr>
      </w:pPr>
      <w:r>
        <w:rPr>
          <w:rFonts w:hint="eastAsia"/>
          <w:sz w:val="20"/>
          <w:szCs w:val="20"/>
        </w:rPr>
        <w:drawing>
          <wp:anchor distT="0" distB="0" distL="114300" distR="114300" simplePos="0" relativeHeight="251674624" behindDoc="0" locked="0" layoutInCell="1" allowOverlap="1">
            <wp:simplePos x="0" y="0"/>
            <wp:positionH relativeFrom="column">
              <wp:posOffset>0</wp:posOffset>
            </wp:positionH>
            <wp:positionV relativeFrom="paragraph">
              <wp:posOffset>15875</wp:posOffset>
            </wp:positionV>
            <wp:extent cx="8747760" cy="1749425"/>
            <wp:effectExtent l="0" t="0" r="0" b="3175"/>
            <wp:wrapNone/>
            <wp:docPr id="65778928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89285"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747760" cy="1749425"/>
                    </a:xfrm>
                    <a:prstGeom prst="rect">
                      <a:avLst/>
                    </a:prstGeom>
                    <a:noFill/>
                    <a:ln>
                      <a:noFill/>
                    </a:ln>
                  </pic:spPr>
                </pic:pic>
              </a:graphicData>
            </a:graphic>
          </wp:anchor>
        </w:drawing>
      </w:r>
    </w:p>
    <w:p>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第三部分</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2023年度部门决算情况</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说明</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rPr>
      </w:pPr>
      <w:r>
        <w:rPr>
          <w:rFonts w:ascii="Arial" w:hAnsi="Arial" w:eastAsia="Arial" w:cs="Arial"/>
          <w:color w:val="000000"/>
          <w:sz w:val="18"/>
          <w:szCs w:val="18"/>
          <w:shd w:val="clear" w:color="auto" w:fill="FFFFFF"/>
        </w:rPr>
        <w:br w:type="page"/>
      </w:r>
    </w:p>
    <w:p>
      <w:pPr>
        <w:snapToGrid w:val="0"/>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一、收入支出决算总体情况说明</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本部门2023年度收、支总计（含结转和结余）2690.76万元。与2022年度决算相比，收支各减少247.23万元，降低8.4%，主要原因是</w:t>
      </w:r>
      <w:r>
        <w:rPr>
          <w:rFonts w:hint="eastAsia" w:ascii="仿宋" w:hAnsi="仿宋" w:eastAsia="仿宋" w:cs="Times New Roman"/>
          <w:kern w:val="2"/>
          <w:sz w:val="32"/>
          <w:szCs w:val="32"/>
          <w:lang w:val="en-US" w:eastAsia="zh-CN"/>
        </w:rPr>
        <w:t>本年项目减少</w:t>
      </w:r>
      <w:r>
        <w:rPr>
          <w:rFonts w:ascii="仿宋" w:hAnsi="仿宋" w:eastAsia="仿宋" w:cs="Times New Roman"/>
          <w:kern w:val="2"/>
          <w:sz w:val="32"/>
          <w:szCs w:val="32"/>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5648" behindDoc="0" locked="0" layoutInCell="1" allowOverlap="1">
                  <wp:simplePos x="0" y="0"/>
                  <wp:positionH relativeFrom="column">
                    <wp:posOffset>302895</wp:posOffset>
                  </wp:positionH>
                  <wp:positionV relativeFrom="paragraph">
                    <wp:posOffset>67945</wp:posOffset>
                  </wp:positionV>
                  <wp:extent cx="4224655" cy="2853055"/>
                  <wp:effectExtent l="0" t="0" r="4445" b="4445"/>
                  <wp:wrapNone/>
                  <wp:docPr id="16871636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63652"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24655" cy="2853055"/>
                          </a:xfrm>
                          <a:prstGeom prst="rect">
                            <a:avLst/>
                          </a:prstGeom>
                          <a:noFill/>
                          <a:ln>
                            <a:noFill/>
                          </a:ln>
                        </pic:spPr>
                      </pic:pic>
                    </a:graphicData>
                  </a:graphic>
                </wp:anchor>
              </w:drawing>
            </w:r>
          </w:p>
        </w:tc>
      </w:tr>
    </w:tbl>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二、收入决算情况说明</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本部门2023年度本年收入合计2520.39万元，其中：财政拨款收入2520.39万元，占100.0%；上级补助收入0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w:t>
      </w:r>
      <w:r>
        <w:rPr>
          <w:rFonts w:hint="eastAsia" w:ascii="仿宋" w:hAnsi="仿宋" w:eastAsia="仿宋" w:cs="Times New Roman"/>
          <w:kern w:val="2"/>
          <w:sz w:val="32"/>
          <w:szCs w:val="32"/>
        </w:rPr>
        <w:t>0.0</w:t>
      </w:r>
      <w:r>
        <w:rPr>
          <w:rFonts w:ascii="仿宋" w:hAnsi="仿宋" w:eastAsia="仿宋" w:cs="Times New Roman"/>
          <w:kern w:val="2"/>
          <w:sz w:val="32"/>
          <w:szCs w:val="32"/>
          <w:lang w:val="zh-CN"/>
        </w:rPr>
        <w:t>%；事业收入0.00万元，占0.0%；经营收入0.00万元，占0.0%；附属单位上缴收入0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lang w:val="zh-CN"/>
        </w:rPr>
        <w:t>，占0.0%</w:t>
      </w:r>
      <w:r>
        <w:rPr>
          <w:rFonts w:ascii="仿宋" w:hAnsi="仿宋" w:eastAsia="仿宋" w:cs="Times New Roman"/>
          <w:kern w:val="2"/>
          <w:sz w:val="32"/>
          <w:szCs w:val="32"/>
          <w:lang w:val="zh-CN"/>
        </w:rPr>
        <w:t>；其他收入</w:t>
      </w:r>
      <w:r>
        <w:rPr>
          <w:rFonts w:hint="eastAsia" w:ascii="仿宋" w:hAnsi="仿宋" w:eastAsia="仿宋" w:cs="Times New Roman"/>
          <w:kern w:val="2"/>
          <w:sz w:val="32"/>
          <w:szCs w:val="32"/>
          <w:lang w:val="zh-CN"/>
        </w:rPr>
        <w:t>0.00</w:t>
      </w:r>
      <w:r>
        <w:rPr>
          <w:rFonts w:ascii="仿宋" w:hAnsi="仿宋" w:eastAsia="仿宋" w:cs="Times New Roman"/>
          <w:kern w:val="2"/>
          <w:sz w:val="32"/>
          <w:szCs w:val="32"/>
          <w:lang w:val="zh-CN"/>
        </w:rPr>
        <w:t>万元，占0.0%</w:t>
      </w:r>
      <w:r>
        <w:rPr>
          <w:rFonts w:hint="eastAsia" w:ascii="仿宋" w:hAnsi="仿宋" w:eastAsia="仿宋" w:cs="Times New Roman"/>
          <w:kern w:val="2"/>
          <w:sz w:val="32"/>
          <w:szCs w:val="32"/>
          <w:lang w:val="zh-CN"/>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6672" behindDoc="0" locked="0" layoutInCell="1" allowOverlap="1">
                  <wp:simplePos x="0" y="0"/>
                  <wp:positionH relativeFrom="column">
                    <wp:posOffset>273685</wp:posOffset>
                  </wp:positionH>
                  <wp:positionV relativeFrom="paragraph">
                    <wp:posOffset>-288925</wp:posOffset>
                  </wp:positionV>
                  <wp:extent cx="4276725" cy="3217545"/>
                  <wp:effectExtent l="0" t="0" r="9525" b="1905"/>
                  <wp:wrapNone/>
                  <wp:docPr id="98097239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72395"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76725" cy="3217545"/>
                          </a:xfrm>
                          <a:prstGeom prst="rect">
                            <a:avLst/>
                          </a:prstGeom>
                          <a:noFill/>
                          <a:ln>
                            <a:noFill/>
                          </a:ln>
                        </pic:spPr>
                      </pic:pic>
                    </a:graphicData>
                  </a:graphic>
                </wp:anchor>
              </w:drawing>
            </w:r>
          </w:p>
        </w:tc>
      </w:tr>
    </w:tbl>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三、支出决算情况说明</w:t>
      </w:r>
    </w:p>
    <w:p>
      <w:pPr>
        <w:autoSpaceDE w:val="0"/>
        <w:autoSpaceDN w:val="0"/>
        <w:adjustRightInd w:val="0"/>
        <w:snapToGrid w:val="0"/>
        <w:spacing w:after="0" w:line="360" w:lineRule="auto"/>
        <w:ind w:firstLine="6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本部门2023年度本年支出合计2679.23万元，其中：基本支出1726.95万元，占64.5%；项目支出952.28万元，占35.5%；上缴上级支出0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%；经营支出0.00万元，占0.0%；对附属单位补助支出0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bookmarkStart w:id="0" w:name="_Hlk177575033"/>
            <w:r>
              <w:rPr>
                <w:rFonts w:hint="eastAsia" w:ascii="仿宋_GB2312" w:hAnsi="Times New Roman" w:eastAsia="仿宋" w:cs="DengXian-Regular"/>
                <w:sz w:val="32"/>
                <w:szCs w:val="32"/>
              </w:rPr>
              <w:drawing>
                <wp:anchor distT="0" distB="0" distL="114300" distR="114300" simplePos="0" relativeHeight="251677696" behindDoc="0" locked="0" layoutInCell="1" allowOverlap="1">
                  <wp:simplePos x="0" y="0"/>
                  <wp:positionH relativeFrom="column">
                    <wp:posOffset>291465</wp:posOffset>
                  </wp:positionH>
                  <wp:positionV relativeFrom="paragraph">
                    <wp:posOffset>13335</wp:posOffset>
                  </wp:positionV>
                  <wp:extent cx="4253865" cy="3091180"/>
                  <wp:effectExtent l="0" t="0" r="13335" b="13970"/>
                  <wp:wrapNone/>
                  <wp:docPr id="1707943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4347"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53865" cy="3091180"/>
                          </a:xfrm>
                          <a:prstGeom prst="rect">
                            <a:avLst/>
                          </a:prstGeom>
                          <a:noFill/>
                          <a:ln>
                            <a:noFill/>
                          </a:ln>
                        </pic:spPr>
                      </pic:pic>
                    </a:graphicData>
                  </a:graphic>
                </wp:anchor>
              </w:drawing>
            </w:r>
          </w:p>
        </w:tc>
      </w:tr>
      <w:bookmarkEnd w:id="0"/>
    </w:tbl>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四、财政拨款收入支出决算总体情况说明</w:t>
      </w:r>
    </w:p>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（一）财政拨款收支与2022年度决算对比情况</w:t>
      </w:r>
    </w:p>
    <w:p>
      <w:pPr>
        <w:pStyle w:val="10"/>
        <w:widowControl/>
        <w:snapToGrid w:val="0"/>
        <w:spacing w:beforeAutospacing="0" w:afterAutospacing="0" w:line="360" w:lineRule="auto"/>
        <w:ind w:firstLine="640" w:firstLineChars="200"/>
        <w:rPr>
          <w:rFonts w:hint="eastAsia" w:ascii="仿宋" w:hAnsi="仿宋" w:eastAsia="仿宋"/>
          <w:sz w:val="30"/>
          <w:szCs w:val="30"/>
        </w:rPr>
      </w:pP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kern w:val="2"/>
          <w:sz w:val="32"/>
          <w:szCs w:val="32"/>
        </w:rPr>
        <w:t>2520.39万</w:t>
      </w:r>
      <w:r>
        <w:rPr>
          <w:rFonts w:ascii="仿宋" w:hAnsi="仿宋" w:eastAsia="仿宋"/>
          <w:kern w:val="2"/>
          <w:sz w:val="32"/>
          <w:szCs w:val="32"/>
          <w:lang w:val="zh-CN"/>
        </w:rPr>
        <w:t>元</w:t>
      </w:r>
      <w:r>
        <w:rPr>
          <w:rFonts w:hint="eastAsia"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减少340.82</w:t>
      </w:r>
      <w:r>
        <w:rPr>
          <w:rFonts w:ascii="仿宋" w:hAnsi="仿宋" w:eastAsia="仿宋"/>
          <w:kern w:val="2"/>
          <w:sz w:val="32"/>
          <w:szCs w:val="32"/>
          <w:lang w:val="zh-CN"/>
        </w:rPr>
        <w:t>万元</w:t>
      </w:r>
      <w:r>
        <w:rPr>
          <w:rFonts w:ascii="仿宋" w:hAnsi="仿宋" w:eastAsia="仿宋"/>
          <w:kern w:val="2"/>
          <w:sz w:val="32"/>
          <w:szCs w:val="32"/>
        </w:rPr>
        <w:t>，降低11.9%，</w:t>
      </w:r>
      <w:r>
        <w:rPr>
          <w:rFonts w:ascii="仿宋" w:hAnsi="仿宋" w:eastAsia="仿宋" w:cs="Times New Roman"/>
          <w:kern w:val="2"/>
          <w:sz w:val="32"/>
          <w:szCs w:val="32"/>
        </w:rPr>
        <w:t>主要原因是</w:t>
      </w:r>
      <w:r>
        <w:rPr>
          <w:rFonts w:hint="eastAsia" w:ascii="仿宋" w:hAnsi="仿宋" w:eastAsia="仿宋" w:cs="Times New Roman"/>
          <w:kern w:val="2"/>
          <w:sz w:val="32"/>
          <w:szCs w:val="32"/>
          <w:lang w:val="en-US" w:eastAsia="zh-CN"/>
        </w:rPr>
        <w:t>本年项目减少</w:t>
      </w:r>
      <w:r>
        <w:rPr>
          <w:rFonts w:ascii="仿宋" w:hAnsi="仿宋" w:eastAsia="仿宋"/>
          <w:kern w:val="2"/>
          <w:sz w:val="32"/>
          <w:szCs w:val="32"/>
        </w:rPr>
        <w:t>；</w:t>
      </w:r>
      <w:r>
        <w:rPr>
          <w:rFonts w:ascii="仿宋" w:hAnsi="仿宋" w:eastAsia="仿宋"/>
          <w:kern w:val="2"/>
          <w:sz w:val="32"/>
          <w:szCs w:val="32"/>
          <w:lang w:val="zh-CN"/>
        </w:rPr>
        <w:t>本年支出</w:t>
      </w:r>
      <w:r>
        <w:rPr>
          <w:rFonts w:hint="eastAsia" w:ascii="仿宋" w:hAnsi="仿宋" w:eastAsia="仿宋"/>
          <w:kern w:val="2"/>
          <w:sz w:val="32"/>
          <w:szCs w:val="32"/>
          <w:lang w:val="zh-CN"/>
        </w:rPr>
        <w:t>合计</w:t>
      </w:r>
      <w:r>
        <w:rPr>
          <w:rFonts w:ascii="仿宋" w:hAnsi="仿宋" w:eastAsia="仿宋"/>
          <w:kern w:val="2"/>
          <w:sz w:val="32"/>
          <w:szCs w:val="32"/>
        </w:rPr>
        <w:t>2679.23</w:t>
      </w:r>
      <w:r>
        <w:rPr>
          <w:rFonts w:ascii="仿宋" w:hAnsi="仿宋" w:eastAsia="仿宋"/>
          <w:kern w:val="2"/>
          <w:sz w:val="32"/>
          <w:szCs w:val="32"/>
          <w:lang w:val="zh-CN"/>
        </w:rPr>
        <w:t>元</w:t>
      </w:r>
      <w:r>
        <w:rPr>
          <w:rFonts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减少88.38</w:t>
      </w:r>
      <w:r>
        <w:rPr>
          <w:rFonts w:ascii="仿宋" w:hAnsi="仿宋" w:eastAsia="仿宋"/>
          <w:kern w:val="2"/>
          <w:sz w:val="32"/>
          <w:szCs w:val="32"/>
          <w:lang w:val="zh-CN"/>
        </w:rPr>
        <w:t>万元</w:t>
      </w:r>
      <w:r>
        <w:rPr>
          <w:rFonts w:ascii="仿宋" w:hAnsi="仿宋" w:eastAsia="仿宋"/>
          <w:kern w:val="2"/>
          <w:sz w:val="32"/>
          <w:szCs w:val="32"/>
        </w:rPr>
        <w:t>，降低3.2%，</w:t>
      </w:r>
      <w:r>
        <w:rPr>
          <w:rFonts w:ascii="仿宋" w:hAnsi="仿宋" w:eastAsia="仿宋" w:cs="Times New Roman"/>
          <w:kern w:val="2"/>
          <w:sz w:val="32"/>
          <w:szCs w:val="32"/>
        </w:rPr>
        <w:t>主要原因是</w:t>
      </w:r>
      <w:r>
        <w:rPr>
          <w:rFonts w:hint="eastAsia" w:ascii="仿宋" w:hAnsi="仿宋" w:eastAsia="仿宋" w:cs="Times New Roman"/>
          <w:kern w:val="2"/>
          <w:sz w:val="32"/>
          <w:szCs w:val="32"/>
          <w:lang w:val="en-US" w:eastAsia="zh-CN"/>
        </w:rPr>
        <w:t>本年项目减少</w:t>
      </w:r>
      <w:r>
        <w:rPr>
          <w:rFonts w:ascii="仿宋" w:hAnsi="仿宋" w:eastAsia="仿宋"/>
          <w:kern w:val="2"/>
          <w:sz w:val="32"/>
          <w:szCs w:val="32"/>
          <w:lang w:val="zh-CN"/>
        </w:rPr>
        <w:t>。具体情况如下：</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1. </w:t>
      </w:r>
      <w:r>
        <w:rPr>
          <w:rFonts w:ascii="仿宋" w:hAnsi="仿宋" w:eastAsia="仿宋" w:cs="Times New Roman"/>
          <w:kern w:val="2"/>
          <w:sz w:val="32"/>
          <w:szCs w:val="32"/>
          <w:lang w:val="zh-CN"/>
        </w:rPr>
        <w:t>一般公共预算财政拨款本年收入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2520.39</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减少54.82</w:t>
      </w:r>
      <w:r>
        <w:rPr>
          <w:rFonts w:ascii="仿宋" w:hAnsi="仿宋" w:eastAsia="仿宋" w:cs="Times New Roman"/>
          <w:kern w:val="2"/>
          <w:sz w:val="32"/>
          <w:szCs w:val="32"/>
          <w:lang w:val="zh-CN"/>
        </w:rPr>
        <w:t>万元</w:t>
      </w:r>
      <w:r>
        <w:rPr>
          <w:rFonts w:ascii="仿宋" w:hAnsi="仿宋" w:eastAsia="仿宋" w:cs="Times New Roman"/>
          <w:kern w:val="2"/>
          <w:sz w:val="32"/>
          <w:szCs w:val="32"/>
        </w:rPr>
        <w:t>，降低2.1%</w:t>
      </w:r>
      <w:r>
        <w:rPr>
          <w:rFonts w:hint="eastAsia" w:ascii="仿宋" w:hAnsi="仿宋" w:eastAsia="仿宋" w:cs="Times New Roman"/>
          <w:kern w:val="2"/>
          <w:sz w:val="32"/>
          <w:szCs w:val="32"/>
        </w:rPr>
        <w:t>，</w:t>
      </w:r>
      <w:r>
        <w:rPr>
          <w:rFonts w:ascii="仿宋" w:hAnsi="仿宋" w:eastAsia="仿宋" w:cs="Times New Roman"/>
          <w:kern w:val="2"/>
          <w:sz w:val="32"/>
          <w:szCs w:val="32"/>
        </w:rPr>
        <w:t>主要原因是</w:t>
      </w:r>
      <w:r>
        <w:rPr>
          <w:rFonts w:hint="eastAsia" w:ascii="仿宋" w:hAnsi="仿宋" w:eastAsia="仿宋" w:cs="Times New Roman"/>
          <w:kern w:val="2"/>
          <w:sz w:val="32"/>
          <w:szCs w:val="32"/>
          <w:lang w:val="en-US" w:eastAsia="zh-CN"/>
        </w:rPr>
        <w:t>本年项目减少</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2666.35万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增加171.84</w:t>
      </w:r>
      <w:r>
        <w:rPr>
          <w:rFonts w:ascii="仿宋" w:hAnsi="仿宋" w:eastAsia="仿宋" w:cs="Times New Roman"/>
          <w:kern w:val="2"/>
          <w:sz w:val="32"/>
          <w:szCs w:val="32"/>
          <w:lang w:val="zh-CN"/>
        </w:rPr>
        <w:t>万元</w:t>
      </w:r>
      <w:r>
        <w:rPr>
          <w:rFonts w:ascii="仿宋" w:hAnsi="仿宋" w:eastAsia="仿宋" w:cs="Times New Roman"/>
          <w:kern w:val="2"/>
          <w:sz w:val="32"/>
          <w:szCs w:val="32"/>
        </w:rPr>
        <w:t>，增长6.9%，</w:t>
      </w:r>
      <w:r>
        <w:rPr>
          <w:rFonts w:ascii="仿宋" w:hAnsi="仿宋" w:eastAsia="仿宋" w:cs="Times New Roman"/>
          <w:kern w:val="2"/>
          <w:sz w:val="32"/>
          <w:szCs w:val="32"/>
          <w:lang w:val="zh-CN"/>
        </w:rPr>
        <w:t>主要</w:t>
      </w:r>
      <w:r>
        <w:rPr>
          <w:rFonts w:hint="eastAsia" w:ascii="仿宋" w:hAnsi="仿宋" w:eastAsia="仿宋" w:cs="Times New Roman"/>
          <w:kern w:val="2"/>
          <w:sz w:val="32"/>
          <w:szCs w:val="32"/>
          <w:lang w:val="zh-CN"/>
        </w:rPr>
        <w:t>原因是：</w:t>
      </w:r>
      <w:r>
        <w:rPr>
          <w:rFonts w:hint="eastAsia" w:ascii="仿宋" w:hAnsi="仿宋" w:eastAsia="仿宋" w:cs="Times New Roman"/>
          <w:kern w:val="2"/>
          <w:sz w:val="32"/>
          <w:szCs w:val="32"/>
          <w:lang w:val="en-US" w:eastAsia="zh-CN"/>
        </w:rPr>
        <w:t>上年结转项目本年支出</w:t>
      </w:r>
      <w:r>
        <w:rPr>
          <w:rFonts w:ascii="仿宋" w:hAnsi="仿宋" w:eastAsia="仿宋" w:cs="Times New Roman"/>
          <w:kern w:val="2"/>
          <w:sz w:val="32"/>
          <w:szCs w:val="32"/>
          <w:lang w:val="zh-CN"/>
        </w:rPr>
        <w:t>。</w:t>
      </w:r>
    </w:p>
    <w:p>
      <w:pPr>
        <w:autoSpaceDE w:val="0"/>
        <w:autoSpaceDN w:val="0"/>
        <w:adjustRightInd w:val="0"/>
        <w:snapToGrid w:val="0"/>
        <w:spacing w:after="0" w:line="360" w:lineRule="auto"/>
        <w:ind w:firstLine="640" w:firstLineChars="200"/>
        <w:jc w:val="left"/>
        <w:rPr>
          <w:rFonts w:hint="eastAsia" w:ascii="仿宋" w:hAnsi="仿宋" w:eastAsia="仿宋" w:cs="Times New Roman"/>
          <w:sz w:val="32"/>
          <w:szCs w:val="32"/>
        </w:rPr>
      </w:pPr>
      <w:r>
        <w:rPr>
          <w:rFonts w:ascii="仿宋" w:hAnsi="仿宋" w:eastAsia="仿宋" w:cs="Times New Roman"/>
          <w:kern w:val="2"/>
          <w:sz w:val="32"/>
          <w:szCs w:val="32"/>
        </w:rPr>
        <w:t xml:space="preserve">2. </w:t>
      </w:r>
      <w:r>
        <w:rPr>
          <w:rFonts w:ascii="仿宋" w:hAnsi="仿宋" w:eastAsia="仿宋" w:cs="Times New Roman"/>
          <w:kern w:val="2"/>
          <w:sz w:val="32"/>
          <w:szCs w:val="32"/>
          <w:lang w:val="zh-CN"/>
        </w:rPr>
        <w:t>政府性基金预算财政拨款本年收入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减少286.00</w:t>
      </w:r>
      <w:r>
        <w:rPr>
          <w:rFonts w:ascii="仿宋" w:hAnsi="仿宋" w:eastAsia="仿宋" w:cs="Times New Roman"/>
          <w:kern w:val="2"/>
          <w:sz w:val="32"/>
          <w:szCs w:val="32"/>
          <w:lang w:val="zh-CN"/>
        </w:rPr>
        <w:t>万元</w:t>
      </w:r>
      <w:r>
        <w:rPr>
          <w:rFonts w:ascii="仿宋" w:hAnsi="仿宋" w:eastAsia="仿宋" w:cs="Times New Roman"/>
          <w:kern w:val="2"/>
          <w:sz w:val="32"/>
          <w:szCs w:val="32"/>
        </w:rPr>
        <w:t>，降低100.0%，</w:t>
      </w:r>
      <w:r>
        <w:rPr>
          <w:rFonts w:ascii="仿宋" w:hAnsi="仿宋" w:eastAsia="仿宋" w:cs="Times New Roman"/>
          <w:kern w:val="2"/>
          <w:sz w:val="32"/>
          <w:szCs w:val="32"/>
          <w:lang w:val="zh-CN"/>
        </w:rPr>
        <w:t>主要</w:t>
      </w:r>
      <w:r>
        <w:rPr>
          <w:rFonts w:hint="eastAsia" w:ascii="仿宋" w:hAnsi="仿宋" w:eastAsia="仿宋" w:cs="Times New Roman"/>
          <w:kern w:val="2"/>
          <w:sz w:val="32"/>
          <w:szCs w:val="32"/>
          <w:lang w:val="zh-CN"/>
        </w:rPr>
        <w:t>原因是</w:t>
      </w:r>
      <w:r>
        <w:rPr>
          <w:rFonts w:hint="eastAsia" w:ascii="仿宋" w:hAnsi="仿宋" w:eastAsia="仿宋" w:cs="Times New Roman"/>
          <w:kern w:val="2"/>
          <w:sz w:val="32"/>
          <w:szCs w:val="32"/>
        </w:rPr>
        <w:t>：</w:t>
      </w:r>
      <w:r>
        <w:rPr>
          <w:rFonts w:hint="eastAsia" w:ascii="仿宋" w:hAnsi="仿宋" w:eastAsia="仿宋" w:cs="Times New Roman"/>
          <w:kern w:val="2"/>
          <w:sz w:val="32"/>
          <w:szCs w:val="32"/>
          <w:lang w:val="en-US" w:eastAsia="zh-CN"/>
        </w:rPr>
        <w:t>基金核减</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12.89万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减少260.22</w:t>
      </w:r>
      <w:r>
        <w:rPr>
          <w:rFonts w:ascii="仿宋" w:hAnsi="仿宋" w:eastAsia="仿宋" w:cs="Times New Roman"/>
          <w:kern w:val="2"/>
          <w:sz w:val="32"/>
          <w:szCs w:val="32"/>
          <w:lang w:val="zh-CN"/>
        </w:rPr>
        <w:t>万元</w:t>
      </w:r>
      <w:r>
        <w:rPr>
          <w:rFonts w:ascii="仿宋" w:hAnsi="仿宋" w:eastAsia="仿宋" w:cs="Times New Roman"/>
          <w:kern w:val="2"/>
          <w:sz w:val="32"/>
          <w:szCs w:val="32"/>
        </w:rPr>
        <w:t>，降低95.3%，</w:t>
      </w:r>
      <w:r>
        <w:rPr>
          <w:rFonts w:ascii="仿宋" w:hAnsi="仿宋" w:eastAsia="仿宋" w:cs="Times New Roman"/>
          <w:kern w:val="2"/>
          <w:sz w:val="32"/>
          <w:szCs w:val="32"/>
          <w:lang w:val="zh-CN"/>
        </w:rPr>
        <w:t>主要</w:t>
      </w:r>
      <w:r>
        <w:rPr>
          <w:rFonts w:hint="eastAsia" w:ascii="仿宋" w:hAnsi="仿宋" w:eastAsia="仿宋" w:cs="Times New Roman"/>
          <w:kern w:val="2"/>
          <w:sz w:val="32"/>
          <w:szCs w:val="32"/>
          <w:lang w:val="zh-CN"/>
        </w:rPr>
        <w:t>原因是</w:t>
      </w:r>
      <w:r>
        <w:rPr>
          <w:rFonts w:hint="eastAsia" w:ascii="仿宋" w:hAnsi="仿宋" w:eastAsia="仿宋" w:cs="Times New Roman"/>
          <w:kern w:val="2"/>
          <w:sz w:val="32"/>
          <w:szCs w:val="32"/>
        </w:rPr>
        <w:t>：</w:t>
      </w:r>
      <w:r>
        <w:rPr>
          <w:rFonts w:hint="eastAsia" w:ascii="仿宋" w:hAnsi="仿宋" w:eastAsia="仿宋" w:cs="Times New Roman"/>
          <w:kern w:val="2"/>
          <w:sz w:val="32"/>
          <w:szCs w:val="32"/>
          <w:lang w:val="en-US" w:eastAsia="zh-CN"/>
        </w:rPr>
        <w:t>基金核减</w:t>
      </w:r>
      <w:r>
        <w:rPr>
          <w:rFonts w:ascii="仿宋" w:hAnsi="仿宋" w:eastAsia="仿宋" w:cs="Times New Roman"/>
          <w:kern w:val="2"/>
          <w:sz w:val="32"/>
          <w:szCs w:val="32"/>
          <w:lang w:val="zh-CN"/>
        </w:rPr>
        <w:t>。</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3. </w:t>
      </w:r>
      <w:r>
        <w:rPr>
          <w:rFonts w:ascii="仿宋" w:hAnsi="仿宋" w:eastAsia="仿宋" w:cs="Times New Roman"/>
          <w:kern w:val="2"/>
          <w:sz w:val="32"/>
          <w:szCs w:val="32"/>
          <w:lang w:val="zh-CN"/>
        </w:rPr>
        <w:t>国有资本经营预算财政拨款本年收入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537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bookmarkStart w:id="1" w:name="_Hlk177574799"/>
            <w:r>
              <w:rPr>
                <w:rFonts w:hint="eastAsia" w:ascii="仿宋_GB2312" w:hAnsi="Times New Roman" w:eastAsia="仿宋" w:cs="DengXian-Regular"/>
                <w:sz w:val="32"/>
                <w:szCs w:val="32"/>
              </w:rPr>
              <w:drawing>
                <wp:anchor distT="0" distB="0" distL="114300" distR="114300" simplePos="0" relativeHeight="251678720" behindDoc="0" locked="0" layoutInCell="1" allowOverlap="1">
                  <wp:simplePos x="0" y="0"/>
                  <wp:positionH relativeFrom="column">
                    <wp:posOffset>273685</wp:posOffset>
                  </wp:positionH>
                  <wp:positionV relativeFrom="paragraph">
                    <wp:posOffset>69215</wp:posOffset>
                  </wp:positionV>
                  <wp:extent cx="4276725" cy="3171190"/>
                  <wp:effectExtent l="0" t="0" r="9525" b="0"/>
                  <wp:wrapNone/>
                  <wp:docPr id="3362900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90045" name="图片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76725" cy="3171190"/>
                          </a:xfrm>
                          <a:prstGeom prst="rect">
                            <a:avLst/>
                          </a:prstGeom>
                          <a:noFill/>
                          <a:ln>
                            <a:noFill/>
                          </a:ln>
                        </pic:spPr>
                      </pic:pic>
                    </a:graphicData>
                  </a:graphic>
                </wp:anchor>
              </w:drawing>
            </w:r>
          </w:p>
        </w:tc>
      </w:tr>
      <w:bookmarkEnd w:id="1"/>
    </w:tbl>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（二）财政拨款收支与年初预算数对比情况</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2520.39万元，完成年初预算的106.0%，比年初预算增加142.47万元，决算数大于预算数</w:t>
      </w:r>
      <w:r>
        <w:rPr>
          <w:rFonts w:hint="eastAsia" w:ascii="仿宋" w:hAnsi="仿宋" w:eastAsia="仿宋" w:cs="Times New Roman"/>
          <w:kern w:val="2"/>
          <w:sz w:val="32"/>
          <w:szCs w:val="32"/>
          <w:lang w:val="zh-CN"/>
        </w:rPr>
        <w:t>，</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人员工资变动及项目增加</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2679.23万元，完成年初预算的112.7%，比年初预算增加301.31万元，决算数大于预算数</w:t>
      </w:r>
      <w:r>
        <w:rPr>
          <w:rFonts w:hint="eastAsia" w:ascii="仿宋" w:hAnsi="仿宋" w:eastAsia="仿宋" w:cs="Times New Roman"/>
          <w:kern w:val="2"/>
          <w:sz w:val="32"/>
          <w:szCs w:val="32"/>
          <w:lang w:val="zh-CN"/>
        </w:rPr>
        <w:t>，</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人员工资变动及项目增加</w:t>
      </w:r>
      <w:r>
        <w:rPr>
          <w:rFonts w:ascii="仿宋" w:hAnsi="仿宋" w:eastAsia="仿宋" w:cs="Times New Roman"/>
          <w:kern w:val="2"/>
          <w:sz w:val="32"/>
          <w:szCs w:val="32"/>
          <w:lang w:val="zh-CN"/>
        </w:rPr>
        <w:t>。具体情况如下：</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rPr>
        <w:t>1.</w:t>
      </w:r>
      <w:r>
        <w:rPr>
          <w:rFonts w:ascii="仿宋" w:hAnsi="仿宋" w:eastAsia="仿宋" w:cs="Times New Roman"/>
          <w:kern w:val="2"/>
          <w:sz w:val="32"/>
          <w:szCs w:val="32"/>
          <w:lang w:val="zh-CN"/>
        </w:rPr>
        <w:t>一般公共预算财政拨款</w:t>
      </w:r>
      <w:r>
        <w:rPr>
          <w:rFonts w:ascii="仿宋" w:hAnsi="仿宋" w:eastAsia="仿宋" w:cs="Times New Roman"/>
          <w:kern w:val="2"/>
          <w:sz w:val="32"/>
          <w:szCs w:val="32"/>
        </w:rPr>
        <w:t>本年</w:t>
      </w:r>
      <w:r>
        <w:rPr>
          <w:rFonts w:ascii="仿宋" w:hAnsi="仿宋" w:eastAsia="仿宋" w:cs="Times New Roman"/>
          <w:kern w:val="2"/>
          <w:sz w:val="32"/>
          <w:szCs w:val="32"/>
          <w:lang w:val="zh-CN"/>
        </w:rPr>
        <w:t>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2520.39</w:t>
      </w:r>
      <w:r>
        <w:rPr>
          <w:rFonts w:ascii="仿宋" w:hAnsi="仿宋" w:eastAsia="仿宋" w:cs="Times New Roman"/>
          <w:kern w:val="2"/>
          <w:sz w:val="32"/>
          <w:szCs w:val="32"/>
          <w:lang w:val="zh-CN"/>
        </w:rPr>
        <w:t>万元，完成年初预算的128.1%，比年初预算增加553.47万元，</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人员工资变动及项目增加</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2666.35</w:t>
      </w:r>
      <w:r>
        <w:rPr>
          <w:rFonts w:ascii="仿宋" w:hAnsi="仿宋" w:eastAsia="仿宋" w:cs="Times New Roman"/>
          <w:kern w:val="2"/>
          <w:sz w:val="32"/>
          <w:szCs w:val="32"/>
          <w:lang w:val="zh-CN"/>
        </w:rPr>
        <w:t>万元，完成年初预算的135.6%，比年初预算增加699.43万元，</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人员工资变动及项目增加</w:t>
      </w:r>
      <w:r>
        <w:rPr>
          <w:rFonts w:ascii="仿宋" w:hAnsi="仿宋" w:eastAsia="仿宋" w:cs="Times New Roman"/>
          <w:kern w:val="2"/>
          <w:sz w:val="32"/>
          <w:szCs w:val="32"/>
          <w:lang w:val="zh-CN"/>
        </w:rPr>
        <w:t>。</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2. 政府性基金预算财政拨款本年收入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w:t>
      </w:r>
      <w:r>
        <w:rPr>
          <w:rFonts w:ascii="仿宋" w:hAnsi="仿宋" w:eastAsia="仿宋" w:cs="Times New Roman"/>
          <w:kern w:val="2"/>
          <w:sz w:val="32"/>
          <w:szCs w:val="32"/>
          <w:lang w:val="zh-CN"/>
        </w:rPr>
        <w:t>万元，完成年初预算的0.0%，比年初预算减少411.00万元，主要</w:t>
      </w:r>
      <w:r>
        <w:rPr>
          <w:rFonts w:hint="eastAsia" w:ascii="仿宋" w:hAnsi="仿宋" w:eastAsia="仿宋" w:cs="Times New Roman"/>
          <w:kern w:val="2"/>
          <w:sz w:val="32"/>
          <w:szCs w:val="32"/>
          <w:lang w:val="zh-CN"/>
        </w:rPr>
        <w:t>原因是</w:t>
      </w:r>
      <w:r>
        <w:rPr>
          <w:rFonts w:hint="eastAsia" w:ascii="仿宋" w:hAnsi="仿宋" w:eastAsia="仿宋" w:cs="Times New Roman"/>
          <w:kern w:val="2"/>
          <w:sz w:val="32"/>
          <w:szCs w:val="32"/>
        </w:rPr>
        <w:t>：</w:t>
      </w:r>
      <w:r>
        <w:rPr>
          <w:rFonts w:hint="eastAsia" w:ascii="仿宋" w:hAnsi="仿宋" w:eastAsia="仿宋" w:cs="Times New Roman"/>
          <w:kern w:val="2"/>
          <w:sz w:val="32"/>
          <w:szCs w:val="32"/>
          <w:lang w:val="en-US" w:eastAsia="zh-CN"/>
        </w:rPr>
        <w:t>基金核减</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12.89</w:t>
      </w:r>
      <w:r>
        <w:rPr>
          <w:rFonts w:ascii="仿宋" w:hAnsi="仿宋" w:eastAsia="仿宋" w:cs="Times New Roman"/>
          <w:kern w:val="2"/>
          <w:sz w:val="32"/>
          <w:szCs w:val="32"/>
          <w:lang w:val="zh-CN"/>
        </w:rPr>
        <w:t>万元，完成年初预算的3.1%，比年初预算减少398.11万元，主要</w:t>
      </w:r>
      <w:r>
        <w:rPr>
          <w:rFonts w:hint="eastAsia" w:ascii="仿宋" w:hAnsi="仿宋" w:eastAsia="仿宋" w:cs="Times New Roman"/>
          <w:kern w:val="2"/>
          <w:sz w:val="32"/>
          <w:szCs w:val="32"/>
          <w:lang w:val="zh-CN"/>
        </w:rPr>
        <w:t>原因是</w:t>
      </w:r>
      <w:r>
        <w:rPr>
          <w:rFonts w:hint="eastAsia" w:ascii="仿宋" w:hAnsi="仿宋" w:eastAsia="仿宋" w:cs="Times New Roman"/>
          <w:kern w:val="2"/>
          <w:sz w:val="32"/>
          <w:szCs w:val="32"/>
        </w:rPr>
        <w:t>：</w:t>
      </w:r>
      <w:r>
        <w:rPr>
          <w:rFonts w:hint="eastAsia" w:ascii="仿宋" w:hAnsi="仿宋" w:eastAsia="仿宋" w:cs="Times New Roman"/>
          <w:kern w:val="2"/>
          <w:sz w:val="32"/>
          <w:szCs w:val="32"/>
          <w:lang w:val="en-US" w:eastAsia="zh-CN"/>
        </w:rPr>
        <w:t>基金核减</w:t>
      </w:r>
      <w:r>
        <w:rPr>
          <w:rFonts w:ascii="仿宋" w:hAnsi="仿宋" w:eastAsia="仿宋" w:cs="Times New Roman"/>
          <w:kern w:val="2"/>
          <w:sz w:val="32"/>
          <w:szCs w:val="32"/>
          <w:lang w:val="zh-CN"/>
        </w:rPr>
        <w:t>。</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 xml:space="preserve">3. </w:t>
      </w:r>
      <w:r>
        <w:rPr>
          <w:rFonts w:hint="eastAsia" w:ascii="仿宋" w:hAnsi="仿宋" w:eastAsia="仿宋" w:cs="仿宋_GB2312"/>
          <w:kern w:val="2"/>
          <w:sz w:val="32"/>
          <w:szCs w:val="32"/>
          <w:lang w:val="zh-CN"/>
        </w:rPr>
        <w:t>国有资本经营预算财政拨款本年收入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w:t>
      </w:r>
      <w:r>
        <w:rPr>
          <w:rFonts w:ascii="仿宋" w:hAnsi="仿宋" w:eastAsia="仿宋" w:cs="Times New Roman"/>
          <w:kern w:val="2"/>
          <w:sz w:val="32"/>
          <w:szCs w:val="32"/>
          <w:lang w:val="zh-CN"/>
        </w:rPr>
        <w:t>。</w:t>
      </w:r>
    </w:p>
    <w:tbl>
      <w:tblPr>
        <w:tblStyle w:val="12"/>
        <w:tblW w:w="78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cantSplit/>
          <w:trHeight w:val="5203" w:hRule="atLeast"/>
          <w:jc w:val="center"/>
        </w:trPr>
        <w:tc>
          <w:tcPr>
            <w:tcW w:w="7842"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9744" behindDoc="0" locked="0" layoutInCell="1" allowOverlap="1">
                  <wp:simplePos x="0" y="0"/>
                  <wp:positionH relativeFrom="column">
                    <wp:posOffset>255270</wp:posOffset>
                  </wp:positionH>
                  <wp:positionV relativeFrom="paragraph">
                    <wp:posOffset>268605</wp:posOffset>
                  </wp:positionV>
                  <wp:extent cx="4328795" cy="2853055"/>
                  <wp:effectExtent l="0" t="0" r="0" b="4445"/>
                  <wp:wrapNone/>
                  <wp:docPr id="16656190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19055" name="图片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328795" cy="2853055"/>
                          </a:xfrm>
                          <a:prstGeom prst="rect">
                            <a:avLst/>
                          </a:prstGeom>
                          <a:noFill/>
                          <a:ln>
                            <a:noFill/>
                          </a:ln>
                        </pic:spPr>
                      </pic:pic>
                    </a:graphicData>
                  </a:graphic>
                </wp:anchor>
              </w:drawing>
            </w:r>
          </w:p>
        </w:tc>
      </w:tr>
    </w:tbl>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（三）财政拨款支出决算结构情况</w:t>
      </w:r>
    </w:p>
    <w:p>
      <w:pPr>
        <w:adjustRightInd w:val="0"/>
        <w:snapToGrid w:val="0"/>
        <w:spacing w:after="0" w:line="360" w:lineRule="auto"/>
        <w:ind w:firstLine="640" w:firstLineChars="200"/>
        <w:jc w:val="left"/>
        <w:rPr>
          <w:rFonts w:hint="eastAsia" w:ascii="仿宋" w:hAnsi="仿宋" w:eastAsia="仿宋" w:cs="Times New Roman"/>
          <w:sz w:val="32"/>
          <w:szCs w:val="32"/>
          <w:highlight w:val="yellow"/>
        </w:rPr>
      </w:pPr>
      <w:r>
        <w:rPr>
          <w:rFonts w:ascii="仿宋" w:hAnsi="仿宋" w:eastAsia="仿宋" w:cs="Times New Roman"/>
          <w:kern w:val="2"/>
          <w:sz w:val="32"/>
          <w:szCs w:val="32"/>
          <w:lang w:val="zh-CN"/>
        </w:rPr>
        <w:t>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年度财政拨款支出</w:t>
      </w:r>
      <w:r>
        <w:rPr>
          <w:rFonts w:hint="eastAsia" w:ascii="仿宋" w:hAnsi="仿宋" w:eastAsia="仿宋"/>
          <w:kern w:val="2"/>
          <w:sz w:val="32"/>
          <w:szCs w:val="32"/>
          <w:lang w:val="zh-CN"/>
        </w:rPr>
        <w:t>合计</w:t>
      </w:r>
      <w:r>
        <w:rPr>
          <w:rFonts w:hint="eastAsia" w:ascii="仿宋" w:hAnsi="仿宋" w:eastAsia="仿宋" w:cs="仿宋_GB2312"/>
          <w:kern w:val="2"/>
          <w:sz w:val="32"/>
          <w:szCs w:val="32"/>
          <w:lang w:val="zh-CN"/>
        </w:rPr>
        <w:t>2679.23</w:t>
      </w:r>
      <w:r>
        <w:rPr>
          <w:rFonts w:ascii="仿宋" w:hAnsi="仿宋" w:eastAsia="仿宋" w:cs="Times New Roman"/>
          <w:kern w:val="2"/>
          <w:sz w:val="32"/>
          <w:szCs w:val="32"/>
          <w:lang w:val="zh-CN"/>
        </w:rPr>
        <w:t>万元，主要用于以下方面：</w:t>
      </w:r>
    </w:p>
    <w:p>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hint="eastAsia" w:ascii="仿宋" w:hAnsi="仿宋" w:eastAsia="仿宋" w:cs="仿宋_GB2312"/>
          <w:sz w:val="32"/>
          <w:szCs w:val="32"/>
        </w:rPr>
        <w:t>一般公共服务（类）支出1465.31万元，占54.7%，</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人员工资、日常公用</w:t>
      </w:r>
      <w:r>
        <w:rPr>
          <w:rFonts w:hint="eastAsia" w:ascii="仿宋_GB2312" w:hAnsi="Times New Roman" w:eastAsia="仿宋" w:cs="DengXian-Regular"/>
          <w:sz w:val="32"/>
          <w:szCs w:val="32"/>
          <w:highlight w:val="none"/>
        </w:rPr>
        <w:t>等</w:t>
      </w:r>
      <w:r>
        <w:rPr>
          <w:rFonts w:hint="eastAsia" w:ascii="仿宋_GB2312" w:hAnsi="Times New Roman" w:eastAsia="仿宋" w:cs="DengXian-Regular"/>
          <w:sz w:val="32"/>
          <w:szCs w:val="32"/>
          <w:highlight w:val="none"/>
          <w:lang w:eastAsia="zh-CN"/>
        </w:rPr>
        <w:t>行政运行</w:t>
      </w:r>
      <w:r>
        <w:rPr>
          <w:rFonts w:hint="eastAsia" w:ascii="仿宋_GB2312" w:hAnsi="Times New Roman" w:eastAsia="仿宋" w:cs="DengXian-Regular"/>
          <w:sz w:val="32"/>
          <w:szCs w:val="32"/>
          <w:highlight w:val="none"/>
        </w:rPr>
        <w:t>支出</w:t>
      </w:r>
      <w:r>
        <w:rPr>
          <w:rFonts w:hint="eastAsia" w:ascii="仿宋" w:hAnsi="仿宋" w:eastAsia="仿宋" w:cs="仿宋_GB2312"/>
          <w:sz w:val="32"/>
          <w:szCs w:val="32"/>
        </w:rPr>
        <w:t>；社会保障和就业（类）支出243.43万元，占9.1%，</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人员社会保障缴费及退休人员工资</w:t>
      </w:r>
      <w:r>
        <w:rPr>
          <w:rFonts w:hint="eastAsia" w:ascii="仿宋_GB2312" w:hAnsi="Times New Roman" w:eastAsia="仿宋" w:cs="DengXian-Regular"/>
          <w:sz w:val="32"/>
          <w:szCs w:val="32"/>
          <w:highlight w:val="none"/>
        </w:rPr>
        <w:t>等支出</w:t>
      </w:r>
      <w:r>
        <w:rPr>
          <w:rFonts w:hint="eastAsia" w:ascii="仿宋" w:hAnsi="仿宋" w:eastAsia="仿宋" w:cs="仿宋_GB2312"/>
          <w:sz w:val="32"/>
          <w:szCs w:val="32"/>
        </w:rPr>
        <w:t>；卫生健康（类）支出93.40万元，占3.5%，</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人员医疗缴费</w:t>
      </w:r>
      <w:r>
        <w:rPr>
          <w:rFonts w:hint="eastAsia" w:ascii="仿宋_GB2312" w:hAnsi="Times New Roman" w:eastAsia="仿宋" w:cs="DengXian-Regular"/>
          <w:sz w:val="32"/>
          <w:szCs w:val="32"/>
          <w:highlight w:val="none"/>
        </w:rPr>
        <w:t>等支出</w:t>
      </w:r>
      <w:r>
        <w:rPr>
          <w:rFonts w:hint="eastAsia" w:ascii="仿宋" w:hAnsi="仿宋" w:eastAsia="仿宋" w:cs="仿宋_GB2312"/>
          <w:sz w:val="32"/>
          <w:szCs w:val="32"/>
        </w:rPr>
        <w:t>；节能环保（类）支出86.58万元，占3.2%，</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取暖锅炉改造和环境整治</w:t>
      </w:r>
      <w:r>
        <w:rPr>
          <w:rFonts w:hint="eastAsia" w:ascii="仿宋_GB2312" w:hAnsi="Times New Roman" w:eastAsia="仿宋" w:cs="DengXian-Regular"/>
          <w:sz w:val="32"/>
          <w:szCs w:val="32"/>
          <w:highlight w:val="none"/>
        </w:rPr>
        <w:t>等支出</w:t>
      </w:r>
      <w:r>
        <w:rPr>
          <w:rFonts w:hint="eastAsia" w:ascii="仿宋" w:hAnsi="仿宋" w:eastAsia="仿宋" w:cs="仿宋_GB2312"/>
          <w:sz w:val="32"/>
          <w:szCs w:val="32"/>
        </w:rPr>
        <w:t>；城乡社区（类）支出12.89万元，占0.5%，</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基础设施建设</w:t>
      </w:r>
      <w:r>
        <w:rPr>
          <w:rFonts w:hint="eastAsia" w:ascii="仿宋_GB2312" w:hAnsi="Times New Roman" w:eastAsia="仿宋" w:cs="DengXian-Regular"/>
          <w:sz w:val="32"/>
          <w:szCs w:val="32"/>
          <w:highlight w:val="none"/>
        </w:rPr>
        <w:t>等支出</w:t>
      </w:r>
      <w:r>
        <w:rPr>
          <w:rFonts w:hint="eastAsia" w:ascii="仿宋" w:hAnsi="仿宋" w:eastAsia="仿宋" w:cs="仿宋_GB2312"/>
          <w:sz w:val="32"/>
          <w:szCs w:val="32"/>
        </w:rPr>
        <w:t>；农林水（类）支出506.45万元，占18.9%，</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事业人员工资福利、防火防汛、村干部工资及村级经费</w:t>
      </w:r>
      <w:r>
        <w:rPr>
          <w:rFonts w:hint="eastAsia" w:ascii="仿宋_GB2312" w:hAnsi="Times New Roman" w:eastAsia="仿宋" w:cs="DengXian-Regular"/>
          <w:sz w:val="32"/>
          <w:szCs w:val="32"/>
          <w:highlight w:val="none"/>
        </w:rPr>
        <w:t>等支出</w:t>
      </w:r>
      <w:r>
        <w:rPr>
          <w:rFonts w:hint="eastAsia" w:ascii="仿宋" w:hAnsi="仿宋" w:eastAsia="仿宋" w:cs="仿宋_GB2312"/>
          <w:sz w:val="32"/>
          <w:szCs w:val="32"/>
        </w:rPr>
        <w:t>；住房保障（类）支出165.67万元，占6.2%，</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人员住房公积金</w:t>
      </w:r>
      <w:r>
        <w:rPr>
          <w:rFonts w:hint="eastAsia" w:ascii="仿宋_GB2312" w:hAnsi="Times New Roman" w:eastAsia="仿宋" w:cs="DengXian-Regular"/>
          <w:sz w:val="32"/>
          <w:szCs w:val="32"/>
          <w:highlight w:val="none"/>
        </w:rPr>
        <w:t>等支出</w:t>
      </w:r>
      <w:r>
        <w:rPr>
          <w:rFonts w:hint="eastAsia" w:ascii="仿宋" w:hAnsi="仿宋" w:eastAsia="仿宋" w:cs="仿宋_GB2312"/>
          <w:sz w:val="32"/>
          <w:szCs w:val="32"/>
        </w:rPr>
        <w:t>；灾害防治及应急管理（类）支出0.51万元，占0.0%，主要用于</w:t>
      </w:r>
      <w:r>
        <w:rPr>
          <w:rFonts w:hint="eastAsia" w:ascii="仿宋" w:hAnsi="仿宋" w:eastAsia="仿宋" w:cs="仿宋_GB2312"/>
          <w:sz w:val="32"/>
          <w:szCs w:val="32"/>
          <w:lang w:val="en-US" w:eastAsia="zh-CN"/>
        </w:rPr>
        <w:t>自然灾害综合风险普查</w:t>
      </w:r>
      <w:r>
        <w:rPr>
          <w:rFonts w:hint="eastAsia" w:ascii="仿宋" w:hAnsi="仿宋" w:eastAsia="仿宋" w:cs="仿宋_GB2312"/>
          <w:sz w:val="32"/>
          <w:szCs w:val="32"/>
        </w:rPr>
        <w:t>等支出；</w:t>
      </w:r>
      <w:r>
        <w:rPr>
          <w:rFonts w:hint="eastAsia" w:ascii="仿宋" w:hAnsi="仿宋" w:eastAsia="仿宋" w:cs="仿宋_GB2312"/>
          <w:kern w:val="2"/>
          <w:sz w:val="32"/>
          <w:szCs w:val="32"/>
          <w:lang w:val="zh-CN"/>
        </w:rPr>
        <w:t>其他（类）支出</w:t>
      </w:r>
      <w:r>
        <w:rPr>
          <w:rFonts w:hint="eastAsia" w:ascii="仿宋" w:hAnsi="仿宋" w:eastAsia="仿宋" w:cs="仿宋_GB2312"/>
          <w:kern w:val="2"/>
          <w:sz w:val="32"/>
          <w:szCs w:val="32"/>
        </w:rPr>
        <w:t>105.00</w:t>
      </w:r>
      <w:r>
        <w:rPr>
          <w:rFonts w:hint="eastAsia" w:ascii="仿宋" w:hAnsi="仿宋" w:eastAsia="仿宋" w:cs="仿宋_GB2312"/>
          <w:kern w:val="2"/>
          <w:sz w:val="32"/>
          <w:szCs w:val="32"/>
          <w:lang w:val="zh-CN"/>
        </w:rPr>
        <w:t>万元，占</w:t>
      </w:r>
      <w:r>
        <w:rPr>
          <w:rFonts w:hint="eastAsia" w:ascii="仿宋" w:hAnsi="仿宋" w:eastAsia="仿宋" w:cs="仿宋_GB2312"/>
          <w:kern w:val="2"/>
          <w:sz w:val="32"/>
          <w:szCs w:val="32"/>
        </w:rPr>
        <w:t>3.9</w:t>
      </w:r>
      <w:r>
        <w:rPr>
          <w:rFonts w:hint="eastAsia" w:ascii="仿宋" w:hAnsi="仿宋" w:eastAsia="仿宋" w:cs="仿宋_GB2312"/>
          <w:kern w:val="2"/>
          <w:sz w:val="32"/>
          <w:szCs w:val="32"/>
          <w:lang w:val="zh-CN"/>
        </w:rPr>
        <w:t>%</w:t>
      </w:r>
      <w:r>
        <w:rPr>
          <w:rFonts w:hint="eastAsia" w:ascii="仿宋" w:hAnsi="仿宋" w:eastAsia="仿宋" w:cs="仿宋_GB2312"/>
          <w:sz w:val="32"/>
          <w:szCs w:val="32"/>
        </w:rPr>
        <w:t>，</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革命老区项目</w:t>
      </w:r>
      <w:r>
        <w:rPr>
          <w:rFonts w:hint="eastAsia" w:ascii="仿宋_GB2312" w:hAnsi="Times New Roman" w:eastAsia="仿宋" w:cs="DengXian-Regular"/>
          <w:sz w:val="32"/>
          <w:szCs w:val="32"/>
          <w:highlight w:val="none"/>
        </w:rPr>
        <w:t>支出</w:t>
      </w:r>
      <w:r>
        <w:rPr>
          <w:rFonts w:ascii="仿宋" w:hAnsi="仿宋" w:eastAsia="仿宋"/>
          <w:kern w:val="2"/>
          <w:sz w:val="32"/>
          <w:szCs w:val="32"/>
          <w:lang w:val="zh-CN"/>
        </w:rPr>
        <w:t>。</w:t>
      </w:r>
    </w:p>
    <w:p>
      <w:pPr>
        <w:snapToGrid w:val="0"/>
        <w:spacing w:after="0" w:line="360" w:lineRule="auto"/>
        <w:ind w:firstLine="643" w:firstLineChars="200"/>
        <w:rPr>
          <w:rFonts w:hint="eastAsia" w:ascii="楷体" w:hAnsi="楷体" w:eastAsia="楷体"/>
          <w:b/>
          <w:bCs/>
          <w:sz w:val="32"/>
          <w:szCs w:val="32"/>
        </w:rPr>
      </w:pPr>
      <w:r>
        <w:rPr>
          <w:rFonts w:hint="eastAsia" w:ascii="楷体" w:hAnsi="楷体" w:eastAsia="楷体"/>
          <w:b/>
          <w:bCs/>
          <w:sz w:val="32"/>
          <w:szCs w:val="32"/>
        </w:rPr>
        <w:t>（四）</w:t>
      </w:r>
      <w:r>
        <w:rPr>
          <w:rFonts w:ascii="楷体" w:hAnsi="楷体" w:eastAsia="楷体"/>
          <w:b/>
          <w:bCs/>
          <w:sz w:val="32"/>
          <w:szCs w:val="32"/>
        </w:rPr>
        <w:t>一般公共预算基本支出决算情况说明</w:t>
      </w:r>
    </w:p>
    <w:p>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2023年度财政拨款基本支出1726.95万元，其中：</w:t>
      </w:r>
    </w:p>
    <w:p>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人员经费1600.82万元，主要包括:基本工资</w:t>
      </w:r>
      <w:r>
        <w:rPr>
          <w:rFonts w:hint="eastAsia" w:ascii="仿宋" w:hAnsi="仿宋" w:eastAsia="仿宋" w:cs="仿宋_GB2312"/>
          <w:sz w:val="32"/>
          <w:szCs w:val="32"/>
          <w:lang w:val="en-US" w:eastAsia="zh-CN"/>
        </w:rPr>
        <w:t>533.70万元</w:t>
      </w:r>
      <w:r>
        <w:rPr>
          <w:rFonts w:ascii="仿宋" w:hAnsi="仿宋" w:eastAsia="仿宋" w:cs="仿宋_GB2312"/>
          <w:sz w:val="32"/>
          <w:szCs w:val="32"/>
        </w:rPr>
        <w:t>、津贴补贴</w:t>
      </w:r>
      <w:r>
        <w:rPr>
          <w:rFonts w:hint="eastAsia" w:ascii="仿宋" w:hAnsi="仿宋" w:eastAsia="仿宋" w:cs="仿宋_GB2312"/>
          <w:sz w:val="32"/>
          <w:szCs w:val="32"/>
          <w:lang w:val="en-US" w:eastAsia="zh-CN"/>
        </w:rPr>
        <w:t>211.42万元</w:t>
      </w:r>
      <w:r>
        <w:rPr>
          <w:rFonts w:ascii="仿宋" w:hAnsi="仿宋" w:eastAsia="仿宋" w:cs="仿宋_GB2312"/>
          <w:sz w:val="32"/>
          <w:szCs w:val="32"/>
        </w:rPr>
        <w:t>、奖金</w:t>
      </w:r>
      <w:r>
        <w:rPr>
          <w:rFonts w:hint="eastAsia" w:ascii="仿宋" w:hAnsi="仿宋" w:eastAsia="仿宋" w:cs="仿宋_GB2312"/>
          <w:sz w:val="32"/>
          <w:szCs w:val="32"/>
          <w:lang w:val="en-US" w:eastAsia="zh-CN"/>
        </w:rPr>
        <w:t>62.33万元</w:t>
      </w:r>
      <w:r>
        <w:rPr>
          <w:rFonts w:ascii="仿宋" w:hAnsi="仿宋" w:eastAsia="仿宋" w:cs="仿宋_GB2312"/>
          <w:sz w:val="32"/>
          <w:szCs w:val="32"/>
        </w:rPr>
        <w:t>、绩效工资</w:t>
      </w:r>
      <w:r>
        <w:rPr>
          <w:rFonts w:hint="eastAsia" w:ascii="仿宋" w:hAnsi="仿宋" w:eastAsia="仿宋" w:cs="仿宋_GB2312"/>
          <w:sz w:val="32"/>
          <w:szCs w:val="32"/>
          <w:lang w:val="en-US" w:eastAsia="zh-CN"/>
        </w:rPr>
        <w:t>298.04万元</w:t>
      </w:r>
      <w:r>
        <w:rPr>
          <w:rFonts w:ascii="仿宋" w:hAnsi="仿宋" w:eastAsia="仿宋" w:cs="仿宋_GB2312"/>
          <w:sz w:val="32"/>
          <w:szCs w:val="32"/>
        </w:rPr>
        <w:t>、机关事业单位基本养老保险缴费</w:t>
      </w:r>
      <w:r>
        <w:rPr>
          <w:rFonts w:hint="eastAsia" w:ascii="仿宋" w:hAnsi="仿宋" w:eastAsia="仿宋" w:cs="仿宋_GB2312"/>
          <w:sz w:val="32"/>
          <w:szCs w:val="32"/>
          <w:lang w:val="en-US" w:eastAsia="zh-CN"/>
        </w:rPr>
        <w:t>124.36万元</w:t>
      </w:r>
      <w:r>
        <w:rPr>
          <w:rFonts w:ascii="仿宋" w:hAnsi="仿宋" w:eastAsia="仿宋" w:cs="仿宋_GB2312"/>
          <w:sz w:val="32"/>
          <w:szCs w:val="32"/>
        </w:rPr>
        <w:t>、职业年金缴费</w:t>
      </w:r>
      <w:r>
        <w:rPr>
          <w:rFonts w:hint="eastAsia" w:ascii="仿宋" w:hAnsi="仿宋" w:eastAsia="仿宋" w:cs="仿宋_GB2312"/>
          <w:sz w:val="32"/>
          <w:szCs w:val="32"/>
          <w:lang w:val="en-US" w:eastAsia="zh-CN"/>
        </w:rPr>
        <w:t>13.17万元</w:t>
      </w:r>
      <w:r>
        <w:rPr>
          <w:rFonts w:ascii="仿宋" w:hAnsi="仿宋" w:eastAsia="仿宋" w:cs="仿宋_GB2312"/>
          <w:sz w:val="32"/>
          <w:szCs w:val="32"/>
        </w:rPr>
        <w:t>、职工基本医疗保险缴费</w:t>
      </w:r>
      <w:r>
        <w:rPr>
          <w:rFonts w:hint="eastAsia" w:ascii="仿宋" w:hAnsi="仿宋" w:eastAsia="仿宋" w:cs="仿宋_GB2312"/>
          <w:sz w:val="32"/>
          <w:szCs w:val="32"/>
          <w:lang w:val="en-US" w:eastAsia="zh-CN"/>
        </w:rPr>
        <w:t>78.67万元</w:t>
      </w:r>
      <w:r>
        <w:rPr>
          <w:rFonts w:ascii="仿宋" w:hAnsi="仿宋" w:eastAsia="仿宋" w:cs="仿宋_GB2312"/>
          <w:sz w:val="32"/>
          <w:szCs w:val="32"/>
        </w:rPr>
        <w:t>、其他社会保障缴费</w:t>
      </w:r>
      <w:r>
        <w:rPr>
          <w:rFonts w:hint="eastAsia" w:ascii="仿宋" w:hAnsi="仿宋" w:eastAsia="仿宋" w:cs="仿宋_GB2312"/>
          <w:sz w:val="32"/>
          <w:szCs w:val="32"/>
          <w:lang w:val="en-US" w:eastAsia="zh-CN"/>
        </w:rPr>
        <w:t>7.43万元</w:t>
      </w:r>
      <w:r>
        <w:rPr>
          <w:rFonts w:ascii="仿宋" w:hAnsi="仿宋" w:eastAsia="仿宋" w:cs="仿宋_GB2312"/>
          <w:sz w:val="32"/>
          <w:szCs w:val="32"/>
        </w:rPr>
        <w:t>、住房公积金</w:t>
      </w:r>
      <w:r>
        <w:rPr>
          <w:rFonts w:hint="eastAsia" w:ascii="仿宋" w:hAnsi="仿宋" w:eastAsia="仿宋" w:cs="仿宋_GB2312"/>
          <w:sz w:val="32"/>
          <w:szCs w:val="32"/>
          <w:lang w:val="en-US" w:eastAsia="zh-CN"/>
        </w:rPr>
        <w:t>165.67万元</w:t>
      </w:r>
      <w:r>
        <w:rPr>
          <w:rFonts w:ascii="仿宋" w:hAnsi="仿宋" w:eastAsia="仿宋" w:cs="仿宋_GB2312"/>
          <w:sz w:val="32"/>
          <w:szCs w:val="32"/>
        </w:rPr>
        <w:t>、其他工资福利支出</w:t>
      </w:r>
      <w:r>
        <w:rPr>
          <w:rFonts w:hint="eastAsia" w:ascii="仿宋" w:hAnsi="仿宋" w:eastAsia="仿宋" w:cs="仿宋_GB2312"/>
          <w:sz w:val="32"/>
          <w:szCs w:val="32"/>
          <w:lang w:val="en-US" w:eastAsia="zh-CN"/>
        </w:rPr>
        <w:t>0.13万元</w:t>
      </w:r>
      <w:r>
        <w:rPr>
          <w:rFonts w:ascii="仿宋" w:hAnsi="仿宋" w:eastAsia="仿宋" w:cs="仿宋_GB2312"/>
          <w:sz w:val="32"/>
          <w:szCs w:val="32"/>
        </w:rPr>
        <w:t>、离休费</w:t>
      </w:r>
      <w:r>
        <w:rPr>
          <w:rFonts w:hint="eastAsia" w:ascii="仿宋" w:hAnsi="仿宋" w:eastAsia="仿宋" w:cs="仿宋_GB2312"/>
          <w:sz w:val="32"/>
          <w:szCs w:val="32"/>
          <w:lang w:val="en-US" w:eastAsia="zh-CN"/>
        </w:rPr>
        <w:t>22.44万元</w:t>
      </w:r>
      <w:r>
        <w:rPr>
          <w:rFonts w:ascii="仿宋" w:hAnsi="仿宋" w:eastAsia="仿宋" w:cs="仿宋_GB2312"/>
          <w:sz w:val="32"/>
          <w:szCs w:val="32"/>
        </w:rPr>
        <w:t>、退休费</w:t>
      </w:r>
      <w:r>
        <w:rPr>
          <w:rFonts w:hint="eastAsia" w:ascii="仿宋" w:hAnsi="仿宋" w:eastAsia="仿宋" w:cs="仿宋_GB2312"/>
          <w:sz w:val="32"/>
          <w:szCs w:val="32"/>
          <w:lang w:val="en-US" w:eastAsia="zh-CN"/>
        </w:rPr>
        <w:t>37.82万元</w:t>
      </w:r>
      <w:r>
        <w:rPr>
          <w:rFonts w:ascii="仿宋" w:hAnsi="仿宋" w:eastAsia="仿宋" w:cs="仿宋_GB2312"/>
          <w:sz w:val="32"/>
          <w:szCs w:val="32"/>
        </w:rPr>
        <w:t>、抚恤金</w:t>
      </w:r>
      <w:r>
        <w:rPr>
          <w:rFonts w:hint="eastAsia" w:ascii="仿宋" w:hAnsi="仿宋" w:eastAsia="仿宋" w:cs="仿宋_GB2312"/>
          <w:sz w:val="32"/>
          <w:szCs w:val="32"/>
          <w:lang w:val="en-US" w:eastAsia="zh-CN"/>
        </w:rPr>
        <w:t>35.01万元</w:t>
      </w:r>
      <w:r>
        <w:rPr>
          <w:rFonts w:ascii="仿宋" w:hAnsi="仿宋" w:eastAsia="仿宋" w:cs="仿宋_GB2312"/>
          <w:sz w:val="32"/>
          <w:szCs w:val="32"/>
        </w:rPr>
        <w:t>、生活补助</w:t>
      </w:r>
      <w:r>
        <w:rPr>
          <w:rFonts w:hint="eastAsia" w:ascii="仿宋" w:hAnsi="仿宋" w:eastAsia="仿宋" w:cs="仿宋_GB2312"/>
          <w:sz w:val="32"/>
          <w:szCs w:val="32"/>
          <w:lang w:val="en-US" w:eastAsia="zh-CN"/>
        </w:rPr>
        <w:t>10.63万元</w:t>
      </w:r>
      <w:r>
        <w:rPr>
          <w:rFonts w:ascii="仿宋" w:hAnsi="仿宋" w:eastAsia="仿宋" w:cs="仿宋_GB2312"/>
          <w:sz w:val="32"/>
          <w:szCs w:val="32"/>
        </w:rPr>
        <w:t>；</w:t>
      </w:r>
    </w:p>
    <w:p>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公用经费126.13万元，主要包括:办公费</w:t>
      </w:r>
      <w:r>
        <w:rPr>
          <w:rFonts w:hint="eastAsia" w:ascii="仿宋" w:hAnsi="仿宋" w:eastAsia="仿宋" w:cs="仿宋_GB2312"/>
          <w:sz w:val="32"/>
          <w:szCs w:val="32"/>
          <w:lang w:val="en-US" w:eastAsia="zh-CN"/>
        </w:rPr>
        <w:t>19.58万元</w:t>
      </w:r>
      <w:r>
        <w:rPr>
          <w:rFonts w:ascii="仿宋" w:hAnsi="仿宋" w:eastAsia="仿宋" w:cs="仿宋_GB2312"/>
          <w:sz w:val="32"/>
          <w:szCs w:val="32"/>
        </w:rPr>
        <w:t>、印刷费</w:t>
      </w:r>
      <w:r>
        <w:rPr>
          <w:rFonts w:hint="eastAsia" w:ascii="仿宋" w:hAnsi="仿宋" w:eastAsia="仿宋" w:cs="仿宋_GB2312"/>
          <w:sz w:val="32"/>
          <w:szCs w:val="32"/>
          <w:lang w:val="en-US" w:eastAsia="zh-CN"/>
        </w:rPr>
        <w:t>0.50万元</w:t>
      </w:r>
      <w:r>
        <w:rPr>
          <w:rFonts w:ascii="仿宋" w:hAnsi="仿宋" w:eastAsia="仿宋" w:cs="仿宋_GB2312"/>
          <w:sz w:val="32"/>
          <w:szCs w:val="32"/>
        </w:rPr>
        <w:t>、电费</w:t>
      </w:r>
      <w:r>
        <w:rPr>
          <w:rFonts w:hint="eastAsia" w:ascii="仿宋" w:hAnsi="仿宋" w:eastAsia="仿宋" w:cs="仿宋_GB2312"/>
          <w:sz w:val="32"/>
          <w:szCs w:val="32"/>
          <w:lang w:val="en-US" w:eastAsia="zh-CN"/>
        </w:rPr>
        <w:t>7.50万元</w:t>
      </w:r>
      <w:r>
        <w:rPr>
          <w:rFonts w:ascii="仿宋" w:hAnsi="仿宋" w:eastAsia="仿宋" w:cs="仿宋_GB2312"/>
          <w:sz w:val="32"/>
          <w:szCs w:val="32"/>
        </w:rPr>
        <w:t>、邮电费</w:t>
      </w:r>
      <w:r>
        <w:rPr>
          <w:rFonts w:hint="eastAsia" w:ascii="仿宋" w:hAnsi="仿宋" w:eastAsia="仿宋" w:cs="仿宋_GB2312"/>
          <w:sz w:val="32"/>
          <w:szCs w:val="32"/>
          <w:lang w:val="en-US" w:eastAsia="zh-CN"/>
        </w:rPr>
        <w:t>0.30万元</w:t>
      </w:r>
      <w:r>
        <w:rPr>
          <w:rFonts w:ascii="仿宋" w:hAnsi="仿宋" w:eastAsia="仿宋" w:cs="仿宋_GB2312"/>
          <w:sz w:val="32"/>
          <w:szCs w:val="32"/>
        </w:rPr>
        <w:t>、差旅费</w:t>
      </w:r>
      <w:r>
        <w:rPr>
          <w:rFonts w:hint="eastAsia" w:ascii="仿宋" w:hAnsi="仿宋" w:eastAsia="仿宋" w:cs="仿宋_GB2312"/>
          <w:sz w:val="32"/>
          <w:szCs w:val="32"/>
          <w:lang w:val="en-US" w:eastAsia="zh-CN"/>
        </w:rPr>
        <w:t>10.43万元</w:t>
      </w:r>
      <w:r>
        <w:rPr>
          <w:rFonts w:ascii="仿宋" w:hAnsi="仿宋" w:eastAsia="仿宋" w:cs="仿宋_GB2312"/>
          <w:sz w:val="32"/>
          <w:szCs w:val="32"/>
        </w:rPr>
        <w:t>、维修（护）费</w:t>
      </w:r>
      <w:r>
        <w:rPr>
          <w:rFonts w:hint="eastAsia" w:ascii="仿宋" w:hAnsi="仿宋" w:eastAsia="仿宋" w:cs="仿宋_GB2312"/>
          <w:sz w:val="32"/>
          <w:szCs w:val="32"/>
          <w:lang w:val="en-US" w:eastAsia="zh-CN"/>
        </w:rPr>
        <w:t>34.01万元</w:t>
      </w:r>
      <w:r>
        <w:rPr>
          <w:rFonts w:ascii="仿宋" w:hAnsi="仿宋" w:eastAsia="仿宋" w:cs="仿宋_GB2312"/>
          <w:sz w:val="32"/>
          <w:szCs w:val="32"/>
        </w:rPr>
        <w:t>、公务接待费</w:t>
      </w:r>
      <w:r>
        <w:rPr>
          <w:rFonts w:hint="eastAsia" w:ascii="仿宋" w:hAnsi="仿宋" w:eastAsia="仿宋" w:cs="仿宋_GB2312"/>
          <w:sz w:val="32"/>
          <w:szCs w:val="32"/>
          <w:lang w:val="en-US" w:eastAsia="zh-CN"/>
        </w:rPr>
        <w:t>2.25万元</w:t>
      </w:r>
      <w:r>
        <w:rPr>
          <w:rFonts w:ascii="仿宋" w:hAnsi="仿宋" w:eastAsia="仿宋" w:cs="仿宋_GB2312"/>
          <w:sz w:val="32"/>
          <w:szCs w:val="32"/>
        </w:rPr>
        <w:t>、劳务费</w:t>
      </w:r>
      <w:r>
        <w:rPr>
          <w:rFonts w:hint="eastAsia" w:ascii="仿宋" w:hAnsi="仿宋" w:eastAsia="仿宋" w:cs="仿宋_GB2312"/>
          <w:sz w:val="32"/>
          <w:szCs w:val="32"/>
          <w:lang w:val="en-US" w:eastAsia="zh-CN"/>
        </w:rPr>
        <w:t>8.20万元</w:t>
      </w:r>
      <w:r>
        <w:rPr>
          <w:rFonts w:ascii="仿宋" w:hAnsi="仿宋" w:eastAsia="仿宋" w:cs="仿宋_GB2312"/>
          <w:sz w:val="32"/>
          <w:szCs w:val="32"/>
        </w:rPr>
        <w:t>、公务用车运行维护费</w:t>
      </w:r>
      <w:r>
        <w:rPr>
          <w:rFonts w:hint="eastAsia" w:ascii="仿宋" w:hAnsi="仿宋" w:eastAsia="仿宋" w:cs="仿宋_GB2312"/>
          <w:sz w:val="32"/>
          <w:szCs w:val="32"/>
          <w:lang w:val="en-US" w:eastAsia="zh-CN"/>
        </w:rPr>
        <w:t>2.51万元</w:t>
      </w:r>
      <w:r>
        <w:rPr>
          <w:rFonts w:ascii="仿宋" w:hAnsi="仿宋" w:eastAsia="仿宋" w:cs="仿宋_GB2312"/>
          <w:sz w:val="32"/>
          <w:szCs w:val="32"/>
        </w:rPr>
        <w:t>、其他交通费用</w:t>
      </w:r>
      <w:r>
        <w:rPr>
          <w:rFonts w:hint="eastAsia" w:ascii="仿宋" w:hAnsi="仿宋" w:eastAsia="仿宋" w:cs="仿宋_GB2312"/>
          <w:sz w:val="32"/>
          <w:szCs w:val="32"/>
          <w:lang w:val="en-US" w:eastAsia="zh-CN"/>
        </w:rPr>
        <w:t>34.11万元</w:t>
      </w:r>
      <w:r>
        <w:rPr>
          <w:rFonts w:ascii="仿宋" w:hAnsi="仿宋" w:eastAsia="仿宋" w:cs="仿宋_GB2312"/>
          <w:sz w:val="32"/>
          <w:szCs w:val="32"/>
        </w:rPr>
        <w:t>、办公设备购置</w:t>
      </w:r>
      <w:r>
        <w:rPr>
          <w:rFonts w:hint="eastAsia" w:ascii="仿宋" w:hAnsi="仿宋" w:eastAsia="仿宋" w:cs="仿宋_GB2312"/>
          <w:sz w:val="32"/>
          <w:szCs w:val="32"/>
          <w:lang w:val="en-US" w:eastAsia="zh-CN"/>
        </w:rPr>
        <w:t>6.75万元</w:t>
      </w:r>
      <w:r>
        <w:rPr>
          <w:rFonts w:ascii="仿宋" w:hAnsi="仿宋" w:eastAsia="仿宋" w:cs="仿宋_GB2312"/>
          <w:sz w:val="32"/>
          <w:szCs w:val="32"/>
        </w:rPr>
        <w:t>。</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五、财政拨款“三公” 经费支出决算情况说明</w:t>
      </w:r>
    </w:p>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（一）“三公”经费财政拨款支出决算总体情况说明</w:t>
      </w:r>
    </w:p>
    <w:p>
      <w:pPr>
        <w:pStyle w:val="10"/>
        <w:widowControl/>
        <w:snapToGrid w:val="0"/>
        <w:spacing w:beforeAutospacing="0" w:afterAutospacing="0" w:line="360" w:lineRule="auto"/>
        <w:ind w:firstLine="640" w:firstLineChars="200"/>
        <w:rPr>
          <w:rFonts w:hint="eastAsia" w:ascii="仿宋" w:hAnsi="仿宋" w:eastAsia="仿宋"/>
          <w:kern w:val="2"/>
          <w:sz w:val="32"/>
          <w:szCs w:val="32"/>
        </w:rPr>
      </w:pP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w:t>
      </w:r>
      <w:r>
        <w:rPr>
          <w:rFonts w:ascii="仿宋" w:hAnsi="仿宋" w:eastAsia="仿宋"/>
          <w:kern w:val="2"/>
          <w:sz w:val="32"/>
          <w:szCs w:val="32"/>
        </w:rPr>
        <w:t>“</w:t>
      </w:r>
      <w:r>
        <w:rPr>
          <w:rFonts w:ascii="仿宋" w:hAnsi="仿宋" w:eastAsia="仿宋"/>
          <w:kern w:val="2"/>
          <w:sz w:val="32"/>
          <w:szCs w:val="32"/>
          <w:lang w:val="zh-CN"/>
        </w:rPr>
        <w:t>三公</w:t>
      </w:r>
      <w:r>
        <w:rPr>
          <w:rFonts w:ascii="仿宋" w:hAnsi="仿宋" w:eastAsia="仿宋"/>
          <w:kern w:val="2"/>
          <w:sz w:val="32"/>
          <w:szCs w:val="32"/>
        </w:rPr>
        <w:t>”</w:t>
      </w:r>
      <w:r>
        <w:rPr>
          <w:rFonts w:ascii="仿宋" w:hAnsi="仿宋" w:eastAsia="仿宋"/>
          <w:kern w:val="2"/>
          <w:sz w:val="32"/>
          <w:szCs w:val="32"/>
          <w:lang w:val="zh-CN"/>
        </w:rPr>
        <w:t>经费财政拨款支出预算为</w:t>
      </w:r>
      <w:r>
        <w:rPr>
          <w:rFonts w:ascii="仿宋" w:hAnsi="仿宋" w:eastAsia="仿宋"/>
          <w:kern w:val="2"/>
          <w:sz w:val="32"/>
          <w:szCs w:val="32"/>
        </w:rPr>
        <w:t>6.71</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支出决算为</w:t>
      </w:r>
      <w:r>
        <w:rPr>
          <w:rFonts w:ascii="仿宋" w:hAnsi="仿宋" w:eastAsia="仿宋"/>
          <w:kern w:val="2"/>
          <w:sz w:val="32"/>
          <w:szCs w:val="32"/>
        </w:rPr>
        <w:t>4.76</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完成预算的</w:t>
      </w:r>
      <w:r>
        <w:rPr>
          <w:rFonts w:ascii="仿宋" w:hAnsi="仿宋" w:eastAsia="仿宋"/>
          <w:kern w:val="2"/>
          <w:sz w:val="32"/>
          <w:szCs w:val="32"/>
        </w:rPr>
        <w:t>71.0%，</w:t>
      </w:r>
      <w:r>
        <w:rPr>
          <w:rFonts w:ascii="仿宋" w:hAnsi="仿宋" w:eastAsia="仿宋"/>
          <w:kern w:val="2"/>
          <w:sz w:val="32"/>
          <w:szCs w:val="32"/>
          <w:lang w:val="zh-CN"/>
        </w:rPr>
        <w:t>较预算</w:t>
      </w:r>
      <w:r>
        <w:rPr>
          <w:rFonts w:ascii="仿宋" w:hAnsi="仿宋" w:eastAsia="仿宋"/>
          <w:kern w:val="2"/>
          <w:sz w:val="32"/>
          <w:szCs w:val="32"/>
        </w:rPr>
        <w:t>减少1.95</w:t>
      </w:r>
      <w:r>
        <w:rPr>
          <w:rFonts w:ascii="仿宋" w:hAnsi="仿宋" w:eastAsia="仿宋"/>
          <w:kern w:val="2"/>
          <w:sz w:val="32"/>
          <w:szCs w:val="32"/>
          <w:lang w:val="zh-CN"/>
        </w:rPr>
        <w:t>万元</w:t>
      </w:r>
      <w:r>
        <w:rPr>
          <w:rFonts w:ascii="仿宋" w:hAnsi="仿宋" w:eastAsia="仿宋"/>
          <w:kern w:val="2"/>
          <w:sz w:val="32"/>
          <w:szCs w:val="32"/>
        </w:rPr>
        <w:t>，降低29.0%，</w:t>
      </w:r>
      <w:r>
        <w:rPr>
          <w:rFonts w:hint="eastAsia" w:ascii="仿宋_GB2312" w:hAnsi="Times New Roman" w:eastAsia="仿宋" w:cs="DengXian-Regular"/>
          <w:sz w:val="32"/>
          <w:szCs w:val="32"/>
          <w:highlight w:val="none"/>
        </w:rPr>
        <w:t>主要</w:t>
      </w:r>
      <w:r>
        <w:rPr>
          <w:rFonts w:hint="eastAsia" w:ascii="仿宋_GB2312" w:hAnsi="Times New Roman" w:eastAsia="仿宋" w:cs="DengXian-Regular"/>
          <w:sz w:val="32"/>
          <w:szCs w:val="32"/>
          <w:highlight w:val="none"/>
          <w:lang w:eastAsia="zh-CN"/>
        </w:rPr>
        <w:t>原因</w:t>
      </w:r>
      <w:r>
        <w:rPr>
          <w:rFonts w:hint="eastAsia" w:ascii="仿宋_GB2312" w:hAnsi="Times New Roman" w:eastAsia="仿宋" w:cs="DengXian-Regular"/>
          <w:sz w:val="32"/>
          <w:szCs w:val="32"/>
          <w:highlight w:val="none"/>
        </w:rPr>
        <w:t>是</w:t>
      </w:r>
      <w:r>
        <w:rPr>
          <w:rFonts w:hint="eastAsia" w:ascii="仿宋_GB2312" w:hAnsi="Times New Roman" w:eastAsia="仿宋" w:cs="DengXian-Regular"/>
          <w:sz w:val="32"/>
          <w:szCs w:val="32"/>
          <w:highlight w:val="none"/>
          <w:lang w:eastAsia="zh-CN"/>
        </w:rPr>
        <w:t>控制“三公”经费支出</w:t>
      </w:r>
      <w:r>
        <w:rPr>
          <w:rFonts w:ascii="仿宋" w:hAnsi="仿宋" w:eastAsia="仿宋"/>
          <w:kern w:val="2"/>
          <w:sz w:val="32"/>
          <w:szCs w:val="32"/>
        </w:rPr>
        <w:t>；</w:t>
      </w:r>
      <w:r>
        <w:rPr>
          <w:rFonts w:ascii="仿宋" w:hAnsi="仿宋" w:eastAsia="仿宋"/>
          <w:kern w:val="2"/>
          <w:sz w:val="32"/>
          <w:szCs w:val="32"/>
          <w:lang w:val="zh-CN"/>
        </w:rPr>
        <w:t>较</w:t>
      </w:r>
      <w:r>
        <w:rPr>
          <w:rFonts w:ascii="仿宋" w:hAnsi="仿宋" w:eastAsia="仿宋"/>
          <w:kern w:val="2"/>
          <w:sz w:val="32"/>
          <w:szCs w:val="32"/>
        </w:rPr>
        <w:t>2022</w:t>
      </w:r>
      <w:r>
        <w:rPr>
          <w:rFonts w:ascii="仿宋" w:hAnsi="仿宋" w:eastAsia="仿宋"/>
          <w:kern w:val="2"/>
          <w:sz w:val="32"/>
          <w:szCs w:val="32"/>
          <w:lang w:val="zh-CN"/>
        </w:rPr>
        <w:t>年度决算</w:t>
      </w:r>
      <w:r>
        <w:rPr>
          <w:rFonts w:ascii="仿宋" w:hAnsi="仿宋" w:eastAsia="仿宋"/>
          <w:kern w:val="2"/>
          <w:sz w:val="32"/>
          <w:szCs w:val="32"/>
        </w:rPr>
        <w:t>减少1.61</w:t>
      </w:r>
      <w:r>
        <w:rPr>
          <w:rFonts w:ascii="仿宋" w:hAnsi="仿宋" w:eastAsia="仿宋"/>
          <w:kern w:val="2"/>
          <w:sz w:val="32"/>
          <w:szCs w:val="32"/>
          <w:lang w:val="zh-CN"/>
        </w:rPr>
        <w:t>万元</w:t>
      </w:r>
      <w:r>
        <w:rPr>
          <w:rFonts w:ascii="仿宋" w:hAnsi="仿宋" w:eastAsia="仿宋"/>
          <w:kern w:val="2"/>
          <w:sz w:val="32"/>
          <w:szCs w:val="32"/>
        </w:rPr>
        <w:t>，降低25.3%，</w:t>
      </w:r>
      <w:r>
        <w:rPr>
          <w:rFonts w:hint="eastAsia" w:ascii="仿宋_GB2312" w:hAnsi="Times New Roman" w:eastAsia="仿宋" w:cs="DengXian-Regular"/>
          <w:sz w:val="32"/>
          <w:szCs w:val="32"/>
          <w:highlight w:val="none"/>
        </w:rPr>
        <w:t>主要</w:t>
      </w:r>
      <w:r>
        <w:rPr>
          <w:rFonts w:hint="eastAsia" w:ascii="仿宋_GB2312" w:hAnsi="Times New Roman" w:eastAsia="仿宋" w:cs="DengXian-Regular"/>
          <w:sz w:val="32"/>
          <w:szCs w:val="32"/>
          <w:highlight w:val="none"/>
          <w:lang w:eastAsia="zh-CN"/>
        </w:rPr>
        <w:t>原因</w:t>
      </w:r>
      <w:r>
        <w:rPr>
          <w:rFonts w:hint="eastAsia" w:ascii="仿宋_GB2312" w:hAnsi="Times New Roman" w:eastAsia="仿宋" w:cs="DengXian-Regular"/>
          <w:sz w:val="32"/>
          <w:szCs w:val="32"/>
          <w:highlight w:val="none"/>
        </w:rPr>
        <w:t>是</w:t>
      </w:r>
      <w:r>
        <w:rPr>
          <w:rFonts w:hint="eastAsia" w:ascii="仿宋_GB2312" w:hAnsi="Times New Roman" w:eastAsia="仿宋" w:cs="DengXian-Regular"/>
          <w:sz w:val="32"/>
          <w:szCs w:val="32"/>
          <w:highlight w:val="none"/>
          <w:lang w:eastAsia="zh-CN"/>
        </w:rPr>
        <w:t>控制“三公”经费支出</w:t>
      </w:r>
      <w:r>
        <w:rPr>
          <w:rFonts w:ascii="仿宋" w:hAnsi="仿宋" w:eastAsia="仿宋"/>
          <w:kern w:val="2"/>
          <w:sz w:val="32"/>
          <w:szCs w:val="32"/>
          <w:lang w:val="zh-CN"/>
        </w:rPr>
        <w:t>。</w:t>
      </w:r>
    </w:p>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（二）“三公”经费财政拨款支出决算具体情况说明</w:t>
      </w:r>
    </w:p>
    <w:p>
      <w:pPr>
        <w:pStyle w:val="10"/>
        <w:widowControl/>
        <w:snapToGrid w:val="0"/>
        <w:spacing w:beforeAutospacing="0" w:afterAutospacing="0" w:line="360" w:lineRule="auto"/>
        <w:ind w:firstLine="643" w:firstLineChars="200"/>
        <w:rPr>
          <w:rFonts w:hint="eastAsia" w:ascii="仿宋" w:hAnsi="仿宋" w:eastAsia="仿宋"/>
          <w:kern w:val="2"/>
          <w:sz w:val="32"/>
          <w:szCs w:val="32"/>
        </w:rPr>
      </w:pPr>
      <w:r>
        <w:rPr>
          <w:rFonts w:ascii="仿宋" w:hAnsi="仿宋" w:eastAsia="仿宋"/>
          <w:b/>
          <w:bCs/>
          <w:kern w:val="2"/>
          <w:sz w:val="32"/>
          <w:szCs w:val="32"/>
        </w:rPr>
        <w:t>1.因公出国（境）费支出情况。</w:t>
      </w:r>
      <w:r>
        <w:rPr>
          <w:rFonts w:ascii="仿宋" w:hAnsi="仿宋" w:eastAsia="仿宋"/>
          <w:kern w:val="2"/>
          <w:sz w:val="32"/>
          <w:szCs w:val="32"/>
          <w:lang w:val="zh-CN"/>
        </w:rPr>
        <w:t>本部门</w:t>
      </w:r>
      <w:r>
        <w:rPr>
          <w:rFonts w:ascii="仿宋" w:hAnsi="仿宋" w:eastAsia="仿宋"/>
          <w:kern w:val="2"/>
          <w:sz w:val="32"/>
          <w:szCs w:val="32"/>
        </w:rPr>
        <w:t>2023年度因公出国（境）费支出预算为0.00万元</w:t>
      </w:r>
      <w:r>
        <w:rPr>
          <w:rFonts w:hint="eastAsia" w:ascii="仿宋" w:hAnsi="仿宋" w:eastAsia="仿宋"/>
          <w:kern w:val="2"/>
          <w:sz w:val="32"/>
          <w:szCs w:val="32"/>
        </w:rPr>
        <w:t>，</w:t>
      </w:r>
      <w:r>
        <w:rPr>
          <w:rFonts w:ascii="仿宋" w:hAnsi="仿宋" w:eastAsia="仿宋"/>
          <w:kern w:val="2"/>
          <w:sz w:val="32"/>
          <w:szCs w:val="32"/>
        </w:rPr>
        <w:t>支出决算0.00万元。因公出国（境）费支出与预算持平，与上年持平。因公出国（境）团组0个、共0人</w:t>
      </w:r>
      <w:r>
        <w:rPr>
          <w:rFonts w:hint="eastAsia" w:ascii="仿宋" w:hAnsi="仿宋" w:eastAsia="仿宋"/>
          <w:kern w:val="2"/>
          <w:sz w:val="32"/>
          <w:szCs w:val="32"/>
        </w:rPr>
        <w:t>，其中：</w:t>
      </w:r>
      <w:r>
        <w:rPr>
          <w:rFonts w:ascii="仿宋" w:hAnsi="仿宋" w:eastAsia="仿宋"/>
          <w:kern w:val="2"/>
          <w:sz w:val="32"/>
          <w:szCs w:val="32"/>
        </w:rPr>
        <w:t>本部门组织的出国（境）团组</w:t>
      </w:r>
      <w:r>
        <w:rPr>
          <w:rFonts w:hint="eastAsia" w:ascii="仿宋" w:hAnsi="仿宋" w:eastAsia="仿宋"/>
          <w:kern w:val="2"/>
          <w:sz w:val="32"/>
          <w:szCs w:val="32"/>
        </w:rPr>
        <w:t>0个、共0人;</w:t>
      </w:r>
      <w:r>
        <w:rPr>
          <w:rFonts w:ascii="仿宋" w:hAnsi="仿宋" w:eastAsia="仿宋"/>
          <w:kern w:val="2"/>
          <w:sz w:val="32"/>
          <w:szCs w:val="32"/>
        </w:rPr>
        <w:t xml:space="preserve"> 参加其他单位组织的因公出国（境）团组</w:t>
      </w:r>
      <w:r>
        <w:rPr>
          <w:rFonts w:hint="eastAsia" w:ascii="仿宋" w:hAnsi="仿宋" w:eastAsia="仿宋"/>
          <w:kern w:val="2"/>
          <w:sz w:val="32"/>
          <w:szCs w:val="32"/>
        </w:rPr>
        <w:t>0</w:t>
      </w:r>
      <w:r>
        <w:rPr>
          <w:rFonts w:ascii="仿宋" w:hAnsi="仿宋" w:eastAsia="仿宋"/>
          <w:kern w:val="2"/>
          <w:sz w:val="32"/>
          <w:szCs w:val="32"/>
        </w:rPr>
        <w:t>个、共</w:t>
      </w:r>
      <w:r>
        <w:rPr>
          <w:rFonts w:hint="eastAsia" w:ascii="仿宋" w:hAnsi="仿宋" w:eastAsia="仿宋"/>
          <w:kern w:val="2"/>
          <w:sz w:val="32"/>
          <w:szCs w:val="32"/>
        </w:rPr>
        <w:t>0</w:t>
      </w:r>
      <w:r>
        <w:rPr>
          <w:rFonts w:ascii="仿宋" w:hAnsi="仿宋" w:eastAsia="仿宋"/>
          <w:kern w:val="2"/>
          <w:sz w:val="32"/>
          <w:szCs w:val="32"/>
        </w:rPr>
        <w:t>人。</w:t>
      </w:r>
    </w:p>
    <w:p>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2.</w:t>
      </w:r>
      <w:r>
        <w:rPr>
          <w:rFonts w:hint="eastAsia" w:ascii="仿宋" w:hAnsi="仿宋" w:eastAsia="仿宋"/>
          <w:b/>
          <w:bCs/>
          <w:sz w:val="32"/>
          <w:szCs w:val="32"/>
        </w:rPr>
        <w:t>公务用车购置及运行维护费支出情况。</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年度公务用车购置及运行维护费预算为3.71万元，支出决算2.51万元，完成预算的67.7%</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较预算减少1.20万元，降低32.3%</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主要是</w:t>
      </w:r>
      <w:r>
        <w:rPr>
          <w:rFonts w:hint="eastAsia" w:ascii="仿宋" w:hAnsi="仿宋" w:eastAsia="仿宋" w:cs="Times New Roman"/>
          <w:kern w:val="2"/>
          <w:sz w:val="32"/>
          <w:szCs w:val="32"/>
          <w:lang w:val="en-US" w:eastAsia="zh-CN"/>
        </w:rPr>
        <w:t>加强管理，控制公务用车运行维护支出</w:t>
      </w:r>
      <w:r>
        <w:rPr>
          <w:rFonts w:ascii="仿宋" w:hAnsi="仿宋" w:eastAsia="仿宋" w:cs="Times New Roman"/>
          <w:kern w:val="2"/>
          <w:sz w:val="32"/>
          <w:szCs w:val="32"/>
          <w:lang w:val="zh-CN"/>
        </w:rPr>
        <w:t>；较上年减少1.61万元，降低39.1%</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主要是</w:t>
      </w:r>
      <w:r>
        <w:rPr>
          <w:rFonts w:hint="eastAsia" w:ascii="仿宋" w:hAnsi="仿宋" w:eastAsia="仿宋" w:cs="Times New Roman"/>
          <w:kern w:val="2"/>
          <w:sz w:val="32"/>
          <w:szCs w:val="32"/>
          <w:lang w:val="en-US" w:eastAsia="zh-CN"/>
        </w:rPr>
        <w:t>加强管理，控制公务用车运行维护支出</w:t>
      </w:r>
      <w:r>
        <w:rPr>
          <w:rFonts w:ascii="仿宋" w:hAnsi="仿宋" w:eastAsia="仿宋" w:cs="Times New Roman"/>
          <w:kern w:val="2"/>
          <w:sz w:val="32"/>
          <w:szCs w:val="32"/>
          <w:lang w:val="zh-CN"/>
        </w:rPr>
        <w:t>。其中：</w:t>
      </w:r>
    </w:p>
    <w:p>
      <w:pPr>
        <w:adjustRightInd w:val="0"/>
        <w:snapToGrid w:val="0"/>
        <w:spacing w:after="0" w:line="360" w:lineRule="auto"/>
        <w:ind w:firstLine="643" w:firstLineChars="200"/>
        <w:rPr>
          <w:rFonts w:hint="eastAsia" w:ascii="仿宋" w:hAnsi="仿宋" w:eastAsia="仿宋" w:cs="Times New Roman"/>
          <w:kern w:val="2"/>
          <w:sz w:val="32"/>
          <w:szCs w:val="32"/>
          <w:lang w:val="zh-CN"/>
        </w:rPr>
      </w:pPr>
      <w:r>
        <w:rPr>
          <w:rFonts w:ascii="仿宋" w:hAnsi="仿宋" w:eastAsia="仿宋" w:cs="Times New Roman"/>
          <w:b/>
          <w:sz w:val="32"/>
          <w:szCs w:val="32"/>
        </w:rPr>
        <w:t>公务用车购置费支出</w:t>
      </w:r>
      <w:r>
        <w:rPr>
          <w:rFonts w:ascii="仿宋" w:hAnsi="仿宋" w:eastAsia="仿宋" w:cs="Times New Roman"/>
          <w:b/>
          <w:bCs/>
          <w:sz w:val="32"/>
          <w:szCs w:val="32"/>
        </w:rPr>
        <w:t>0.00万元</w:t>
      </w:r>
      <w:r>
        <w:rPr>
          <w:rFonts w:ascii="仿宋" w:hAnsi="仿宋" w:eastAsia="仿宋" w:cs="Times New Roman"/>
          <w:b/>
          <w:sz w:val="32"/>
          <w:szCs w:val="32"/>
        </w:rPr>
        <w:t>：</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年度公务用车购置量0辆，发生“公务用车购置”经费支出0.00万元。公务用车购置费支出与预算持平，与上年持平。</w:t>
      </w:r>
    </w:p>
    <w:p>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sz w:val="32"/>
          <w:szCs w:val="32"/>
        </w:rPr>
        <w:t>公务用车运行维护费支出2.51</w:t>
      </w:r>
      <w:r>
        <w:rPr>
          <w:rFonts w:ascii="仿宋" w:hAnsi="仿宋" w:eastAsia="仿宋" w:cs="Times New Roman"/>
          <w:b/>
          <w:bCs/>
          <w:sz w:val="32"/>
          <w:szCs w:val="32"/>
        </w:rPr>
        <w:t>万元</w:t>
      </w:r>
      <w:r>
        <w:rPr>
          <w:rFonts w:ascii="仿宋" w:hAnsi="仿宋" w:eastAsia="仿宋" w:cs="Times New Roman"/>
          <w:b/>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年度单位公务用车保有量1辆，发生运行维护费支出</w:t>
      </w:r>
      <w:r>
        <w:rPr>
          <w:rFonts w:hint="eastAsia" w:ascii="仿宋" w:hAnsi="仿宋" w:eastAsia="仿宋" w:cs="Times New Roman"/>
          <w:kern w:val="2"/>
          <w:sz w:val="32"/>
          <w:szCs w:val="32"/>
        </w:rPr>
        <w:t>2.51</w:t>
      </w:r>
      <w:r>
        <w:rPr>
          <w:rFonts w:ascii="仿宋" w:hAnsi="仿宋" w:eastAsia="仿宋" w:cs="Times New Roman"/>
          <w:kern w:val="2"/>
          <w:sz w:val="32"/>
          <w:szCs w:val="32"/>
          <w:lang w:val="zh-CN"/>
        </w:rPr>
        <w:t>万元。公车运行维护费支出较预算减少1.20万元，降低32.3%</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主要是</w:t>
      </w:r>
      <w:r>
        <w:rPr>
          <w:rFonts w:hint="eastAsia" w:ascii="仿宋" w:hAnsi="仿宋" w:eastAsia="仿宋" w:cs="Times New Roman"/>
          <w:kern w:val="2"/>
          <w:sz w:val="32"/>
          <w:szCs w:val="32"/>
          <w:lang w:val="en-US" w:eastAsia="zh-CN"/>
        </w:rPr>
        <w:t>加强管理，控制公务用车运行维护支出</w:t>
      </w:r>
      <w:r>
        <w:rPr>
          <w:rFonts w:ascii="仿宋" w:hAnsi="仿宋" w:eastAsia="仿宋" w:cs="Times New Roman"/>
          <w:kern w:val="2"/>
          <w:sz w:val="32"/>
          <w:szCs w:val="32"/>
          <w:lang w:val="zh-CN"/>
        </w:rPr>
        <w:t>；较上年减少1.61万元，降低39.1%，主要是</w:t>
      </w:r>
      <w:r>
        <w:rPr>
          <w:rFonts w:hint="eastAsia" w:ascii="仿宋" w:hAnsi="仿宋" w:eastAsia="仿宋" w:cs="Times New Roman"/>
          <w:kern w:val="2"/>
          <w:sz w:val="32"/>
          <w:szCs w:val="32"/>
          <w:lang w:val="en-US" w:eastAsia="zh-CN"/>
        </w:rPr>
        <w:t>加强管理，控制公务用车运行维护支出</w:t>
      </w:r>
      <w:r>
        <w:rPr>
          <w:rFonts w:ascii="仿宋" w:hAnsi="仿宋" w:eastAsia="仿宋" w:cs="Times New Roman"/>
          <w:kern w:val="2"/>
          <w:sz w:val="32"/>
          <w:szCs w:val="32"/>
          <w:lang w:val="zh-CN"/>
        </w:rPr>
        <w:t>。</w:t>
      </w:r>
    </w:p>
    <w:p>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3.公务接待费</w:t>
      </w:r>
      <w:r>
        <w:rPr>
          <w:rFonts w:hint="eastAsia" w:ascii="仿宋" w:hAnsi="仿宋" w:eastAsia="仿宋" w:cs="Times New Roman"/>
          <w:b/>
          <w:bCs/>
          <w:kern w:val="2"/>
          <w:sz w:val="32"/>
          <w:szCs w:val="32"/>
        </w:rPr>
        <w:t>支出情况</w:t>
      </w:r>
      <w:r>
        <w:rPr>
          <w:rFonts w:ascii="仿宋" w:hAnsi="仿宋" w:eastAsia="仿宋" w:cs="Times New Roman"/>
          <w:b/>
          <w:bCs/>
          <w:kern w:val="2"/>
          <w:sz w:val="32"/>
          <w:szCs w:val="32"/>
        </w:rPr>
        <w:t>。</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年度公务接待费支出预算为3.00万元，支出决算2.25万元，完成预算的75.0%</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主要是</w:t>
      </w:r>
      <w:r>
        <w:rPr>
          <w:rFonts w:hint="eastAsia" w:ascii="仿宋" w:hAnsi="仿宋" w:eastAsia="仿宋" w:cs="Times New Roman"/>
          <w:kern w:val="2"/>
          <w:sz w:val="32"/>
          <w:szCs w:val="32"/>
          <w:lang w:val="en-US" w:eastAsia="zh-CN"/>
        </w:rPr>
        <w:t>加强管理，</w:t>
      </w:r>
      <w:r>
        <w:rPr>
          <w:rFonts w:hint="eastAsia" w:ascii="仿宋_GB2312" w:hAnsi="Times New Roman" w:eastAsia="仿宋" w:cs="DengXian-Regular"/>
          <w:sz w:val="32"/>
          <w:szCs w:val="32"/>
          <w:highlight w:val="none"/>
          <w:lang w:eastAsia="zh-CN"/>
        </w:rPr>
        <w:t>控制“三公”经费支出</w:t>
      </w:r>
      <w:r>
        <w:rPr>
          <w:rFonts w:ascii="仿宋" w:hAnsi="仿宋" w:eastAsia="仿宋" w:cs="Times New Roman"/>
          <w:kern w:val="2"/>
          <w:sz w:val="32"/>
          <w:szCs w:val="32"/>
          <w:lang w:val="zh-CN"/>
        </w:rPr>
        <w:t>。公务接待费支出较预算减少0.75万元，降低25.0%</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主要是</w:t>
      </w:r>
      <w:r>
        <w:rPr>
          <w:rFonts w:hint="eastAsia" w:ascii="仿宋" w:hAnsi="仿宋" w:eastAsia="仿宋" w:cs="Times New Roman"/>
          <w:kern w:val="2"/>
          <w:sz w:val="32"/>
          <w:szCs w:val="32"/>
          <w:lang w:val="en-US" w:eastAsia="zh-CN"/>
        </w:rPr>
        <w:t>加强管理，</w:t>
      </w:r>
      <w:r>
        <w:rPr>
          <w:rFonts w:hint="eastAsia" w:ascii="仿宋_GB2312" w:hAnsi="Times New Roman" w:eastAsia="仿宋" w:cs="DengXian-Regular"/>
          <w:sz w:val="32"/>
          <w:szCs w:val="32"/>
          <w:highlight w:val="none"/>
          <w:lang w:eastAsia="zh-CN"/>
        </w:rPr>
        <w:t>控制“三公”经费支出</w:t>
      </w:r>
      <w:r>
        <w:rPr>
          <w:rFonts w:ascii="仿宋" w:hAnsi="仿宋" w:eastAsia="仿宋" w:cs="Times New Roman"/>
          <w:kern w:val="2"/>
          <w:sz w:val="32"/>
          <w:szCs w:val="32"/>
          <w:lang w:val="zh-CN"/>
        </w:rPr>
        <w:t>。本年度共发生公务接待89批次、486人次。</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六、机关运行经费支出说明</w:t>
      </w:r>
    </w:p>
    <w:p>
      <w:pPr>
        <w:pStyle w:val="10"/>
        <w:widowControl/>
        <w:snapToGrid w:val="0"/>
        <w:spacing w:beforeAutospacing="0" w:afterAutospacing="0" w:line="360" w:lineRule="auto"/>
        <w:ind w:firstLine="200"/>
        <w:jc w:val="both"/>
        <w:rPr>
          <w:rFonts w:hint="eastAsia" w:ascii="仿宋" w:hAnsi="仿宋" w:eastAsia="仿宋"/>
          <w:kern w:val="2"/>
          <w:sz w:val="32"/>
          <w:szCs w:val="32"/>
          <w:lang w:val="zh-CN"/>
        </w:rPr>
      </w:pPr>
      <w:r>
        <w:rPr>
          <w:rFonts w:ascii="Times New Roman" w:hAnsi="Times New Roman" w:eastAsia="Arial"/>
          <w:color w:val="333333"/>
          <w:sz w:val="19"/>
          <w:szCs w:val="19"/>
          <w:shd w:val="clear" w:color="auto" w:fill="FFFFFF"/>
        </w:rPr>
        <w:t> </w:t>
      </w:r>
      <w:r>
        <w:rPr>
          <w:rFonts w:ascii="Times New Roman" w:hAnsi="Times New Roman" w:eastAsia="宋体"/>
          <w:color w:val="333333"/>
          <w:sz w:val="19"/>
          <w:szCs w:val="19"/>
          <w:shd w:val="clear" w:color="auto" w:fill="FFFFFF"/>
        </w:rPr>
        <w:t xml:space="preserve">  </w:t>
      </w:r>
      <w:r>
        <w:rPr>
          <w:rFonts w:ascii="Times New Roman" w:hAnsi="Times New Roman" w:eastAsia="仿宋_GB2312"/>
          <w:color w:val="333333"/>
          <w:sz w:val="33"/>
          <w:szCs w:val="33"/>
          <w:shd w:val="clear" w:color="auto" w:fill="FFFFFF"/>
        </w:rPr>
        <w:t>   </w:t>
      </w:r>
      <w:r>
        <w:rPr>
          <w:rFonts w:ascii="仿宋" w:hAnsi="仿宋" w:eastAsia="仿宋"/>
          <w:color w:val="333333"/>
          <w:sz w:val="33"/>
          <w:szCs w:val="33"/>
          <w:shd w:val="clear" w:color="auto" w:fill="FFFFFF"/>
        </w:rPr>
        <w:t xml:space="preserve"> </w:t>
      </w: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年度机关运行经费支出</w:t>
      </w:r>
      <w:r>
        <w:rPr>
          <w:rFonts w:ascii="仿宋" w:hAnsi="仿宋" w:eastAsia="仿宋"/>
          <w:kern w:val="2"/>
          <w:sz w:val="32"/>
          <w:szCs w:val="32"/>
        </w:rPr>
        <w:t>126.13</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较</w:t>
      </w:r>
      <w:r>
        <w:rPr>
          <w:rFonts w:ascii="仿宋" w:hAnsi="仿宋" w:eastAsia="仿宋"/>
          <w:kern w:val="2"/>
          <w:sz w:val="32"/>
          <w:szCs w:val="32"/>
        </w:rPr>
        <w:t>2022</w:t>
      </w:r>
      <w:r>
        <w:rPr>
          <w:rFonts w:ascii="仿宋" w:hAnsi="仿宋" w:eastAsia="仿宋"/>
          <w:kern w:val="2"/>
          <w:sz w:val="32"/>
          <w:szCs w:val="32"/>
          <w:lang w:val="zh-CN"/>
        </w:rPr>
        <w:t>年度</w:t>
      </w:r>
      <w:r>
        <w:rPr>
          <w:rFonts w:ascii="仿宋" w:hAnsi="仿宋" w:eastAsia="仿宋"/>
          <w:kern w:val="2"/>
          <w:sz w:val="32"/>
          <w:szCs w:val="32"/>
        </w:rPr>
        <w:t>减少38.52</w:t>
      </w:r>
      <w:r>
        <w:rPr>
          <w:rFonts w:ascii="仿宋" w:hAnsi="仿宋" w:eastAsia="仿宋"/>
          <w:kern w:val="2"/>
          <w:sz w:val="32"/>
          <w:szCs w:val="32"/>
          <w:lang w:val="zh-CN"/>
        </w:rPr>
        <w:t>万元</w:t>
      </w:r>
      <w:r>
        <w:rPr>
          <w:rFonts w:ascii="仿宋" w:hAnsi="仿宋" w:eastAsia="仿宋"/>
          <w:kern w:val="2"/>
          <w:sz w:val="32"/>
          <w:szCs w:val="32"/>
        </w:rPr>
        <w:t>，降低23.4%</w:t>
      </w:r>
      <w:r>
        <w:rPr>
          <w:rFonts w:ascii="仿宋" w:hAnsi="仿宋" w:eastAsia="仿宋"/>
          <w:kern w:val="2"/>
          <w:sz w:val="32"/>
          <w:szCs w:val="32"/>
          <w:lang w:val="zh-CN"/>
        </w:rPr>
        <w:t>。主要原因</w:t>
      </w:r>
      <w:r>
        <w:rPr>
          <w:rFonts w:hint="eastAsia" w:ascii="仿宋" w:hAnsi="仿宋" w:eastAsia="仿宋"/>
          <w:kern w:val="2"/>
          <w:sz w:val="32"/>
          <w:szCs w:val="32"/>
          <w:lang w:val="zh-CN"/>
        </w:rPr>
        <w:t>是：</w:t>
      </w:r>
      <w:r>
        <w:rPr>
          <w:rFonts w:hint="eastAsia" w:ascii="仿宋" w:hAnsi="仿宋" w:eastAsia="仿宋"/>
          <w:kern w:val="2"/>
          <w:sz w:val="32"/>
          <w:szCs w:val="32"/>
          <w:lang w:val="en-US" w:eastAsia="zh-CN"/>
        </w:rPr>
        <w:t>办公费及其他交通费用减少</w:t>
      </w:r>
      <w:r>
        <w:rPr>
          <w:rFonts w:ascii="仿宋" w:hAnsi="仿宋" w:eastAsia="仿宋"/>
          <w:kern w:val="2"/>
          <w:sz w:val="32"/>
          <w:szCs w:val="32"/>
          <w:lang w:val="zh-CN"/>
        </w:rPr>
        <w:t>。</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七、政府采购支出说明</w:t>
      </w:r>
    </w:p>
    <w:p>
      <w:pPr>
        <w:pStyle w:val="10"/>
        <w:widowControl/>
        <w:snapToGrid w:val="0"/>
        <w:spacing w:beforeAutospacing="0" w:afterAutospacing="0" w:line="360" w:lineRule="auto"/>
        <w:ind w:firstLine="640" w:firstLineChars="200"/>
        <w:rPr>
          <w:rFonts w:hint="eastAsia" w:ascii="仿宋" w:hAnsi="仿宋" w:eastAsia="仿宋"/>
          <w:sz w:val="32"/>
          <w:szCs w:val="32"/>
          <w:highlight w:val="yellow"/>
        </w:rPr>
      </w:pPr>
      <w:r>
        <w:rPr>
          <w:rFonts w:ascii="仿宋" w:hAnsi="仿宋" w:eastAsia="仿宋"/>
          <w:kern w:val="2"/>
          <w:sz w:val="32"/>
          <w:szCs w:val="32"/>
          <w:lang w:val="zh-CN"/>
        </w:rPr>
        <w:t>本部门202</w:t>
      </w:r>
      <w:r>
        <w:rPr>
          <w:rFonts w:ascii="仿宋" w:hAnsi="仿宋" w:eastAsia="仿宋"/>
          <w:kern w:val="2"/>
          <w:sz w:val="32"/>
          <w:szCs w:val="32"/>
        </w:rPr>
        <w:t>3</w:t>
      </w:r>
      <w:r>
        <w:rPr>
          <w:rFonts w:ascii="仿宋" w:hAnsi="仿宋" w:eastAsia="仿宋"/>
          <w:kern w:val="2"/>
          <w:sz w:val="32"/>
          <w:szCs w:val="32"/>
          <w:lang w:val="zh-CN"/>
        </w:rPr>
        <w:t>年度政府采购支出总额352.76万元，从采购类型来看，政府采购货物支出0.00万元、政府采购工程支出352.76万元、政府采购服务支出0.00万元。授予中小企业</w:t>
      </w:r>
      <w:r>
        <w:rPr>
          <w:rFonts w:ascii="仿宋" w:hAnsi="仿宋" w:eastAsia="仿宋"/>
          <w:kern w:val="2"/>
          <w:sz w:val="32"/>
          <w:szCs w:val="32"/>
        </w:rPr>
        <w:t>合同金额</w:t>
      </w:r>
      <w:r>
        <w:rPr>
          <w:rFonts w:ascii="仿宋" w:hAnsi="仿宋" w:eastAsia="仿宋"/>
          <w:kern w:val="2"/>
          <w:sz w:val="32"/>
          <w:szCs w:val="32"/>
          <w:lang w:val="zh-CN"/>
        </w:rPr>
        <w:t>352.76万元，占政府采购支出总额的100.0%，其中授予小微企业合同金额352.76万元，占政府采购支出总额的100.0%。</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八、国有资产占用情况说明</w:t>
      </w:r>
    </w:p>
    <w:p>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截至202</w:t>
      </w:r>
      <w:r>
        <w:rPr>
          <w:rFonts w:ascii="仿宋" w:hAnsi="仿宋" w:eastAsia="仿宋"/>
          <w:kern w:val="2"/>
          <w:sz w:val="32"/>
          <w:szCs w:val="32"/>
        </w:rPr>
        <w:t>3</w:t>
      </w:r>
      <w:r>
        <w:rPr>
          <w:rFonts w:ascii="仿宋" w:hAnsi="仿宋" w:eastAsia="仿宋"/>
          <w:kern w:val="2"/>
          <w:sz w:val="32"/>
          <w:szCs w:val="32"/>
          <w:lang w:val="zh-CN"/>
        </w:rPr>
        <w:t>年12月31日，本部门共有车辆1辆，比上年减少1辆，主要是</w:t>
      </w:r>
      <w:r>
        <w:rPr>
          <w:rFonts w:hint="eastAsia" w:ascii="仿宋" w:hAnsi="仿宋" w:eastAsia="仿宋"/>
          <w:kern w:val="2"/>
          <w:sz w:val="32"/>
          <w:szCs w:val="32"/>
          <w:lang w:val="en-US" w:eastAsia="zh-CN"/>
        </w:rPr>
        <w:t>重新核实</w:t>
      </w:r>
      <w:r>
        <w:rPr>
          <w:rFonts w:ascii="仿宋" w:hAnsi="仿宋" w:eastAsia="仿宋"/>
          <w:kern w:val="2"/>
          <w:sz w:val="32"/>
          <w:szCs w:val="32"/>
          <w:lang w:val="zh-CN"/>
        </w:rPr>
        <w:t>。其中，副部（省）级及以上领导用车0辆，主要</w:t>
      </w:r>
      <w:r>
        <w:rPr>
          <w:rFonts w:ascii="仿宋" w:hAnsi="仿宋" w:eastAsia="仿宋"/>
          <w:kern w:val="2"/>
          <w:sz w:val="32"/>
          <w:szCs w:val="32"/>
        </w:rPr>
        <w:t>负责人</w:t>
      </w:r>
      <w:r>
        <w:rPr>
          <w:rFonts w:ascii="仿宋" w:hAnsi="仿宋" w:eastAsia="仿宋"/>
          <w:kern w:val="2"/>
          <w:sz w:val="32"/>
          <w:szCs w:val="32"/>
          <w:lang w:val="zh-CN"/>
        </w:rPr>
        <w:t>用车0辆，机要通信用车0辆，应急保障用车1辆，执法执勤用车0辆，特种专业技术用车0辆，离退休干部用车0辆，其他用车0辆。</w:t>
      </w:r>
    </w:p>
    <w:p>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单位价值100万元（含）以上设备（不含车辆）0台（套）。</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九、预算绩效情况说明</w:t>
      </w:r>
    </w:p>
    <w:p>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（一）预算绩效管理工作开展情况</w:t>
      </w:r>
    </w:p>
    <w:p>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根据预算绩效管理要求，本部门组织对2023年度一般公共预算项目支出全面开展绩效自评，其中，一级项目</w:t>
      </w:r>
      <w:r>
        <w:rPr>
          <w:rFonts w:hint="eastAsia" w:ascii="仿宋" w:hAnsi="仿宋" w:eastAsia="仿宋"/>
          <w:kern w:val="2"/>
          <w:sz w:val="32"/>
          <w:szCs w:val="32"/>
          <w:lang w:val="en-US" w:eastAsia="zh-CN"/>
        </w:rPr>
        <w:t>20</w:t>
      </w:r>
      <w:r>
        <w:rPr>
          <w:rFonts w:ascii="仿宋" w:hAnsi="仿宋" w:eastAsia="仿宋"/>
          <w:kern w:val="2"/>
          <w:sz w:val="32"/>
          <w:szCs w:val="32"/>
          <w:lang w:val="zh-CN"/>
        </w:rPr>
        <w:t>个，二级项目</w:t>
      </w:r>
      <w:r>
        <w:rPr>
          <w:rFonts w:hint="eastAsia" w:ascii="仿宋" w:hAnsi="仿宋" w:eastAsia="仿宋"/>
          <w:kern w:val="2"/>
          <w:sz w:val="32"/>
          <w:szCs w:val="32"/>
          <w:lang w:val="en-US" w:eastAsia="zh-CN"/>
        </w:rPr>
        <w:t>0</w:t>
      </w:r>
      <w:r>
        <w:rPr>
          <w:rFonts w:ascii="仿宋" w:hAnsi="仿宋" w:eastAsia="仿宋"/>
          <w:kern w:val="2"/>
          <w:sz w:val="32"/>
          <w:szCs w:val="32"/>
          <w:lang w:val="zh-CN"/>
        </w:rPr>
        <w:t>个，共涉及资金</w:t>
      </w:r>
      <w:r>
        <w:rPr>
          <w:rFonts w:hint="eastAsia" w:ascii="仿宋_GB2312" w:hAnsi="仿宋"/>
          <w:sz w:val="32"/>
          <w:szCs w:val="32"/>
          <w:lang w:val="en-US" w:eastAsia="zh-CN"/>
        </w:rPr>
        <w:t>1057.086</w:t>
      </w:r>
      <w:r>
        <w:rPr>
          <w:rFonts w:ascii="仿宋" w:hAnsi="仿宋" w:eastAsia="仿宋"/>
          <w:kern w:val="2"/>
          <w:sz w:val="32"/>
          <w:szCs w:val="32"/>
          <w:lang w:val="zh-CN"/>
        </w:rPr>
        <w:t>万元，占一般公共预算项目支出总额的</w:t>
      </w:r>
      <w:r>
        <w:rPr>
          <w:rFonts w:hint="eastAsia" w:ascii="仿宋" w:hAnsi="仿宋" w:eastAsia="仿宋"/>
          <w:kern w:val="2"/>
          <w:sz w:val="32"/>
          <w:szCs w:val="32"/>
          <w:lang w:val="en-US" w:eastAsia="zh-CN"/>
        </w:rPr>
        <w:t>100</w:t>
      </w:r>
      <w:r>
        <w:rPr>
          <w:rFonts w:ascii="仿宋" w:hAnsi="仿宋" w:eastAsia="仿宋"/>
          <w:kern w:val="2"/>
          <w:sz w:val="32"/>
          <w:szCs w:val="32"/>
          <w:lang w:val="zh-CN"/>
        </w:rPr>
        <w:t>%。组织对2023年度</w:t>
      </w:r>
      <w:r>
        <w:rPr>
          <w:rFonts w:hint="eastAsia" w:ascii="仿宋" w:hAnsi="仿宋" w:eastAsia="仿宋"/>
          <w:kern w:val="2"/>
          <w:sz w:val="32"/>
          <w:szCs w:val="32"/>
          <w:lang w:val="zh-CN"/>
        </w:rPr>
        <w:t>城镇化率达标建设项目</w:t>
      </w:r>
      <w:r>
        <w:rPr>
          <w:rFonts w:ascii="仿宋" w:hAnsi="仿宋" w:eastAsia="仿宋"/>
          <w:kern w:val="2"/>
          <w:sz w:val="32"/>
          <w:szCs w:val="32"/>
          <w:lang w:val="zh-CN"/>
        </w:rPr>
        <w:t>、</w:t>
      </w:r>
      <w:r>
        <w:rPr>
          <w:rFonts w:hint="eastAsia" w:ascii="仿宋" w:hAnsi="仿宋" w:eastAsia="仿宋"/>
          <w:kern w:val="2"/>
          <w:sz w:val="32"/>
          <w:szCs w:val="32"/>
          <w:lang w:val="zh-CN"/>
        </w:rPr>
        <w:t>山楂收储项目电力改造和配电工程资金</w:t>
      </w:r>
      <w:r>
        <w:rPr>
          <w:rFonts w:ascii="仿宋" w:hAnsi="仿宋" w:eastAsia="仿宋"/>
          <w:kern w:val="2"/>
          <w:sz w:val="32"/>
          <w:szCs w:val="32"/>
          <w:lang w:val="zh-CN"/>
        </w:rPr>
        <w:t>等</w:t>
      </w:r>
      <w:r>
        <w:rPr>
          <w:rFonts w:hint="eastAsia" w:ascii="仿宋" w:hAnsi="仿宋" w:eastAsia="仿宋"/>
          <w:kern w:val="2"/>
          <w:sz w:val="32"/>
          <w:szCs w:val="32"/>
          <w:lang w:val="en-US" w:eastAsia="zh-CN"/>
        </w:rPr>
        <w:t>2</w:t>
      </w:r>
      <w:r>
        <w:rPr>
          <w:rFonts w:ascii="仿宋" w:hAnsi="仿宋" w:eastAsia="仿宋"/>
          <w:kern w:val="2"/>
          <w:sz w:val="32"/>
          <w:szCs w:val="32"/>
          <w:lang w:val="zh-CN"/>
        </w:rPr>
        <w:t>个政府性基金预算项目支出开展绩效自评，共涉及资金</w:t>
      </w:r>
      <w:r>
        <w:rPr>
          <w:rFonts w:hint="eastAsia" w:ascii="仿宋" w:hAnsi="仿宋" w:eastAsia="仿宋"/>
          <w:kern w:val="2"/>
          <w:sz w:val="32"/>
          <w:szCs w:val="32"/>
          <w:lang w:val="en-US" w:eastAsia="zh-CN"/>
        </w:rPr>
        <w:t>210</w:t>
      </w:r>
      <w:r>
        <w:rPr>
          <w:rFonts w:ascii="仿宋" w:hAnsi="仿宋" w:eastAsia="仿宋"/>
          <w:kern w:val="2"/>
          <w:sz w:val="32"/>
          <w:szCs w:val="32"/>
          <w:lang w:val="zh-CN"/>
        </w:rPr>
        <w:t>万元，占政府性基金预算项目支出总额的</w:t>
      </w:r>
      <w:r>
        <w:rPr>
          <w:rFonts w:hint="eastAsia" w:ascii="仿宋" w:hAnsi="仿宋" w:eastAsia="仿宋"/>
          <w:kern w:val="2"/>
          <w:sz w:val="32"/>
          <w:szCs w:val="32"/>
          <w:lang w:val="en-US" w:eastAsia="zh-CN"/>
        </w:rPr>
        <w:t>100</w:t>
      </w:r>
      <w:r>
        <w:rPr>
          <w:rFonts w:ascii="仿宋" w:hAnsi="仿宋" w:eastAsia="仿宋"/>
          <w:kern w:val="2"/>
          <w:sz w:val="32"/>
          <w:szCs w:val="32"/>
          <w:lang w:val="zh-CN"/>
        </w:rPr>
        <w:t>%。组织对2023年度</w:t>
      </w:r>
      <w:r>
        <w:rPr>
          <w:rFonts w:hint="eastAsia" w:ascii="仿宋" w:hAnsi="仿宋" w:eastAsia="仿宋"/>
          <w:kern w:val="2"/>
          <w:sz w:val="32"/>
          <w:szCs w:val="32"/>
          <w:lang w:val="en-US" w:eastAsia="zh-CN"/>
        </w:rPr>
        <w:t>0</w:t>
      </w:r>
      <w:r>
        <w:rPr>
          <w:rFonts w:ascii="仿宋" w:hAnsi="仿宋" w:eastAsia="仿宋"/>
          <w:kern w:val="2"/>
          <w:sz w:val="32"/>
          <w:szCs w:val="32"/>
          <w:lang w:val="zh-CN"/>
        </w:rPr>
        <w:t>个国有资本经营预算项目支出开展绩效自评，共涉及资金</w:t>
      </w:r>
      <w:r>
        <w:rPr>
          <w:rFonts w:hint="eastAsia" w:ascii="仿宋" w:hAnsi="仿宋" w:eastAsia="仿宋"/>
          <w:kern w:val="2"/>
          <w:sz w:val="32"/>
          <w:szCs w:val="32"/>
          <w:lang w:val="en-US" w:eastAsia="zh-CN"/>
        </w:rPr>
        <w:t>0</w:t>
      </w:r>
      <w:r>
        <w:rPr>
          <w:rFonts w:ascii="仿宋" w:hAnsi="仿宋" w:eastAsia="仿宋"/>
          <w:kern w:val="2"/>
          <w:sz w:val="32"/>
          <w:szCs w:val="32"/>
          <w:lang w:val="zh-CN"/>
        </w:rPr>
        <w:t>万元，占国有资本经营预算项目支出总额的</w:t>
      </w:r>
      <w:r>
        <w:rPr>
          <w:rFonts w:hint="eastAsia" w:ascii="仿宋" w:hAnsi="仿宋" w:eastAsia="仿宋"/>
          <w:kern w:val="2"/>
          <w:sz w:val="32"/>
          <w:szCs w:val="32"/>
          <w:lang w:val="en-US" w:eastAsia="zh-CN"/>
        </w:rPr>
        <w:t>0</w:t>
      </w:r>
      <w:r>
        <w:rPr>
          <w:rFonts w:ascii="仿宋" w:hAnsi="仿宋" w:eastAsia="仿宋"/>
          <w:kern w:val="2"/>
          <w:sz w:val="32"/>
          <w:szCs w:val="32"/>
          <w:lang w:val="zh-CN"/>
        </w:rPr>
        <w:t>%。</w:t>
      </w:r>
    </w:p>
    <w:p>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（二）部门决算中项目绩效自评结果</w:t>
      </w:r>
    </w:p>
    <w:p>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本单位在今年部门决算公开中反映</w:t>
      </w:r>
      <w:r>
        <w:rPr>
          <w:rFonts w:hint="eastAsia" w:ascii="仿宋" w:hAnsi="仿宋" w:eastAsia="仿宋"/>
          <w:kern w:val="2"/>
          <w:sz w:val="32"/>
          <w:szCs w:val="32"/>
          <w:lang w:val="zh-CN"/>
        </w:rPr>
        <w:t>村级组织运转经费-村干部基础职务补贴</w:t>
      </w:r>
      <w:r>
        <w:rPr>
          <w:rFonts w:ascii="仿宋" w:hAnsi="仿宋" w:eastAsia="仿宋"/>
          <w:kern w:val="2"/>
          <w:sz w:val="32"/>
          <w:szCs w:val="32"/>
          <w:lang w:val="zh-CN"/>
        </w:rPr>
        <w:t>项目及</w:t>
      </w:r>
      <w:r>
        <w:rPr>
          <w:rFonts w:hint="eastAsia" w:ascii="仿宋" w:hAnsi="仿宋" w:eastAsia="仿宋"/>
          <w:kern w:val="2"/>
          <w:sz w:val="32"/>
          <w:szCs w:val="32"/>
          <w:lang w:val="zh-CN"/>
        </w:rPr>
        <w:t>村级组织运转经费-村级组织办公经费</w:t>
      </w:r>
      <w:r>
        <w:rPr>
          <w:rFonts w:ascii="仿宋" w:hAnsi="仿宋" w:eastAsia="仿宋"/>
          <w:kern w:val="2"/>
          <w:sz w:val="32"/>
          <w:szCs w:val="32"/>
          <w:lang w:val="zh-CN"/>
        </w:rPr>
        <w:t>项目等</w:t>
      </w:r>
      <w:r>
        <w:rPr>
          <w:rFonts w:hint="eastAsia" w:ascii="仿宋" w:hAnsi="仿宋" w:eastAsia="仿宋"/>
          <w:kern w:val="2"/>
          <w:sz w:val="32"/>
          <w:szCs w:val="32"/>
          <w:lang w:val="en-US" w:eastAsia="zh-CN"/>
        </w:rPr>
        <w:t>20</w:t>
      </w:r>
      <w:r>
        <w:rPr>
          <w:rFonts w:ascii="仿宋" w:hAnsi="仿宋" w:eastAsia="仿宋"/>
          <w:kern w:val="2"/>
          <w:sz w:val="32"/>
          <w:szCs w:val="32"/>
          <w:lang w:val="zh-CN"/>
        </w:rPr>
        <w:t>个项目绩效自评结果。</w:t>
      </w:r>
    </w:p>
    <w:p>
      <w:pPr>
        <w:numPr>
          <w:ilvl w:val="0"/>
          <w:numId w:val="4"/>
        </w:numPr>
        <w:adjustRightInd w:val="0"/>
        <w:snapToGrid w:val="0"/>
        <w:spacing w:after="0" w:line="360" w:lineRule="auto"/>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rPr>
        <w:t>村级组织运转经费-村干部基础职务补贴项目自评综述：根据年初设定的绩效目标，村级组织运转经费-村干部基础职务补贴项目绩效自评得分为</w:t>
      </w:r>
      <w:r>
        <w:rPr>
          <w:rFonts w:hint="eastAsia" w:ascii="仿宋" w:hAnsi="仿宋" w:eastAsia="仿宋" w:cs="仿宋_GB2312"/>
          <w:sz w:val="32"/>
          <w:szCs w:val="32"/>
          <w:lang w:val="en-US" w:eastAsia="zh-CN"/>
        </w:rPr>
        <w:t>93.59</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331</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175.96</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55.86%</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通过项目实施，完成了年初设定的各项绩效目标，完成通过及时发放村干部基础职务补贴，为农村干部工作生活提供保障;完成激发农村干部干事创业热情，确保村级工作正常运转及村干部队伍稳定。</w:t>
      </w:r>
      <w:r>
        <w:rPr>
          <w:rFonts w:hint="eastAsia" w:ascii="仿宋" w:hAnsi="仿宋" w:eastAsia="仿宋" w:cs="仿宋_GB2312"/>
          <w:sz w:val="32"/>
          <w:szCs w:val="32"/>
          <w:highlight w:val="none"/>
          <w:lang w:eastAsia="zh-CN"/>
        </w:rPr>
        <w:t>本年度村干部绩效工资未发放。</w:t>
      </w:r>
    </w:p>
    <w:tbl>
      <w:tblPr>
        <w:tblW w:w="9658" w:type="dxa"/>
        <w:tblInd w:w="-78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038"/>
        <w:gridCol w:w="866"/>
        <w:gridCol w:w="911"/>
        <w:gridCol w:w="1362"/>
        <w:gridCol w:w="1408"/>
        <w:gridCol w:w="715"/>
        <w:gridCol w:w="462"/>
        <w:gridCol w:w="519"/>
        <w:gridCol w:w="611"/>
        <w:gridCol w:w="485"/>
        <w:gridCol w:w="577"/>
        <w:gridCol w:w="7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658" w:type="dxa"/>
            <w:gridSpan w:val="1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658" w:type="dxa"/>
            <w:gridSpan w:val="1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8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2273"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村级组织运转经费-村干部基础职务补贴</w:t>
            </w:r>
          </w:p>
        </w:tc>
        <w:tc>
          <w:tcPr>
            <w:tcW w:w="140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71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981"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096"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577"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70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777"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485" w:type="dxa"/>
            <w:gridSpan w:val="3"/>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077" w:type="dxa"/>
            <w:gridSpan w:val="4"/>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281"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91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315.000000</w:t>
            </w:r>
          </w:p>
        </w:tc>
        <w:tc>
          <w:tcPr>
            <w:tcW w:w="136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123"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315.000000</w:t>
            </w:r>
          </w:p>
        </w:tc>
        <w:tc>
          <w:tcPr>
            <w:tcW w:w="981"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096"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175.965000</w:t>
            </w:r>
          </w:p>
        </w:tc>
        <w:tc>
          <w:tcPr>
            <w:tcW w:w="1281" w:type="dxa"/>
            <w:gridSpan w:val="2"/>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91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315.000000</w:t>
            </w:r>
          </w:p>
        </w:tc>
        <w:tc>
          <w:tcPr>
            <w:tcW w:w="136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123"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315.000000</w:t>
            </w:r>
          </w:p>
        </w:tc>
        <w:tc>
          <w:tcPr>
            <w:tcW w:w="981"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096"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175.965000</w:t>
            </w:r>
          </w:p>
        </w:tc>
        <w:tc>
          <w:tcPr>
            <w:tcW w:w="1281" w:type="dxa"/>
            <w:gridSpan w:val="2"/>
            <w:vMerge w:val="continue"/>
            <w:tcBorders>
              <w:top w:val="single" w:color="000000" w:sz="4" w:space="0"/>
              <w:left w:val="single" w:color="000000" w:sz="4" w:space="0"/>
              <w:bottom w:val="single" w:color="000000" w:sz="4" w:space="0"/>
              <w:right w:val="single" w:color="000000" w:sz="4" w:space="0"/>
            </w:tcBorders>
            <w:shd w:val="clear"/>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91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36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123"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81"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096"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281" w:type="dxa"/>
            <w:gridSpan w:val="2"/>
            <w:vMerge w:val="continue"/>
            <w:tcBorders>
              <w:top w:val="single" w:color="000000" w:sz="4" w:space="0"/>
              <w:left w:val="single" w:color="000000" w:sz="4" w:space="0"/>
              <w:bottom w:val="single" w:color="000000" w:sz="4" w:space="0"/>
              <w:right w:val="single" w:color="000000" w:sz="4" w:space="0"/>
            </w:tcBorders>
            <w:shd w:val="clear"/>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547" w:type="dxa"/>
            <w:gridSpan w:val="4"/>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792" w:type="dxa"/>
            <w:gridSpan w:val="5"/>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281"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4547" w:type="dxa"/>
            <w:gridSpan w:val="4"/>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通过及时发放村干部基础职务补贴，为农村干部工作生活提供保障。</w:t>
            </w:r>
          </w:p>
        </w:tc>
        <w:tc>
          <w:tcPr>
            <w:tcW w:w="2792" w:type="dxa"/>
            <w:gridSpan w:val="5"/>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部分完成</w:t>
            </w:r>
          </w:p>
        </w:tc>
        <w:tc>
          <w:tcPr>
            <w:tcW w:w="1281"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4547" w:type="dxa"/>
            <w:gridSpan w:val="4"/>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激发农村干部干事创业热情，确保村级工作正常运转及村干部队伍稳定。</w:t>
            </w:r>
          </w:p>
        </w:tc>
        <w:tc>
          <w:tcPr>
            <w:tcW w:w="2792" w:type="dxa"/>
            <w:gridSpan w:val="5"/>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81" w:type="dxa"/>
            <w:gridSpan w:val="2"/>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866"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911"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1362"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408"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715"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592" w:type="dxa"/>
            <w:gridSpan w:val="3"/>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485"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577"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704"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40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15"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462"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519"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611"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485"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6"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9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13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涉及村数</w:t>
            </w:r>
          </w:p>
        </w:tc>
        <w:tc>
          <w:tcPr>
            <w:tcW w:w="1408"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反映发放村干部基础职务补贴的村数</w:t>
            </w:r>
          </w:p>
        </w:tc>
        <w:tc>
          <w:tcPr>
            <w:tcW w:w="71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w:t>
            </w:r>
          </w:p>
        </w:tc>
        <w:tc>
          <w:tcPr>
            <w:tcW w:w="6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个</w:t>
            </w:r>
          </w:p>
        </w:tc>
        <w:tc>
          <w:tcPr>
            <w:tcW w:w="48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w:t>
            </w:r>
          </w:p>
        </w:tc>
        <w:tc>
          <w:tcPr>
            <w:tcW w:w="577"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0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Arial" w:hAnsi="Arial" w:eastAsia="宋体" w:cs="Arial"/>
                <w:b/>
                <w:bCs/>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13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考核次数</w:t>
            </w:r>
          </w:p>
        </w:tc>
        <w:tc>
          <w:tcPr>
            <w:tcW w:w="1408"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反映村干部考核次数</w:t>
            </w:r>
          </w:p>
        </w:tc>
        <w:tc>
          <w:tcPr>
            <w:tcW w:w="71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6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次</w:t>
            </w:r>
          </w:p>
        </w:tc>
        <w:tc>
          <w:tcPr>
            <w:tcW w:w="48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577"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0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Arial" w:hAnsi="Arial" w:eastAsia="宋体" w:cs="Arial"/>
                <w:b/>
                <w:bCs/>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13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村干部人数</w:t>
            </w:r>
          </w:p>
        </w:tc>
        <w:tc>
          <w:tcPr>
            <w:tcW w:w="1408"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反映村干部人数</w:t>
            </w:r>
          </w:p>
        </w:tc>
        <w:tc>
          <w:tcPr>
            <w:tcW w:w="71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w:t>
            </w:r>
          </w:p>
        </w:tc>
        <w:tc>
          <w:tcPr>
            <w:tcW w:w="4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194</w:t>
            </w:r>
          </w:p>
        </w:tc>
        <w:tc>
          <w:tcPr>
            <w:tcW w:w="6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w:t>
            </w:r>
          </w:p>
        </w:tc>
        <w:tc>
          <w:tcPr>
            <w:tcW w:w="48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194</w:t>
            </w:r>
          </w:p>
        </w:tc>
        <w:tc>
          <w:tcPr>
            <w:tcW w:w="577"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0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Arial" w:hAnsi="Arial" w:eastAsia="宋体" w:cs="Arial"/>
                <w:b/>
                <w:bCs/>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3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按村干部职务分工发放工资比率</w:t>
            </w:r>
          </w:p>
        </w:tc>
        <w:tc>
          <w:tcPr>
            <w:tcW w:w="1408"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反映村干部岗位分工情况</w:t>
            </w:r>
          </w:p>
        </w:tc>
        <w:tc>
          <w:tcPr>
            <w:tcW w:w="71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w:t>
            </w:r>
          </w:p>
        </w:tc>
        <w:tc>
          <w:tcPr>
            <w:tcW w:w="4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6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8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77"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70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Arial" w:hAnsi="Arial" w:eastAsia="宋体" w:cs="Arial"/>
                <w:b/>
                <w:bCs/>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3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村干部考核合格率</w:t>
            </w:r>
          </w:p>
        </w:tc>
        <w:tc>
          <w:tcPr>
            <w:tcW w:w="1408"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合格村干部占总村干部比例</w:t>
            </w:r>
          </w:p>
        </w:tc>
        <w:tc>
          <w:tcPr>
            <w:tcW w:w="71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6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8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577"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0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Arial" w:hAnsi="Arial" w:eastAsia="宋体" w:cs="Arial"/>
                <w:b/>
                <w:bCs/>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13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按月发放村干部工资比率</w:t>
            </w:r>
          </w:p>
        </w:tc>
        <w:tc>
          <w:tcPr>
            <w:tcW w:w="1408"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反映村干部工资发放情况</w:t>
            </w:r>
          </w:p>
        </w:tc>
        <w:tc>
          <w:tcPr>
            <w:tcW w:w="71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6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8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77"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0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Arial" w:hAnsi="Arial" w:eastAsia="宋体" w:cs="Arial"/>
                <w:b/>
                <w:bCs/>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3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村书记主任补贴标准</w:t>
            </w:r>
          </w:p>
        </w:tc>
        <w:tc>
          <w:tcPr>
            <w:tcW w:w="1408"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反映村书记主任一肩挑人均补贴标准</w:t>
            </w:r>
          </w:p>
        </w:tc>
        <w:tc>
          <w:tcPr>
            <w:tcW w:w="71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36000</w:t>
            </w:r>
          </w:p>
        </w:tc>
        <w:tc>
          <w:tcPr>
            <w:tcW w:w="6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元</w:t>
            </w:r>
          </w:p>
        </w:tc>
        <w:tc>
          <w:tcPr>
            <w:tcW w:w="48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36000</w:t>
            </w:r>
          </w:p>
        </w:tc>
        <w:tc>
          <w:tcPr>
            <w:tcW w:w="577"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0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Arial" w:hAnsi="Arial" w:eastAsia="宋体" w:cs="Arial"/>
                <w:b/>
                <w:bCs/>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3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其他人员补贴标准</w:t>
            </w:r>
          </w:p>
        </w:tc>
        <w:tc>
          <w:tcPr>
            <w:tcW w:w="1408"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反映其他村两委干部人均补贴标准</w:t>
            </w:r>
          </w:p>
        </w:tc>
        <w:tc>
          <w:tcPr>
            <w:tcW w:w="71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12000</w:t>
            </w:r>
          </w:p>
        </w:tc>
        <w:tc>
          <w:tcPr>
            <w:tcW w:w="6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元</w:t>
            </w:r>
          </w:p>
        </w:tc>
        <w:tc>
          <w:tcPr>
            <w:tcW w:w="48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12000</w:t>
            </w:r>
          </w:p>
        </w:tc>
        <w:tc>
          <w:tcPr>
            <w:tcW w:w="577"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0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9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13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促进村干部队伍稳定</w:t>
            </w:r>
          </w:p>
        </w:tc>
        <w:tc>
          <w:tcPr>
            <w:tcW w:w="1408"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为村干部生活工作提供保障，确保村干部队伍稳定</w:t>
            </w:r>
          </w:p>
        </w:tc>
        <w:tc>
          <w:tcPr>
            <w:tcW w:w="71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6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8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77"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0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9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13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村干部满意度</w:t>
            </w:r>
          </w:p>
        </w:tc>
        <w:tc>
          <w:tcPr>
            <w:tcW w:w="1408"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调查中村干部满意和较满意的数量占调查总人数的比率</w:t>
            </w:r>
          </w:p>
        </w:tc>
        <w:tc>
          <w:tcPr>
            <w:tcW w:w="71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62"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6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8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577"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0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911"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1362" w:type="dxa"/>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default" w:ascii="Calibri" w:hAnsi="Calibri" w:eastAsia="宋体" w:cs="Calibri"/>
                <w:i w:val="0"/>
                <w:iCs w:val="0"/>
                <w:color w:val="000000"/>
                <w:sz w:val="22"/>
                <w:szCs w:val="22"/>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default" w:ascii="Calibri" w:hAnsi="Calibri" w:eastAsia="宋体" w:cs="Calibri"/>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462" w:type="dxa"/>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default" w:ascii="Calibri" w:hAnsi="Calibri" w:eastAsia="宋体" w:cs="Calibri"/>
                <w:i w:val="0"/>
                <w:iCs w:val="0"/>
                <w:color w:val="000000"/>
                <w:sz w:val="22"/>
                <w:szCs w:val="22"/>
                <w:u w:val="none"/>
              </w:rPr>
            </w:pPr>
          </w:p>
        </w:tc>
        <w:tc>
          <w:tcPr>
            <w:tcW w:w="519" w:type="dxa"/>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default" w:ascii="Calibri" w:hAnsi="Calibri" w:eastAsia="宋体" w:cs="Calibri"/>
                <w:i w:val="0"/>
                <w:iCs w:val="0"/>
                <w:color w:val="000000"/>
                <w:sz w:val="22"/>
                <w:szCs w:val="22"/>
                <w:u w:val="none"/>
              </w:rPr>
            </w:pPr>
          </w:p>
        </w:tc>
        <w:tc>
          <w:tcPr>
            <w:tcW w:w="611" w:type="dxa"/>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default" w:ascii="Calibri" w:hAnsi="Calibri" w:eastAsia="宋体" w:cs="Calibri"/>
                <w:i w:val="0"/>
                <w:iCs w:val="0"/>
                <w:color w:val="000000"/>
                <w:sz w:val="22"/>
                <w:szCs w:val="22"/>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default" w:ascii="Calibri" w:hAnsi="Calibri" w:eastAsia="宋体" w:cs="Calibri"/>
                <w:i w:val="0"/>
                <w:iCs w:val="0"/>
                <w:color w:val="000000"/>
                <w:sz w:val="22"/>
                <w:szCs w:val="22"/>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default" w:ascii="Calibri" w:hAnsi="Calibri" w:eastAsia="宋体" w:cs="Calibri"/>
                <w:i w:val="0"/>
                <w:iCs w:val="0"/>
                <w:color w:val="000000"/>
                <w:sz w:val="22"/>
                <w:szCs w:val="22"/>
                <w:u w:val="none"/>
              </w:rPr>
            </w:pPr>
          </w:p>
        </w:tc>
        <w:tc>
          <w:tcPr>
            <w:tcW w:w="704"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5.58619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7754" w:type="dxa"/>
            <w:gridSpan w:val="10"/>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38"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8620" w:type="dxa"/>
            <w:gridSpan w:val="11"/>
            <w:vMerge w:val="restart"/>
            <w:tcBorders>
              <w:top w:val="single" w:color="000000" w:sz="4" w:space="0"/>
              <w:left w:val="single" w:color="000000" w:sz="4" w:space="0"/>
              <w:bottom w:val="single" w:color="000000" w:sz="4" w:space="0"/>
              <w:right w:val="single" w:color="000000" w:sz="4" w:space="0"/>
            </w:tcBorders>
            <w:shd w:val="clear"/>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3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620" w:type="dxa"/>
            <w:gridSpan w:val="11"/>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3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3139" w:type="dxa"/>
            <w:gridSpan w:val="3"/>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40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073" w:type="dxa"/>
            <w:gridSpan w:val="7"/>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ilvl w:val="0"/>
          <w:numId w:val="4"/>
        </w:numPr>
        <w:adjustRightInd w:val="0"/>
        <w:snapToGrid w:val="0"/>
        <w:spacing w:line="580" w:lineRule="exact"/>
        <w:ind w:left="0" w:leftChars="0"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rPr>
        <w:t>村级组织运转经费-</w:t>
      </w:r>
      <w:r>
        <w:rPr>
          <w:rFonts w:hint="default" w:ascii="仿宋" w:hAnsi="仿宋" w:eastAsia="仿宋" w:cs="仿宋_GB2312"/>
          <w:sz w:val="32"/>
          <w:szCs w:val="32"/>
          <w:lang w:val="en-US" w:eastAsia="zh-CN"/>
        </w:rPr>
        <w:t>村级组织办公经费</w:t>
      </w:r>
      <w:r>
        <w:rPr>
          <w:rFonts w:hint="eastAsia" w:ascii="仿宋" w:hAnsi="仿宋" w:eastAsia="仿宋" w:cs="仿宋_GB2312"/>
          <w:sz w:val="32"/>
          <w:szCs w:val="32"/>
        </w:rPr>
        <w:t>项目自评综述：根据年初设定的绩效目标，村级组织运转经费-</w:t>
      </w:r>
      <w:r>
        <w:rPr>
          <w:rFonts w:hint="default" w:ascii="仿宋" w:hAnsi="仿宋" w:eastAsia="仿宋" w:cs="仿宋_GB2312"/>
          <w:sz w:val="32"/>
          <w:szCs w:val="32"/>
          <w:lang w:val="en-US" w:eastAsia="zh-CN"/>
        </w:rPr>
        <w:t>村级组织办公经费</w:t>
      </w:r>
      <w:r>
        <w:rPr>
          <w:rFonts w:hint="eastAsia" w:ascii="仿宋" w:hAnsi="仿宋" w:eastAsia="仿宋" w:cs="仿宋_GB2312"/>
          <w:sz w:val="32"/>
          <w:szCs w:val="32"/>
        </w:rPr>
        <w:t>项目绩效自评得分为</w:t>
      </w:r>
      <w:r>
        <w:rPr>
          <w:rFonts w:hint="eastAsia" w:ascii="仿宋" w:hAnsi="仿宋" w:eastAsia="仿宋" w:cs="仿宋_GB2312"/>
          <w:sz w:val="32"/>
          <w:szCs w:val="32"/>
          <w:lang w:val="en-US" w:eastAsia="zh-CN"/>
        </w:rPr>
        <w:t>95.2</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105</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54.65</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52.05%</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通过项目实施，完成了年初设定的各项绩效目标，完成通过及时支付村级组织办公用品、水电暖等费用，保障日常工作有序开展;完成保障村级干部工作积极性，确保村级组织正常、高效运转。未发现问题</w:t>
      </w:r>
      <w:r>
        <w:rPr>
          <w:rFonts w:hint="eastAsia" w:ascii="仿宋" w:hAnsi="仿宋" w:eastAsia="仿宋" w:cs="仿宋_GB2312"/>
          <w:sz w:val="32"/>
          <w:szCs w:val="32"/>
          <w:highlight w:val="none"/>
          <w:lang w:eastAsia="zh-CN"/>
        </w:rPr>
        <w:t>。</w:t>
      </w:r>
    </w:p>
    <w:tbl>
      <w:tblPr>
        <w:tblW w:w="9854" w:type="dxa"/>
        <w:tblInd w:w="-74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016"/>
        <w:gridCol w:w="682"/>
        <w:gridCol w:w="1055"/>
        <w:gridCol w:w="1032"/>
        <w:gridCol w:w="1904"/>
        <w:gridCol w:w="727"/>
        <w:gridCol w:w="403"/>
        <w:gridCol w:w="577"/>
        <w:gridCol w:w="404"/>
        <w:gridCol w:w="612"/>
        <w:gridCol w:w="565"/>
        <w:gridCol w:w="8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54"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54"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68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208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村级组织运转经费-村级组织办公经费</w:t>
            </w:r>
          </w:p>
        </w:tc>
        <w:tc>
          <w:tcPr>
            <w:tcW w:w="190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98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01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56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8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73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663"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1996"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44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105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105.000000</w:t>
            </w:r>
          </w:p>
        </w:tc>
        <w:tc>
          <w:tcPr>
            <w:tcW w:w="103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63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105.000000</w:t>
            </w:r>
          </w:p>
        </w:tc>
        <w:tc>
          <w:tcPr>
            <w:tcW w:w="98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01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54.650000</w:t>
            </w:r>
          </w:p>
        </w:tc>
        <w:tc>
          <w:tcPr>
            <w:tcW w:w="1442"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05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105.000000</w:t>
            </w:r>
          </w:p>
        </w:tc>
        <w:tc>
          <w:tcPr>
            <w:tcW w:w="103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63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105.000000</w:t>
            </w:r>
          </w:p>
        </w:tc>
        <w:tc>
          <w:tcPr>
            <w:tcW w:w="98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01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54.650000</w:t>
            </w:r>
          </w:p>
        </w:tc>
        <w:tc>
          <w:tcPr>
            <w:tcW w:w="1442"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05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03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63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8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01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442"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673"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723"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44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673"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通过及时支付村级组织办公用品、水电暖等费用，保障日常工作有序开展。</w:t>
            </w:r>
          </w:p>
        </w:tc>
        <w:tc>
          <w:tcPr>
            <w:tcW w:w="2723"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44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673"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保障村级干部工作积极性，确保村级组织正常、高效运转。</w:t>
            </w:r>
          </w:p>
        </w:tc>
        <w:tc>
          <w:tcPr>
            <w:tcW w:w="2723"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44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682"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1055"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1032"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904"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72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384"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612"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565"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87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90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40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61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565"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2"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10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103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拨付办公费涉及村级组织数量</w:t>
            </w:r>
          </w:p>
        </w:tc>
        <w:tc>
          <w:tcPr>
            <w:tcW w:w="1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反映拨付村级办公费的村数</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w:t>
            </w:r>
          </w:p>
        </w:tc>
        <w:tc>
          <w:tcPr>
            <w:tcW w:w="56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0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03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村级组织办公经费拨付率</w:t>
            </w:r>
          </w:p>
        </w:tc>
        <w:tc>
          <w:tcPr>
            <w:tcW w:w="1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反映拨付村级组织办公费村数占总数比例</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6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0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03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村级组织有效运转率</w:t>
            </w:r>
          </w:p>
        </w:tc>
        <w:tc>
          <w:tcPr>
            <w:tcW w:w="1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反映村级组织正常有效开展工作</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6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0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03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购置办公用品合格率</w:t>
            </w:r>
          </w:p>
        </w:tc>
        <w:tc>
          <w:tcPr>
            <w:tcW w:w="1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反映购买的办公用品合格数量占全部购买办公用品数量的比例</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6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0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103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办公经费拨付时间</w:t>
            </w:r>
          </w:p>
        </w:tc>
        <w:tc>
          <w:tcPr>
            <w:tcW w:w="1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反映村级组织办公经费拨付时间</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次/半年</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56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0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03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办公经费补贴标准</w:t>
            </w:r>
          </w:p>
        </w:tc>
        <w:tc>
          <w:tcPr>
            <w:tcW w:w="1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反映每个村级组织办公经费补助标准</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56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2"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10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103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确保村级组织正常运行</w:t>
            </w:r>
          </w:p>
        </w:tc>
        <w:tc>
          <w:tcPr>
            <w:tcW w:w="1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通过及时拨付办公经费，确保村级组织正常运转，能够高效服务群众</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6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0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可持续影响指标</w:t>
            </w:r>
          </w:p>
        </w:tc>
        <w:tc>
          <w:tcPr>
            <w:tcW w:w="103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保障村级干部工作积极性</w:t>
            </w:r>
          </w:p>
        </w:tc>
        <w:tc>
          <w:tcPr>
            <w:tcW w:w="1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通过及时拨付办公经费，提高村干部工作积极性，保障年度村级组织能够高效运转</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56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10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103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村干部满意度</w:t>
            </w:r>
          </w:p>
        </w:tc>
        <w:tc>
          <w:tcPr>
            <w:tcW w:w="1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反映村干部对上级工作安排的满意率</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56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10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103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2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40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8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5.204762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8156"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8838"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838"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1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769"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90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165"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ilvl w:val="0"/>
          <w:numId w:val="0"/>
        </w:numPr>
        <w:adjustRightInd w:val="0"/>
        <w:snapToGrid w:val="0"/>
        <w:spacing w:after="0" w:line="360" w:lineRule="auto"/>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3</w:t>
      </w:r>
      <w:r>
        <w:rPr>
          <w:rFonts w:hint="eastAsia" w:ascii="仿宋" w:hAnsi="仿宋" w:eastAsia="仿宋" w:cs="仿宋_GB2312"/>
          <w:sz w:val="32"/>
          <w:szCs w:val="32"/>
          <w:lang w:eastAsia="zh-CN"/>
        </w:rPr>
        <w:t>）</w:t>
      </w:r>
      <w:r>
        <w:rPr>
          <w:rFonts w:hint="eastAsia" w:ascii="仿宋" w:hAnsi="仿宋" w:eastAsia="仿宋" w:cs="仿宋_GB2312"/>
          <w:sz w:val="32"/>
          <w:szCs w:val="32"/>
        </w:rPr>
        <w:t>村级组织运转经费-服务群众专项经费项目自评综述：根据年初设定的绩效目标，村级组织运转经费-服务群众专项经费项目绩效自评得分为</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105</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105</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开展服务群众工作，为村综合服务站日常运转、公共设施维护等提供保障，为群众提供便捷优质生产生活条件;完成通过项目实施为村级组织公共卫生防疫、村内治安等临时劳务用工提供费用保障，为群众提供安全稳定生活环境。未发现问题</w:t>
      </w:r>
      <w:r>
        <w:rPr>
          <w:rFonts w:hint="eastAsia" w:ascii="仿宋" w:hAnsi="仿宋" w:eastAsia="仿宋" w:cs="仿宋_GB2312"/>
          <w:sz w:val="32"/>
          <w:szCs w:val="32"/>
          <w:highlight w:val="none"/>
          <w:lang w:eastAsia="zh-CN"/>
        </w:rPr>
        <w:t>。</w:t>
      </w:r>
    </w:p>
    <w:tbl>
      <w:tblPr>
        <w:tblW w:w="9912" w:type="dxa"/>
        <w:tblInd w:w="-79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843"/>
        <w:gridCol w:w="1003"/>
        <w:gridCol w:w="843"/>
        <w:gridCol w:w="1085"/>
        <w:gridCol w:w="2215"/>
        <w:gridCol w:w="577"/>
        <w:gridCol w:w="392"/>
        <w:gridCol w:w="589"/>
        <w:gridCol w:w="461"/>
        <w:gridCol w:w="635"/>
        <w:gridCol w:w="611"/>
        <w:gridCol w:w="6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12"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12"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10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192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村级组织运转经费-服务群众专项经费</w:t>
            </w:r>
          </w:p>
        </w:tc>
        <w:tc>
          <w:tcPr>
            <w:tcW w:w="221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98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09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84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877"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077"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26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0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84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105.000000</w:t>
            </w:r>
          </w:p>
        </w:tc>
        <w:tc>
          <w:tcPr>
            <w:tcW w:w="108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79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105.000000</w:t>
            </w:r>
          </w:p>
        </w:tc>
        <w:tc>
          <w:tcPr>
            <w:tcW w:w="98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09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105.000000</w:t>
            </w:r>
          </w:p>
        </w:tc>
        <w:tc>
          <w:tcPr>
            <w:tcW w:w="1269"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0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84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105.000000</w:t>
            </w:r>
          </w:p>
        </w:tc>
        <w:tc>
          <w:tcPr>
            <w:tcW w:w="108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79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105.000000</w:t>
            </w:r>
          </w:p>
        </w:tc>
        <w:tc>
          <w:tcPr>
            <w:tcW w:w="98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09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105.000000</w:t>
            </w:r>
          </w:p>
        </w:tc>
        <w:tc>
          <w:tcPr>
            <w:tcW w:w="1269"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0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84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08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79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8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09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269"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5146"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654"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26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5146"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通过开展服务群众工作，为村综合服务站日常运转、公共设施维护等提供保障，为群众提供便捷优质生产生活条件。</w:t>
            </w:r>
          </w:p>
        </w:tc>
        <w:tc>
          <w:tcPr>
            <w:tcW w:w="2654"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6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5146"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通过项目实施为村级组织公共卫生防疫、村内治安等临时劳务用工提供费用保障，为群众提供安全稳定生活环境。</w:t>
            </w:r>
          </w:p>
        </w:tc>
        <w:tc>
          <w:tcPr>
            <w:tcW w:w="2654"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6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100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84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1085"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2215"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57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442"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635"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61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65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2215"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39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58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4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635"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1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0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8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10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村综合服务站数量</w:t>
            </w:r>
          </w:p>
        </w:tc>
        <w:tc>
          <w:tcPr>
            <w:tcW w:w="22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反映服务群众的村综合服务站的数量</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w:t>
            </w:r>
          </w:p>
        </w:tc>
        <w:tc>
          <w:tcPr>
            <w:tcW w:w="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个</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8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0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村级组织工作完成率</w:t>
            </w:r>
          </w:p>
        </w:tc>
        <w:tc>
          <w:tcPr>
            <w:tcW w:w="22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反映村级组织工作建设及服务完成情况</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8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0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拨付服务群众专项经费率</w:t>
            </w:r>
          </w:p>
        </w:tc>
        <w:tc>
          <w:tcPr>
            <w:tcW w:w="22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反映拨付服务群众专项经费村数占总数比例</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w:t>
            </w:r>
          </w:p>
        </w:tc>
        <w:tc>
          <w:tcPr>
            <w:tcW w:w="3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8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0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服务群众经费使用率</w:t>
            </w:r>
          </w:p>
        </w:tc>
        <w:tc>
          <w:tcPr>
            <w:tcW w:w="22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反映服务群众经费使用得当，农村群众生产生活条件改善提高，社会环境安全稳定</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w:t>
            </w:r>
          </w:p>
        </w:tc>
        <w:tc>
          <w:tcPr>
            <w:tcW w:w="3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8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0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村级组织开展服务群众完成率</w:t>
            </w:r>
          </w:p>
        </w:tc>
        <w:tc>
          <w:tcPr>
            <w:tcW w:w="22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反映村级组织开展服务群众具体情况如：村内清运垃圾、公共卫生防疫等等</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8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10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村民服务提供及时率</w:t>
            </w:r>
          </w:p>
        </w:tc>
        <w:tc>
          <w:tcPr>
            <w:tcW w:w="22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反映为村民群众提供各项服务的及时性</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8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0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服务群众专项经费拨付标准</w:t>
            </w:r>
          </w:p>
        </w:tc>
        <w:tc>
          <w:tcPr>
            <w:tcW w:w="22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反映每个村服务群众专项经费支出成本</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w:t>
            </w:r>
          </w:p>
        </w:tc>
        <w:tc>
          <w:tcPr>
            <w:tcW w:w="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8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0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垃圾清运成本</w:t>
            </w:r>
          </w:p>
        </w:tc>
        <w:tc>
          <w:tcPr>
            <w:tcW w:w="22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反映每个村垃圾清运支出成本</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8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10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村民生活环境改善率</w:t>
            </w:r>
          </w:p>
        </w:tc>
        <w:tc>
          <w:tcPr>
            <w:tcW w:w="22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反映各村垃圾清运改善生活环境</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8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10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群众满意度</w:t>
            </w:r>
          </w:p>
        </w:tc>
        <w:tc>
          <w:tcPr>
            <w:tcW w:w="22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农村群众对村级组织开展工作、服务群众满意率</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8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10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22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3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3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8066"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43"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9069"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069"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4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931"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221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3923"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numId w:val="0"/>
        </w:numPr>
        <w:adjustRightInd w:val="0"/>
        <w:snapToGrid w:val="0"/>
        <w:spacing w:line="58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4</w:t>
      </w:r>
      <w:r>
        <w:rPr>
          <w:rFonts w:hint="eastAsia" w:ascii="仿宋" w:hAnsi="仿宋" w:eastAsia="仿宋" w:cs="仿宋_GB2312"/>
          <w:sz w:val="32"/>
          <w:szCs w:val="32"/>
          <w:lang w:eastAsia="zh-CN"/>
        </w:rPr>
        <w:t>）</w:t>
      </w:r>
      <w:r>
        <w:rPr>
          <w:rFonts w:hint="eastAsia" w:ascii="仿宋" w:hAnsi="仿宋" w:eastAsia="仿宋" w:cs="仿宋_GB2312"/>
          <w:sz w:val="32"/>
          <w:szCs w:val="32"/>
        </w:rPr>
        <w:t>党建工作经费项目自评综述：根据年初设定的绩效目标，党建工作经费项目绩效自评得分为</w:t>
      </w:r>
      <w:r>
        <w:rPr>
          <w:rFonts w:hint="eastAsia" w:ascii="仿宋" w:hAnsi="仿宋" w:eastAsia="仿宋" w:cs="仿宋_GB2312"/>
          <w:sz w:val="32"/>
          <w:szCs w:val="32"/>
          <w:lang w:val="en-US" w:eastAsia="zh-CN"/>
        </w:rPr>
        <w:t>90</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2</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开展组织、宣传等党建工作，加强干部队伍建设，发挥基层党组织的作用;完成践行“不忘初心、牢记使命”宗旨，充分发挥党的思想政治优势、组织优势和密切联系群众的优势。未发现问题</w:t>
      </w:r>
      <w:r>
        <w:rPr>
          <w:rFonts w:hint="eastAsia" w:ascii="仿宋" w:hAnsi="仿宋" w:eastAsia="仿宋" w:cs="仿宋_GB2312"/>
          <w:sz w:val="32"/>
          <w:szCs w:val="32"/>
          <w:highlight w:val="none"/>
          <w:lang w:eastAsia="zh-CN"/>
        </w:rPr>
        <w:t>。</w:t>
      </w:r>
    </w:p>
    <w:tbl>
      <w:tblPr>
        <w:tblW w:w="9923" w:type="dxa"/>
        <w:tblInd w:w="-70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061"/>
        <w:gridCol w:w="777"/>
        <w:gridCol w:w="946"/>
        <w:gridCol w:w="1416"/>
        <w:gridCol w:w="1719"/>
        <w:gridCol w:w="669"/>
        <w:gridCol w:w="473"/>
        <w:gridCol w:w="531"/>
        <w:gridCol w:w="542"/>
        <w:gridCol w:w="520"/>
        <w:gridCol w:w="611"/>
        <w:gridCol w:w="6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23"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23"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7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236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党建工作经费</w:t>
            </w:r>
          </w:p>
        </w:tc>
        <w:tc>
          <w:tcPr>
            <w:tcW w:w="17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6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10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06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72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804"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066"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26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94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2.000000</w:t>
            </w:r>
          </w:p>
        </w:tc>
        <w:tc>
          <w:tcPr>
            <w:tcW w:w="141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38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2.000000</w:t>
            </w:r>
          </w:p>
        </w:tc>
        <w:tc>
          <w:tcPr>
            <w:tcW w:w="10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06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269"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94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2.000000</w:t>
            </w:r>
          </w:p>
        </w:tc>
        <w:tc>
          <w:tcPr>
            <w:tcW w:w="141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38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2.000000</w:t>
            </w:r>
          </w:p>
        </w:tc>
        <w:tc>
          <w:tcPr>
            <w:tcW w:w="10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06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269"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94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41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38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0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06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269"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858"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735"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26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858"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通过开展组织、宣传等党建工作，加强干部队伍建设，发挥基层党组织的作用。</w:t>
            </w:r>
          </w:p>
        </w:tc>
        <w:tc>
          <w:tcPr>
            <w:tcW w:w="2735"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6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858"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践行“不忘初心、牢记使命”宗旨，充分发挥党的思想政治优势、组织优势和密切联系群众的优势。</w:t>
            </w:r>
          </w:p>
        </w:tc>
        <w:tc>
          <w:tcPr>
            <w:tcW w:w="2735"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6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77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94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141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719"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669"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546"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52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61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65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41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71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6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7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5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54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5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1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7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94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141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组织宣传活动次数（次）</w:t>
            </w:r>
          </w:p>
        </w:tc>
        <w:tc>
          <w:tcPr>
            <w:tcW w:w="17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组织宣传活动次数</w:t>
            </w:r>
          </w:p>
        </w:tc>
        <w:tc>
          <w:tcPr>
            <w:tcW w:w="6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次</w:t>
            </w:r>
          </w:p>
        </w:tc>
        <w:tc>
          <w:tcPr>
            <w:tcW w:w="5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141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舆情信息数量（条）</w:t>
            </w:r>
          </w:p>
        </w:tc>
        <w:tc>
          <w:tcPr>
            <w:tcW w:w="17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收集、分析、上报舆情信息的数量</w:t>
            </w:r>
          </w:p>
        </w:tc>
        <w:tc>
          <w:tcPr>
            <w:tcW w:w="6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条</w:t>
            </w:r>
          </w:p>
        </w:tc>
        <w:tc>
          <w:tcPr>
            <w:tcW w:w="5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41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党员培训覆盖率（%）</w:t>
            </w:r>
          </w:p>
        </w:tc>
        <w:tc>
          <w:tcPr>
            <w:tcW w:w="17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培训对象数量占应覆盖对象数量的比率</w:t>
            </w:r>
          </w:p>
        </w:tc>
        <w:tc>
          <w:tcPr>
            <w:tcW w:w="6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41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党建工作达标率</w:t>
            </w:r>
          </w:p>
        </w:tc>
        <w:tc>
          <w:tcPr>
            <w:tcW w:w="17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党建工作达到上级相关规范及要求</w:t>
            </w:r>
          </w:p>
        </w:tc>
        <w:tc>
          <w:tcPr>
            <w:tcW w:w="6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141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党建工作完成时效性</w:t>
            </w:r>
          </w:p>
        </w:tc>
        <w:tc>
          <w:tcPr>
            <w:tcW w:w="17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全年按计划完成各项工作</w:t>
            </w:r>
          </w:p>
        </w:tc>
        <w:tc>
          <w:tcPr>
            <w:tcW w:w="6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文字描述</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12月31日前</w:t>
            </w:r>
          </w:p>
        </w:tc>
        <w:tc>
          <w:tcPr>
            <w:tcW w:w="5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按时完成</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41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党建费用支出控制情况</w:t>
            </w:r>
          </w:p>
        </w:tc>
        <w:tc>
          <w:tcPr>
            <w:tcW w:w="17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党建费用支出情况控制在年度预算额度内</w:t>
            </w:r>
          </w:p>
        </w:tc>
        <w:tc>
          <w:tcPr>
            <w:tcW w:w="6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5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7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94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141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基层党组织带动示范作用</w:t>
            </w:r>
          </w:p>
        </w:tc>
        <w:tc>
          <w:tcPr>
            <w:tcW w:w="17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通过党建工作促进党员队伍能力提升，在经济建设中发挥带动示范作用</w:t>
            </w:r>
          </w:p>
        </w:tc>
        <w:tc>
          <w:tcPr>
            <w:tcW w:w="6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经济效益指标</w:t>
            </w:r>
          </w:p>
        </w:tc>
        <w:tc>
          <w:tcPr>
            <w:tcW w:w="141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党员带头发展经济</w:t>
            </w:r>
          </w:p>
        </w:tc>
        <w:tc>
          <w:tcPr>
            <w:tcW w:w="17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通过党员带动发展经济，增加村民收入</w:t>
            </w:r>
          </w:p>
        </w:tc>
        <w:tc>
          <w:tcPr>
            <w:tcW w:w="6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2000</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元</w:t>
            </w:r>
          </w:p>
        </w:tc>
        <w:tc>
          <w:tcPr>
            <w:tcW w:w="5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2000</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94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141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群众对全镇党建满意度</w:t>
            </w:r>
          </w:p>
        </w:tc>
        <w:tc>
          <w:tcPr>
            <w:tcW w:w="17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全镇群众对党建工作的满意度</w:t>
            </w:r>
          </w:p>
        </w:tc>
        <w:tc>
          <w:tcPr>
            <w:tcW w:w="6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94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141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8085"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1"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8862"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862"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3139"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7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004"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ilvl w:val="0"/>
          <w:numId w:val="0"/>
        </w:numPr>
        <w:adjustRightInd w:val="0"/>
        <w:snapToGrid w:val="0"/>
        <w:spacing w:line="58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5</w:t>
      </w:r>
      <w:r>
        <w:rPr>
          <w:rFonts w:hint="eastAsia" w:ascii="仿宋" w:hAnsi="仿宋" w:eastAsia="仿宋" w:cs="仿宋_GB2312"/>
          <w:sz w:val="32"/>
          <w:szCs w:val="32"/>
          <w:lang w:eastAsia="zh-CN"/>
        </w:rPr>
        <w:t>）</w:t>
      </w:r>
      <w:r>
        <w:rPr>
          <w:rFonts w:hint="eastAsia" w:ascii="仿宋" w:hAnsi="仿宋" w:eastAsia="仿宋" w:cs="仿宋_GB2312"/>
          <w:sz w:val="32"/>
          <w:szCs w:val="32"/>
        </w:rPr>
        <w:t>防火防汛工作经费项目自评综述：根据年初设定的绩效目标，防火防汛工作经费项目绩效自评得分为</w:t>
      </w:r>
      <w:r>
        <w:rPr>
          <w:rFonts w:hint="eastAsia" w:ascii="仿宋" w:hAnsi="仿宋" w:eastAsia="仿宋" w:cs="仿宋_GB2312"/>
          <w:sz w:val="32"/>
          <w:szCs w:val="32"/>
          <w:lang w:val="en-US" w:eastAsia="zh-CN"/>
        </w:rPr>
        <w:t>76.92</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8</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0.734</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9.8%</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扎实开展日常防火工作，广泛宣传，全天候巡查，加强防火扑救物资的储备，有效防范和遏制森林火灾的发生;完成通过开展巡视巡查整治工作，及时消除防汛安全隐患，确保辖区内河道行洪通畅。未发现问题</w:t>
      </w:r>
      <w:r>
        <w:rPr>
          <w:rFonts w:hint="eastAsia" w:ascii="仿宋" w:hAnsi="仿宋" w:eastAsia="仿宋" w:cs="仿宋_GB2312"/>
          <w:sz w:val="32"/>
          <w:szCs w:val="32"/>
          <w:highlight w:val="none"/>
          <w:lang w:eastAsia="zh-CN"/>
        </w:rPr>
        <w:t>。</w:t>
      </w:r>
    </w:p>
    <w:tbl>
      <w:tblPr>
        <w:tblW w:w="9877" w:type="dxa"/>
        <w:tblInd w:w="-6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061"/>
        <w:gridCol w:w="803"/>
        <w:gridCol w:w="930"/>
        <w:gridCol w:w="1014"/>
        <w:gridCol w:w="1580"/>
        <w:gridCol w:w="693"/>
        <w:gridCol w:w="404"/>
        <w:gridCol w:w="692"/>
        <w:gridCol w:w="519"/>
        <w:gridCol w:w="623"/>
        <w:gridCol w:w="739"/>
        <w:gridCol w:w="8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77"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77"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8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194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防火防汛工作经费</w:t>
            </w:r>
          </w:p>
        </w:tc>
        <w:tc>
          <w:tcPr>
            <w:tcW w:w="158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69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109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14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73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287"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238"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55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9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8.000000</w:t>
            </w:r>
          </w:p>
        </w:tc>
        <w:tc>
          <w:tcPr>
            <w:tcW w:w="101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27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8.000000</w:t>
            </w:r>
          </w:p>
        </w:tc>
        <w:tc>
          <w:tcPr>
            <w:tcW w:w="109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14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0.734000</w:t>
            </w:r>
          </w:p>
        </w:tc>
        <w:tc>
          <w:tcPr>
            <w:tcW w:w="1558"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9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8.000000</w:t>
            </w:r>
          </w:p>
        </w:tc>
        <w:tc>
          <w:tcPr>
            <w:tcW w:w="101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27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8.000000</w:t>
            </w:r>
          </w:p>
        </w:tc>
        <w:tc>
          <w:tcPr>
            <w:tcW w:w="109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14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0.734000</w:t>
            </w:r>
          </w:p>
        </w:tc>
        <w:tc>
          <w:tcPr>
            <w:tcW w:w="1558"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9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01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27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09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14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558"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327"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931"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55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327"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通过开展巡视巡查整治工作，及时消除防汛安全隐患，确保辖区内河道行洪通畅。</w:t>
            </w:r>
          </w:p>
        </w:tc>
        <w:tc>
          <w:tcPr>
            <w:tcW w:w="2931"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55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327"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通过扎实开展日常防火工作，广泛宣传，全天候巡查，加强防火扑救物资的储备，有效防范和遏制森林火灾的发生。</w:t>
            </w:r>
          </w:p>
        </w:tc>
        <w:tc>
          <w:tcPr>
            <w:tcW w:w="2931"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55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80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93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1014"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58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69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615"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62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739"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819"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01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58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9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0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69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5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62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1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0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9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10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日常巡查次数(次)</w:t>
            </w:r>
          </w:p>
        </w:tc>
        <w:tc>
          <w:tcPr>
            <w:tcW w:w="15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当年实际日常巡查次数</w:t>
            </w:r>
          </w:p>
        </w:tc>
        <w:tc>
          <w:tcPr>
            <w:tcW w:w="69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w:t>
            </w:r>
          </w:p>
        </w:tc>
        <w:tc>
          <w:tcPr>
            <w:tcW w:w="5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次</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0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日常巡查覆盖率</w:t>
            </w:r>
          </w:p>
        </w:tc>
        <w:tc>
          <w:tcPr>
            <w:tcW w:w="15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反应巡查范围为整个镇区。</w:t>
            </w:r>
          </w:p>
        </w:tc>
        <w:tc>
          <w:tcPr>
            <w:tcW w:w="69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0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确保河道畅通</w:t>
            </w:r>
          </w:p>
        </w:tc>
        <w:tc>
          <w:tcPr>
            <w:tcW w:w="15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反映汛期河道通畅率</w:t>
            </w:r>
          </w:p>
        </w:tc>
        <w:tc>
          <w:tcPr>
            <w:tcW w:w="69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10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巡查完成时间</w:t>
            </w:r>
          </w:p>
        </w:tc>
        <w:tc>
          <w:tcPr>
            <w:tcW w:w="15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反应防火防汛完成时间</w:t>
            </w:r>
          </w:p>
        </w:tc>
        <w:tc>
          <w:tcPr>
            <w:tcW w:w="69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文字描述</w:t>
            </w:r>
          </w:p>
        </w:tc>
        <w:tc>
          <w:tcPr>
            <w:tcW w:w="6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2023年全年持续</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持续巡查</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0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抢险物资支出</w:t>
            </w:r>
          </w:p>
        </w:tc>
        <w:tc>
          <w:tcPr>
            <w:tcW w:w="15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反应防火防汛储备的抢险物资</w:t>
            </w:r>
          </w:p>
        </w:tc>
        <w:tc>
          <w:tcPr>
            <w:tcW w:w="69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4</w:t>
            </w:r>
          </w:p>
        </w:tc>
        <w:tc>
          <w:tcPr>
            <w:tcW w:w="5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0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办公费用支出</w:t>
            </w:r>
          </w:p>
        </w:tc>
        <w:tc>
          <w:tcPr>
            <w:tcW w:w="15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反应用于防火防汛的宣传单等办公费</w:t>
            </w:r>
          </w:p>
        </w:tc>
        <w:tc>
          <w:tcPr>
            <w:tcW w:w="69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4</w:t>
            </w:r>
          </w:p>
        </w:tc>
        <w:tc>
          <w:tcPr>
            <w:tcW w:w="5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0.734</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0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9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10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降低火灾对环境的破坏</w:t>
            </w:r>
          </w:p>
        </w:tc>
        <w:tc>
          <w:tcPr>
            <w:tcW w:w="15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反映降低火灾对环境破坏的比率</w:t>
            </w:r>
          </w:p>
        </w:tc>
        <w:tc>
          <w:tcPr>
            <w:tcW w:w="69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30</w:t>
            </w:r>
          </w:p>
        </w:tc>
        <w:tc>
          <w:tcPr>
            <w:tcW w:w="5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30</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生态效益指标</w:t>
            </w:r>
          </w:p>
        </w:tc>
        <w:tc>
          <w:tcPr>
            <w:tcW w:w="10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森林火灾受害率(％)</w:t>
            </w:r>
          </w:p>
        </w:tc>
        <w:tc>
          <w:tcPr>
            <w:tcW w:w="15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全镇森林火灾发生面积占森林总面积的比例</w:t>
            </w:r>
          </w:p>
        </w:tc>
        <w:tc>
          <w:tcPr>
            <w:tcW w:w="69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0.01</w:t>
            </w:r>
          </w:p>
        </w:tc>
        <w:tc>
          <w:tcPr>
            <w:tcW w:w="5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0.01</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9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10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群众满意度</w:t>
            </w:r>
          </w:p>
        </w:tc>
        <w:tc>
          <w:tcPr>
            <w:tcW w:w="15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群众对防火防汛工作满意度</w:t>
            </w:r>
          </w:p>
        </w:tc>
        <w:tc>
          <w:tcPr>
            <w:tcW w:w="69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9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10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4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9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3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0.9175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8013"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8816"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816"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747"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58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489"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numId w:val="0"/>
        </w:numPr>
        <w:adjustRightInd w:val="0"/>
        <w:snapToGrid w:val="0"/>
        <w:spacing w:line="58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6</w:t>
      </w:r>
      <w:r>
        <w:rPr>
          <w:rFonts w:hint="eastAsia" w:ascii="仿宋" w:hAnsi="仿宋" w:eastAsia="仿宋" w:cs="仿宋_GB2312"/>
          <w:sz w:val="32"/>
          <w:szCs w:val="32"/>
          <w:lang w:eastAsia="zh-CN"/>
        </w:rPr>
        <w:t>）</w:t>
      </w:r>
      <w:r>
        <w:rPr>
          <w:rFonts w:hint="eastAsia" w:ascii="仿宋" w:hAnsi="仿宋" w:eastAsia="仿宋" w:cs="仿宋_GB2312"/>
          <w:sz w:val="32"/>
          <w:szCs w:val="32"/>
        </w:rPr>
        <w:t>防贫工作经费项目自评综述：根据年初设定的绩效目标，防贫工作经费项目绩效自评得分为</w:t>
      </w:r>
      <w:r>
        <w:rPr>
          <w:rFonts w:hint="eastAsia" w:ascii="仿宋" w:hAnsi="仿宋" w:eastAsia="仿宋" w:cs="仿宋_GB2312"/>
          <w:sz w:val="32"/>
          <w:szCs w:val="32"/>
          <w:lang w:val="en-US" w:eastAsia="zh-CN"/>
        </w:rPr>
        <w:t>75</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2</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通过项目实施，完成了年初设定的各项绩效目标，完成通过项目实施，保障扶贫工作的正常进行;完成完成脱贫攻坚任务，提供有力保障。未发现问题</w:t>
      </w:r>
      <w:r>
        <w:rPr>
          <w:rFonts w:hint="eastAsia" w:ascii="仿宋" w:hAnsi="仿宋" w:eastAsia="仿宋" w:cs="仿宋_GB2312"/>
          <w:sz w:val="32"/>
          <w:szCs w:val="32"/>
          <w:highlight w:val="none"/>
          <w:lang w:eastAsia="zh-CN"/>
        </w:rPr>
        <w:t>。</w:t>
      </w:r>
    </w:p>
    <w:tbl>
      <w:tblPr>
        <w:tblW w:w="9970" w:type="dxa"/>
        <w:tblInd w:w="-64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074"/>
        <w:gridCol w:w="752"/>
        <w:gridCol w:w="959"/>
        <w:gridCol w:w="1022"/>
        <w:gridCol w:w="1498"/>
        <w:gridCol w:w="662"/>
        <w:gridCol w:w="411"/>
        <w:gridCol w:w="513"/>
        <w:gridCol w:w="555"/>
        <w:gridCol w:w="678"/>
        <w:gridCol w:w="626"/>
        <w:gridCol w:w="12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70"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70"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7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198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防贫工作专项经费</w:t>
            </w:r>
          </w:p>
        </w:tc>
        <w:tc>
          <w:tcPr>
            <w:tcW w:w="149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6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92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23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62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12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71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182"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157"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84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95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2.000000</w:t>
            </w:r>
          </w:p>
        </w:tc>
        <w:tc>
          <w:tcPr>
            <w:tcW w:w="102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16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2.000000</w:t>
            </w:r>
          </w:p>
        </w:tc>
        <w:tc>
          <w:tcPr>
            <w:tcW w:w="92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23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846"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95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2.000000</w:t>
            </w:r>
          </w:p>
        </w:tc>
        <w:tc>
          <w:tcPr>
            <w:tcW w:w="102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16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2.000000</w:t>
            </w:r>
          </w:p>
        </w:tc>
        <w:tc>
          <w:tcPr>
            <w:tcW w:w="92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23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846"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95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02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16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2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23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846"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231"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819"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84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231"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通过项目实施，保障扶贫工作的正常进行。</w:t>
            </w:r>
          </w:p>
        </w:tc>
        <w:tc>
          <w:tcPr>
            <w:tcW w:w="2819"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84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231"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完成脱贫攻坚任务，提供有力保障。</w:t>
            </w:r>
          </w:p>
        </w:tc>
        <w:tc>
          <w:tcPr>
            <w:tcW w:w="2819"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84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752"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959"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1022"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49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662"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479"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67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62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122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49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6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51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55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67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2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2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2"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95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102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贫困村脱贫出列数（个）</w:t>
            </w:r>
          </w:p>
        </w:tc>
        <w:tc>
          <w:tcPr>
            <w:tcW w:w="149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建档立卡贫困村脱贫出列数量</w:t>
            </w:r>
          </w:p>
        </w:tc>
        <w:tc>
          <w:tcPr>
            <w:tcW w:w="6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个</w:t>
            </w:r>
          </w:p>
        </w:tc>
        <w:tc>
          <w:tcPr>
            <w:tcW w:w="67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c>
          <w:tcPr>
            <w:tcW w:w="62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02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农村脱贫人口比率</w:t>
            </w:r>
          </w:p>
        </w:tc>
        <w:tc>
          <w:tcPr>
            <w:tcW w:w="149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年度计划脱贫人口数量占贫困人口总数的比率</w:t>
            </w:r>
          </w:p>
        </w:tc>
        <w:tc>
          <w:tcPr>
            <w:tcW w:w="6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62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102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工作及时率</w:t>
            </w:r>
          </w:p>
        </w:tc>
        <w:tc>
          <w:tcPr>
            <w:tcW w:w="149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各项工作按年度计划完成</w:t>
            </w:r>
          </w:p>
        </w:tc>
        <w:tc>
          <w:tcPr>
            <w:tcW w:w="6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62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02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扶贫工作交通费支出</w:t>
            </w:r>
          </w:p>
        </w:tc>
        <w:tc>
          <w:tcPr>
            <w:tcW w:w="149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下乡扶贫的租车等交通费用支出</w:t>
            </w:r>
          </w:p>
        </w:tc>
        <w:tc>
          <w:tcPr>
            <w:tcW w:w="6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0.5</w:t>
            </w:r>
          </w:p>
        </w:tc>
        <w:tc>
          <w:tcPr>
            <w:tcW w:w="5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67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62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12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02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扶贫工作办公费支出</w:t>
            </w:r>
          </w:p>
        </w:tc>
        <w:tc>
          <w:tcPr>
            <w:tcW w:w="149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用于下乡扶贫工作办公经费支出</w:t>
            </w:r>
          </w:p>
        </w:tc>
        <w:tc>
          <w:tcPr>
            <w:tcW w:w="6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67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null</w:t>
            </w:r>
          </w:p>
        </w:tc>
        <w:tc>
          <w:tcPr>
            <w:tcW w:w="62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12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02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扶贫慰问支出</w:t>
            </w:r>
          </w:p>
        </w:tc>
        <w:tc>
          <w:tcPr>
            <w:tcW w:w="149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用于下乡扶贫慰问支出</w:t>
            </w:r>
          </w:p>
        </w:tc>
        <w:tc>
          <w:tcPr>
            <w:tcW w:w="6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0.5</w:t>
            </w:r>
          </w:p>
        </w:tc>
        <w:tc>
          <w:tcPr>
            <w:tcW w:w="5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67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null</w:t>
            </w:r>
          </w:p>
        </w:tc>
        <w:tc>
          <w:tcPr>
            <w:tcW w:w="62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12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2"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95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102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扶贫保障工作完成</w:t>
            </w:r>
          </w:p>
        </w:tc>
        <w:tc>
          <w:tcPr>
            <w:tcW w:w="149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反应保障脱贫工作的正常运行，解决下乡扶贫的后勤问题</w:t>
            </w:r>
          </w:p>
        </w:tc>
        <w:tc>
          <w:tcPr>
            <w:tcW w:w="6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62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经济效益指标</w:t>
            </w:r>
          </w:p>
        </w:tc>
        <w:tc>
          <w:tcPr>
            <w:tcW w:w="102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贫困村农民人均纯收入增长率（%）</w:t>
            </w:r>
          </w:p>
        </w:tc>
        <w:tc>
          <w:tcPr>
            <w:tcW w:w="149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贫困村农民人均纯收入的同比增长比率</w:t>
            </w:r>
          </w:p>
        </w:tc>
        <w:tc>
          <w:tcPr>
            <w:tcW w:w="6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w:t>
            </w:r>
          </w:p>
        </w:tc>
        <w:tc>
          <w:tcPr>
            <w:tcW w:w="5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w:t>
            </w:r>
          </w:p>
        </w:tc>
        <w:tc>
          <w:tcPr>
            <w:tcW w:w="62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95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102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被帮扶贫困人员满意度</w:t>
            </w:r>
          </w:p>
        </w:tc>
        <w:tc>
          <w:tcPr>
            <w:tcW w:w="149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被帮扶贫困人员对扶贫工作的满意度</w:t>
            </w:r>
          </w:p>
        </w:tc>
        <w:tc>
          <w:tcPr>
            <w:tcW w:w="6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5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62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95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102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2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8144"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74"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8896"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7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896"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7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733"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49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665"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adjustRightInd w:val="0"/>
        <w:snapToGrid w:val="0"/>
        <w:spacing w:line="58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7</w:t>
      </w:r>
      <w:r>
        <w:rPr>
          <w:rFonts w:hint="eastAsia" w:ascii="仿宋" w:hAnsi="仿宋" w:eastAsia="仿宋" w:cs="仿宋_GB2312"/>
          <w:sz w:val="32"/>
          <w:szCs w:val="32"/>
          <w:lang w:eastAsia="zh-CN"/>
        </w:rPr>
        <w:t>）</w:t>
      </w:r>
      <w:r>
        <w:rPr>
          <w:rFonts w:hint="eastAsia" w:ascii="仿宋" w:hAnsi="仿宋" w:eastAsia="仿宋" w:cs="仿宋_GB2312"/>
          <w:sz w:val="32"/>
          <w:szCs w:val="32"/>
        </w:rPr>
        <w:t>防疫工作经费项目自评综述：根据年初设定的绩效目标，防疫工作经费项目绩效自评得分为</w:t>
      </w:r>
      <w:r>
        <w:rPr>
          <w:rFonts w:hint="eastAsia" w:ascii="仿宋" w:hAnsi="仿宋" w:eastAsia="仿宋" w:cs="仿宋_GB2312"/>
          <w:sz w:val="32"/>
          <w:szCs w:val="32"/>
          <w:lang w:val="en-US" w:eastAsia="zh-CN"/>
        </w:rPr>
        <w:t>70</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通过项目实施，完成了年初设定的各项绩效目标，完成通过采购防疫物资，做好新冠肺炎疫情防控工作;完成通过保障辖区内居民生命财产安全，确保维护好社会稳定。未发现问题</w:t>
      </w:r>
      <w:r>
        <w:rPr>
          <w:rFonts w:hint="eastAsia" w:ascii="仿宋" w:hAnsi="仿宋" w:eastAsia="仿宋" w:cs="仿宋_GB2312"/>
          <w:sz w:val="32"/>
          <w:szCs w:val="32"/>
          <w:highlight w:val="none"/>
          <w:lang w:eastAsia="zh-CN"/>
        </w:rPr>
        <w:t>。</w:t>
      </w:r>
    </w:p>
    <w:tbl>
      <w:tblPr>
        <w:tblW w:w="9865" w:type="dxa"/>
        <w:tblInd w:w="-72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877"/>
        <w:gridCol w:w="1088"/>
        <w:gridCol w:w="941"/>
        <w:gridCol w:w="731"/>
        <w:gridCol w:w="1774"/>
        <w:gridCol w:w="727"/>
        <w:gridCol w:w="381"/>
        <w:gridCol w:w="611"/>
        <w:gridCol w:w="774"/>
        <w:gridCol w:w="530"/>
        <w:gridCol w:w="750"/>
        <w:gridCol w:w="6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65"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65"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108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167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防疫工作经费</w:t>
            </w:r>
          </w:p>
        </w:tc>
        <w:tc>
          <w:tcPr>
            <w:tcW w:w="177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99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3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68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202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232"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296"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43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94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5.000000</w:t>
            </w:r>
          </w:p>
        </w:tc>
        <w:tc>
          <w:tcPr>
            <w:tcW w:w="7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50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5.000000</w:t>
            </w:r>
          </w:p>
        </w:tc>
        <w:tc>
          <w:tcPr>
            <w:tcW w:w="99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3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431"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94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5.000000</w:t>
            </w:r>
          </w:p>
        </w:tc>
        <w:tc>
          <w:tcPr>
            <w:tcW w:w="7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50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5.000000</w:t>
            </w:r>
          </w:p>
        </w:tc>
        <w:tc>
          <w:tcPr>
            <w:tcW w:w="99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3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431"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94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7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50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9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3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431"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53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3023"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43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53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保障辖区内居民生命财产安全，确保维护好社会稳定。</w:t>
            </w:r>
          </w:p>
        </w:tc>
        <w:tc>
          <w:tcPr>
            <w:tcW w:w="3023"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43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53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通过采购防疫物资，做好新冠肺炎疫情防控工作。</w:t>
            </w:r>
          </w:p>
        </w:tc>
        <w:tc>
          <w:tcPr>
            <w:tcW w:w="3023"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43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108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94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73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774"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72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766"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53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75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68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4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3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77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38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6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77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53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8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8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9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7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口罩数量</w:t>
            </w:r>
          </w:p>
        </w:tc>
        <w:tc>
          <w:tcPr>
            <w:tcW w:w="1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反映购买口罩数量</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20000</w:t>
            </w:r>
          </w:p>
        </w:tc>
        <w:tc>
          <w:tcPr>
            <w:tcW w:w="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个</w:t>
            </w:r>
          </w:p>
        </w:tc>
        <w:tc>
          <w:tcPr>
            <w:tcW w:w="5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30000</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8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7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涉及的村数</w:t>
            </w:r>
          </w:p>
        </w:tc>
        <w:tc>
          <w:tcPr>
            <w:tcW w:w="1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反映防疫包括的村数量</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w:t>
            </w:r>
          </w:p>
        </w:tc>
        <w:tc>
          <w:tcPr>
            <w:tcW w:w="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个</w:t>
            </w:r>
          </w:p>
        </w:tc>
        <w:tc>
          <w:tcPr>
            <w:tcW w:w="5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8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7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疫苗接种率</w:t>
            </w:r>
          </w:p>
        </w:tc>
        <w:tc>
          <w:tcPr>
            <w:tcW w:w="1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反映辖区内居民疫苗接种率</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8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7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验收合格率</w:t>
            </w:r>
          </w:p>
        </w:tc>
        <w:tc>
          <w:tcPr>
            <w:tcW w:w="1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采购防疫物资按疫情要求验收合格</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8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7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防控物资发放及时率</w:t>
            </w:r>
          </w:p>
        </w:tc>
        <w:tc>
          <w:tcPr>
            <w:tcW w:w="1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防疫物资及时发放占比情况</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96</w:t>
            </w:r>
          </w:p>
        </w:tc>
        <w:tc>
          <w:tcPr>
            <w:tcW w:w="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96</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8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7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防控物资成本</w:t>
            </w:r>
          </w:p>
        </w:tc>
        <w:tc>
          <w:tcPr>
            <w:tcW w:w="1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防疫物资购置支出</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5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68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7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防疫办公成本</w:t>
            </w:r>
          </w:p>
        </w:tc>
        <w:tc>
          <w:tcPr>
            <w:tcW w:w="1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反映防疫办公支出</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w:t>
            </w:r>
          </w:p>
        </w:tc>
        <w:tc>
          <w:tcPr>
            <w:tcW w:w="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5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68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9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7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疫情防控率</w:t>
            </w:r>
          </w:p>
        </w:tc>
        <w:tc>
          <w:tcPr>
            <w:tcW w:w="1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通过购置防疫物资，确保防疫工作有序开展</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8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9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7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群众满意度</w:t>
            </w:r>
          </w:p>
        </w:tc>
        <w:tc>
          <w:tcPr>
            <w:tcW w:w="1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对防疫工作满意的人数査调查总人数的比率</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8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9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7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2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38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8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7900"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77"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8988"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7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988"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760"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77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454"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ilvl w:val="0"/>
          <w:numId w:val="0"/>
        </w:numPr>
        <w:adjustRightInd w:val="0"/>
        <w:snapToGrid w:val="0"/>
        <w:spacing w:line="58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8</w:t>
      </w:r>
      <w:r>
        <w:rPr>
          <w:rFonts w:hint="eastAsia" w:ascii="仿宋" w:hAnsi="仿宋" w:eastAsia="仿宋" w:cs="仿宋_GB2312"/>
          <w:sz w:val="32"/>
          <w:szCs w:val="32"/>
          <w:lang w:eastAsia="zh-CN"/>
        </w:rPr>
        <w:t>）</w:t>
      </w:r>
      <w:r>
        <w:rPr>
          <w:rFonts w:hint="eastAsia" w:ascii="仿宋" w:hAnsi="仿宋" w:eastAsia="仿宋" w:cs="仿宋_GB2312"/>
          <w:sz w:val="32"/>
          <w:szCs w:val="32"/>
        </w:rPr>
        <w:t>环境整治工作经费项目自评综述：根据年初设定的绩效目标，环境整治工作经费项目绩效自评得分为</w:t>
      </w:r>
      <w:r>
        <w:rPr>
          <w:rFonts w:hint="eastAsia" w:ascii="仿宋" w:hAnsi="仿宋" w:eastAsia="仿宋" w:cs="仿宋_GB2312"/>
          <w:sz w:val="32"/>
          <w:szCs w:val="32"/>
          <w:lang w:val="en-US" w:eastAsia="zh-CN"/>
        </w:rPr>
        <w:t>88.7</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50</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18.51</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37.03%</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通过项目实施，完成了年初设定的各项绩效目标，完成通过开展生活垃圾清理工作，改善人居环境卫生，维护农村环境;完成保持村容村貌整洁，提高居民生活居住幸福感、满意度。未发现问题</w:t>
      </w:r>
      <w:r>
        <w:rPr>
          <w:rFonts w:hint="eastAsia" w:ascii="仿宋" w:hAnsi="仿宋" w:eastAsia="仿宋" w:cs="仿宋_GB2312"/>
          <w:sz w:val="32"/>
          <w:szCs w:val="32"/>
          <w:highlight w:val="none"/>
          <w:lang w:eastAsia="zh-CN"/>
        </w:rPr>
        <w:t>。</w:t>
      </w:r>
    </w:p>
    <w:tbl>
      <w:tblPr>
        <w:tblW w:w="9773" w:type="dxa"/>
        <w:tblInd w:w="-6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900"/>
        <w:gridCol w:w="684"/>
        <w:gridCol w:w="938"/>
        <w:gridCol w:w="904"/>
        <w:gridCol w:w="1789"/>
        <w:gridCol w:w="508"/>
        <w:gridCol w:w="415"/>
        <w:gridCol w:w="542"/>
        <w:gridCol w:w="693"/>
        <w:gridCol w:w="830"/>
        <w:gridCol w:w="831"/>
        <w:gridCol w:w="7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773"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773"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6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184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环境整治工作经费</w:t>
            </w:r>
          </w:p>
        </w:tc>
        <w:tc>
          <w:tcPr>
            <w:tcW w:w="178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50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95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52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62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201"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480"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57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9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50.000000</w:t>
            </w:r>
          </w:p>
        </w:tc>
        <w:tc>
          <w:tcPr>
            <w:tcW w:w="90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29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50.000000</w:t>
            </w:r>
          </w:p>
        </w:tc>
        <w:tc>
          <w:tcPr>
            <w:tcW w:w="95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52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18.513380</w:t>
            </w:r>
          </w:p>
        </w:tc>
        <w:tc>
          <w:tcPr>
            <w:tcW w:w="1570"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37.03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9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50.000000</w:t>
            </w:r>
          </w:p>
        </w:tc>
        <w:tc>
          <w:tcPr>
            <w:tcW w:w="90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29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50.000000</w:t>
            </w:r>
          </w:p>
        </w:tc>
        <w:tc>
          <w:tcPr>
            <w:tcW w:w="95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52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18.513380</w:t>
            </w:r>
          </w:p>
        </w:tc>
        <w:tc>
          <w:tcPr>
            <w:tcW w:w="1570"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9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0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29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5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52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570"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315"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988"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57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315"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 xml:space="preserve">保持村容村貌整洁，提高居民生活居住幸福感、满意度。 </w:t>
            </w:r>
          </w:p>
        </w:tc>
        <w:tc>
          <w:tcPr>
            <w:tcW w:w="2988"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57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315"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 xml:space="preserve">通过开展生活垃圾清理工作，改善人居环境卫生，维护农村环境。 </w:t>
            </w:r>
          </w:p>
        </w:tc>
        <w:tc>
          <w:tcPr>
            <w:tcW w:w="2988"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57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684"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93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904"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789"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50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650"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83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83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739"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78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50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1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54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69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83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4"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9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人居环境治理村个数</w:t>
            </w:r>
          </w:p>
        </w:tc>
        <w:tc>
          <w:tcPr>
            <w:tcW w:w="17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人居环境整治镇辖区范围内</w:t>
            </w:r>
          </w:p>
        </w:tc>
        <w:tc>
          <w:tcPr>
            <w:tcW w:w="50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w:t>
            </w:r>
          </w:p>
        </w:tc>
        <w:tc>
          <w:tcPr>
            <w:tcW w:w="6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个</w:t>
            </w:r>
          </w:p>
        </w:tc>
        <w:tc>
          <w:tcPr>
            <w:tcW w:w="8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生活垃圾定点存放数量</w:t>
            </w:r>
          </w:p>
        </w:tc>
        <w:tc>
          <w:tcPr>
            <w:tcW w:w="17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镇域范围内生活垃圾定点存放数量</w:t>
            </w:r>
          </w:p>
        </w:tc>
        <w:tc>
          <w:tcPr>
            <w:tcW w:w="50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w:t>
            </w:r>
          </w:p>
        </w:tc>
        <w:tc>
          <w:tcPr>
            <w:tcW w:w="6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处</w:t>
            </w:r>
          </w:p>
        </w:tc>
        <w:tc>
          <w:tcPr>
            <w:tcW w:w="8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生活垃圾整治率</w:t>
            </w:r>
          </w:p>
        </w:tc>
        <w:tc>
          <w:tcPr>
            <w:tcW w:w="17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整治生活垃圾占发现的比率</w:t>
            </w:r>
          </w:p>
        </w:tc>
        <w:tc>
          <w:tcPr>
            <w:tcW w:w="50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6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8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项目实施覆盖率</w:t>
            </w:r>
          </w:p>
        </w:tc>
        <w:tc>
          <w:tcPr>
            <w:tcW w:w="17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实施该项目的面积占整体面积的比率</w:t>
            </w:r>
          </w:p>
        </w:tc>
        <w:tc>
          <w:tcPr>
            <w:tcW w:w="50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6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8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工作及时率</w:t>
            </w:r>
          </w:p>
        </w:tc>
        <w:tc>
          <w:tcPr>
            <w:tcW w:w="17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计划工作完成及时率</w:t>
            </w:r>
          </w:p>
        </w:tc>
        <w:tc>
          <w:tcPr>
            <w:tcW w:w="50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6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8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人工费</w:t>
            </w:r>
          </w:p>
        </w:tc>
        <w:tc>
          <w:tcPr>
            <w:tcW w:w="17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用于垃圾清理人工费用方面支出</w:t>
            </w:r>
          </w:p>
        </w:tc>
        <w:tc>
          <w:tcPr>
            <w:tcW w:w="50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6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8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机械费</w:t>
            </w:r>
          </w:p>
        </w:tc>
        <w:tc>
          <w:tcPr>
            <w:tcW w:w="17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用于生活垃圾清运机械方面支出</w:t>
            </w:r>
          </w:p>
        </w:tc>
        <w:tc>
          <w:tcPr>
            <w:tcW w:w="50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40</w:t>
            </w:r>
          </w:p>
        </w:tc>
        <w:tc>
          <w:tcPr>
            <w:tcW w:w="6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8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8.51338</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9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受益人口数量</w:t>
            </w:r>
          </w:p>
        </w:tc>
        <w:tc>
          <w:tcPr>
            <w:tcW w:w="17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通过项目实施改善人居环境卫生，清理民居环境卫生，维护农村环境。受益人数</w:t>
            </w:r>
          </w:p>
        </w:tc>
        <w:tc>
          <w:tcPr>
            <w:tcW w:w="50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45000</w:t>
            </w:r>
          </w:p>
        </w:tc>
        <w:tc>
          <w:tcPr>
            <w:tcW w:w="6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w:t>
            </w:r>
          </w:p>
        </w:tc>
        <w:tc>
          <w:tcPr>
            <w:tcW w:w="8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45000</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9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受益群众满意度</w:t>
            </w:r>
          </w:p>
        </w:tc>
        <w:tc>
          <w:tcPr>
            <w:tcW w:w="17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问卷调查中，满意和较满意的救助对象数量占调研对象总数的比率</w:t>
            </w:r>
          </w:p>
        </w:tc>
        <w:tc>
          <w:tcPr>
            <w:tcW w:w="50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6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8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9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90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78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4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3.702676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8189"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00"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8873"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0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873"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526"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78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558"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numId w:val="0"/>
        </w:numPr>
        <w:adjustRightInd w:val="0"/>
        <w:snapToGrid w:val="0"/>
        <w:spacing w:line="58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9</w:t>
      </w:r>
      <w:r>
        <w:rPr>
          <w:rFonts w:hint="eastAsia" w:ascii="仿宋" w:hAnsi="仿宋" w:eastAsia="仿宋" w:cs="仿宋_GB2312"/>
          <w:sz w:val="32"/>
          <w:szCs w:val="32"/>
          <w:lang w:eastAsia="zh-CN"/>
        </w:rPr>
        <w:t>）荒</w:t>
      </w:r>
      <w:r>
        <w:rPr>
          <w:rFonts w:hint="eastAsia" w:ascii="仿宋" w:hAnsi="仿宋" w:eastAsia="仿宋" w:cs="仿宋_GB2312"/>
          <w:sz w:val="32"/>
          <w:szCs w:val="32"/>
        </w:rPr>
        <w:t>山沟地租项目自评综述：根据年初设定的绩效目标，荒山沟地租项目项目绩效自评得分为</w:t>
      </w:r>
      <w:r>
        <w:rPr>
          <w:rFonts w:hint="eastAsia" w:ascii="仿宋" w:hAnsi="仿宋" w:eastAsia="仿宋" w:cs="仿宋_GB2312"/>
          <w:sz w:val="32"/>
          <w:szCs w:val="32"/>
          <w:lang w:val="en-US" w:eastAsia="zh-CN"/>
        </w:rPr>
        <w:t>99.42</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201</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189.2862</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94.17%</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通过项目实施，完成了年初设定的各项绩效目标，完成推动农业发展，改善农村条件，增加农民收入;完成通过支付地租，集中用地，改变农业生产经营方式。未发现问题</w:t>
      </w:r>
      <w:r>
        <w:rPr>
          <w:rFonts w:hint="eastAsia" w:ascii="仿宋" w:hAnsi="仿宋" w:eastAsia="仿宋" w:cs="仿宋_GB2312"/>
          <w:sz w:val="32"/>
          <w:szCs w:val="32"/>
          <w:highlight w:val="none"/>
          <w:lang w:eastAsia="zh-CN"/>
        </w:rPr>
        <w:t>。</w:t>
      </w:r>
    </w:p>
    <w:tbl>
      <w:tblPr>
        <w:tblW w:w="10327" w:type="dxa"/>
        <w:tblInd w:w="-9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888"/>
        <w:gridCol w:w="827"/>
        <w:gridCol w:w="1028"/>
        <w:gridCol w:w="1030"/>
        <w:gridCol w:w="1857"/>
        <w:gridCol w:w="600"/>
        <w:gridCol w:w="439"/>
        <w:gridCol w:w="565"/>
        <w:gridCol w:w="485"/>
        <w:gridCol w:w="600"/>
        <w:gridCol w:w="911"/>
        <w:gridCol w:w="10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27"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27"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8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205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荒山沟地租项目</w:t>
            </w:r>
          </w:p>
        </w:tc>
        <w:tc>
          <w:tcPr>
            <w:tcW w:w="18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10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08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9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109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85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487"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089"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200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102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201.000000</w:t>
            </w:r>
          </w:p>
        </w:tc>
        <w:tc>
          <w:tcPr>
            <w:tcW w:w="10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45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201.000000</w:t>
            </w:r>
          </w:p>
        </w:tc>
        <w:tc>
          <w:tcPr>
            <w:tcW w:w="10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08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189.286244</w:t>
            </w:r>
          </w:p>
        </w:tc>
        <w:tc>
          <w:tcPr>
            <w:tcW w:w="2008"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94.17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02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201.000000</w:t>
            </w:r>
          </w:p>
        </w:tc>
        <w:tc>
          <w:tcPr>
            <w:tcW w:w="10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45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201.000000</w:t>
            </w:r>
          </w:p>
        </w:tc>
        <w:tc>
          <w:tcPr>
            <w:tcW w:w="10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08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189.286244</w:t>
            </w:r>
          </w:p>
        </w:tc>
        <w:tc>
          <w:tcPr>
            <w:tcW w:w="2008"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02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0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45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0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08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2008"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742"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689"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200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742"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推动农业发展，改善农村条件，增加农民收入。</w:t>
            </w:r>
          </w:p>
        </w:tc>
        <w:tc>
          <w:tcPr>
            <w:tcW w:w="2689"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200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742"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通过支付地租，集中用地，改变农业生产经营方式。</w:t>
            </w:r>
          </w:p>
        </w:tc>
        <w:tc>
          <w:tcPr>
            <w:tcW w:w="2689"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200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82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102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103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85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60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489"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60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91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109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02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03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85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56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48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09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102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10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支付租金面积数</w:t>
            </w:r>
          </w:p>
        </w:tc>
        <w:tc>
          <w:tcPr>
            <w:tcW w:w="18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支出中宏三融及北部土地租金面积数量</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6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亩</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9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9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0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租用土地有效利用率</w:t>
            </w:r>
          </w:p>
        </w:tc>
        <w:tc>
          <w:tcPr>
            <w:tcW w:w="18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中宏三融及北部租用土地利用有效性</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6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60</w:t>
            </w:r>
          </w:p>
        </w:tc>
        <w:tc>
          <w:tcPr>
            <w:tcW w:w="4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60</w:t>
            </w:r>
          </w:p>
        </w:tc>
        <w:tc>
          <w:tcPr>
            <w:tcW w:w="9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9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10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资金拨付及时性</w:t>
            </w:r>
          </w:p>
        </w:tc>
        <w:tc>
          <w:tcPr>
            <w:tcW w:w="18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土地租金按合同约定时间及时拨付</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w:t>
            </w:r>
          </w:p>
        </w:tc>
        <w:tc>
          <w:tcPr>
            <w:tcW w:w="43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文字描述</w:t>
            </w:r>
          </w:p>
        </w:tc>
        <w:tc>
          <w:tcPr>
            <w:tcW w:w="56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5月1日前</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按时完成</w:t>
            </w:r>
          </w:p>
        </w:tc>
        <w:tc>
          <w:tcPr>
            <w:tcW w:w="9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9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0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一类地租金价格</w:t>
            </w:r>
          </w:p>
        </w:tc>
        <w:tc>
          <w:tcPr>
            <w:tcW w:w="18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土地租金价格根据土地类别及当年大米市场价格折算</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w:t>
            </w:r>
          </w:p>
        </w:tc>
        <w:tc>
          <w:tcPr>
            <w:tcW w:w="43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文字描述</w:t>
            </w:r>
          </w:p>
        </w:tc>
        <w:tc>
          <w:tcPr>
            <w:tcW w:w="56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600斤大米当年市场价</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按标准完成</w:t>
            </w:r>
          </w:p>
        </w:tc>
        <w:tc>
          <w:tcPr>
            <w:tcW w:w="9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9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0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二类地租金价格</w:t>
            </w:r>
          </w:p>
        </w:tc>
        <w:tc>
          <w:tcPr>
            <w:tcW w:w="18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土地租金价格根据土地类别及当年大米市场价格折算</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w:t>
            </w:r>
          </w:p>
        </w:tc>
        <w:tc>
          <w:tcPr>
            <w:tcW w:w="43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文字描述</w:t>
            </w:r>
          </w:p>
        </w:tc>
        <w:tc>
          <w:tcPr>
            <w:tcW w:w="56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530斤大米当年市场价</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按标准完成</w:t>
            </w:r>
          </w:p>
        </w:tc>
        <w:tc>
          <w:tcPr>
            <w:tcW w:w="9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9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0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三类地租金价格</w:t>
            </w:r>
          </w:p>
        </w:tc>
        <w:tc>
          <w:tcPr>
            <w:tcW w:w="18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土地租金价格根据土地类别及当年大米市场价格折算</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w:t>
            </w:r>
          </w:p>
        </w:tc>
        <w:tc>
          <w:tcPr>
            <w:tcW w:w="43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文字描述</w:t>
            </w:r>
          </w:p>
        </w:tc>
        <w:tc>
          <w:tcPr>
            <w:tcW w:w="56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460斤大米当年市场价</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按标准完成</w:t>
            </w:r>
          </w:p>
        </w:tc>
        <w:tc>
          <w:tcPr>
            <w:tcW w:w="9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9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0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处理遗留问题办公费用支出</w:t>
            </w:r>
          </w:p>
        </w:tc>
        <w:tc>
          <w:tcPr>
            <w:tcW w:w="18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用于处理土地出租相关遗留问题及办公用车等费用支出</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6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c>
          <w:tcPr>
            <w:tcW w:w="4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c>
          <w:tcPr>
            <w:tcW w:w="9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9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102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10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受益总人数（人）</w:t>
            </w:r>
          </w:p>
        </w:tc>
        <w:tc>
          <w:tcPr>
            <w:tcW w:w="18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项目建设后项目区内直接受益人口总数</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6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w:t>
            </w:r>
          </w:p>
        </w:tc>
        <w:tc>
          <w:tcPr>
            <w:tcW w:w="4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w:t>
            </w:r>
          </w:p>
        </w:tc>
        <w:tc>
          <w:tcPr>
            <w:tcW w:w="9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9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经济效益指标</w:t>
            </w:r>
          </w:p>
        </w:tc>
        <w:tc>
          <w:tcPr>
            <w:tcW w:w="10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农户收入增长率(％)</w:t>
            </w:r>
          </w:p>
        </w:tc>
        <w:tc>
          <w:tcPr>
            <w:tcW w:w="18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(项目实施后的项目区内农户收入－项目实施前的项目区内农户收入)÷项目实施前的项目区内农户收入×100％</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6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15</w:t>
            </w:r>
          </w:p>
        </w:tc>
        <w:tc>
          <w:tcPr>
            <w:tcW w:w="4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15</w:t>
            </w:r>
          </w:p>
        </w:tc>
        <w:tc>
          <w:tcPr>
            <w:tcW w:w="9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9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可持续影响指标</w:t>
            </w:r>
          </w:p>
        </w:tc>
        <w:tc>
          <w:tcPr>
            <w:tcW w:w="10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直接带动养殖产业农户</w:t>
            </w:r>
          </w:p>
        </w:tc>
        <w:tc>
          <w:tcPr>
            <w:tcW w:w="18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通过项目实施，新增加直接受益农户数量</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6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w:t>
            </w:r>
          </w:p>
        </w:tc>
        <w:tc>
          <w:tcPr>
            <w:tcW w:w="4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户</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w:t>
            </w:r>
          </w:p>
        </w:tc>
        <w:tc>
          <w:tcPr>
            <w:tcW w:w="9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9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102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10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受益群众满意度</w:t>
            </w:r>
          </w:p>
        </w:tc>
        <w:tc>
          <w:tcPr>
            <w:tcW w:w="18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相关人员调查中，满意和较满意的人数占全部调查人数的比率</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6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4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9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9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102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10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8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43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09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9.417226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8612"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9439"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439"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8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885"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8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697"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numId w:val="0"/>
        </w:numPr>
        <w:adjustRightInd w:val="0"/>
        <w:snapToGrid w:val="0"/>
        <w:spacing w:line="58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10</w:t>
      </w:r>
      <w:r>
        <w:rPr>
          <w:rFonts w:hint="eastAsia" w:ascii="仿宋" w:hAnsi="仿宋" w:eastAsia="仿宋" w:cs="仿宋_GB2312"/>
          <w:sz w:val="32"/>
          <w:szCs w:val="32"/>
          <w:lang w:eastAsia="zh-CN"/>
        </w:rPr>
        <w:t>）</w:t>
      </w:r>
      <w:r>
        <w:rPr>
          <w:rFonts w:hint="eastAsia" w:ascii="仿宋" w:hAnsi="仿宋" w:eastAsia="仿宋" w:cs="仿宋_GB2312"/>
          <w:sz w:val="32"/>
          <w:szCs w:val="32"/>
        </w:rPr>
        <w:t>全国自然灾害综合风险普查经费项目自评综述：根据年初设定的绩效目标，全国自然灾害综合风险普查经费项目绩效自评得分为</w:t>
      </w:r>
      <w:r>
        <w:rPr>
          <w:rFonts w:hint="eastAsia" w:ascii="仿宋" w:hAnsi="仿宋" w:eastAsia="仿宋" w:cs="仿宋_GB2312"/>
          <w:sz w:val="32"/>
          <w:szCs w:val="32"/>
          <w:lang w:val="en-US" w:eastAsia="zh-CN"/>
        </w:rPr>
        <w:t>84</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1</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开展全镇自然灾害普查工作，确保全面掌握我镇自然灾害风险防范情况;完成通过开展全镇自然灾害普查工作，确保全面掌握我镇自然灾害风险防范情况。未发现问题</w:t>
      </w:r>
      <w:r>
        <w:rPr>
          <w:rFonts w:hint="eastAsia" w:ascii="仿宋" w:hAnsi="仿宋" w:eastAsia="仿宋" w:cs="仿宋_GB2312"/>
          <w:sz w:val="32"/>
          <w:szCs w:val="32"/>
          <w:highlight w:val="none"/>
          <w:lang w:eastAsia="zh-CN"/>
        </w:rPr>
        <w:t>。</w:t>
      </w:r>
    </w:p>
    <w:tbl>
      <w:tblPr>
        <w:tblW w:w="10050" w:type="dxa"/>
        <w:tblInd w:w="-74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027"/>
        <w:gridCol w:w="838"/>
        <w:gridCol w:w="940"/>
        <w:gridCol w:w="1176"/>
        <w:gridCol w:w="1858"/>
        <w:gridCol w:w="623"/>
        <w:gridCol w:w="380"/>
        <w:gridCol w:w="520"/>
        <w:gridCol w:w="600"/>
        <w:gridCol w:w="784"/>
        <w:gridCol w:w="566"/>
        <w:gridCol w:w="7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050"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050"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8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211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全国自然灾害综合风险普查工作经费</w:t>
            </w:r>
          </w:p>
        </w:tc>
        <w:tc>
          <w:tcPr>
            <w:tcW w:w="18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90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38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5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7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77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657"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28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3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94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1.000000</w:t>
            </w:r>
          </w:p>
        </w:tc>
        <w:tc>
          <w:tcPr>
            <w:tcW w:w="117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48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1.000000</w:t>
            </w:r>
          </w:p>
        </w:tc>
        <w:tc>
          <w:tcPr>
            <w:tcW w:w="90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38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304"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94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1.000000</w:t>
            </w:r>
          </w:p>
        </w:tc>
        <w:tc>
          <w:tcPr>
            <w:tcW w:w="117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48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1.000000</w:t>
            </w:r>
          </w:p>
        </w:tc>
        <w:tc>
          <w:tcPr>
            <w:tcW w:w="90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38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304"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94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17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48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0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38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304"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812"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907"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3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812"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 xml:space="preserve">通过开展全镇自然灾害普查工作，确保全面掌握我镇自然灾害风险防范情况。 </w:t>
            </w:r>
          </w:p>
        </w:tc>
        <w:tc>
          <w:tcPr>
            <w:tcW w:w="2907"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3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812"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 xml:space="preserve">通过设备购置和宣传培训工作，提升我镇抵御自然灾害综合能力 </w:t>
            </w:r>
          </w:p>
        </w:tc>
        <w:tc>
          <w:tcPr>
            <w:tcW w:w="2907"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3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83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94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117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85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62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500"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784"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56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73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4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17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85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2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38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5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78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56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3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94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117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普查行政村个数</w:t>
            </w:r>
          </w:p>
        </w:tc>
        <w:tc>
          <w:tcPr>
            <w:tcW w:w="18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反映普查行政村个数</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w:t>
            </w:r>
          </w:p>
        </w:tc>
        <w:tc>
          <w:tcPr>
            <w:tcW w:w="60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个</w:t>
            </w:r>
          </w:p>
        </w:tc>
        <w:tc>
          <w:tcPr>
            <w:tcW w:w="7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w:t>
            </w:r>
          </w:p>
        </w:tc>
        <w:tc>
          <w:tcPr>
            <w:tcW w:w="5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117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普查灾害类型个数</w:t>
            </w:r>
          </w:p>
        </w:tc>
        <w:tc>
          <w:tcPr>
            <w:tcW w:w="18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本次普查涉及的自然灾害类型个数</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项</w:t>
            </w:r>
          </w:p>
        </w:tc>
        <w:tc>
          <w:tcPr>
            <w:tcW w:w="7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w:t>
            </w:r>
          </w:p>
        </w:tc>
        <w:tc>
          <w:tcPr>
            <w:tcW w:w="5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117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受益人数</w:t>
            </w:r>
          </w:p>
        </w:tc>
        <w:tc>
          <w:tcPr>
            <w:tcW w:w="18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自然灾害普查受益人口数</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45000</w:t>
            </w:r>
          </w:p>
        </w:tc>
        <w:tc>
          <w:tcPr>
            <w:tcW w:w="60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w:t>
            </w:r>
          </w:p>
        </w:tc>
        <w:tc>
          <w:tcPr>
            <w:tcW w:w="7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45000</w:t>
            </w:r>
          </w:p>
        </w:tc>
        <w:tc>
          <w:tcPr>
            <w:tcW w:w="5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17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普查工作完成率</w:t>
            </w:r>
          </w:p>
        </w:tc>
        <w:tc>
          <w:tcPr>
            <w:tcW w:w="18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普查工作完成率</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60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117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完成时间</w:t>
            </w:r>
          </w:p>
        </w:tc>
        <w:tc>
          <w:tcPr>
            <w:tcW w:w="18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普查工作完成时间</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文字描述</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12月底前</w:t>
            </w:r>
          </w:p>
        </w:tc>
        <w:tc>
          <w:tcPr>
            <w:tcW w:w="7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按时完成</w:t>
            </w:r>
          </w:p>
        </w:tc>
        <w:tc>
          <w:tcPr>
            <w:tcW w:w="5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17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宣传、办公费用</w:t>
            </w:r>
          </w:p>
        </w:tc>
        <w:tc>
          <w:tcPr>
            <w:tcW w:w="18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反映用于本次普查宣传费、办公费</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w:t>
            </w:r>
          </w:p>
        </w:tc>
        <w:tc>
          <w:tcPr>
            <w:tcW w:w="3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0.5</w:t>
            </w:r>
          </w:p>
        </w:tc>
        <w:tc>
          <w:tcPr>
            <w:tcW w:w="60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7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null</w:t>
            </w:r>
          </w:p>
        </w:tc>
        <w:tc>
          <w:tcPr>
            <w:tcW w:w="5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7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17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租车费用</w:t>
            </w:r>
          </w:p>
        </w:tc>
        <w:tc>
          <w:tcPr>
            <w:tcW w:w="18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反映用于本次普查租车费</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w:t>
            </w:r>
          </w:p>
        </w:tc>
        <w:tc>
          <w:tcPr>
            <w:tcW w:w="3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0.5</w:t>
            </w:r>
          </w:p>
        </w:tc>
        <w:tc>
          <w:tcPr>
            <w:tcW w:w="60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7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null</w:t>
            </w:r>
          </w:p>
        </w:tc>
        <w:tc>
          <w:tcPr>
            <w:tcW w:w="5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7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3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94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117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提升抵御自然灾害防范能力</w:t>
            </w:r>
          </w:p>
        </w:tc>
        <w:tc>
          <w:tcPr>
            <w:tcW w:w="18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通过普查，提升抵御自然灾害防能力，提交高质量普查结果报告</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份</w:t>
            </w:r>
          </w:p>
        </w:tc>
        <w:tc>
          <w:tcPr>
            <w:tcW w:w="7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5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可持续影响指标</w:t>
            </w:r>
          </w:p>
        </w:tc>
        <w:tc>
          <w:tcPr>
            <w:tcW w:w="117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防灾减灾能力提成情况</w:t>
            </w:r>
          </w:p>
        </w:tc>
        <w:tc>
          <w:tcPr>
            <w:tcW w:w="18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通过开展灾害普查，促进防灾减灾能力提升</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60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5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94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117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村民满意度</w:t>
            </w:r>
          </w:p>
        </w:tc>
        <w:tc>
          <w:tcPr>
            <w:tcW w:w="18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村民调查中，满意和较满意的人数占全部调查人数的比率</w:t>
            </w:r>
          </w:p>
        </w:tc>
        <w:tc>
          <w:tcPr>
            <w:tcW w:w="6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60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8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5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94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117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8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38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8185"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9023"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023"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954"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8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211"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ilvl w:val="0"/>
          <w:numId w:val="5"/>
        </w:numPr>
        <w:adjustRightInd w:val="0"/>
        <w:snapToGrid w:val="0"/>
        <w:spacing w:after="0" w:line="360" w:lineRule="auto"/>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rPr>
        <w:t>燃煤锅炉改造项目自评综述：根据年初设定的绩效目标，燃煤锅炉改造项目绩效自评得分为</w:t>
      </w:r>
      <w:r>
        <w:rPr>
          <w:rFonts w:hint="eastAsia" w:ascii="仿宋" w:hAnsi="仿宋" w:eastAsia="仿宋" w:cs="仿宋_GB2312"/>
          <w:sz w:val="32"/>
          <w:szCs w:val="32"/>
          <w:lang w:val="en-US" w:eastAsia="zh-CN"/>
        </w:rPr>
        <w:t>94.85</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33</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16</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48.48%</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改变取暖方式，加大大气治理力度，提升大气质量;完成通开展燃煤锅炉改造工作，确保机关正常办公，为机关工作人员和群众提供良好的工作办事环境。未发现问题</w:t>
      </w:r>
      <w:r>
        <w:rPr>
          <w:rFonts w:hint="eastAsia" w:ascii="仿宋" w:hAnsi="仿宋" w:eastAsia="仿宋" w:cs="仿宋_GB2312"/>
          <w:sz w:val="32"/>
          <w:szCs w:val="32"/>
          <w:highlight w:val="none"/>
          <w:lang w:eastAsia="zh-CN"/>
        </w:rPr>
        <w:t>。</w:t>
      </w:r>
    </w:p>
    <w:tbl>
      <w:tblPr>
        <w:tblW w:w="9969" w:type="dxa"/>
        <w:tblInd w:w="-6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981"/>
        <w:gridCol w:w="757"/>
        <w:gridCol w:w="979"/>
        <w:gridCol w:w="1264"/>
        <w:gridCol w:w="1557"/>
        <w:gridCol w:w="635"/>
        <w:gridCol w:w="335"/>
        <w:gridCol w:w="473"/>
        <w:gridCol w:w="750"/>
        <w:gridCol w:w="727"/>
        <w:gridCol w:w="750"/>
        <w:gridCol w:w="7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69"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69"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7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224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燃煤锅炉改造项目</w:t>
            </w:r>
          </w:p>
        </w:tc>
        <w:tc>
          <w:tcPr>
            <w:tcW w:w="15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80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47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7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73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456"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285"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51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97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33.000000</w:t>
            </w:r>
          </w:p>
        </w:tc>
        <w:tc>
          <w:tcPr>
            <w:tcW w:w="126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19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33.000000</w:t>
            </w:r>
          </w:p>
        </w:tc>
        <w:tc>
          <w:tcPr>
            <w:tcW w:w="80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47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16.000000</w:t>
            </w:r>
          </w:p>
        </w:tc>
        <w:tc>
          <w:tcPr>
            <w:tcW w:w="1511"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48.48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97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33.000000</w:t>
            </w:r>
          </w:p>
        </w:tc>
        <w:tc>
          <w:tcPr>
            <w:tcW w:w="126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19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33.000000</w:t>
            </w:r>
          </w:p>
        </w:tc>
        <w:tc>
          <w:tcPr>
            <w:tcW w:w="80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47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16.000000</w:t>
            </w:r>
          </w:p>
        </w:tc>
        <w:tc>
          <w:tcPr>
            <w:tcW w:w="1511"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97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26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19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80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47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511"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557"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920"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51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557"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通开展燃煤锅炉改造工作，确保机关正常办公，为机关工作人员和群众提供良好的工作办事环境。</w:t>
            </w:r>
          </w:p>
        </w:tc>
        <w:tc>
          <w:tcPr>
            <w:tcW w:w="2920"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51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557"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通过改变取暖方式，加大大气治理力度，提升大气质量。</w:t>
            </w:r>
          </w:p>
        </w:tc>
        <w:tc>
          <w:tcPr>
            <w:tcW w:w="2920"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51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75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979"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1264"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55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635"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558"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72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75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76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7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26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55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35"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3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47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72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97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126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冬季采暖保障面积</w:t>
            </w:r>
          </w:p>
        </w:tc>
        <w:tc>
          <w:tcPr>
            <w:tcW w:w="15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用于冬季采暖的办公场所面积数量</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3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3870</w:t>
            </w:r>
          </w:p>
        </w:tc>
        <w:tc>
          <w:tcPr>
            <w:tcW w:w="75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3870</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26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二氧化硫削排放减率</w:t>
            </w:r>
          </w:p>
        </w:tc>
        <w:tc>
          <w:tcPr>
            <w:tcW w:w="15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当年实际二氧化硫排放削减率</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3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c>
          <w:tcPr>
            <w:tcW w:w="75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26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细颗粒物排放削减率</w:t>
            </w:r>
          </w:p>
        </w:tc>
        <w:tc>
          <w:tcPr>
            <w:tcW w:w="15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当年实际细颗粒物排放削减率</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3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w:t>
            </w:r>
          </w:p>
        </w:tc>
        <w:tc>
          <w:tcPr>
            <w:tcW w:w="75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126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资金支付时效性</w:t>
            </w:r>
          </w:p>
        </w:tc>
        <w:tc>
          <w:tcPr>
            <w:tcW w:w="15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燃煤锅炉改造及清洁能源补贴在采暖期内及时拨付</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3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文字描述</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12月31日前</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按时完成</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26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供暖设施维修支出</w:t>
            </w:r>
          </w:p>
        </w:tc>
        <w:tc>
          <w:tcPr>
            <w:tcW w:w="15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供暖管道设施维修费用支出</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3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75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26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采暖费用支出</w:t>
            </w:r>
          </w:p>
        </w:tc>
        <w:tc>
          <w:tcPr>
            <w:tcW w:w="15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办公场所采购费用支出</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3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30</w:t>
            </w:r>
          </w:p>
        </w:tc>
        <w:tc>
          <w:tcPr>
            <w:tcW w:w="75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30</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97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126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全年空气优良天数增长率（%）</w:t>
            </w:r>
          </w:p>
        </w:tc>
        <w:tc>
          <w:tcPr>
            <w:tcW w:w="15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全年空气优良天数同比增长率</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3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c>
          <w:tcPr>
            <w:tcW w:w="75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生态效益指标</w:t>
            </w:r>
          </w:p>
        </w:tc>
        <w:tc>
          <w:tcPr>
            <w:tcW w:w="126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大气环境质量改善率</w:t>
            </w:r>
          </w:p>
        </w:tc>
        <w:tc>
          <w:tcPr>
            <w:tcW w:w="15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大气环境质量改善同比增长率</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3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w:t>
            </w:r>
          </w:p>
        </w:tc>
        <w:tc>
          <w:tcPr>
            <w:tcW w:w="75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97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126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公众满意度（%）</w:t>
            </w:r>
          </w:p>
        </w:tc>
        <w:tc>
          <w:tcPr>
            <w:tcW w:w="15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调查中满意和较满意的公众人数占全部调查人数的比率</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3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75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7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97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126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5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3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33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2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4.848485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8231"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81"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8988"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988"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8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3000"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5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431"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numId w:val="0"/>
        </w:numPr>
        <w:adjustRightInd w:val="0"/>
        <w:snapToGrid w:val="0"/>
        <w:spacing w:line="58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12</w:t>
      </w:r>
      <w:r>
        <w:rPr>
          <w:rFonts w:hint="eastAsia" w:ascii="仿宋" w:hAnsi="仿宋" w:eastAsia="仿宋" w:cs="仿宋_GB2312"/>
          <w:sz w:val="32"/>
          <w:szCs w:val="32"/>
          <w:lang w:eastAsia="zh-CN"/>
        </w:rPr>
        <w:t>）</w:t>
      </w:r>
      <w:r>
        <w:rPr>
          <w:rFonts w:hint="eastAsia" w:ascii="仿宋" w:hAnsi="仿宋" w:eastAsia="仿宋" w:cs="仿宋_GB2312"/>
          <w:sz w:val="32"/>
          <w:szCs w:val="32"/>
        </w:rPr>
        <w:t>人大代表之家工作经费项目自评综述：根据年初设定的绩效目标，人大代表之家工作经费项目绩效自评得分为</w:t>
      </w:r>
      <w:r>
        <w:rPr>
          <w:rFonts w:hint="eastAsia" w:ascii="仿宋" w:hAnsi="仿宋" w:eastAsia="仿宋" w:cs="仿宋_GB2312"/>
          <w:sz w:val="32"/>
          <w:szCs w:val="32"/>
          <w:lang w:val="en-US" w:eastAsia="zh-CN"/>
        </w:rPr>
        <w:t>90</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1</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学习宣传培训，开展代表活动，使得人大机关团体密切联系群众，能够定期开展人大代表接访、走访、约访、回访等工作，接受群众监督，提出议案建议;完成通过开展人大代表之家工作，提供场地和经费，有利于学习宣传宪法法律和党的路线方针政策及各级党委政府重大决策部署，定期开展代表活动。未发现问题</w:t>
      </w:r>
      <w:r>
        <w:rPr>
          <w:rFonts w:hint="eastAsia" w:ascii="仿宋" w:hAnsi="仿宋" w:eastAsia="仿宋" w:cs="仿宋_GB2312"/>
          <w:sz w:val="32"/>
          <w:szCs w:val="32"/>
          <w:highlight w:val="none"/>
          <w:lang w:eastAsia="zh-CN"/>
        </w:rPr>
        <w:t>。</w:t>
      </w:r>
    </w:p>
    <w:tbl>
      <w:tblPr>
        <w:tblW w:w="9866" w:type="dxa"/>
        <w:tblInd w:w="-74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166"/>
        <w:gridCol w:w="720"/>
        <w:gridCol w:w="956"/>
        <w:gridCol w:w="917"/>
        <w:gridCol w:w="1771"/>
        <w:gridCol w:w="660"/>
        <w:gridCol w:w="411"/>
        <w:gridCol w:w="512"/>
        <w:gridCol w:w="520"/>
        <w:gridCol w:w="631"/>
        <w:gridCol w:w="585"/>
        <w:gridCol w:w="10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66"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866"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7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187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人大代表之家工作经费</w:t>
            </w:r>
          </w:p>
        </w:tc>
        <w:tc>
          <w:tcPr>
            <w:tcW w:w="177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92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15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58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101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67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348"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07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60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95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1.000000</w:t>
            </w:r>
          </w:p>
        </w:tc>
        <w:tc>
          <w:tcPr>
            <w:tcW w:w="91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43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1.000000</w:t>
            </w:r>
          </w:p>
        </w:tc>
        <w:tc>
          <w:tcPr>
            <w:tcW w:w="92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15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602"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95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1.000000</w:t>
            </w:r>
          </w:p>
        </w:tc>
        <w:tc>
          <w:tcPr>
            <w:tcW w:w="91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43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1.000000</w:t>
            </w:r>
          </w:p>
        </w:tc>
        <w:tc>
          <w:tcPr>
            <w:tcW w:w="92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15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602"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95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1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43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2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15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602"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36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734"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60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36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 xml:space="preserve">通过学习宣传培训，开展代表活动，使得人大机关团体密切联系群众，能够定期开展人大代表接访、走访、约访、回访等工作，接受群众监督，提出议案建议。   </w:t>
            </w:r>
          </w:p>
        </w:tc>
        <w:tc>
          <w:tcPr>
            <w:tcW w:w="2734"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60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36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 xml:space="preserve">通过开展人大代表之家工作，提供场地和经费，有利于学习宣传宪法法律和党的路线方针政策及各级党委政府重大决策部署，定期开展代表活动。   </w:t>
            </w:r>
          </w:p>
        </w:tc>
        <w:tc>
          <w:tcPr>
            <w:tcW w:w="2734"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60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72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95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91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77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66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443"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63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585"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101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5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77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5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5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63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585"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2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9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组织代表参加活动次数</w:t>
            </w:r>
          </w:p>
        </w:tc>
        <w:tc>
          <w:tcPr>
            <w:tcW w:w="177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计划召开学习宣传培训活动次数</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次</w:t>
            </w:r>
          </w:p>
        </w:tc>
        <w:tc>
          <w:tcPr>
            <w:tcW w:w="6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w:t>
            </w:r>
          </w:p>
        </w:tc>
        <w:tc>
          <w:tcPr>
            <w:tcW w:w="58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1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9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开展调研的次数</w:t>
            </w:r>
          </w:p>
        </w:tc>
        <w:tc>
          <w:tcPr>
            <w:tcW w:w="177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计划开展调研的次数</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次</w:t>
            </w:r>
          </w:p>
        </w:tc>
        <w:tc>
          <w:tcPr>
            <w:tcW w:w="6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c>
          <w:tcPr>
            <w:tcW w:w="58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1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9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人大代表数量</w:t>
            </w:r>
          </w:p>
        </w:tc>
        <w:tc>
          <w:tcPr>
            <w:tcW w:w="177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反映乡级人大代表数量</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w:t>
            </w:r>
          </w:p>
        </w:tc>
        <w:tc>
          <w:tcPr>
            <w:tcW w:w="6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w:t>
            </w:r>
          </w:p>
        </w:tc>
        <w:tc>
          <w:tcPr>
            <w:tcW w:w="58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1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9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完成调研报告数量</w:t>
            </w:r>
          </w:p>
        </w:tc>
        <w:tc>
          <w:tcPr>
            <w:tcW w:w="177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当年完成调研报告的数量</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篇</w:t>
            </w:r>
          </w:p>
        </w:tc>
        <w:tc>
          <w:tcPr>
            <w:tcW w:w="6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w:t>
            </w:r>
          </w:p>
        </w:tc>
        <w:tc>
          <w:tcPr>
            <w:tcW w:w="58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1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9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活动完成率</w:t>
            </w:r>
          </w:p>
        </w:tc>
        <w:tc>
          <w:tcPr>
            <w:tcW w:w="177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做好协调组织工作，为代表依法履职提供服务</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1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9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学习宣传培训，开展代表活动</w:t>
            </w:r>
          </w:p>
        </w:tc>
        <w:tc>
          <w:tcPr>
            <w:tcW w:w="177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做好协调组织工作,为代表依法履责提供服务</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1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9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支出控制数</w:t>
            </w:r>
          </w:p>
        </w:tc>
        <w:tc>
          <w:tcPr>
            <w:tcW w:w="177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总体控制在年度预算额度内</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6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1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2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9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意见建议采纳率</w:t>
            </w:r>
          </w:p>
        </w:tc>
        <w:tc>
          <w:tcPr>
            <w:tcW w:w="177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人大代表提出建议,被采纳率</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w:t>
            </w:r>
          </w:p>
        </w:tc>
        <w:tc>
          <w:tcPr>
            <w:tcW w:w="58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1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可持续影响指标</w:t>
            </w:r>
          </w:p>
        </w:tc>
        <w:tc>
          <w:tcPr>
            <w:tcW w:w="9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履职质量和水平</w:t>
            </w:r>
          </w:p>
        </w:tc>
        <w:tc>
          <w:tcPr>
            <w:tcW w:w="177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加强对乡镇人大工作的联系和指导，规范化、制度化水平显著提升</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8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1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9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会议服务工作满意率</w:t>
            </w:r>
          </w:p>
        </w:tc>
        <w:tc>
          <w:tcPr>
            <w:tcW w:w="177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乡人大代表和常委对代表工作的满意程度</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8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01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9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7980"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66"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8700"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6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700"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593"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77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336"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numId w:val="0"/>
        </w:numPr>
        <w:adjustRightInd w:val="0"/>
        <w:snapToGrid w:val="0"/>
        <w:spacing w:line="58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13</w:t>
      </w:r>
      <w:r>
        <w:rPr>
          <w:rFonts w:hint="eastAsia" w:ascii="仿宋" w:hAnsi="仿宋" w:eastAsia="仿宋" w:cs="仿宋_GB2312"/>
          <w:sz w:val="32"/>
          <w:szCs w:val="32"/>
          <w:lang w:eastAsia="zh-CN"/>
        </w:rPr>
        <w:t>）</w:t>
      </w:r>
      <w:r>
        <w:rPr>
          <w:rFonts w:hint="eastAsia" w:ascii="仿宋" w:hAnsi="仿宋" w:eastAsia="仿宋" w:cs="仿宋_GB2312"/>
          <w:sz w:val="32"/>
          <w:szCs w:val="32"/>
        </w:rPr>
        <w:t>团委工作经费项目自评综述：根据年初设定的绩效目标，团委工作经费项目绩效自评得分为</w:t>
      </w:r>
      <w:r>
        <w:rPr>
          <w:rFonts w:hint="eastAsia" w:ascii="仿宋" w:hAnsi="仿宋" w:eastAsia="仿宋" w:cs="仿宋_GB2312"/>
          <w:sz w:val="32"/>
          <w:szCs w:val="32"/>
          <w:lang w:val="en-US" w:eastAsia="zh-CN"/>
        </w:rPr>
        <w:t>80</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1</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通过项目实施，完成了年初设定的各项绩效目标，完成开展好群团组织工作，为党的建设储备好后备力量;完成通过团委工作有序开展，积极发挥团委作用。未发现问题</w:t>
      </w:r>
      <w:r>
        <w:rPr>
          <w:rFonts w:hint="eastAsia" w:ascii="仿宋" w:hAnsi="仿宋" w:eastAsia="仿宋" w:cs="仿宋_GB2312"/>
          <w:sz w:val="32"/>
          <w:szCs w:val="32"/>
          <w:highlight w:val="none"/>
          <w:lang w:eastAsia="zh-CN"/>
        </w:rPr>
        <w:t>。</w:t>
      </w:r>
    </w:p>
    <w:tbl>
      <w:tblPr>
        <w:tblW w:w="9992" w:type="dxa"/>
        <w:tblInd w:w="-7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130"/>
        <w:gridCol w:w="821"/>
        <w:gridCol w:w="944"/>
        <w:gridCol w:w="911"/>
        <w:gridCol w:w="1338"/>
        <w:gridCol w:w="652"/>
        <w:gridCol w:w="430"/>
        <w:gridCol w:w="605"/>
        <w:gridCol w:w="957"/>
        <w:gridCol w:w="831"/>
        <w:gridCol w:w="773"/>
        <w:gridCol w:w="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92"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92"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82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185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团委工作经费</w:t>
            </w:r>
          </w:p>
        </w:tc>
        <w:tc>
          <w:tcPr>
            <w:tcW w:w="13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6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103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78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77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76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2901"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823"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37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94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1.000000</w:t>
            </w:r>
          </w:p>
        </w:tc>
        <w:tc>
          <w:tcPr>
            <w:tcW w:w="9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199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1.000000</w:t>
            </w:r>
          </w:p>
        </w:tc>
        <w:tc>
          <w:tcPr>
            <w:tcW w:w="103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78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373"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94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1.000000</w:t>
            </w:r>
          </w:p>
        </w:tc>
        <w:tc>
          <w:tcPr>
            <w:tcW w:w="9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99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1.000000</w:t>
            </w:r>
          </w:p>
        </w:tc>
        <w:tc>
          <w:tcPr>
            <w:tcW w:w="103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78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373"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94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99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03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78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373"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01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3475"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37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01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通过团委工作有序开展，积极发挥团委作用。</w:t>
            </w:r>
          </w:p>
        </w:tc>
        <w:tc>
          <w:tcPr>
            <w:tcW w:w="3475"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37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01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开展好群团组织工作，为党的建设储备好后备力量。</w:t>
            </w:r>
          </w:p>
        </w:tc>
        <w:tc>
          <w:tcPr>
            <w:tcW w:w="3475"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37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82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944"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91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33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652"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992"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83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77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60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4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5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60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9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83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7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94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9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组织活动的次数</w:t>
            </w:r>
          </w:p>
        </w:tc>
        <w:tc>
          <w:tcPr>
            <w:tcW w:w="13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组织镇青年慰问留守儿童活动的次数</w:t>
            </w:r>
          </w:p>
        </w:tc>
        <w:tc>
          <w:tcPr>
            <w:tcW w:w="6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0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9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次</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77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9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“圆梦大学”走访的次数</w:t>
            </w:r>
          </w:p>
        </w:tc>
        <w:tc>
          <w:tcPr>
            <w:tcW w:w="13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反映“圆梦大学”走访的次数</w:t>
            </w:r>
          </w:p>
        </w:tc>
        <w:tc>
          <w:tcPr>
            <w:tcW w:w="6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0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9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次</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77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9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宣传单数量</w:t>
            </w:r>
          </w:p>
        </w:tc>
        <w:tc>
          <w:tcPr>
            <w:tcW w:w="13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反映用于青少年法治宣传教育印刷的宣传单数量</w:t>
            </w:r>
          </w:p>
        </w:tc>
        <w:tc>
          <w:tcPr>
            <w:tcW w:w="6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0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3000</w:t>
            </w:r>
          </w:p>
        </w:tc>
        <w:tc>
          <w:tcPr>
            <w:tcW w:w="9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张</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3000</w:t>
            </w:r>
          </w:p>
        </w:tc>
        <w:tc>
          <w:tcPr>
            <w:tcW w:w="77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9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活动完成率</w:t>
            </w:r>
          </w:p>
        </w:tc>
        <w:tc>
          <w:tcPr>
            <w:tcW w:w="13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活动完成次数占预计次数的比例</w:t>
            </w:r>
          </w:p>
        </w:tc>
        <w:tc>
          <w:tcPr>
            <w:tcW w:w="6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0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9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0.95</w:t>
            </w:r>
          </w:p>
        </w:tc>
        <w:tc>
          <w:tcPr>
            <w:tcW w:w="77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9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活动完成时间</w:t>
            </w:r>
          </w:p>
        </w:tc>
        <w:tc>
          <w:tcPr>
            <w:tcW w:w="13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反映各项活动完成时间</w:t>
            </w:r>
          </w:p>
        </w:tc>
        <w:tc>
          <w:tcPr>
            <w:tcW w:w="6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文字描述</w:t>
            </w:r>
          </w:p>
        </w:tc>
        <w:tc>
          <w:tcPr>
            <w:tcW w:w="60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12月31日前</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按时完成</w:t>
            </w:r>
          </w:p>
        </w:tc>
        <w:tc>
          <w:tcPr>
            <w:tcW w:w="77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9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经费支出控制数</w:t>
            </w:r>
          </w:p>
        </w:tc>
        <w:tc>
          <w:tcPr>
            <w:tcW w:w="13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团委活动经费支出控制在预算额度内</w:t>
            </w:r>
          </w:p>
        </w:tc>
        <w:tc>
          <w:tcPr>
            <w:tcW w:w="6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0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77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94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9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未成年思想道德建设宣传情况</w:t>
            </w:r>
          </w:p>
        </w:tc>
        <w:tc>
          <w:tcPr>
            <w:tcW w:w="13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反映全乡未成年人思想道德建设宣传覆盖率</w:t>
            </w:r>
          </w:p>
        </w:tc>
        <w:tc>
          <w:tcPr>
            <w:tcW w:w="6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0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9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0.9</w:t>
            </w:r>
          </w:p>
        </w:tc>
        <w:tc>
          <w:tcPr>
            <w:tcW w:w="77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可持续影响指标</w:t>
            </w:r>
          </w:p>
        </w:tc>
        <w:tc>
          <w:tcPr>
            <w:tcW w:w="9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团费收缴完成率</w:t>
            </w:r>
          </w:p>
        </w:tc>
        <w:tc>
          <w:tcPr>
            <w:tcW w:w="13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反映全乡团费收缴和上缴工作完成比率</w:t>
            </w:r>
          </w:p>
        </w:tc>
        <w:tc>
          <w:tcPr>
            <w:tcW w:w="6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0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9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0.9</w:t>
            </w:r>
          </w:p>
        </w:tc>
        <w:tc>
          <w:tcPr>
            <w:tcW w:w="77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94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9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群众对全镇党建满意度</w:t>
            </w:r>
          </w:p>
        </w:tc>
        <w:tc>
          <w:tcPr>
            <w:tcW w:w="13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全镇群众对团工作的满意度</w:t>
            </w:r>
          </w:p>
        </w:tc>
        <w:tc>
          <w:tcPr>
            <w:tcW w:w="65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0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9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8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0.9</w:t>
            </w:r>
          </w:p>
        </w:tc>
        <w:tc>
          <w:tcPr>
            <w:tcW w:w="77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94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9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3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43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0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7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8041"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30"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8862"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862"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3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676"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3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848"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15333348688</w:t>
            </w:r>
          </w:p>
        </w:tc>
      </w:tr>
    </w:tbl>
    <w:p>
      <w:pPr>
        <w:numPr>
          <w:numId w:val="0"/>
        </w:numPr>
        <w:adjustRightInd w:val="0"/>
        <w:snapToGrid w:val="0"/>
        <w:spacing w:line="58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14</w:t>
      </w:r>
      <w:r>
        <w:rPr>
          <w:rFonts w:hint="eastAsia" w:ascii="仿宋" w:hAnsi="仿宋" w:eastAsia="仿宋" w:cs="仿宋_GB2312"/>
          <w:sz w:val="32"/>
          <w:szCs w:val="32"/>
          <w:lang w:eastAsia="zh-CN"/>
        </w:rPr>
        <w:t>）</w:t>
      </w:r>
      <w:r>
        <w:rPr>
          <w:rFonts w:hint="eastAsia" w:ascii="仿宋" w:hAnsi="仿宋" w:eastAsia="仿宋" w:cs="仿宋_GB2312"/>
          <w:sz w:val="32"/>
          <w:szCs w:val="32"/>
        </w:rPr>
        <w:t>矽肺病人员伤残救助金项目自评综述：根据年初设定的绩效目标，矽肺病人员伤残救助金项目绩效自评得分为</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2.3</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2.3</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通过项目实施，完成了年初设定的各项绩效目标，完成通过对矽肺病人发放生活补助，保障病人基本生活;完成稳控不稳定群体，确保基层社会稳定。未发现问题</w:t>
      </w:r>
      <w:r>
        <w:rPr>
          <w:rFonts w:hint="eastAsia" w:ascii="仿宋" w:hAnsi="仿宋" w:eastAsia="仿宋" w:cs="仿宋_GB2312"/>
          <w:sz w:val="32"/>
          <w:szCs w:val="32"/>
          <w:highlight w:val="none"/>
          <w:lang w:eastAsia="zh-CN"/>
        </w:rPr>
        <w:t>。</w:t>
      </w:r>
    </w:p>
    <w:tbl>
      <w:tblPr>
        <w:tblW w:w="9981" w:type="dxa"/>
        <w:tblInd w:w="-70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154"/>
        <w:gridCol w:w="696"/>
        <w:gridCol w:w="956"/>
        <w:gridCol w:w="958"/>
        <w:gridCol w:w="1651"/>
        <w:gridCol w:w="660"/>
        <w:gridCol w:w="411"/>
        <w:gridCol w:w="512"/>
        <w:gridCol w:w="543"/>
        <w:gridCol w:w="661"/>
        <w:gridCol w:w="612"/>
        <w:gridCol w:w="11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81"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81"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6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191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矽肺病人员伤残救助金</w:t>
            </w:r>
          </w:p>
        </w:tc>
        <w:tc>
          <w:tcPr>
            <w:tcW w:w="165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92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2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116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65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269"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127"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77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95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2.300000</w:t>
            </w:r>
          </w:p>
        </w:tc>
        <w:tc>
          <w:tcPr>
            <w:tcW w:w="9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31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2.300000</w:t>
            </w:r>
          </w:p>
        </w:tc>
        <w:tc>
          <w:tcPr>
            <w:tcW w:w="92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2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2.300000</w:t>
            </w:r>
          </w:p>
        </w:tc>
        <w:tc>
          <w:tcPr>
            <w:tcW w:w="1779"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95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2.300000</w:t>
            </w:r>
          </w:p>
        </w:tc>
        <w:tc>
          <w:tcPr>
            <w:tcW w:w="9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31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2.300000</w:t>
            </w:r>
          </w:p>
        </w:tc>
        <w:tc>
          <w:tcPr>
            <w:tcW w:w="92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2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2.300000</w:t>
            </w:r>
          </w:p>
        </w:tc>
        <w:tc>
          <w:tcPr>
            <w:tcW w:w="1779"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95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31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2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2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779"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261"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787"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77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261"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通过对矽肺病人发放生活补助，保障病人基本生活。</w:t>
            </w:r>
          </w:p>
        </w:tc>
        <w:tc>
          <w:tcPr>
            <w:tcW w:w="2787"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77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261"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稳控不稳定群体，确保基层社会稳定。</w:t>
            </w:r>
          </w:p>
        </w:tc>
        <w:tc>
          <w:tcPr>
            <w:tcW w:w="2787"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77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69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95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95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65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66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466"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66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612"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116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5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65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5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54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6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1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16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9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补助人数</w:t>
            </w:r>
          </w:p>
        </w:tc>
        <w:tc>
          <w:tcPr>
            <w:tcW w:w="16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已认定伤残等级待遇矽肺病人数</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5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6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核实次数</w:t>
            </w:r>
          </w:p>
        </w:tc>
        <w:tc>
          <w:tcPr>
            <w:tcW w:w="16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已认定伤残等级待遇矽肺病人数核实次数</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5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次/年</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6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资金发放到位率（%）</w:t>
            </w:r>
          </w:p>
        </w:tc>
        <w:tc>
          <w:tcPr>
            <w:tcW w:w="16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资金待遇按时足额发放人数占应发放人数的比率</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6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认定准确率</w:t>
            </w:r>
          </w:p>
        </w:tc>
        <w:tc>
          <w:tcPr>
            <w:tcW w:w="16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认定伤残待遇矽肺病人员准确率</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6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发放标准准确率</w:t>
            </w:r>
          </w:p>
        </w:tc>
        <w:tc>
          <w:tcPr>
            <w:tcW w:w="16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按照相关文件标准发放标准准确率</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6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资金发放及时性</w:t>
            </w:r>
          </w:p>
        </w:tc>
        <w:tc>
          <w:tcPr>
            <w:tcW w:w="16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收到专项资金后拨付到救助对象手中的时效</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30</w:t>
            </w:r>
          </w:p>
        </w:tc>
        <w:tc>
          <w:tcPr>
            <w:tcW w:w="5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天</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30</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6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每人每年发放标准</w:t>
            </w:r>
          </w:p>
        </w:tc>
        <w:tc>
          <w:tcPr>
            <w:tcW w:w="16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支付已认定伤残等级待遇矽肺病的生活补助</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2.3</w:t>
            </w:r>
          </w:p>
        </w:tc>
        <w:tc>
          <w:tcPr>
            <w:tcW w:w="5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2.3</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6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提升生活质量提升，维护社会稳定</w:t>
            </w:r>
          </w:p>
        </w:tc>
        <w:tc>
          <w:tcPr>
            <w:tcW w:w="16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保障、提升矽肺病人家庭生活水平，维护社会稳定</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4</w:t>
            </w:r>
          </w:p>
        </w:tc>
        <w:tc>
          <w:tcPr>
            <w:tcW w:w="5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4</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6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救助对象满意度（%）</w:t>
            </w:r>
          </w:p>
        </w:tc>
        <w:tc>
          <w:tcPr>
            <w:tcW w:w="16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问卷调查中，满意和较满意的救助对象数量占调研对象总数的比率</w:t>
            </w:r>
          </w:p>
        </w:tc>
        <w:tc>
          <w:tcPr>
            <w:tcW w:w="6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5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61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6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95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6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16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6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8131"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54"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8827"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54"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827"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5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610"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65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566"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numId w:val="0"/>
        </w:numPr>
        <w:adjustRightInd w:val="0"/>
        <w:snapToGrid w:val="0"/>
        <w:spacing w:line="58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15</w:t>
      </w:r>
      <w:r>
        <w:rPr>
          <w:rFonts w:hint="eastAsia" w:ascii="仿宋" w:hAnsi="仿宋" w:eastAsia="仿宋" w:cs="仿宋_GB2312"/>
          <w:sz w:val="32"/>
          <w:szCs w:val="32"/>
          <w:lang w:eastAsia="zh-CN"/>
        </w:rPr>
        <w:t>）</w:t>
      </w:r>
      <w:r>
        <w:rPr>
          <w:rFonts w:hint="eastAsia" w:ascii="仿宋" w:hAnsi="仿宋" w:eastAsia="仿宋" w:cs="仿宋_GB2312"/>
          <w:sz w:val="32"/>
          <w:szCs w:val="32"/>
        </w:rPr>
        <w:t>矽肺病人员生活困难补助项目自评综述：根据年初设定的绩效目标，矽肺病人员生活困难补助项目绩效自评得分为</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3.596</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3.596</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通过项目实施，完成了年初设定的各项绩效目标，完成通过对矽肺病人发放生活补助，保障病人基本生活;完成稳控不稳定群体，确保基层社会稳定。未发现问题</w:t>
      </w:r>
      <w:r>
        <w:rPr>
          <w:rFonts w:hint="eastAsia" w:ascii="仿宋" w:hAnsi="仿宋" w:eastAsia="仿宋" w:cs="仿宋_GB2312"/>
          <w:sz w:val="32"/>
          <w:szCs w:val="32"/>
          <w:highlight w:val="none"/>
          <w:lang w:eastAsia="zh-CN"/>
        </w:rPr>
        <w:t>。</w:t>
      </w:r>
    </w:p>
    <w:tbl>
      <w:tblPr>
        <w:tblW w:w="10107" w:type="dxa"/>
        <w:tblInd w:w="-75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061"/>
        <w:gridCol w:w="820"/>
        <w:gridCol w:w="951"/>
        <w:gridCol w:w="953"/>
        <w:gridCol w:w="1641"/>
        <w:gridCol w:w="657"/>
        <w:gridCol w:w="409"/>
        <w:gridCol w:w="560"/>
        <w:gridCol w:w="541"/>
        <w:gridCol w:w="658"/>
        <w:gridCol w:w="610"/>
        <w:gridCol w:w="12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07"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107"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8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19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矽肺病人员生活困难补助</w:t>
            </w:r>
          </w:p>
        </w:tc>
        <w:tc>
          <w:tcPr>
            <w:tcW w:w="164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6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96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19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61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124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77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251"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168"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85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95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3.596000</w:t>
            </w:r>
          </w:p>
        </w:tc>
        <w:tc>
          <w:tcPr>
            <w:tcW w:w="9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29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3.596000</w:t>
            </w:r>
          </w:p>
        </w:tc>
        <w:tc>
          <w:tcPr>
            <w:tcW w:w="96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19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3.596000</w:t>
            </w:r>
          </w:p>
        </w:tc>
        <w:tc>
          <w:tcPr>
            <w:tcW w:w="1856"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95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3.596000</w:t>
            </w:r>
          </w:p>
        </w:tc>
        <w:tc>
          <w:tcPr>
            <w:tcW w:w="9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29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3.596000</w:t>
            </w:r>
          </w:p>
        </w:tc>
        <w:tc>
          <w:tcPr>
            <w:tcW w:w="96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19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3.596000</w:t>
            </w:r>
          </w:p>
        </w:tc>
        <w:tc>
          <w:tcPr>
            <w:tcW w:w="1856"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95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29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6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19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856"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365"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825"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85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365"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通过对矽肺病人发放生活补助，保障病人基本生活。</w:t>
            </w:r>
          </w:p>
        </w:tc>
        <w:tc>
          <w:tcPr>
            <w:tcW w:w="2825"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85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365"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稳控不稳定群体，确保基层社会稳定。</w:t>
            </w:r>
          </w:p>
        </w:tc>
        <w:tc>
          <w:tcPr>
            <w:tcW w:w="2825"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85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82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95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95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64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65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510"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65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61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124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5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5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64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5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0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56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54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65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24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9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补助人数</w:t>
            </w:r>
          </w:p>
        </w:tc>
        <w:tc>
          <w:tcPr>
            <w:tcW w:w="16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已认定伤残等级待遇矽肺病人数</w:t>
            </w:r>
          </w:p>
        </w:tc>
        <w:tc>
          <w:tcPr>
            <w:tcW w:w="6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5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61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4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核实次数</w:t>
            </w:r>
          </w:p>
        </w:tc>
        <w:tc>
          <w:tcPr>
            <w:tcW w:w="16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已认定伤残等级待遇矽肺病人数核实次数</w:t>
            </w:r>
          </w:p>
        </w:tc>
        <w:tc>
          <w:tcPr>
            <w:tcW w:w="6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5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次/年</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61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4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资金发放到位率（%）</w:t>
            </w:r>
          </w:p>
        </w:tc>
        <w:tc>
          <w:tcPr>
            <w:tcW w:w="16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资金待遇按时足额发放人数占应发放人数的比率</w:t>
            </w:r>
          </w:p>
        </w:tc>
        <w:tc>
          <w:tcPr>
            <w:tcW w:w="6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61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4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认定准确率</w:t>
            </w:r>
          </w:p>
        </w:tc>
        <w:tc>
          <w:tcPr>
            <w:tcW w:w="16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认定伤残待遇矽肺病人员准确率</w:t>
            </w:r>
          </w:p>
        </w:tc>
        <w:tc>
          <w:tcPr>
            <w:tcW w:w="6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61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4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发放标准准确率</w:t>
            </w:r>
          </w:p>
        </w:tc>
        <w:tc>
          <w:tcPr>
            <w:tcW w:w="16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按照相关文件标准发放标准准确率</w:t>
            </w:r>
          </w:p>
        </w:tc>
        <w:tc>
          <w:tcPr>
            <w:tcW w:w="6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61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4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资金发放及时性</w:t>
            </w:r>
          </w:p>
        </w:tc>
        <w:tc>
          <w:tcPr>
            <w:tcW w:w="16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收到专项资金后拨付到救助对象手中的时效</w:t>
            </w:r>
          </w:p>
        </w:tc>
        <w:tc>
          <w:tcPr>
            <w:tcW w:w="6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30</w:t>
            </w:r>
          </w:p>
        </w:tc>
        <w:tc>
          <w:tcPr>
            <w:tcW w:w="5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天</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30</w:t>
            </w:r>
          </w:p>
        </w:tc>
        <w:tc>
          <w:tcPr>
            <w:tcW w:w="61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4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每人每年发放标准</w:t>
            </w:r>
          </w:p>
        </w:tc>
        <w:tc>
          <w:tcPr>
            <w:tcW w:w="16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支付已认定伤残等级待遇矽肺病的生活补助</w:t>
            </w:r>
          </w:p>
        </w:tc>
        <w:tc>
          <w:tcPr>
            <w:tcW w:w="6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0.43</w:t>
            </w:r>
          </w:p>
        </w:tc>
        <w:tc>
          <w:tcPr>
            <w:tcW w:w="5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0.43</w:t>
            </w:r>
          </w:p>
        </w:tc>
        <w:tc>
          <w:tcPr>
            <w:tcW w:w="61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4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9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提升生活质量提升，维护社会稳定</w:t>
            </w:r>
          </w:p>
        </w:tc>
        <w:tc>
          <w:tcPr>
            <w:tcW w:w="16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保障、提升矽肺病人家庭生活水平，维护社会稳定</w:t>
            </w:r>
          </w:p>
        </w:tc>
        <w:tc>
          <w:tcPr>
            <w:tcW w:w="6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w:t>
            </w:r>
          </w:p>
        </w:tc>
        <w:tc>
          <w:tcPr>
            <w:tcW w:w="5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w:t>
            </w:r>
          </w:p>
        </w:tc>
        <w:tc>
          <w:tcPr>
            <w:tcW w:w="61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4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9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救助对象满意度（%）</w:t>
            </w:r>
          </w:p>
        </w:tc>
        <w:tc>
          <w:tcPr>
            <w:tcW w:w="16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问卷调查中，满意和较满意的救助对象数量占调研对象总数的比率</w:t>
            </w:r>
          </w:p>
        </w:tc>
        <w:tc>
          <w:tcPr>
            <w:tcW w:w="65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0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6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5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61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24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95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6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40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4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24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8226"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1"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9046"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1"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046"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724"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64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681"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numId w:val="0"/>
        </w:numPr>
        <w:adjustRightInd w:val="0"/>
        <w:snapToGrid w:val="0"/>
        <w:spacing w:line="58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16</w:t>
      </w:r>
      <w:r>
        <w:rPr>
          <w:rFonts w:hint="eastAsia" w:ascii="仿宋" w:hAnsi="仿宋" w:eastAsia="仿宋" w:cs="仿宋_GB2312"/>
          <w:sz w:val="32"/>
          <w:szCs w:val="32"/>
          <w:lang w:eastAsia="zh-CN"/>
        </w:rPr>
        <w:t>）</w:t>
      </w:r>
      <w:r>
        <w:rPr>
          <w:rFonts w:hint="eastAsia" w:ascii="仿宋" w:hAnsi="仿宋" w:eastAsia="仿宋" w:cs="仿宋_GB2312"/>
          <w:sz w:val="32"/>
          <w:szCs w:val="32"/>
        </w:rPr>
        <w:t>严重精神障碍患者监护人责任险项目自评综述：根据年初设定的绩效目标，严重精神障碍患者监护人责任险项目绩效自评得分为</w:t>
      </w:r>
      <w:r>
        <w:rPr>
          <w:rFonts w:hint="eastAsia" w:ascii="仿宋" w:hAnsi="仿宋" w:eastAsia="仿宋" w:cs="仿宋_GB2312"/>
          <w:sz w:val="32"/>
          <w:szCs w:val="32"/>
          <w:lang w:val="en-US" w:eastAsia="zh-CN"/>
        </w:rPr>
        <w:t>99.41</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2.19</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2.06</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94.06%</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为严重精神障碍患者监护人办理相关保险业，预防严重精神障碍患者伤及人身、损坏财物事件发生;完成通过以政府出资投保的方式，减少监护人损失、增强监护人、当事人社会保障，从而化解事后风险。未发现问题</w:t>
      </w:r>
      <w:r>
        <w:rPr>
          <w:rFonts w:hint="eastAsia" w:ascii="仿宋" w:hAnsi="仿宋" w:eastAsia="仿宋" w:cs="仿宋_GB2312"/>
          <w:sz w:val="32"/>
          <w:szCs w:val="32"/>
          <w:highlight w:val="none"/>
          <w:lang w:eastAsia="zh-CN"/>
        </w:rPr>
        <w:t>。</w:t>
      </w:r>
    </w:p>
    <w:tbl>
      <w:tblPr>
        <w:tblW w:w="9969" w:type="dxa"/>
        <w:tblInd w:w="-7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946"/>
        <w:gridCol w:w="748"/>
        <w:gridCol w:w="799"/>
        <w:gridCol w:w="787"/>
        <w:gridCol w:w="1920"/>
        <w:gridCol w:w="620"/>
        <w:gridCol w:w="393"/>
        <w:gridCol w:w="653"/>
        <w:gridCol w:w="588"/>
        <w:gridCol w:w="750"/>
        <w:gridCol w:w="796"/>
        <w:gridCol w:w="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69"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69"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74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158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严重精神障碍患者监护人责任险</w:t>
            </w:r>
          </w:p>
        </w:tc>
        <w:tc>
          <w:tcPr>
            <w:tcW w:w="19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6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104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33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7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9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54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327"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38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76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79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2.190000</w:t>
            </w:r>
          </w:p>
        </w:tc>
        <w:tc>
          <w:tcPr>
            <w:tcW w:w="78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54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2.190000</w:t>
            </w:r>
          </w:p>
        </w:tc>
        <w:tc>
          <w:tcPr>
            <w:tcW w:w="104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33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2.060000</w:t>
            </w:r>
          </w:p>
        </w:tc>
        <w:tc>
          <w:tcPr>
            <w:tcW w:w="1765"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79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2.190000</w:t>
            </w:r>
          </w:p>
        </w:tc>
        <w:tc>
          <w:tcPr>
            <w:tcW w:w="78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54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2.190000</w:t>
            </w:r>
          </w:p>
        </w:tc>
        <w:tc>
          <w:tcPr>
            <w:tcW w:w="104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33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2.060000</w:t>
            </w:r>
          </w:p>
        </w:tc>
        <w:tc>
          <w:tcPr>
            <w:tcW w:w="1765"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79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78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540"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04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33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765"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25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3004"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76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25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通过为严重精神障碍患者监护人办理相关保险业，预防严重精神障碍患者伤及人身、损坏财物事件发生。</w:t>
            </w:r>
          </w:p>
        </w:tc>
        <w:tc>
          <w:tcPr>
            <w:tcW w:w="3004"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76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25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通过以政府出资投保的方式，减少监护人损失、增强监护人、当事人社会保障，从而化解事后风险。</w:t>
            </w:r>
          </w:p>
        </w:tc>
        <w:tc>
          <w:tcPr>
            <w:tcW w:w="3004"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76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74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799"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78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92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62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634"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75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79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969"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4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9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8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39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6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58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75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4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7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78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享受保险人数(人)</w:t>
            </w:r>
          </w:p>
        </w:tc>
        <w:tc>
          <w:tcPr>
            <w:tcW w:w="19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享受严重精神障碍患者监护人责任险的人数</w:t>
            </w:r>
          </w:p>
        </w:tc>
        <w:tc>
          <w:tcPr>
            <w:tcW w:w="6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219</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206</w:t>
            </w:r>
          </w:p>
        </w:tc>
        <w:tc>
          <w:tcPr>
            <w:tcW w:w="7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9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4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7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78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严重精神障碍患者</w:t>
            </w:r>
          </w:p>
        </w:tc>
        <w:tc>
          <w:tcPr>
            <w:tcW w:w="19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反映严重精神障碍患者人数</w:t>
            </w:r>
          </w:p>
        </w:tc>
        <w:tc>
          <w:tcPr>
            <w:tcW w:w="6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219</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206</w:t>
            </w:r>
          </w:p>
        </w:tc>
        <w:tc>
          <w:tcPr>
            <w:tcW w:w="7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9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4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7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78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参保率</w:t>
            </w:r>
          </w:p>
        </w:tc>
        <w:tc>
          <w:tcPr>
            <w:tcW w:w="19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已参保人数占应参保人数的比率</w:t>
            </w:r>
          </w:p>
        </w:tc>
        <w:tc>
          <w:tcPr>
            <w:tcW w:w="6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7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9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4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7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78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审核准确率</w:t>
            </w:r>
          </w:p>
        </w:tc>
        <w:tc>
          <w:tcPr>
            <w:tcW w:w="19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责任险报销事项审核准确率</w:t>
            </w:r>
          </w:p>
        </w:tc>
        <w:tc>
          <w:tcPr>
            <w:tcW w:w="6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7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9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4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7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78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办结率</w:t>
            </w:r>
          </w:p>
        </w:tc>
        <w:tc>
          <w:tcPr>
            <w:tcW w:w="19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责任险报销事项实际在规定时间内及时办结的件数占应在规定时间内及时办结的件数的比率</w:t>
            </w:r>
          </w:p>
        </w:tc>
        <w:tc>
          <w:tcPr>
            <w:tcW w:w="6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7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9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4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7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78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缴纳保险及时率</w:t>
            </w:r>
          </w:p>
        </w:tc>
        <w:tc>
          <w:tcPr>
            <w:tcW w:w="19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反映及时足额缴纳保险时间</w:t>
            </w:r>
          </w:p>
        </w:tc>
        <w:tc>
          <w:tcPr>
            <w:tcW w:w="6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文字描述</w:t>
            </w:r>
          </w:p>
        </w:tc>
        <w:tc>
          <w:tcPr>
            <w:tcW w:w="6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10月前</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按时完成</w:t>
            </w:r>
          </w:p>
        </w:tc>
        <w:tc>
          <w:tcPr>
            <w:tcW w:w="7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9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4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7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78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补助标准</w:t>
            </w:r>
          </w:p>
        </w:tc>
        <w:tc>
          <w:tcPr>
            <w:tcW w:w="19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给予严重精神障碍患者监护人每人每年支付保险的费用</w:t>
            </w:r>
          </w:p>
        </w:tc>
        <w:tc>
          <w:tcPr>
            <w:tcW w:w="6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元</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7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9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7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78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提高监护人保障</w:t>
            </w:r>
          </w:p>
        </w:tc>
        <w:tc>
          <w:tcPr>
            <w:tcW w:w="19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减少监护人损失、增强监护人、当事人社会保障，从而化解事后风险</w:t>
            </w:r>
          </w:p>
        </w:tc>
        <w:tc>
          <w:tcPr>
            <w:tcW w:w="6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219</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206</w:t>
            </w:r>
          </w:p>
        </w:tc>
        <w:tc>
          <w:tcPr>
            <w:tcW w:w="7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9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7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78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被保险人满意度（%）</w:t>
            </w:r>
          </w:p>
        </w:tc>
        <w:tc>
          <w:tcPr>
            <w:tcW w:w="19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被保险监护人对保险服务的满意程度</w:t>
            </w:r>
          </w:p>
        </w:tc>
        <w:tc>
          <w:tcPr>
            <w:tcW w:w="6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3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7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9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7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78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3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9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9.406393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8275"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99.41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46"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9023"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023"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4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334"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9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769"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numId w:val="0"/>
        </w:numPr>
        <w:adjustRightInd w:val="0"/>
        <w:snapToGrid w:val="0"/>
        <w:spacing w:line="58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17</w:t>
      </w:r>
      <w:r>
        <w:rPr>
          <w:rFonts w:hint="eastAsia" w:ascii="仿宋" w:hAnsi="仿宋" w:eastAsia="仿宋" w:cs="仿宋_GB2312"/>
          <w:sz w:val="32"/>
          <w:szCs w:val="32"/>
          <w:lang w:eastAsia="zh-CN"/>
        </w:rPr>
        <w:t>）</w:t>
      </w:r>
      <w:r>
        <w:rPr>
          <w:rFonts w:hint="eastAsia" w:ascii="仿宋" w:hAnsi="仿宋" w:eastAsia="仿宋" w:cs="仿宋_GB2312"/>
          <w:sz w:val="32"/>
          <w:szCs w:val="32"/>
        </w:rPr>
        <w:t>专项武装经费项目自评综述：根据年初设定的绩效目标，专项武装经费项目绩效自评得分为</w:t>
      </w:r>
      <w:r>
        <w:rPr>
          <w:rFonts w:hint="eastAsia" w:ascii="仿宋" w:hAnsi="仿宋" w:eastAsia="仿宋" w:cs="仿宋_GB2312"/>
          <w:sz w:val="32"/>
          <w:szCs w:val="32"/>
          <w:lang w:val="en-US" w:eastAsia="zh-CN"/>
        </w:rPr>
        <w:t>85</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2</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通过项目实施，完成了年初设定的各项绩效目标，完成通过开展兵役登记、征兵工作，为国家提供高素质兵源;完成通过开展民兵训练工作，确保人民武装力量得到保障。未发现问题</w:t>
      </w:r>
      <w:r>
        <w:rPr>
          <w:rFonts w:hint="eastAsia" w:ascii="仿宋" w:hAnsi="仿宋" w:eastAsia="仿宋" w:cs="仿宋_GB2312"/>
          <w:sz w:val="32"/>
          <w:szCs w:val="32"/>
          <w:highlight w:val="none"/>
          <w:lang w:eastAsia="zh-CN"/>
        </w:rPr>
        <w:t>。</w:t>
      </w:r>
    </w:p>
    <w:tbl>
      <w:tblPr>
        <w:tblW w:w="10039" w:type="dxa"/>
        <w:tblInd w:w="-76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073"/>
        <w:gridCol w:w="938"/>
        <w:gridCol w:w="969"/>
        <w:gridCol w:w="778"/>
        <w:gridCol w:w="1510"/>
        <w:gridCol w:w="668"/>
        <w:gridCol w:w="414"/>
        <w:gridCol w:w="517"/>
        <w:gridCol w:w="588"/>
        <w:gridCol w:w="723"/>
        <w:gridCol w:w="666"/>
        <w:gridCol w:w="1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039"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039"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9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174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专项武装经费</w:t>
            </w:r>
          </w:p>
        </w:tc>
        <w:tc>
          <w:tcPr>
            <w:tcW w:w="151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66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93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31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6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11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90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2956"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242"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86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9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2.000000</w:t>
            </w:r>
          </w:p>
        </w:tc>
        <w:tc>
          <w:tcPr>
            <w:tcW w:w="77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17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2.000000</w:t>
            </w:r>
          </w:p>
        </w:tc>
        <w:tc>
          <w:tcPr>
            <w:tcW w:w="93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31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861"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9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2.000000</w:t>
            </w:r>
          </w:p>
        </w:tc>
        <w:tc>
          <w:tcPr>
            <w:tcW w:w="77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17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2.000000</w:t>
            </w:r>
          </w:p>
        </w:tc>
        <w:tc>
          <w:tcPr>
            <w:tcW w:w="93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31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861"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96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77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17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3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31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861"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195"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910"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86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195"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通过开展兵役登记、征兵工作，为国家提供高素质兵源。</w:t>
            </w:r>
          </w:p>
        </w:tc>
        <w:tc>
          <w:tcPr>
            <w:tcW w:w="2910"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86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195"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通过开展民兵训练工作，确保人民武装力量得到保障。</w:t>
            </w:r>
          </w:p>
        </w:tc>
        <w:tc>
          <w:tcPr>
            <w:tcW w:w="2910"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86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93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969"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77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51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66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519"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72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66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1195"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51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14"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51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58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72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195"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3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96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77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区域内服兵役人员数量</w:t>
            </w:r>
          </w:p>
        </w:tc>
        <w:tc>
          <w:tcPr>
            <w:tcW w:w="151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年度内依法服兵役数量</w:t>
            </w:r>
          </w:p>
        </w:tc>
        <w:tc>
          <w:tcPr>
            <w:tcW w:w="66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w:t>
            </w:r>
          </w:p>
        </w:tc>
        <w:tc>
          <w:tcPr>
            <w:tcW w:w="7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77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参加民兵训练人数</w:t>
            </w:r>
          </w:p>
        </w:tc>
        <w:tc>
          <w:tcPr>
            <w:tcW w:w="151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年度内参加民兵训练的人数</w:t>
            </w:r>
          </w:p>
        </w:tc>
        <w:tc>
          <w:tcPr>
            <w:tcW w:w="66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30</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w:t>
            </w:r>
          </w:p>
        </w:tc>
        <w:tc>
          <w:tcPr>
            <w:tcW w:w="7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30</w:t>
            </w:r>
          </w:p>
        </w:tc>
        <w:tc>
          <w:tcPr>
            <w:tcW w:w="6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77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大学生兵数量</w:t>
            </w:r>
          </w:p>
        </w:tc>
        <w:tc>
          <w:tcPr>
            <w:tcW w:w="151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年度内新入伍大学生兵数量</w:t>
            </w:r>
          </w:p>
        </w:tc>
        <w:tc>
          <w:tcPr>
            <w:tcW w:w="66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w:t>
            </w:r>
          </w:p>
        </w:tc>
        <w:tc>
          <w:tcPr>
            <w:tcW w:w="7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77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民兵训练次数</w:t>
            </w:r>
          </w:p>
        </w:tc>
        <w:tc>
          <w:tcPr>
            <w:tcW w:w="151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年度内开展民兵训练次数</w:t>
            </w:r>
          </w:p>
        </w:tc>
        <w:tc>
          <w:tcPr>
            <w:tcW w:w="66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次</w:t>
            </w:r>
          </w:p>
        </w:tc>
        <w:tc>
          <w:tcPr>
            <w:tcW w:w="7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77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大学生兵比率</w:t>
            </w:r>
          </w:p>
        </w:tc>
        <w:tc>
          <w:tcPr>
            <w:tcW w:w="151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年度内新入伍大学生兵所占比率</w:t>
            </w:r>
          </w:p>
        </w:tc>
        <w:tc>
          <w:tcPr>
            <w:tcW w:w="66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77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开展兵源普查登记时限</w:t>
            </w:r>
          </w:p>
        </w:tc>
        <w:tc>
          <w:tcPr>
            <w:tcW w:w="151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提前做好兵源普查登记工作的时间</w:t>
            </w:r>
          </w:p>
        </w:tc>
        <w:tc>
          <w:tcPr>
            <w:tcW w:w="66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月</w:t>
            </w:r>
          </w:p>
        </w:tc>
        <w:tc>
          <w:tcPr>
            <w:tcW w:w="7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77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武装工作支出费用</w:t>
            </w:r>
          </w:p>
        </w:tc>
        <w:tc>
          <w:tcPr>
            <w:tcW w:w="151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武装部在开展工作中发生的差旅、办公等支出的成本</w:t>
            </w:r>
          </w:p>
        </w:tc>
        <w:tc>
          <w:tcPr>
            <w:tcW w:w="66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7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6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11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96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77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兵源普查登记覆盖率</w:t>
            </w:r>
          </w:p>
        </w:tc>
        <w:tc>
          <w:tcPr>
            <w:tcW w:w="151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普查登记的兵源占实有兵源的比率</w:t>
            </w:r>
          </w:p>
        </w:tc>
        <w:tc>
          <w:tcPr>
            <w:tcW w:w="66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6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96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77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新入伍兵满意度</w:t>
            </w:r>
          </w:p>
        </w:tc>
        <w:tc>
          <w:tcPr>
            <w:tcW w:w="151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新入伍兵役及其家属对武装工作的满意度</w:t>
            </w:r>
          </w:p>
        </w:tc>
        <w:tc>
          <w:tcPr>
            <w:tcW w:w="66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66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96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77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510"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6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414"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1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1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8028"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73"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8966"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73"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966"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7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685"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51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771"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numId w:val="0"/>
        </w:numPr>
        <w:adjustRightInd w:val="0"/>
        <w:snapToGrid w:val="0"/>
        <w:spacing w:line="58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18</w:t>
      </w:r>
      <w:r>
        <w:rPr>
          <w:rFonts w:hint="eastAsia" w:ascii="仿宋" w:hAnsi="仿宋" w:eastAsia="仿宋" w:cs="仿宋_GB2312"/>
          <w:sz w:val="32"/>
          <w:szCs w:val="32"/>
          <w:lang w:eastAsia="zh-CN"/>
        </w:rPr>
        <w:t>）</w:t>
      </w:r>
      <w:r>
        <w:rPr>
          <w:rFonts w:hint="eastAsia" w:ascii="仿宋" w:hAnsi="仿宋" w:eastAsia="仿宋" w:cs="仿宋_GB2312"/>
          <w:sz w:val="32"/>
          <w:szCs w:val="32"/>
        </w:rPr>
        <w:t>综治工作经费项目自评综述：根据年初设定的绩效目标，综治工作经费项目绩效自评得分为</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8</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8</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通过项目实施，完成了年初设定的各项绩效目标，完成通过加强法制宣传教育、提高公民的法律意识和素质，教育群众知法、懂法和守法;完成保持村容村貌整洁，提高居民生活居住幸福感、满意度。未发现问题</w:t>
      </w:r>
      <w:r>
        <w:rPr>
          <w:rFonts w:hint="eastAsia" w:ascii="仿宋" w:hAnsi="仿宋" w:eastAsia="仿宋" w:cs="仿宋_GB2312"/>
          <w:sz w:val="32"/>
          <w:szCs w:val="32"/>
          <w:highlight w:val="none"/>
          <w:lang w:eastAsia="zh-CN"/>
        </w:rPr>
        <w:t>。</w:t>
      </w:r>
    </w:p>
    <w:tbl>
      <w:tblPr>
        <w:tblW w:w="9993" w:type="dxa"/>
        <w:tblInd w:w="-69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039"/>
        <w:gridCol w:w="851"/>
        <w:gridCol w:w="953"/>
        <w:gridCol w:w="1031"/>
        <w:gridCol w:w="1699"/>
        <w:gridCol w:w="635"/>
        <w:gridCol w:w="438"/>
        <w:gridCol w:w="531"/>
        <w:gridCol w:w="531"/>
        <w:gridCol w:w="577"/>
        <w:gridCol w:w="819"/>
        <w:gridCol w:w="8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93"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93"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85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198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综治工作经费</w:t>
            </w:r>
          </w:p>
        </w:tc>
        <w:tc>
          <w:tcPr>
            <w:tcW w:w="169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96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10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88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80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365"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077"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70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5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9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8.000000</w:t>
            </w:r>
          </w:p>
        </w:tc>
        <w:tc>
          <w:tcPr>
            <w:tcW w:w="10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33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8.000000</w:t>
            </w:r>
          </w:p>
        </w:tc>
        <w:tc>
          <w:tcPr>
            <w:tcW w:w="96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10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8.000000</w:t>
            </w:r>
          </w:p>
        </w:tc>
        <w:tc>
          <w:tcPr>
            <w:tcW w:w="1708"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5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9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8.000000</w:t>
            </w:r>
          </w:p>
        </w:tc>
        <w:tc>
          <w:tcPr>
            <w:tcW w:w="10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33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8.000000</w:t>
            </w:r>
          </w:p>
        </w:tc>
        <w:tc>
          <w:tcPr>
            <w:tcW w:w="96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10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8.000000</w:t>
            </w:r>
          </w:p>
        </w:tc>
        <w:tc>
          <w:tcPr>
            <w:tcW w:w="1708"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5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9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0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33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6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10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708"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53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712"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70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53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通过加强法制宣传教育、提高公民的法律意识和素质，教育群众知法、懂法和守法。</w:t>
            </w:r>
          </w:p>
        </w:tc>
        <w:tc>
          <w:tcPr>
            <w:tcW w:w="2712"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70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534"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妥善处理突发性、群体性事件；搞好村级治安工作，深化农村平安创建工作。</w:t>
            </w:r>
          </w:p>
        </w:tc>
        <w:tc>
          <w:tcPr>
            <w:tcW w:w="2712"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708"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85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95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103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699"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635"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500"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577"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819"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889"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5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69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35"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5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53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577"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1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89"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5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10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印刷宣传单</w:t>
            </w:r>
          </w:p>
        </w:tc>
        <w:tc>
          <w:tcPr>
            <w:tcW w:w="16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反映印刷宣传单数量</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w:t>
            </w:r>
          </w:p>
        </w:tc>
        <w:tc>
          <w:tcPr>
            <w:tcW w:w="4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2500</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份</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2500</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8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10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维稳次数</w:t>
            </w:r>
          </w:p>
        </w:tc>
        <w:tc>
          <w:tcPr>
            <w:tcW w:w="16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反映下乡维稳的次数</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5.00</w:t>
            </w:r>
          </w:p>
        </w:tc>
        <w:tc>
          <w:tcPr>
            <w:tcW w:w="4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次</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8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10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协调督导事项化解率</w:t>
            </w:r>
          </w:p>
        </w:tc>
        <w:tc>
          <w:tcPr>
            <w:tcW w:w="16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化解事项占督导事项总数的比率</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8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10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工作完成时间</w:t>
            </w:r>
          </w:p>
        </w:tc>
        <w:tc>
          <w:tcPr>
            <w:tcW w:w="16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各项工作按年度计划完成</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12</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月</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12</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8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0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宣传费支出</w:t>
            </w:r>
          </w:p>
        </w:tc>
        <w:tc>
          <w:tcPr>
            <w:tcW w:w="16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印刷宣传单支出的费用</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8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0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支付救济费</w:t>
            </w:r>
          </w:p>
        </w:tc>
        <w:tc>
          <w:tcPr>
            <w:tcW w:w="16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用于生活困难的信访人员支出</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8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10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租车费</w:t>
            </w:r>
          </w:p>
        </w:tc>
        <w:tc>
          <w:tcPr>
            <w:tcW w:w="16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租车接信访人返青的费用</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8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5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10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“民转刑”命案减少率(%)</w:t>
            </w:r>
          </w:p>
        </w:tc>
        <w:tc>
          <w:tcPr>
            <w:tcW w:w="16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“民转刑”命案发生数量的减少比率</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8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可持续影响指标</w:t>
            </w:r>
          </w:p>
        </w:tc>
        <w:tc>
          <w:tcPr>
            <w:tcW w:w="10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立体化社会治安防控体系覆盖率(%)</w:t>
            </w:r>
          </w:p>
        </w:tc>
        <w:tc>
          <w:tcPr>
            <w:tcW w:w="16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立体化社会治安防控体系在镇村两级的覆盖情况</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8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5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10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群众满意度</w:t>
            </w:r>
          </w:p>
        </w:tc>
        <w:tc>
          <w:tcPr>
            <w:tcW w:w="16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群众对综治工作满意率</w:t>
            </w:r>
          </w:p>
        </w:tc>
        <w:tc>
          <w:tcPr>
            <w:tcW w:w="6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81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88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5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9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10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69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3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4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81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5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8103"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39"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8954"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39"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954"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3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835"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69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420"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ilvl w:val="0"/>
          <w:numId w:val="0"/>
        </w:numPr>
        <w:adjustRightInd w:val="0"/>
        <w:snapToGrid w:val="0"/>
        <w:spacing w:line="58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19</w:t>
      </w:r>
      <w:r>
        <w:rPr>
          <w:rFonts w:hint="eastAsia" w:ascii="仿宋" w:hAnsi="仿宋" w:eastAsia="仿宋" w:cs="仿宋_GB2312"/>
          <w:sz w:val="32"/>
          <w:szCs w:val="32"/>
          <w:lang w:eastAsia="zh-CN"/>
        </w:rPr>
        <w:t>）</w:t>
      </w:r>
      <w:r>
        <w:rPr>
          <w:rFonts w:hint="eastAsia" w:ascii="仿宋" w:hAnsi="仿宋" w:eastAsia="仿宋" w:cs="仿宋_GB2312"/>
          <w:sz w:val="32"/>
          <w:szCs w:val="32"/>
        </w:rPr>
        <w:t>城镇化率达标建设费用项目自评综述：根据年初设定的绩效目标，城镇化率达标建设费用项目绩效自评得分为</w:t>
      </w:r>
      <w:r>
        <w:rPr>
          <w:rFonts w:hint="eastAsia" w:ascii="仿宋" w:hAnsi="仿宋" w:eastAsia="仿宋" w:cs="仿宋_GB2312"/>
          <w:sz w:val="32"/>
          <w:szCs w:val="32"/>
          <w:lang w:val="en-US" w:eastAsia="zh-CN"/>
        </w:rPr>
        <w:t>80</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130</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通过项目实施，完成了年初设定的各项绩效目标，完成通过建设板栗公园、凉亭、田间作业路等，提升城镇化率</w:t>
      </w:r>
      <w:r>
        <w:rPr>
          <w:rFonts w:hint="eastAsia" w:ascii="仿宋" w:hAnsi="仿宋" w:eastAsia="仿宋" w:cs="仿宋_GB2312"/>
          <w:sz w:val="32"/>
          <w:szCs w:val="32"/>
          <w:highlight w:val="none"/>
          <w:lang w:eastAsia="zh-CN"/>
        </w:rPr>
        <w:t>；通过建设临时看护房、仓库等建筑，实现城乡片区连接。</w:t>
      </w:r>
      <w:r>
        <w:rPr>
          <w:rFonts w:hint="eastAsia" w:ascii="仿宋" w:hAnsi="仿宋" w:eastAsia="仿宋" w:cs="仿宋_GB2312"/>
          <w:sz w:val="32"/>
          <w:szCs w:val="32"/>
          <w:highlight w:val="none"/>
        </w:rPr>
        <w:t>未发现问题</w:t>
      </w:r>
      <w:r>
        <w:rPr>
          <w:rFonts w:hint="eastAsia" w:ascii="仿宋" w:hAnsi="仿宋" w:eastAsia="仿宋" w:cs="仿宋_GB2312"/>
          <w:sz w:val="32"/>
          <w:szCs w:val="32"/>
          <w:highlight w:val="none"/>
          <w:lang w:eastAsia="zh-CN"/>
        </w:rPr>
        <w:t>。</w:t>
      </w:r>
    </w:p>
    <w:tbl>
      <w:tblPr>
        <w:tblW w:w="10061" w:type="dxa"/>
        <w:tblInd w:w="-83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096"/>
        <w:gridCol w:w="903"/>
        <w:gridCol w:w="1138"/>
        <w:gridCol w:w="801"/>
        <w:gridCol w:w="1493"/>
        <w:gridCol w:w="653"/>
        <w:gridCol w:w="429"/>
        <w:gridCol w:w="508"/>
        <w:gridCol w:w="568"/>
        <w:gridCol w:w="695"/>
        <w:gridCol w:w="642"/>
        <w:gridCol w:w="1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061"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061"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9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193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城镇化率达标建设费用</w:t>
            </w:r>
          </w:p>
        </w:tc>
        <w:tc>
          <w:tcPr>
            <w:tcW w:w="149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6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93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26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64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11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2041"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2947"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200"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77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11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130.000000</w:t>
            </w:r>
          </w:p>
        </w:tc>
        <w:tc>
          <w:tcPr>
            <w:tcW w:w="80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14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130.000000</w:t>
            </w:r>
          </w:p>
        </w:tc>
        <w:tc>
          <w:tcPr>
            <w:tcW w:w="93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26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777"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1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130.000000</w:t>
            </w:r>
          </w:p>
        </w:tc>
        <w:tc>
          <w:tcPr>
            <w:tcW w:w="80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14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130.000000</w:t>
            </w:r>
          </w:p>
        </w:tc>
        <w:tc>
          <w:tcPr>
            <w:tcW w:w="93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26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777"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13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80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146"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3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263"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777"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335"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853"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77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335"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通过建设板栗公园、凉亭、田间作业路等，提升城镇化率。</w:t>
            </w:r>
          </w:p>
        </w:tc>
        <w:tc>
          <w:tcPr>
            <w:tcW w:w="2853"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77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335"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通过建设临时看护房、仓库等建筑，实现城乡片区连接。</w:t>
            </w:r>
          </w:p>
        </w:tc>
        <w:tc>
          <w:tcPr>
            <w:tcW w:w="2853"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777"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90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113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80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49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65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505"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695"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642"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1135"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29"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50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56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695"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135"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0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11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80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建设活动板房数量</w:t>
            </w:r>
          </w:p>
        </w:tc>
        <w:tc>
          <w:tcPr>
            <w:tcW w:w="14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临时看护房、仓库数量</w:t>
            </w:r>
          </w:p>
        </w:tc>
        <w:tc>
          <w:tcPr>
            <w:tcW w:w="6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2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0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19</w:t>
            </w:r>
          </w:p>
        </w:tc>
        <w:tc>
          <w:tcPr>
            <w:tcW w:w="56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座</w:t>
            </w:r>
          </w:p>
        </w:tc>
        <w:tc>
          <w:tcPr>
            <w:tcW w:w="6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19</w:t>
            </w:r>
          </w:p>
        </w:tc>
        <w:tc>
          <w:tcPr>
            <w:tcW w:w="64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80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建设板栗公园数量</w:t>
            </w:r>
          </w:p>
        </w:tc>
        <w:tc>
          <w:tcPr>
            <w:tcW w:w="14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建设板栗公园和公园围挡数量</w:t>
            </w:r>
          </w:p>
        </w:tc>
        <w:tc>
          <w:tcPr>
            <w:tcW w:w="6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2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0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56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处</w:t>
            </w:r>
          </w:p>
        </w:tc>
        <w:tc>
          <w:tcPr>
            <w:tcW w:w="6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80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工程质量合格率</w:t>
            </w:r>
          </w:p>
        </w:tc>
        <w:tc>
          <w:tcPr>
            <w:tcW w:w="14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建设板栗公园和围挡质量合格率</w:t>
            </w:r>
          </w:p>
        </w:tc>
        <w:tc>
          <w:tcPr>
            <w:tcW w:w="6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2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0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6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64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80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工程质量合格率</w:t>
            </w:r>
          </w:p>
        </w:tc>
        <w:tc>
          <w:tcPr>
            <w:tcW w:w="14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建设活动板房合格率</w:t>
            </w:r>
          </w:p>
        </w:tc>
        <w:tc>
          <w:tcPr>
            <w:tcW w:w="6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2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0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6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64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80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工程完成及时率</w:t>
            </w:r>
          </w:p>
        </w:tc>
        <w:tc>
          <w:tcPr>
            <w:tcW w:w="14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工程计划完成及时率</w:t>
            </w:r>
          </w:p>
        </w:tc>
        <w:tc>
          <w:tcPr>
            <w:tcW w:w="6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2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文字描述</w:t>
            </w:r>
          </w:p>
        </w:tc>
        <w:tc>
          <w:tcPr>
            <w:tcW w:w="50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10月底前</w:t>
            </w:r>
          </w:p>
        </w:tc>
        <w:tc>
          <w:tcPr>
            <w:tcW w:w="6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按时完成</w:t>
            </w:r>
          </w:p>
        </w:tc>
        <w:tc>
          <w:tcPr>
            <w:tcW w:w="64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80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活动板房费用支出</w:t>
            </w:r>
          </w:p>
        </w:tc>
        <w:tc>
          <w:tcPr>
            <w:tcW w:w="14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建设活动板房费用支出</w:t>
            </w:r>
          </w:p>
        </w:tc>
        <w:tc>
          <w:tcPr>
            <w:tcW w:w="6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2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0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60</w:t>
            </w:r>
          </w:p>
        </w:tc>
        <w:tc>
          <w:tcPr>
            <w:tcW w:w="56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6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60</w:t>
            </w:r>
          </w:p>
        </w:tc>
        <w:tc>
          <w:tcPr>
            <w:tcW w:w="64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11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0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80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建设板栗公园和围挡费用</w:t>
            </w:r>
          </w:p>
        </w:tc>
        <w:tc>
          <w:tcPr>
            <w:tcW w:w="14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建设板栗公园和围挡费用支出</w:t>
            </w:r>
          </w:p>
        </w:tc>
        <w:tc>
          <w:tcPr>
            <w:tcW w:w="6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2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0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60</w:t>
            </w:r>
          </w:p>
        </w:tc>
        <w:tc>
          <w:tcPr>
            <w:tcW w:w="56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6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60</w:t>
            </w:r>
          </w:p>
        </w:tc>
        <w:tc>
          <w:tcPr>
            <w:tcW w:w="64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11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11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80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提升城镇化率</w:t>
            </w:r>
          </w:p>
        </w:tc>
        <w:tc>
          <w:tcPr>
            <w:tcW w:w="14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通过项目实施，提升城镇化率</w:t>
            </w:r>
          </w:p>
        </w:tc>
        <w:tc>
          <w:tcPr>
            <w:tcW w:w="6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2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0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w:t>
            </w:r>
          </w:p>
        </w:tc>
        <w:tc>
          <w:tcPr>
            <w:tcW w:w="56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个村</w:t>
            </w:r>
          </w:p>
        </w:tc>
        <w:tc>
          <w:tcPr>
            <w:tcW w:w="6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w:t>
            </w:r>
          </w:p>
        </w:tc>
        <w:tc>
          <w:tcPr>
            <w:tcW w:w="64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11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80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公众满意度（%）</w:t>
            </w:r>
          </w:p>
        </w:tc>
        <w:tc>
          <w:tcPr>
            <w:tcW w:w="14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调查中满意和较满意的公众人数占全部调查人数的比率</w:t>
            </w:r>
          </w:p>
        </w:tc>
        <w:tc>
          <w:tcPr>
            <w:tcW w:w="65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2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0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56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90</w:t>
            </w:r>
          </w:p>
        </w:tc>
        <w:tc>
          <w:tcPr>
            <w:tcW w:w="64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11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113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80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49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429"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13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8062"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96"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8965"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965"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96"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842"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49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630"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numId w:val="0"/>
        </w:numPr>
        <w:adjustRightInd w:val="0"/>
        <w:snapToGrid w:val="0"/>
        <w:spacing w:line="58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20</w:t>
      </w:r>
      <w:r>
        <w:rPr>
          <w:rFonts w:hint="eastAsia" w:ascii="仿宋" w:hAnsi="仿宋" w:eastAsia="仿宋" w:cs="仿宋_GB2312"/>
          <w:sz w:val="32"/>
          <w:szCs w:val="32"/>
          <w:lang w:eastAsia="zh-CN"/>
        </w:rPr>
        <w:t>）</w:t>
      </w:r>
      <w:r>
        <w:rPr>
          <w:rFonts w:hint="eastAsia" w:ascii="仿宋" w:hAnsi="仿宋" w:eastAsia="仿宋" w:cs="仿宋_GB2312"/>
          <w:sz w:val="32"/>
          <w:szCs w:val="32"/>
        </w:rPr>
        <w:t>山楂收储项目电力改造和配电工程资金项目自评综述：根据年初设定的绩效目标，山楂收储项目电力改造和配电工程资金项目绩效自评得分为</w:t>
      </w:r>
      <w:r>
        <w:rPr>
          <w:rFonts w:hint="eastAsia" w:ascii="仿宋" w:hAnsi="仿宋" w:eastAsia="仿宋" w:cs="仿宋_GB2312"/>
          <w:sz w:val="32"/>
          <w:szCs w:val="32"/>
          <w:lang w:val="en-US" w:eastAsia="zh-CN"/>
        </w:rPr>
        <w:t>80</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80</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。项目绩效目标完成情况：</w:t>
      </w:r>
      <w:r>
        <w:rPr>
          <w:rFonts w:hint="eastAsia" w:ascii="仿宋" w:hAnsi="仿宋" w:eastAsia="仿宋" w:cs="仿宋_GB2312"/>
          <w:sz w:val="32"/>
          <w:szCs w:val="32"/>
          <w:highlight w:val="none"/>
        </w:rPr>
        <w:t>通过项目实施，完成了年初设定的各项绩效目标，完成通过项目建设，促进农村劳动力就业，增加农民收入，加快农村发展步伐;完成通过优化企业营商环境，配套水电路通讯工程，确保企业尽早投产达效，为区域经济发展以挥效益。未发现问题</w:t>
      </w:r>
      <w:r>
        <w:rPr>
          <w:rFonts w:hint="eastAsia" w:ascii="仿宋" w:hAnsi="仿宋" w:eastAsia="仿宋" w:cs="仿宋_GB2312"/>
          <w:sz w:val="32"/>
          <w:szCs w:val="32"/>
          <w:highlight w:val="none"/>
          <w:lang w:eastAsia="zh-CN"/>
        </w:rPr>
        <w:t>。</w:t>
      </w:r>
    </w:p>
    <w:tbl>
      <w:tblPr>
        <w:tblW w:w="9935" w:type="dxa"/>
        <w:tblInd w:w="-8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120"/>
        <w:gridCol w:w="913"/>
        <w:gridCol w:w="921"/>
        <w:gridCol w:w="958"/>
        <w:gridCol w:w="1461"/>
        <w:gridCol w:w="661"/>
        <w:gridCol w:w="411"/>
        <w:gridCol w:w="513"/>
        <w:gridCol w:w="577"/>
        <w:gridCol w:w="715"/>
        <w:gridCol w:w="762"/>
        <w:gridCol w:w="9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35" w:type="dxa"/>
            <w:gridSpan w:val="12"/>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bdr w:val="none" w:color="auto" w:sz="0" w:space="0"/>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935" w:type="dxa"/>
            <w:gridSpan w:val="12"/>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Arial" w:hAnsi="Arial" w:eastAsia="宋体" w:cs="Arial"/>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一、基本情况</w:t>
            </w:r>
          </w:p>
        </w:tc>
        <w:tc>
          <w:tcPr>
            <w:tcW w:w="91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项目名称</w:t>
            </w:r>
          </w:p>
        </w:tc>
        <w:tc>
          <w:tcPr>
            <w:tcW w:w="1879"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山楂收储项目电力改造和配电工程资金</w:t>
            </w:r>
          </w:p>
        </w:tc>
        <w:tc>
          <w:tcPr>
            <w:tcW w:w="14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项目级次</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本级</w:t>
            </w:r>
          </w:p>
        </w:tc>
        <w:tc>
          <w:tcPr>
            <w:tcW w:w="92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实施主管单位</w:t>
            </w:r>
          </w:p>
        </w:tc>
        <w:tc>
          <w:tcPr>
            <w:tcW w:w="129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916001 - 肖营子镇人民政府本级</w:t>
            </w:r>
          </w:p>
        </w:tc>
        <w:tc>
          <w:tcPr>
            <w:tcW w:w="7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金额单位</w:t>
            </w:r>
          </w:p>
        </w:tc>
        <w:tc>
          <w:tcPr>
            <w:tcW w:w="9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二、预算执行情况</w:t>
            </w:r>
          </w:p>
        </w:tc>
        <w:tc>
          <w:tcPr>
            <w:tcW w:w="183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预算安排情况(调整后)</w:t>
            </w:r>
          </w:p>
        </w:tc>
        <w:tc>
          <w:tcPr>
            <w:tcW w:w="3080"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资金到位情况</w:t>
            </w:r>
          </w:p>
        </w:tc>
        <w:tc>
          <w:tcPr>
            <w:tcW w:w="2216"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资金执行情况</w:t>
            </w:r>
          </w:p>
        </w:tc>
        <w:tc>
          <w:tcPr>
            <w:tcW w:w="168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预算数</w:t>
            </w:r>
          </w:p>
        </w:tc>
        <w:tc>
          <w:tcPr>
            <w:tcW w:w="92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80.000000</w:t>
            </w:r>
          </w:p>
        </w:tc>
        <w:tc>
          <w:tcPr>
            <w:tcW w:w="9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到位数</w:t>
            </w:r>
          </w:p>
        </w:tc>
        <w:tc>
          <w:tcPr>
            <w:tcW w:w="212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80.000000</w:t>
            </w:r>
          </w:p>
        </w:tc>
        <w:tc>
          <w:tcPr>
            <w:tcW w:w="92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执行数</w:t>
            </w:r>
          </w:p>
        </w:tc>
        <w:tc>
          <w:tcPr>
            <w:tcW w:w="129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685" w:type="dxa"/>
            <w:gridSpan w:val="2"/>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92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80.000000</w:t>
            </w:r>
          </w:p>
        </w:tc>
        <w:tc>
          <w:tcPr>
            <w:tcW w:w="9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212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80.000000</w:t>
            </w:r>
          </w:p>
        </w:tc>
        <w:tc>
          <w:tcPr>
            <w:tcW w:w="92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其中:财政资金</w:t>
            </w:r>
          </w:p>
        </w:tc>
        <w:tc>
          <w:tcPr>
            <w:tcW w:w="129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685"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92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58"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212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924"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其他</w:t>
            </w:r>
          </w:p>
        </w:tc>
        <w:tc>
          <w:tcPr>
            <w:tcW w:w="1292"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1685" w:type="dxa"/>
            <w:gridSpan w:val="2"/>
            <w:vMerge w:val="continue"/>
            <w:tcBorders>
              <w:top w:val="single" w:color="000000" w:sz="4" w:space="0"/>
              <w:left w:val="single" w:color="000000" w:sz="4" w:space="0"/>
              <w:bottom w:val="single" w:color="000000" w:sz="4" w:space="0"/>
              <w:right w:val="single" w:color="000000" w:sz="4" w:space="0"/>
            </w:tcBorders>
            <w:shd w:val="clear"/>
            <w:noWrap/>
            <w:vAlign w:val="top"/>
          </w:tcPr>
          <w:p>
            <w:pP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三、目标完成情况</w:t>
            </w:r>
          </w:p>
        </w:tc>
        <w:tc>
          <w:tcPr>
            <w:tcW w:w="4253"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年度预期目标</w:t>
            </w:r>
          </w:p>
        </w:tc>
        <w:tc>
          <w:tcPr>
            <w:tcW w:w="2877"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具体完成情况</w:t>
            </w:r>
          </w:p>
        </w:tc>
        <w:tc>
          <w:tcPr>
            <w:tcW w:w="168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253"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通过优化企业营商环境，配套水电路通讯工程，确保企业尽早投产达效，为区域经济发展以挥效益。</w:t>
            </w:r>
          </w:p>
        </w:tc>
        <w:tc>
          <w:tcPr>
            <w:tcW w:w="2877"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eastAsia" w:ascii="Calibri" w:hAnsi="Calibri" w:eastAsia="宋体" w:cs="Calibri"/>
                <w:i w:val="0"/>
                <w:iCs w:val="0"/>
                <w:color w:val="000000"/>
                <w:sz w:val="22"/>
                <w:szCs w:val="22"/>
                <w:u w:val="none"/>
                <w:lang w:eastAsia="zh-CN"/>
              </w:rPr>
            </w:pPr>
            <w:r>
              <w:rPr>
                <w:rFonts w:hint="eastAsia" w:ascii="Calibri" w:hAnsi="Calibri" w:eastAsia="宋体" w:cs="Calibri"/>
                <w:i w:val="0"/>
                <w:iCs w:val="0"/>
                <w:color w:val="000000"/>
                <w:sz w:val="22"/>
                <w:szCs w:val="22"/>
                <w:u w:val="none"/>
                <w:lang w:eastAsia="zh-CN"/>
              </w:rPr>
              <w:t>完成</w:t>
            </w:r>
          </w:p>
        </w:tc>
        <w:tc>
          <w:tcPr>
            <w:tcW w:w="168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lang w:val="en-US"/>
              </w:rPr>
            </w:pPr>
            <w:r>
              <w:rPr>
                <w:rFonts w:hint="eastAsia" w:ascii="Calibri" w:hAnsi="Calibri" w:eastAsia="宋体" w:cs="Calibri"/>
                <w:i w:val="0"/>
                <w:iCs w:val="0"/>
                <w:color w:val="000000"/>
                <w:kern w:val="0"/>
                <w:sz w:val="22"/>
                <w:szCs w:val="22"/>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253" w:type="dxa"/>
            <w:gridSpan w:val="4"/>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通过项目建设，促进农村劳动力就业，增加农民收入，加快农村发展步伐。</w:t>
            </w:r>
          </w:p>
        </w:tc>
        <w:tc>
          <w:tcPr>
            <w:tcW w:w="2877" w:type="dxa"/>
            <w:gridSpan w:val="5"/>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eastAsia" w:ascii="Calibri" w:hAnsi="Calibri" w:eastAsia="宋体" w:cs="Calibri"/>
                <w:i w:val="0"/>
                <w:iCs w:val="0"/>
                <w:color w:val="000000"/>
                <w:sz w:val="22"/>
                <w:szCs w:val="22"/>
                <w:u w:val="none"/>
                <w:lang w:eastAsia="zh-CN"/>
              </w:rPr>
            </w:pPr>
            <w:r>
              <w:rPr>
                <w:rFonts w:hint="eastAsia" w:ascii="Calibri" w:hAnsi="Calibri" w:eastAsia="宋体" w:cs="Calibri"/>
                <w:i w:val="0"/>
                <w:iCs w:val="0"/>
                <w:color w:val="000000"/>
                <w:sz w:val="22"/>
                <w:szCs w:val="22"/>
                <w:u w:val="none"/>
                <w:lang w:eastAsia="zh-CN"/>
              </w:rPr>
              <w:t>完成</w:t>
            </w:r>
          </w:p>
        </w:tc>
        <w:tc>
          <w:tcPr>
            <w:tcW w:w="1685" w:type="dxa"/>
            <w:gridSpan w:val="2"/>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lang w:val="en-US"/>
              </w:rPr>
            </w:pPr>
            <w:r>
              <w:rPr>
                <w:rFonts w:hint="eastAsia" w:ascii="Calibri" w:hAnsi="Calibri" w:eastAsia="宋体" w:cs="Calibri"/>
                <w:i w:val="0"/>
                <w:iCs w:val="0"/>
                <w:color w:val="000000"/>
                <w:kern w:val="0"/>
                <w:sz w:val="22"/>
                <w:szCs w:val="22"/>
                <w:u w:val="none"/>
                <w:bdr w:val="none" w:color="auto" w:sz="0" w:space="0"/>
                <w:lang w:val="en-US" w:eastAsia="zh-CN" w:bidi="ar"/>
              </w:rPr>
              <w:t>100.00</w:t>
            </w:r>
            <w:bookmarkStart w:id="2" w:name="_GoBack"/>
            <w:bookmarkEnd w:id="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四、年度绩效        指标完成情况</w:t>
            </w:r>
          </w:p>
        </w:tc>
        <w:tc>
          <w:tcPr>
            <w:tcW w:w="91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一级指标</w:t>
            </w:r>
          </w:p>
        </w:tc>
        <w:tc>
          <w:tcPr>
            <w:tcW w:w="92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二级指标</w:t>
            </w:r>
          </w:p>
        </w:tc>
        <w:tc>
          <w:tcPr>
            <w:tcW w:w="958"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三级指标</w:t>
            </w:r>
          </w:p>
        </w:tc>
        <w:tc>
          <w:tcPr>
            <w:tcW w:w="146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指标说明</w:t>
            </w:r>
          </w:p>
        </w:tc>
        <w:tc>
          <w:tcPr>
            <w:tcW w:w="661"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指标分值</w:t>
            </w:r>
          </w:p>
        </w:tc>
        <w:tc>
          <w:tcPr>
            <w:tcW w:w="1501"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预期指标值</w:t>
            </w:r>
          </w:p>
        </w:tc>
        <w:tc>
          <w:tcPr>
            <w:tcW w:w="715"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单项指标实际完成值</w:t>
            </w:r>
          </w:p>
        </w:tc>
        <w:tc>
          <w:tcPr>
            <w:tcW w:w="762"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单项指标完成情况</w:t>
            </w:r>
          </w:p>
        </w:tc>
        <w:tc>
          <w:tcPr>
            <w:tcW w:w="92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2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661"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符号</w:t>
            </w:r>
          </w:p>
        </w:tc>
        <w:tc>
          <w:tcPr>
            <w:tcW w:w="51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值</w:t>
            </w:r>
          </w:p>
        </w:tc>
        <w:tc>
          <w:tcPr>
            <w:tcW w:w="577"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单位(文字描述)</w:t>
            </w:r>
          </w:p>
        </w:tc>
        <w:tc>
          <w:tcPr>
            <w:tcW w:w="715"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c>
          <w:tcPr>
            <w:tcW w:w="92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13" w:type="dxa"/>
            <w:vMerge w:val="restart"/>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产出指标</w:t>
            </w:r>
          </w:p>
        </w:tc>
        <w:tc>
          <w:tcPr>
            <w:tcW w:w="92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新增变压器数量</w:t>
            </w:r>
          </w:p>
        </w:tc>
        <w:tc>
          <w:tcPr>
            <w:tcW w:w="1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企业厂区内新增16000KVA变压器数良</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台</w:t>
            </w:r>
          </w:p>
        </w:tc>
        <w:tc>
          <w:tcPr>
            <w:tcW w:w="71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w:t>
            </w:r>
          </w:p>
        </w:tc>
        <w:tc>
          <w:tcPr>
            <w:tcW w:w="7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9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新增高压柜和低压柜数量</w:t>
            </w:r>
          </w:p>
        </w:tc>
        <w:tc>
          <w:tcPr>
            <w:tcW w:w="1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企业厂区内新增高压柜4面，低压柜12面</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16</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面</w:t>
            </w:r>
          </w:p>
        </w:tc>
        <w:tc>
          <w:tcPr>
            <w:tcW w:w="71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16</w:t>
            </w:r>
          </w:p>
        </w:tc>
        <w:tc>
          <w:tcPr>
            <w:tcW w:w="7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9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数量指标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组立水泥杆数量</w:t>
            </w:r>
          </w:p>
        </w:tc>
        <w:tc>
          <w:tcPr>
            <w:tcW w:w="1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组立10米水泥杆数量</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根</w:t>
            </w:r>
          </w:p>
        </w:tc>
        <w:tc>
          <w:tcPr>
            <w:tcW w:w="71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7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9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质量指标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工程验收合格率</w:t>
            </w:r>
          </w:p>
        </w:tc>
        <w:tc>
          <w:tcPr>
            <w:tcW w:w="1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架设线缆工程项目验收合格，确保正常运行</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7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9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时效指标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资金拨付及时性</w:t>
            </w:r>
          </w:p>
        </w:tc>
        <w:tc>
          <w:tcPr>
            <w:tcW w:w="1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预算资金按工程进度及计划安排及时拨付到位</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7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9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高压线路改造成本</w:t>
            </w:r>
          </w:p>
        </w:tc>
        <w:tc>
          <w:tcPr>
            <w:tcW w:w="1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青肖高压线路改造工程费用支出情况</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71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50</w:t>
            </w:r>
          </w:p>
        </w:tc>
        <w:tc>
          <w:tcPr>
            <w:tcW w:w="7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9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noWrap/>
            <w:vAlign w:val="top"/>
          </w:tcPr>
          <w:p>
            <w:pPr>
              <w:jc w:val="center"/>
              <w:rPr>
                <w:rFonts w:hint="default" w:ascii="Arial" w:hAnsi="Arial" w:eastAsia="宋体" w:cs="Arial"/>
                <w:b/>
                <w:bCs/>
                <w:i w:val="0"/>
                <w:iCs w:val="0"/>
                <w:color w:val="000000"/>
                <w:sz w:val="22"/>
                <w:szCs w:val="22"/>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成本指标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厂区内配电工程成本</w:t>
            </w:r>
          </w:p>
        </w:tc>
        <w:tc>
          <w:tcPr>
            <w:tcW w:w="1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百峰公司五指山厂区内10KV配电工程费用支出情况</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30</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万元</w:t>
            </w:r>
          </w:p>
        </w:tc>
        <w:tc>
          <w:tcPr>
            <w:tcW w:w="71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30</w:t>
            </w:r>
          </w:p>
        </w:tc>
        <w:tc>
          <w:tcPr>
            <w:tcW w:w="7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未完成</w:t>
            </w:r>
          </w:p>
        </w:tc>
        <w:tc>
          <w:tcPr>
            <w:tcW w:w="9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效益指标</w:t>
            </w:r>
          </w:p>
        </w:tc>
        <w:tc>
          <w:tcPr>
            <w:tcW w:w="92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社会效益指标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带动村民就业情况</w:t>
            </w:r>
          </w:p>
        </w:tc>
        <w:tc>
          <w:tcPr>
            <w:tcW w:w="1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项目建成运营后带动本镇当地村民就业情况</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人</w:t>
            </w:r>
          </w:p>
        </w:tc>
        <w:tc>
          <w:tcPr>
            <w:tcW w:w="71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w:t>
            </w:r>
          </w:p>
        </w:tc>
        <w:tc>
          <w:tcPr>
            <w:tcW w:w="7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9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满意度指标</w:t>
            </w:r>
          </w:p>
        </w:tc>
        <w:tc>
          <w:tcPr>
            <w:tcW w:w="92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服务对象满意度指标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企业对政府工作满意度</w:t>
            </w:r>
          </w:p>
        </w:tc>
        <w:tc>
          <w:tcPr>
            <w:tcW w:w="1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企业在政府职能转变各项服务工作的满意度</w:t>
            </w:r>
          </w:p>
        </w:tc>
        <w:tc>
          <w:tcPr>
            <w:tcW w:w="6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10.00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w:t>
            </w:r>
          </w:p>
        </w:tc>
        <w:tc>
          <w:tcPr>
            <w:tcW w:w="762"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完成</w:t>
            </w:r>
          </w:p>
        </w:tc>
        <w:tc>
          <w:tcPr>
            <w:tcW w:w="9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预算执行率</w:t>
            </w:r>
          </w:p>
        </w:tc>
        <w:tc>
          <w:tcPr>
            <w:tcW w:w="92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预算执行率</w:t>
            </w:r>
          </w:p>
        </w:tc>
        <w:tc>
          <w:tcPr>
            <w:tcW w:w="958"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411"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13"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E9EFF6"/>
            <w:noWrap/>
            <w:vAlign w:val="top"/>
          </w:tcPr>
          <w:p>
            <w:pPr>
              <w:rPr>
                <w:rFonts w:hint="default" w:ascii="Calibri" w:hAnsi="Calibri" w:eastAsia="宋体" w:cs="Calibri"/>
                <w:i w:val="0"/>
                <w:iCs w:val="0"/>
                <w:color w:val="000000"/>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自评总分</w:t>
            </w:r>
          </w:p>
        </w:tc>
        <w:tc>
          <w:tcPr>
            <w:tcW w:w="7902" w:type="dxa"/>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20" w:type="dxa"/>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五、存在问题         原因及整改措施</w:t>
            </w:r>
          </w:p>
        </w:tc>
        <w:tc>
          <w:tcPr>
            <w:tcW w:w="8815" w:type="dxa"/>
            <w:gridSpan w:val="11"/>
            <w:vMerge w:val="restart"/>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20" w:type="dxa"/>
            <w:vMerge w:val="continue"/>
            <w:tcBorders>
              <w:top w:val="single" w:color="000000" w:sz="4" w:space="0"/>
              <w:left w:val="single" w:color="000000" w:sz="4" w:space="0"/>
              <w:bottom w:val="single" w:color="000000" w:sz="4" w:space="0"/>
              <w:right w:val="single" w:color="000000" w:sz="4" w:space="0"/>
            </w:tcBorders>
            <w:shd w:val="clear"/>
            <w:vAlign w:val="top"/>
          </w:tcPr>
          <w:p>
            <w:pPr>
              <w:jc w:val="center"/>
              <w:rPr>
                <w:rFonts w:hint="default" w:ascii="Calibri" w:hAnsi="Calibri" w:eastAsia="宋体" w:cs="Calibri"/>
                <w:i w:val="0"/>
                <w:iCs w:val="0"/>
                <w:color w:val="000000"/>
                <w:sz w:val="22"/>
                <w:szCs w:val="22"/>
                <w:u w:val="none"/>
              </w:rPr>
            </w:pPr>
          </w:p>
        </w:tc>
        <w:tc>
          <w:tcPr>
            <w:tcW w:w="8815" w:type="dxa"/>
            <w:gridSpan w:val="11"/>
            <w:vMerge w:val="continue"/>
            <w:tcBorders>
              <w:top w:val="single" w:color="000000" w:sz="4" w:space="0"/>
              <w:left w:val="single" w:color="000000" w:sz="4" w:space="0"/>
              <w:bottom w:val="single" w:color="000000" w:sz="4" w:space="0"/>
              <w:right w:val="single" w:color="000000" w:sz="4" w:space="0"/>
            </w:tcBorders>
            <w:shd w:val="clear"/>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20"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填报人:</w:t>
            </w:r>
          </w:p>
        </w:tc>
        <w:tc>
          <w:tcPr>
            <w:tcW w:w="2792" w:type="dxa"/>
            <w:gridSpan w:val="3"/>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金兆力</w:t>
            </w:r>
          </w:p>
        </w:tc>
        <w:tc>
          <w:tcPr>
            <w:tcW w:w="1461" w:type="dxa"/>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center"/>
              <w:textAlignment w:val="top"/>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bdr w:val="none" w:color="auto" w:sz="0" w:space="0"/>
                <w:lang w:val="en-US" w:eastAsia="zh-CN" w:bidi="ar"/>
              </w:rPr>
              <w:t>联系电话:</w:t>
            </w:r>
          </w:p>
        </w:tc>
        <w:tc>
          <w:tcPr>
            <w:tcW w:w="4562" w:type="dxa"/>
            <w:gridSpan w:val="7"/>
            <w:tcBorders>
              <w:top w:val="single" w:color="000000" w:sz="4" w:space="0"/>
              <w:left w:val="single" w:color="000000" w:sz="4" w:space="0"/>
              <w:bottom w:val="single" w:color="000000" w:sz="4" w:space="0"/>
              <w:right w:val="single" w:color="000000" w:sz="4" w:space="0"/>
            </w:tcBorders>
            <w:shd w:val="clear"/>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7770006</w:t>
            </w:r>
          </w:p>
        </w:tc>
      </w:tr>
    </w:tbl>
    <w:p>
      <w:pPr>
        <w:numPr>
          <w:ilvl w:val="0"/>
          <w:numId w:val="0"/>
        </w:num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（三）部门评价项目绩效评价结果</w:t>
      </w:r>
    </w:p>
    <w:p>
      <w:pPr>
        <w:snapToGrid w:val="0"/>
        <w:spacing w:after="0" w:line="360" w:lineRule="auto"/>
        <w:ind w:firstLine="640" w:firstLineChars="200"/>
        <w:rPr>
          <w:rFonts w:hint="eastAsia" w:hAnsi="仿宋_GB2312" w:eastAsia="仿宋" w:cs="仿宋_GB2312"/>
          <w:sz w:val="32"/>
          <w:szCs w:val="32"/>
          <w:highlight w:val="none"/>
          <w:lang w:val="en-US" w:eastAsia="zh-CN"/>
        </w:rPr>
      </w:pPr>
      <w:r>
        <w:rPr>
          <w:rFonts w:hAnsi="仿宋_GB2312" w:eastAsia="仿宋" w:cs="仿宋_GB2312"/>
          <w:sz w:val="32"/>
          <w:szCs w:val="32"/>
          <w:highlight w:val="none"/>
        </w:rPr>
        <w:t>部门评价项目</w:t>
      </w:r>
      <w:r>
        <w:rPr>
          <w:rFonts w:hint="eastAsia" w:hAnsi="仿宋_GB2312" w:eastAsia="仿宋" w:cs="仿宋_GB2312"/>
          <w:sz w:val="32"/>
          <w:szCs w:val="32"/>
          <w:highlight w:val="none"/>
          <w:lang w:eastAsia="zh-CN"/>
        </w:rPr>
        <w:t>整体</w:t>
      </w:r>
      <w:r>
        <w:rPr>
          <w:rFonts w:hAnsi="仿宋_GB2312" w:eastAsia="仿宋" w:cs="仿宋_GB2312"/>
          <w:sz w:val="32"/>
          <w:szCs w:val="32"/>
          <w:highlight w:val="none"/>
        </w:rPr>
        <w:t>绩效评价结果</w:t>
      </w:r>
      <w:r>
        <w:rPr>
          <w:rFonts w:hint="eastAsia" w:hAnsi="仿宋_GB2312" w:eastAsia="仿宋" w:cs="仿宋_GB2312"/>
          <w:sz w:val="32"/>
          <w:szCs w:val="32"/>
          <w:highlight w:val="none"/>
          <w:lang w:eastAsia="zh-CN"/>
        </w:rPr>
        <w:t>得分</w:t>
      </w:r>
      <w:r>
        <w:rPr>
          <w:rFonts w:hint="eastAsia" w:hAnsi="仿宋_GB2312" w:eastAsia="仿宋" w:cs="仿宋_GB2312"/>
          <w:sz w:val="32"/>
          <w:szCs w:val="32"/>
          <w:highlight w:val="none"/>
          <w:lang w:val="en-US" w:eastAsia="zh-CN"/>
        </w:rPr>
        <w:t>92.5分，评价等级为“优”。</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十、其他需要说明的情况</w:t>
      </w:r>
    </w:p>
    <w:p>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1.本部门2023年度国有资本经营预算经费无收支及结转结余情况, 故公开08表以空表列示。</w:t>
      </w:r>
    </w:p>
    <w:p>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2. 由于决算公开表格中金额数值应当保留两位小数，公开数据为四舍五入计算结果，个别数据合计项与分项之和存在小数点后差额，特此说明。</w:t>
      </w:r>
    </w:p>
    <w:p>
      <w:pPr>
        <w:adjustRightInd w:val="0"/>
        <w:snapToGrid w:val="0"/>
        <w:spacing w:after="0" w:line="360" w:lineRule="auto"/>
        <w:ind w:firstLine="640" w:firstLineChars="200"/>
        <w:rPr>
          <w:rFonts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pPr>
        <w:adjustRightInd w:val="0"/>
        <w:snapToGrid w:val="0"/>
        <w:spacing w:line="580" w:lineRule="exact"/>
        <w:ind w:firstLine="640" w:firstLineChars="200"/>
        <w:rPr>
          <w:rFonts w:ascii="Times New Roman" w:hAnsi="Times New Roman" w:eastAsia="仿宋_GB2312" w:cs="Times New Roman"/>
          <w:sz w:val="32"/>
          <w:szCs w:val="32"/>
        </w:rPr>
      </w:pPr>
    </w:p>
    <w:p>
      <w:pPr>
        <w:adjustRightInd w:val="0"/>
        <w:snapToGrid w:val="0"/>
        <w:spacing w:line="580" w:lineRule="exact"/>
        <w:rPr>
          <w:rFonts w:ascii="Times New Roman" w:hAnsi="Times New Roman" w:eastAsia="仿宋_GB2312" w:cs="Times New Roman"/>
          <w:sz w:val="32"/>
          <w:szCs w:val="32"/>
        </w:rPr>
      </w:pPr>
    </w:p>
    <w:p>
      <w:pPr>
        <w:adjustRightInd w:val="0"/>
        <w:snapToGrid w:val="0"/>
        <w:spacing w:line="580" w:lineRule="exact"/>
        <w:ind w:firstLine="640" w:firstLineChars="200"/>
        <w:rPr>
          <w:rFonts w:ascii="Times New Roman" w:hAnsi="Times New Roman" w:eastAsia="仿宋_GB2312" w:cs="Times New Roman"/>
          <w:sz w:val="32"/>
          <w:szCs w:val="32"/>
        </w:rPr>
      </w:pPr>
    </w:p>
    <w:p>
      <w:pPr>
        <w:adjustRightInd w:val="0"/>
        <w:snapToGrid w:val="0"/>
        <w:spacing w:line="580" w:lineRule="exact"/>
        <w:ind w:firstLine="640" w:firstLineChars="200"/>
        <w:rPr>
          <w:rFonts w:ascii="Times New Roman" w:hAnsi="Times New Roman" w:eastAsia="仿宋_GB2312" w:cs="Times New Roman"/>
          <w:sz w:val="32"/>
          <w:szCs w:val="32"/>
        </w:rPr>
      </w:pP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pacing w:after="0" w:line="360" w:lineRule="auto"/>
        <w:jc w:val="center"/>
        <w:rPr>
          <w:rFonts w:hint="eastAsia"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一、</w:t>
      </w:r>
      <w:r>
        <w:rPr>
          <w:rFonts w:ascii="仿宋" w:hAnsi="仿宋" w:eastAsia="仿宋" w:cs="Times New Roman"/>
          <w:b/>
          <w:bCs/>
          <w:color w:val="000000"/>
          <w:sz w:val="32"/>
          <w:szCs w:val="32"/>
        </w:rPr>
        <w:t>财政拨款收入：</w:t>
      </w:r>
      <w:r>
        <w:rPr>
          <w:rFonts w:ascii="仿宋" w:hAnsi="仿宋" w:eastAsia="仿宋" w:cs="Times New Roman"/>
          <w:bCs/>
          <w:color w:val="000000"/>
          <w:sz w:val="32"/>
          <w:szCs w:val="32"/>
        </w:rPr>
        <w:t>指单位从同级财政部门取得的财政预算资金。</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二、</w:t>
      </w:r>
      <w:r>
        <w:rPr>
          <w:rFonts w:ascii="仿宋" w:hAnsi="仿宋" w:eastAsia="仿宋" w:cs="Times New Roman"/>
          <w:b/>
          <w:bCs/>
          <w:color w:val="000000"/>
          <w:sz w:val="32"/>
          <w:szCs w:val="32"/>
        </w:rPr>
        <w:t>事业收入：</w:t>
      </w:r>
      <w:r>
        <w:rPr>
          <w:rFonts w:ascii="仿宋" w:hAnsi="仿宋" w:eastAsia="仿宋" w:cs="Times New Roman"/>
          <w:bCs/>
          <w:color w:val="000000"/>
          <w:sz w:val="32"/>
          <w:szCs w:val="32"/>
        </w:rPr>
        <w:t>指事业单位开展专业业务活动及辅助活动取得的收入。</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三、</w:t>
      </w:r>
      <w:r>
        <w:rPr>
          <w:rFonts w:ascii="仿宋" w:hAnsi="仿宋" w:eastAsia="仿宋" w:cs="Times New Roman"/>
          <w:b/>
          <w:bCs/>
          <w:color w:val="000000"/>
          <w:sz w:val="32"/>
          <w:szCs w:val="32"/>
        </w:rPr>
        <w:t>经营收入：</w:t>
      </w:r>
      <w:r>
        <w:rPr>
          <w:rFonts w:ascii="仿宋" w:hAnsi="仿宋" w:eastAsia="仿宋" w:cs="Times New Roman"/>
          <w:bCs/>
          <w:color w:val="000000"/>
          <w:sz w:val="32"/>
          <w:szCs w:val="32"/>
        </w:rPr>
        <w:t>指事业单位在专业业务活动及其辅助活动之外开展非独立核算经营活动取得的收入。</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四、</w:t>
      </w:r>
      <w:r>
        <w:rPr>
          <w:rFonts w:ascii="仿宋" w:hAnsi="仿宋" w:eastAsia="仿宋" w:cs="Times New Roman"/>
          <w:b/>
          <w:bCs/>
          <w:color w:val="000000"/>
          <w:sz w:val="32"/>
          <w:szCs w:val="32"/>
        </w:rPr>
        <w:t>其他收入：</w:t>
      </w:r>
      <w:r>
        <w:rPr>
          <w:rFonts w:ascii="仿宋" w:hAnsi="仿宋" w:eastAsia="仿宋" w:cs="Times New Roman"/>
          <w:bCs/>
          <w:color w:val="000000"/>
          <w:sz w:val="32"/>
          <w:szCs w:val="32"/>
        </w:rPr>
        <w:t>指单位取得的除上述收入以外的各项收</w:t>
      </w:r>
    </w:p>
    <w:p>
      <w:pPr>
        <w:spacing w:after="0" w:line="360" w:lineRule="auto"/>
        <w:ind w:firstLine="200"/>
        <w:rPr>
          <w:rFonts w:hint="eastAsia" w:ascii="仿宋" w:hAnsi="仿宋" w:eastAsia="仿宋" w:cs="Times New Roman"/>
          <w:b/>
          <w:bCs/>
          <w:color w:val="000000"/>
          <w:sz w:val="32"/>
          <w:szCs w:val="32"/>
        </w:rPr>
      </w:pPr>
      <w:r>
        <w:rPr>
          <w:rFonts w:ascii="仿宋" w:hAnsi="仿宋" w:eastAsia="仿宋" w:cs="Times New Roman"/>
          <w:bCs/>
          <w:color w:val="000000"/>
          <w:sz w:val="32"/>
          <w:szCs w:val="32"/>
        </w:rPr>
        <w:t>入。主要是事业单位固定资产出租收入、存款利息收入等。</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五、</w:t>
      </w:r>
      <w:r>
        <w:rPr>
          <w:rFonts w:ascii="仿宋" w:hAnsi="仿宋" w:eastAsia="仿宋" w:cs="Times New Roman"/>
          <w:b/>
          <w:bCs/>
          <w:color w:val="000000"/>
          <w:sz w:val="32"/>
          <w:szCs w:val="32"/>
        </w:rPr>
        <w:t>使用非财政拨款结余（含专用结余）：</w:t>
      </w:r>
      <w:r>
        <w:rPr>
          <w:rFonts w:ascii="仿宋" w:hAnsi="仿宋" w:eastAsia="仿宋" w:cs="Times New Roman"/>
          <w:bCs/>
          <w:color w:val="000000"/>
          <w:sz w:val="32"/>
          <w:szCs w:val="32"/>
        </w:rPr>
        <w:t>指事业单位按照预算管理要求使用非财政拨款结余弥补收支差额的金额，以及使用专用结余安排支出的金额。</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六、</w:t>
      </w:r>
      <w:r>
        <w:rPr>
          <w:rFonts w:ascii="仿宋" w:hAnsi="仿宋" w:eastAsia="仿宋" w:cs="Times New Roman"/>
          <w:b/>
          <w:bCs/>
          <w:color w:val="000000"/>
          <w:sz w:val="32"/>
          <w:szCs w:val="32"/>
        </w:rPr>
        <w:t>年初结转和结余：</w:t>
      </w:r>
      <w:r>
        <w:rPr>
          <w:rFonts w:ascii="仿宋" w:hAnsi="仿宋" w:eastAsia="仿宋" w:cs="Times New Roman"/>
          <w:bCs/>
          <w:color w:val="000000"/>
          <w:sz w:val="32"/>
          <w:szCs w:val="32"/>
        </w:rPr>
        <w:t>指单位以前年度尚未完成、结转到本年仍按原规定用途继续使用的资金，或项目已完成等产生的结余资金。</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七、</w:t>
      </w:r>
      <w:r>
        <w:rPr>
          <w:rFonts w:ascii="仿宋" w:hAnsi="仿宋" w:eastAsia="仿宋" w:cs="Times New Roman"/>
          <w:b/>
          <w:bCs/>
          <w:color w:val="000000"/>
          <w:sz w:val="32"/>
          <w:szCs w:val="32"/>
        </w:rPr>
        <w:t>结余分配：</w:t>
      </w:r>
      <w:r>
        <w:rPr>
          <w:rFonts w:ascii="仿宋" w:hAnsi="仿宋" w:eastAsia="仿宋" w:cs="Times New Roman"/>
          <w:bCs/>
          <w:color w:val="000000"/>
          <w:sz w:val="32"/>
          <w:szCs w:val="32"/>
        </w:rPr>
        <w:t>指事业单位按照会计制度规定缴纳的所得税、提取的专用结余以及转入非财政拨款结余的金额等。</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八、</w:t>
      </w:r>
      <w:r>
        <w:rPr>
          <w:rFonts w:ascii="仿宋" w:hAnsi="仿宋" w:eastAsia="仿宋" w:cs="Times New Roman"/>
          <w:b/>
          <w:bCs/>
          <w:color w:val="000000"/>
          <w:sz w:val="32"/>
          <w:szCs w:val="32"/>
        </w:rPr>
        <w:t>年末结转和结余：</w:t>
      </w:r>
      <w:r>
        <w:rPr>
          <w:rFonts w:ascii="仿宋" w:hAnsi="仿宋" w:eastAsia="仿宋" w:cs="Times New Roman"/>
          <w:bCs/>
          <w:color w:val="000000"/>
          <w:sz w:val="32"/>
          <w:szCs w:val="32"/>
        </w:rPr>
        <w:t>指单位按有关规定结转到下年或以后年度继续使用的资金，或项目已完成等产生的结余资金。</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九、</w:t>
      </w:r>
      <w:r>
        <w:rPr>
          <w:rFonts w:ascii="仿宋" w:hAnsi="仿宋" w:eastAsia="仿宋" w:cs="Times New Roman"/>
          <w:b/>
          <w:bCs/>
          <w:color w:val="000000"/>
          <w:sz w:val="32"/>
          <w:szCs w:val="32"/>
        </w:rPr>
        <w:t>基本支出：</w:t>
      </w:r>
      <w:r>
        <w:rPr>
          <w:rFonts w:ascii="仿宋" w:hAnsi="仿宋" w:eastAsia="仿宋" w:cs="Times New Roman"/>
          <w:bCs/>
          <w:color w:val="000000"/>
          <w:sz w:val="32"/>
          <w:szCs w:val="32"/>
        </w:rPr>
        <w:t>指为保障机构正常运转、完成日常工作任务而发生的人员支出和公用支出。</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w:t>
      </w:r>
      <w:r>
        <w:rPr>
          <w:rFonts w:ascii="仿宋" w:hAnsi="仿宋" w:eastAsia="仿宋" w:cs="Times New Roman"/>
          <w:b/>
          <w:bCs/>
          <w:color w:val="000000"/>
          <w:sz w:val="32"/>
          <w:szCs w:val="32"/>
        </w:rPr>
        <w:t>项目支出：</w:t>
      </w:r>
      <w:r>
        <w:rPr>
          <w:rFonts w:ascii="仿宋" w:hAnsi="仿宋" w:eastAsia="仿宋" w:cs="Times New Roman"/>
          <w:color w:val="000000"/>
          <w:sz w:val="32"/>
          <w:szCs w:val="32"/>
        </w:rPr>
        <w:t>指在基本支出之外为完成特定行政任务和事业发展目标所发生的支出。</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十一、</w:t>
      </w:r>
      <w:r>
        <w:rPr>
          <w:rFonts w:ascii="仿宋" w:hAnsi="仿宋" w:eastAsia="仿宋" w:cs="Times New Roman"/>
          <w:b/>
          <w:bCs/>
          <w:color w:val="000000"/>
          <w:sz w:val="32"/>
          <w:szCs w:val="32"/>
        </w:rPr>
        <w:t>经营支出 ：</w:t>
      </w:r>
      <w:r>
        <w:rPr>
          <w:rFonts w:ascii="仿宋" w:hAnsi="仿宋" w:eastAsia="仿宋" w:cs="Times New Roman"/>
          <w:color w:val="000000"/>
          <w:sz w:val="32"/>
          <w:szCs w:val="32"/>
        </w:rPr>
        <w:t>指事业单位在专业业务活动及其辅助活动之外开展非独立核算经营活动发生的支出。</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十二、</w:t>
      </w:r>
      <w:r>
        <w:rPr>
          <w:rFonts w:ascii="仿宋" w:hAnsi="仿宋" w:eastAsia="仿宋" w:cs="Times New Roman"/>
          <w:b/>
          <w:bCs/>
          <w:color w:val="000000"/>
          <w:sz w:val="32"/>
          <w:szCs w:val="32"/>
        </w:rPr>
        <w:t>基本建设支出：</w:t>
      </w:r>
      <w:r>
        <w:rPr>
          <w:rFonts w:ascii="仿宋" w:hAnsi="仿宋" w:eastAsia="仿宋"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after="0" w:line="360" w:lineRule="auto"/>
        <w:ind w:firstLine="643" w:firstLineChars="200"/>
        <w:rPr>
          <w:rFonts w:hint="eastAsia" w:ascii="仿宋" w:hAnsi="仿宋" w:eastAsia="仿宋" w:cs="Times New Roman"/>
          <w:b/>
          <w:bCs/>
          <w:color w:val="000000"/>
          <w:sz w:val="32"/>
          <w:szCs w:val="32"/>
        </w:rPr>
      </w:pPr>
      <w:r>
        <w:rPr>
          <w:rFonts w:hint="eastAsia" w:ascii="仿宋" w:hAnsi="仿宋" w:eastAsia="仿宋" w:cs="Times New Roman"/>
          <w:b/>
          <w:bCs/>
          <w:color w:val="000000"/>
          <w:sz w:val="32"/>
          <w:szCs w:val="32"/>
        </w:rPr>
        <w:t>十三、</w:t>
      </w:r>
      <w:r>
        <w:rPr>
          <w:rFonts w:ascii="仿宋" w:hAnsi="仿宋" w:eastAsia="仿宋" w:cs="Times New Roman"/>
          <w:b/>
          <w:bCs/>
          <w:color w:val="000000"/>
          <w:sz w:val="32"/>
          <w:szCs w:val="32"/>
        </w:rPr>
        <w:t>其他资本性支出：</w:t>
      </w:r>
      <w:r>
        <w:rPr>
          <w:rFonts w:ascii="仿宋" w:hAnsi="仿宋" w:eastAsia="仿宋"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十四、</w:t>
      </w:r>
      <w:r>
        <w:rPr>
          <w:rFonts w:ascii="仿宋" w:hAnsi="仿宋" w:eastAsia="仿宋" w:cs="Times New Roman"/>
          <w:b/>
          <w:bCs/>
          <w:color w:val="000000"/>
          <w:sz w:val="32"/>
          <w:szCs w:val="32"/>
        </w:rPr>
        <w:t>“三公”经费：</w:t>
      </w:r>
      <w:r>
        <w:rPr>
          <w:rFonts w:ascii="仿宋" w:hAnsi="仿宋" w:eastAsia="仿宋"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十五、</w:t>
      </w:r>
      <w:r>
        <w:rPr>
          <w:rFonts w:ascii="仿宋" w:hAnsi="仿宋" w:eastAsia="仿宋" w:cs="Times New Roman"/>
          <w:b/>
          <w:bCs/>
          <w:color w:val="000000"/>
          <w:sz w:val="32"/>
          <w:szCs w:val="32"/>
        </w:rPr>
        <w:t>其他交通费用：</w:t>
      </w:r>
      <w:r>
        <w:rPr>
          <w:rFonts w:ascii="仿宋" w:hAnsi="仿宋" w:eastAsia="仿宋" w:cs="Times New Roman"/>
          <w:color w:val="000000"/>
          <w:sz w:val="32"/>
          <w:szCs w:val="32"/>
        </w:rPr>
        <w:t>填列单位除公务用车运行维护费以外的其他交通费用。如公务交通补贴、租车费用、出租车费用，飞机、船舶等燃料费、维修费、保险费等。</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十六、</w:t>
      </w:r>
      <w:r>
        <w:rPr>
          <w:rFonts w:ascii="仿宋" w:hAnsi="仿宋" w:eastAsia="仿宋" w:cs="Times New Roman"/>
          <w:b/>
          <w:bCs/>
          <w:color w:val="000000"/>
          <w:sz w:val="32"/>
          <w:szCs w:val="32"/>
        </w:rPr>
        <w:t>公务用车购置：</w:t>
      </w:r>
      <w:r>
        <w:rPr>
          <w:rFonts w:ascii="仿宋" w:hAnsi="仿宋" w:eastAsia="仿宋" w:cs="Times New Roman"/>
          <w:color w:val="000000"/>
          <w:sz w:val="32"/>
          <w:szCs w:val="32"/>
        </w:rPr>
        <w:t>填列单位公务用车车辆购置支出（含车辆购置税、牌照费）。</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十七、</w:t>
      </w:r>
      <w:r>
        <w:rPr>
          <w:rFonts w:ascii="仿宋" w:hAnsi="仿宋" w:eastAsia="仿宋" w:cs="Times New Roman"/>
          <w:b/>
          <w:bCs/>
          <w:color w:val="000000"/>
          <w:sz w:val="32"/>
          <w:szCs w:val="32"/>
        </w:rPr>
        <w:t>其他交通工具购置：</w:t>
      </w:r>
      <w:r>
        <w:rPr>
          <w:rFonts w:ascii="仿宋" w:hAnsi="仿宋" w:eastAsia="仿宋" w:cs="Times New Roman"/>
          <w:color w:val="000000"/>
          <w:sz w:val="32"/>
          <w:szCs w:val="32"/>
        </w:rPr>
        <w:t>填列单位除公务用车外的其他各类交通工具（如船舶、飞机等）购置支出（含车辆购置税、牌照费）。</w:t>
      </w:r>
    </w:p>
    <w:p>
      <w:pPr>
        <w:widowControl/>
        <w:spacing w:after="0" w:line="360" w:lineRule="auto"/>
        <w:ind w:firstLine="643" w:firstLineChars="200"/>
        <w:rPr>
          <w:rFonts w:hint="eastAsia" w:ascii="仿宋" w:hAnsi="仿宋" w:eastAsia="仿宋" w:cs="Times New Roman"/>
          <w:color w:val="000000"/>
          <w:sz w:val="32"/>
          <w:szCs w:val="32"/>
        </w:rPr>
      </w:pPr>
      <w:r>
        <w:rPr>
          <w:rFonts w:ascii="仿宋" w:hAnsi="仿宋" w:eastAsia="仿宋" w:cs="Times New Roman"/>
          <w:b/>
          <w:bCs/>
          <w:color w:val="000000"/>
          <w:sz w:val="32"/>
          <w:szCs w:val="32"/>
        </w:rPr>
        <w:t>十八、机关运行经费：</w:t>
      </w:r>
      <w:r>
        <w:rPr>
          <w:rFonts w:ascii="仿宋" w:hAnsi="仿宋" w:eastAsia="仿宋"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after="0" w:line="360" w:lineRule="auto"/>
        <w:ind w:firstLine="643" w:firstLineChars="200"/>
        <w:jc w:val="left"/>
        <w:rPr>
          <w:rFonts w:hint="eastAsia" w:ascii="仿宋" w:hAnsi="仿宋" w:eastAsia="仿宋" w:cs="Times New Roman"/>
          <w:sz w:val="32"/>
          <w:szCs w:val="32"/>
        </w:rPr>
      </w:pPr>
      <w:r>
        <w:rPr>
          <w:rFonts w:ascii="仿宋" w:hAnsi="仿宋" w:eastAsia="仿宋" w:cs="Times New Roman"/>
          <w:b/>
          <w:bCs/>
          <w:color w:val="000000"/>
          <w:sz w:val="32"/>
          <w:szCs w:val="32"/>
        </w:rPr>
        <w:t>十九、经费形式:</w:t>
      </w:r>
      <w:r>
        <w:rPr>
          <w:rFonts w:ascii="仿宋" w:hAnsi="仿宋" w:eastAsia="仿宋" w:cs="Times New Roman"/>
          <w:color w:val="000000"/>
          <w:sz w:val="32"/>
          <w:szCs w:val="32"/>
        </w:rPr>
        <w:t>按照经费来源，</w:t>
      </w:r>
      <w:r>
        <w:rPr>
          <w:rFonts w:ascii="仿宋" w:hAnsi="仿宋" w:eastAsia="仿宋" w:cs="Times New Roman"/>
          <w:sz w:val="32"/>
          <w:szCs w:val="32"/>
        </w:rPr>
        <w:t>可分为财政拨款、财政性资金基本保证、财政性资金定额或定项补助、财政性资金零补助四类</w:t>
      </w:r>
    </w:p>
    <w:p>
      <w:pPr>
        <w:rPr>
          <w:rFonts w:ascii="Times New Roman" w:hAnsi="Times New Roman" w:cs="Times New Roman"/>
        </w:rPr>
      </w:pPr>
    </w:p>
    <w:p>
      <w:pPr>
        <w:pStyle w:val="10"/>
        <w:widowControl/>
        <w:spacing w:beforeAutospacing="0" w:afterAutospacing="0"/>
        <w:rPr>
          <w:rFonts w:ascii="Times New Roman" w:hAnsi="Times New Roman" w:eastAsia="仿宋_GB2312"/>
          <w:color w:val="333333"/>
          <w:sz w:val="33"/>
          <w:szCs w:val="33"/>
          <w:shd w:val="clear" w:color="auto" w:fill="FFFFFF"/>
        </w:rPr>
      </w:pPr>
    </w:p>
    <w:p>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B8B1BE7-9DE7-47BF-8F8C-BE41FFFB7873}"/>
  </w:font>
  <w:font w:name="黑体">
    <w:altName w:val="楷体"/>
    <w:panose1 w:val="02010609060101010101"/>
    <w:charset w:val="86"/>
    <w:family w:val="auto"/>
    <w:pitch w:val="default"/>
    <w:sig w:usb0="800002BF" w:usb1="38CF7CFA" w:usb2="00000016" w:usb3="00000000" w:csb0="00040001" w:csb1="00000000"/>
    <w:embedRegular r:id="rId2" w:fontKey="{C256348E-8313-4BE1-8465-D65BE224C75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7EBC4FC6-C55A-4A65-A06C-D2575B6E598E}"/>
  </w:font>
  <w:font w:name="仿宋">
    <w:panose1 w:val="02010609060101010101"/>
    <w:charset w:val="86"/>
    <w:family w:val="modern"/>
    <w:pitch w:val="default"/>
    <w:sig w:usb0="800002BF" w:usb1="38CF7CFA" w:usb2="00000016" w:usb3="00000000" w:csb0="00040001" w:csb1="00000000"/>
    <w:embedRegular r:id="rId4" w:fontKey="{D1682D24-3668-49D0-AC74-7AB74D498139}"/>
  </w:font>
  <w:font w:name="Calibri Light">
    <w:panose1 w:val="020F0302020204030204"/>
    <w:charset w:val="00"/>
    <w:family w:val="swiss"/>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embedRegular r:id="rId5" w:fontKey="{4880A727-7075-4E36-89D8-355B55B15E5D}"/>
  </w:font>
  <w:font w:name="思源黑体 CN Heavy">
    <w:altName w:val="黑体"/>
    <w:panose1 w:val="00000000000000000000"/>
    <w:charset w:val="86"/>
    <w:family w:val="swiss"/>
    <w:pitch w:val="default"/>
    <w:sig w:usb0="00000000" w:usb1="00000000" w:usb2="00000016" w:usb3="00000000" w:csb0="00060107" w:csb1="00000000"/>
    <w:embedRegular r:id="rId6" w:fontKey="{DB5A6C77-9CC8-4B69-94E6-65C9FFE29931}"/>
  </w:font>
  <w:font w:name="楷体_GB2312">
    <w:altName w:val="楷体"/>
    <w:panose1 w:val="00000000000000000000"/>
    <w:charset w:val="86"/>
    <w:family w:val="modern"/>
    <w:pitch w:val="default"/>
    <w:sig w:usb0="00000000" w:usb1="00000000" w:usb2="00000010" w:usb3="00000000" w:csb0="00040000" w:csb1="00000000"/>
    <w:embedRegular r:id="rId7" w:fontKey="{326DBAE5-2832-451B-BC85-C660A26FA5E5}"/>
  </w:font>
  <w:font w:name="仿宋_GB2312">
    <w:altName w:val="仿宋"/>
    <w:panose1 w:val="00000000000000000000"/>
    <w:charset w:val="86"/>
    <w:family w:val="modern"/>
    <w:pitch w:val="default"/>
    <w:sig w:usb0="00000000" w:usb1="00000000" w:usb2="00000010" w:usb3="00000000" w:csb0="00040000" w:csb1="00000000"/>
    <w:embedRegular r:id="rId8" w:fontKey="{214C9AB1-B7DE-4FCF-AB2B-D473FA8E7060}"/>
  </w:font>
  <w:font w:name="Batang">
    <w:panose1 w:val="02030600000101010101"/>
    <w:charset w:val="81"/>
    <w:family w:val="roman"/>
    <w:pitch w:val="default"/>
    <w:sig w:usb0="B00002AF" w:usb1="69D77CFB" w:usb2="00000030" w:usb3="00000000" w:csb0="4008009F" w:csb1="DFD70000"/>
    <w:embedRegular r:id="rId9" w:fontKey="{3C00169E-FB52-49CC-8AE3-0D9C4033CAB9}"/>
  </w:font>
  <w:font w:name="ArialUnicodeMS">
    <w:altName w:val="Calibri"/>
    <w:panose1 w:val="00000000000000000000"/>
    <w:charset w:val="81"/>
    <w:family w:val="auto"/>
    <w:pitch w:val="default"/>
    <w:sig w:usb0="00000000" w:usb1="00000000" w:usb2="00000010" w:usb3="00000000" w:csb0="00080001" w:csb1="00000000"/>
    <w:embedRegular r:id="rId10" w:fontKey="{131B1AB2-8B3C-41AC-97CB-349313A8546E}"/>
  </w:font>
  <w:font w:name="DengXian-Regular">
    <w:altName w:val="宋体"/>
    <w:panose1 w:val="00000000000000000000"/>
    <w:charset w:val="86"/>
    <w:family w:val="auto"/>
    <w:pitch w:val="default"/>
    <w:sig w:usb0="00000000" w:usb1="00000000" w:usb2="00000010" w:usb3="00000000" w:csb0="00040001" w:csb1="00000000"/>
    <w:embedRegular r:id="rId11" w:fontKey="{8D8D1666-680C-4850-AC95-C8E6D9EA194A}"/>
  </w:font>
  <w:font w:name="Arial">
    <w:panose1 w:val="020B0604020202020204"/>
    <w:charset w:val="00"/>
    <w:family w:val="auto"/>
    <w:pitch w:val="default"/>
    <w:sig w:usb0="E0002AFF" w:usb1="C0007843" w:usb2="00000009" w:usb3="00000000" w:csb0="400001FF" w:csb1="FFFF0000"/>
    <w:embedRegular r:id="rId12" w:fontKey="{6091D6FA-97C6-40F2-988C-31B268D4E1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4518073"/>
      <w:docPartObj>
        <w:docPartGallery w:val="autotext"/>
      </w:docPartObj>
    </w:sdtPr>
    <w:sdtEndPr>
      <w:rPr>
        <w:rFonts w:ascii="Batang" w:hAnsi="Batang" w:eastAsia="Batang"/>
        <w:sz w:val="28"/>
        <w:szCs w:val="28"/>
      </w:rPr>
    </w:sdtEndPr>
    <w:sdtContent>
      <w:p>
        <w:pPr>
          <w:pStyle w:val="8"/>
          <w:jc w:val="center"/>
          <w:rPr>
            <w:rFonts w:hint="eastAsia" w:ascii="Batang" w:hAnsi="Batang" w:eastAsia="Batang"/>
            <w:sz w:val="28"/>
            <w:szCs w:val="28"/>
          </w:rPr>
        </w:pPr>
        <w:r>
          <w:rPr>
            <w:rFonts w:hint="eastAsia" w:ascii="Batang" w:hAnsi="Batang" w:eastAsia="Batang"/>
            <w:sz w:val="28"/>
            <w:szCs w:val="28"/>
          </w:rPr>
          <w:t xml:space="preserve">— </w:t>
        </w:r>
        <w:r>
          <w:rPr>
            <w:rFonts w:ascii="Batang" w:hAnsi="Batang" w:eastAsia="Batang"/>
            <w:sz w:val="28"/>
            <w:szCs w:val="28"/>
          </w:rPr>
          <w:fldChar w:fldCharType="begin"/>
        </w:r>
        <w:r>
          <w:rPr>
            <w:rFonts w:ascii="Batang" w:hAnsi="Batang" w:eastAsia="Batang"/>
            <w:sz w:val="28"/>
            <w:szCs w:val="28"/>
          </w:rPr>
          <w:instrText xml:space="preserve">PAGE   \* MERGEFORMAT</w:instrText>
        </w:r>
        <w:r>
          <w:rPr>
            <w:rFonts w:ascii="Batang" w:hAnsi="Batang" w:eastAsia="Batang"/>
            <w:sz w:val="28"/>
            <w:szCs w:val="28"/>
          </w:rPr>
          <w:fldChar w:fldCharType="separate"/>
        </w:r>
        <w:r>
          <w:rPr>
            <w:rFonts w:ascii="Batang" w:hAnsi="Batang" w:eastAsia="Batang"/>
            <w:sz w:val="28"/>
            <w:szCs w:val="28"/>
            <w:lang w:val="zh-CN"/>
          </w:rPr>
          <w:t>2</w:t>
        </w:r>
        <w:r>
          <w:rPr>
            <w:rFonts w:ascii="Batang" w:hAnsi="Batang" w:eastAsia="Batang"/>
            <w:sz w:val="28"/>
            <w:szCs w:val="28"/>
          </w:rPr>
          <w:fldChar w:fldCharType="end"/>
        </w:r>
        <w:r>
          <w:rPr>
            <w:rFonts w:hint="eastAsia" w:ascii="Batang" w:hAnsi="Batang" w:eastAsia="Batang"/>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0274373"/>
      <w:docPartObj>
        <w:docPartGallery w:val="autotext"/>
      </w:docPartObj>
    </w:sdtPr>
    <w:sdtContent>
      <w:p>
        <w:pPr>
          <w:pStyle w:val="8"/>
          <w:jc w:val="center"/>
        </w:pPr>
        <w:r>
          <w:rPr>
            <w:rFonts w:hint="eastAsia"/>
          </w:rPr>
          <w:t>12313213132213</w:t>
        </w:r>
        <w:r>
          <w:fldChar w:fldCharType="begin"/>
        </w:r>
        <w:r>
          <w:instrText xml:space="preserve">PAGE   \* MERGEFORMAT</w:instrText>
        </w:r>
        <w:r>
          <w:fldChar w:fldCharType="separate"/>
        </w:r>
        <w:r>
          <w:rPr>
            <w:lang w:val="zh-CN"/>
          </w:rPr>
          <w:t>2</w:t>
        </w:r>
        <w:r>
          <w:fldChar w:fldCharType="end"/>
        </w:r>
      </w:p>
    </w:sdtContent>
  </w:sdt>
  <w:p>
    <w:pPr>
      <w:pStyle w:val="8"/>
      <w:jc w:val="center"/>
      <w:rPr>
        <w:rFonts w:hint="eastAsia" w:asciiTheme="minorEastAsia" w:hAnsiTheme="min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69CE90"/>
    <w:multiLevelType w:val="singleLevel"/>
    <w:tmpl w:val="C169CE90"/>
    <w:lvl w:ilvl="0" w:tentative="0">
      <w:start w:val="1"/>
      <w:numFmt w:val="chineseCounting"/>
      <w:suff w:val="nothing"/>
      <w:lvlText w:val="（%1）"/>
      <w:lvlJc w:val="left"/>
      <w:rPr>
        <w:rFonts w:hint="eastAsia"/>
      </w:rPr>
    </w:lvl>
  </w:abstractNum>
  <w:abstractNum w:abstractNumId="1">
    <w:nsid w:val="FF04ED31"/>
    <w:multiLevelType w:val="singleLevel"/>
    <w:tmpl w:val="FF04ED31"/>
    <w:lvl w:ilvl="0" w:tentative="0">
      <w:start w:val="1"/>
      <w:numFmt w:val="decimal"/>
      <w:suff w:val="nothing"/>
      <w:lvlText w:val="（%1）"/>
      <w:lvlJc w:val="left"/>
    </w:lvl>
  </w:abstractNum>
  <w:abstractNum w:abstractNumId="2">
    <w:nsid w:val="15A73F5E"/>
    <w:multiLevelType w:val="singleLevel"/>
    <w:tmpl w:val="15A73F5E"/>
    <w:lvl w:ilvl="0" w:tentative="0">
      <w:start w:val="11"/>
      <w:numFmt w:val="decimal"/>
      <w:suff w:val="nothing"/>
      <w:lvlText w:val="（%1）"/>
      <w:lvlJc w:val="left"/>
    </w:lvl>
  </w:abstractNum>
  <w:abstractNum w:abstractNumId="3">
    <w:nsid w:val="50C74174"/>
    <w:multiLevelType w:val="singleLevel"/>
    <w:tmpl w:val="50C74174"/>
    <w:lvl w:ilvl="0" w:tentative="0">
      <w:start w:val="1"/>
      <w:numFmt w:val="chineseCounting"/>
      <w:suff w:val="nothing"/>
      <w:lvlText w:val="%1、"/>
      <w:lvlJc w:val="left"/>
      <w:rPr>
        <w:rFonts w:hint="eastAsia"/>
      </w:rPr>
    </w:lvl>
  </w:abstractNum>
  <w:abstractNum w:abstractNumId="4">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UsImhkaWQiOiIzMWE1MzMwMDNjMmJhYTE1ZmE0MmVkZDFmNDA1ZThhMiIsInVzZXJDb3VudCI6M30="/>
  </w:docVars>
  <w:rsids>
    <w:rsidRoot w:val="00287DAF"/>
    <w:rsid w:val="00037B7D"/>
    <w:rsid w:val="000546A1"/>
    <w:rsid w:val="00061C12"/>
    <w:rsid w:val="00086151"/>
    <w:rsid w:val="00092BE6"/>
    <w:rsid w:val="00096086"/>
    <w:rsid w:val="0009670E"/>
    <w:rsid w:val="000B1680"/>
    <w:rsid w:val="000B20F4"/>
    <w:rsid w:val="000B46E5"/>
    <w:rsid w:val="000E17E7"/>
    <w:rsid w:val="000E3FCF"/>
    <w:rsid w:val="000F6501"/>
    <w:rsid w:val="00110B73"/>
    <w:rsid w:val="001258D4"/>
    <w:rsid w:val="00135E74"/>
    <w:rsid w:val="001369CA"/>
    <w:rsid w:val="00157078"/>
    <w:rsid w:val="00166836"/>
    <w:rsid w:val="001C558D"/>
    <w:rsid w:val="001D611E"/>
    <w:rsid w:val="00204372"/>
    <w:rsid w:val="00216BE4"/>
    <w:rsid w:val="00236F8C"/>
    <w:rsid w:val="0025113C"/>
    <w:rsid w:val="00267AAE"/>
    <w:rsid w:val="0027101F"/>
    <w:rsid w:val="00275718"/>
    <w:rsid w:val="00287DAF"/>
    <w:rsid w:val="002B2F49"/>
    <w:rsid w:val="002F01EE"/>
    <w:rsid w:val="002F24B7"/>
    <w:rsid w:val="00306385"/>
    <w:rsid w:val="0035487A"/>
    <w:rsid w:val="00361F0E"/>
    <w:rsid w:val="00370DC6"/>
    <w:rsid w:val="00376830"/>
    <w:rsid w:val="00377F32"/>
    <w:rsid w:val="0038751F"/>
    <w:rsid w:val="003A12A0"/>
    <w:rsid w:val="003E3566"/>
    <w:rsid w:val="003F4BEC"/>
    <w:rsid w:val="00407EB8"/>
    <w:rsid w:val="00424926"/>
    <w:rsid w:val="00455DD0"/>
    <w:rsid w:val="00461E31"/>
    <w:rsid w:val="00466E2E"/>
    <w:rsid w:val="0047323C"/>
    <w:rsid w:val="0048604A"/>
    <w:rsid w:val="00494B2C"/>
    <w:rsid w:val="004A2A12"/>
    <w:rsid w:val="005243FE"/>
    <w:rsid w:val="0056005C"/>
    <w:rsid w:val="00560623"/>
    <w:rsid w:val="00626BDC"/>
    <w:rsid w:val="0063657C"/>
    <w:rsid w:val="0066027C"/>
    <w:rsid w:val="0067075F"/>
    <w:rsid w:val="006773D2"/>
    <w:rsid w:val="006A6A08"/>
    <w:rsid w:val="006C5E31"/>
    <w:rsid w:val="006F3637"/>
    <w:rsid w:val="007006C2"/>
    <w:rsid w:val="00790C94"/>
    <w:rsid w:val="007B1888"/>
    <w:rsid w:val="007C3288"/>
    <w:rsid w:val="007E149C"/>
    <w:rsid w:val="007E7600"/>
    <w:rsid w:val="00802C44"/>
    <w:rsid w:val="00822154"/>
    <w:rsid w:val="00823381"/>
    <w:rsid w:val="0087335C"/>
    <w:rsid w:val="008866CD"/>
    <w:rsid w:val="008D5DDB"/>
    <w:rsid w:val="00906187"/>
    <w:rsid w:val="009071A4"/>
    <w:rsid w:val="0091307C"/>
    <w:rsid w:val="00926DCC"/>
    <w:rsid w:val="009325F5"/>
    <w:rsid w:val="0094592D"/>
    <w:rsid w:val="00952863"/>
    <w:rsid w:val="00953488"/>
    <w:rsid w:val="00961352"/>
    <w:rsid w:val="009D7E38"/>
    <w:rsid w:val="00A07CFF"/>
    <w:rsid w:val="00A169CA"/>
    <w:rsid w:val="00A17B27"/>
    <w:rsid w:val="00A50DF3"/>
    <w:rsid w:val="00A62C78"/>
    <w:rsid w:val="00AB63E3"/>
    <w:rsid w:val="00AC6C8A"/>
    <w:rsid w:val="00AF1DD2"/>
    <w:rsid w:val="00AF3C93"/>
    <w:rsid w:val="00B03561"/>
    <w:rsid w:val="00B15D61"/>
    <w:rsid w:val="00B73503"/>
    <w:rsid w:val="00B90C6B"/>
    <w:rsid w:val="00B97EF2"/>
    <w:rsid w:val="00BF067C"/>
    <w:rsid w:val="00C012F0"/>
    <w:rsid w:val="00C1240F"/>
    <w:rsid w:val="00C142C3"/>
    <w:rsid w:val="00C546E9"/>
    <w:rsid w:val="00C65689"/>
    <w:rsid w:val="00C71FEF"/>
    <w:rsid w:val="00CA13DB"/>
    <w:rsid w:val="00CA42FD"/>
    <w:rsid w:val="00CC1334"/>
    <w:rsid w:val="00CC2C8E"/>
    <w:rsid w:val="00CD4D9A"/>
    <w:rsid w:val="00D22E56"/>
    <w:rsid w:val="00D56C3E"/>
    <w:rsid w:val="00D777BD"/>
    <w:rsid w:val="00D77ACE"/>
    <w:rsid w:val="00DB6259"/>
    <w:rsid w:val="00DC3B1E"/>
    <w:rsid w:val="00DD64E5"/>
    <w:rsid w:val="00DF45A8"/>
    <w:rsid w:val="00E03F28"/>
    <w:rsid w:val="00E20DD6"/>
    <w:rsid w:val="00E32B11"/>
    <w:rsid w:val="00E5775D"/>
    <w:rsid w:val="00E86690"/>
    <w:rsid w:val="00EB0434"/>
    <w:rsid w:val="00EC1488"/>
    <w:rsid w:val="00EE6912"/>
    <w:rsid w:val="00F002F9"/>
    <w:rsid w:val="00F03983"/>
    <w:rsid w:val="00F073C6"/>
    <w:rsid w:val="00F30220"/>
    <w:rsid w:val="00F373B5"/>
    <w:rsid w:val="00F41289"/>
    <w:rsid w:val="00F44A21"/>
    <w:rsid w:val="00F44C48"/>
    <w:rsid w:val="00F53FC4"/>
    <w:rsid w:val="00F66634"/>
    <w:rsid w:val="00F67D18"/>
    <w:rsid w:val="00F705B2"/>
    <w:rsid w:val="00FA4CE8"/>
    <w:rsid w:val="00FA6F14"/>
    <w:rsid w:val="00FB4967"/>
    <w:rsid w:val="00FE2157"/>
    <w:rsid w:val="01A03C5A"/>
    <w:rsid w:val="01A5267D"/>
    <w:rsid w:val="01AF6A8D"/>
    <w:rsid w:val="024808A2"/>
    <w:rsid w:val="025C3821"/>
    <w:rsid w:val="02A27D96"/>
    <w:rsid w:val="02B551F3"/>
    <w:rsid w:val="02DA3B1B"/>
    <w:rsid w:val="02E57B4D"/>
    <w:rsid w:val="037B12D4"/>
    <w:rsid w:val="03804D63"/>
    <w:rsid w:val="03C81F71"/>
    <w:rsid w:val="03FB73B0"/>
    <w:rsid w:val="049C1B9D"/>
    <w:rsid w:val="04BD008C"/>
    <w:rsid w:val="04C55939"/>
    <w:rsid w:val="04DA28BB"/>
    <w:rsid w:val="04F528BE"/>
    <w:rsid w:val="050E10CE"/>
    <w:rsid w:val="05177893"/>
    <w:rsid w:val="054F2DFB"/>
    <w:rsid w:val="05991C82"/>
    <w:rsid w:val="05D15A79"/>
    <w:rsid w:val="061416A9"/>
    <w:rsid w:val="061D60A6"/>
    <w:rsid w:val="06236884"/>
    <w:rsid w:val="065041AA"/>
    <w:rsid w:val="06B07006"/>
    <w:rsid w:val="06DB16CE"/>
    <w:rsid w:val="06FC7C2A"/>
    <w:rsid w:val="07533AFE"/>
    <w:rsid w:val="07B3657A"/>
    <w:rsid w:val="07C857D0"/>
    <w:rsid w:val="07DC7AC5"/>
    <w:rsid w:val="08AB5AAF"/>
    <w:rsid w:val="09012C64"/>
    <w:rsid w:val="093B2E99"/>
    <w:rsid w:val="095D7943"/>
    <w:rsid w:val="09C006C6"/>
    <w:rsid w:val="09EE54E6"/>
    <w:rsid w:val="0A0E6E5F"/>
    <w:rsid w:val="0A10621F"/>
    <w:rsid w:val="0A464C4F"/>
    <w:rsid w:val="0A6729A3"/>
    <w:rsid w:val="0A694877"/>
    <w:rsid w:val="0AA954BE"/>
    <w:rsid w:val="0AE70639"/>
    <w:rsid w:val="0B4F5E6D"/>
    <w:rsid w:val="0B753AE2"/>
    <w:rsid w:val="0B93302C"/>
    <w:rsid w:val="0BB67D0A"/>
    <w:rsid w:val="0BC56230"/>
    <w:rsid w:val="0BCF21BD"/>
    <w:rsid w:val="0C4E53E8"/>
    <w:rsid w:val="0C6712D6"/>
    <w:rsid w:val="0C9F7900"/>
    <w:rsid w:val="0CB23317"/>
    <w:rsid w:val="0D101068"/>
    <w:rsid w:val="0D4E13BE"/>
    <w:rsid w:val="0D6979E4"/>
    <w:rsid w:val="0D7557DF"/>
    <w:rsid w:val="0D853E34"/>
    <w:rsid w:val="0D9C2A57"/>
    <w:rsid w:val="0DFA5D82"/>
    <w:rsid w:val="0E1E52CE"/>
    <w:rsid w:val="0E6D03C2"/>
    <w:rsid w:val="0E866524"/>
    <w:rsid w:val="0E9268D3"/>
    <w:rsid w:val="0E957F1F"/>
    <w:rsid w:val="0F0E7284"/>
    <w:rsid w:val="0F28110F"/>
    <w:rsid w:val="0F37083F"/>
    <w:rsid w:val="0F891DB8"/>
    <w:rsid w:val="0FA81239"/>
    <w:rsid w:val="0FAA3B86"/>
    <w:rsid w:val="10191346"/>
    <w:rsid w:val="102A01A6"/>
    <w:rsid w:val="10754A6C"/>
    <w:rsid w:val="108B537D"/>
    <w:rsid w:val="10B11DB1"/>
    <w:rsid w:val="10D54478"/>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AF1AFB"/>
    <w:rsid w:val="14D42061"/>
    <w:rsid w:val="15081C8B"/>
    <w:rsid w:val="15090D5C"/>
    <w:rsid w:val="15385706"/>
    <w:rsid w:val="15CF053D"/>
    <w:rsid w:val="15E0131A"/>
    <w:rsid w:val="16457D9F"/>
    <w:rsid w:val="164B3A09"/>
    <w:rsid w:val="17223EFF"/>
    <w:rsid w:val="17AA5F28"/>
    <w:rsid w:val="17B713F6"/>
    <w:rsid w:val="184350A0"/>
    <w:rsid w:val="18935485"/>
    <w:rsid w:val="18A34206"/>
    <w:rsid w:val="18A4429C"/>
    <w:rsid w:val="18DE3B2C"/>
    <w:rsid w:val="1906685D"/>
    <w:rsid w:val="19111683"/>
    <w:rsid w:val="19353916"/>
    <w:rsid w:val="193E101D"/>
    <w:rsid w:val="1953461C"/>
    <w:rsid w:val="19C10AF1"/>
    <w:rsid w:val="19F2732F"/>
    <w:rsid w:val="1A017CDA"/>
    <w:rsid w:val="1A2672DE"/>
    <w:rsid w:val="1A960A97"/>
    <w:rsid w:val="1AA81D42"/>
    <w:rsid w:val="1AB433D9"/>
    <w:rsid w:val="1AFB6D70"/>
    <w:rsid w:val="1B1B11EE"/>
    <w:rsid w:val="1B3719E0"/>
    <w:rsid w:val="1B6261C3"/>
    <w:rsid w:val="1B731730"/>
    <w:rsid w:val="1B882BB5"/>
    <w:rsid w:val="1B9B33C7"/>
    <w:rsid w:val="1B9D7FEC"/>
    <w:rsid w:val="1BA55461"/>
    <w:rsid w:val="1BBA0FB0"/>
    <w:rsid w:val="1BE74496"/>
    <w:rsid w:val="1C3D67D1"/>
    <w:rsid w:val="1C40731A"/>
    <w:rsid w:val="1C4809C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42E8B"/>
    <w:rsid w:val="1E050843"/>
    <w:rsid w:val="1E2D3FB0"/>
    <w:rsid w:val="1E2E50F1"/>
    <w:rsid w:val="1E3B4E26"/>
    <w:rsid w:val="1EDF707D"/>
    <w:rsid w:val="1F394761"/>
    <w:rsid w:val="1F65664C"/>
    <w:rsid w:val="1F7C149A"/>
    <w:rsid w:val="1F84140D"/>
    <w:rsid w:val="1F9B7FFD"/>
    <w:rsid w:val="1F9C7614"/>
    <w:rsid w:val="1FBE1971"/>
    <w:rsid w:val="2008768D"/>
    <w:rsid w:val="2031372A"/>
    <w:rsid w:val="204B327F"/>
    <w:rsid w:val="204C2B10"/>
    <w:rsid w:val="207D30AD"/>
    <w:rsid w:val="209064B9"/>
    <w:rsid w:val="20970D81"/>
    <w:rsid w:val="20D165D5"/>
    <w:rsid w:val="20DC162C"/>
    <w:rsid w:val="210878E6"/>
    <w:rsid w:val="210E1408"/>
    <w:rsid w:val="211069AD"/>
    <w:rsid w:val="2121130A"/>
    <w:rsid w:val="21573FAB"/>
    <w:rsid w:val="2172069C"/>
    <w:rsid w:val="21987BC4"/>
    <w:rsid w:val="21BE314A"/>
    <w:rsid w:val="220451AB"/>
    <w:rsid w:val="2237486E"/>
    <w:rsid w:val="223D1378"/>
    <w:rsid w:val="22451BC7"/>
    <w:rsid w:val="22940650"/>
    <w:rsid w:val="22AD4B1E"/>
    <w:rsid w:val="22D31DF3"/>
    <w:rsid w:val="22EF1F13"/>
    <w:rsid w:val="22FD3CF7"/>
    <w:rsid w:val="23000DDF"/>
    <w:rsid w:val="232C221B"/>
    <w:rsid w:val="2356249E"/>
    <w:rsid w:val="23664781"/>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B50BD7"/>
    <w:rsid w:val="28EA3248"/>
    <w:rsid w:val="28F879DA"/>
    <w:rsid w:val="28F900EB"/>
    <w:rsid w:val="294B7731"/>
    <w:rsid w:val="29D21FF2"/>
    <w:rsid w:val="2A2637B5"/>
    <w:rsid w:val="2A611B0F"/>
    <w:rsid w:val="2AC1762B"/>
    <w:rsid w:val="2AE845D0"/>
    <w:rsid w:val="2B181975"/>
    <w:rsid w:val="2B4975FB"/>
    <w:rsid w:val="2B695031"/>
    <w:rsid w:val="2B735A8F"/>
    <w:rsid w:val="2BA7478D"/>
    <w:rsid w:val="2BB038DB"/>
    <w:rsid w:val="2BB761E0"/>
    <w:rsid w:val="2BB812F9"/>
    <w:rsid w:val="2BE35C27"/>
    <w:rsid w:val="2BFA504B"/>
    <w:rsid w:val="2C1D63FA"/>
    <w:rsid w:val="2C23683D"/>
    <w:rsid w:val="2C427839"/>
    <w:rsid w:val="2C593D0D"/>
    <w:rsid w:val="2C681F1F"/>
    <w:rsid w:val="2C8608DC"/>
    <w:rsid w:val="2CA4764A"/>
    <w:rsid w:val="2CC42ECA"/>
    <w:rsid w:val="2CDA4349"/>
    <w:rsid w:val="2D225539"/>
    <w:rsid w:val="2D4618D2"/>
    <w:rsid w:val="2D5F021B"/>
    <w:rsid w:val="2D6E1286"/>
    <w:rsid w:val="2D70583E"/>
    <w:rsid w:val="2E0725DC"/>
    <w:rsid w:val="2E1B4BB8"/>
    <w:rsid w:val="2E210B91"/>
    <w:rsid w:val="2E2505EF"/>
    <w:rsid w:val="2E256CB6"/>
    <w:rsid w:val="2E5F27E4"/>
    <w:rsid w:val="2E692720"/>
    <w:rsid w:val="2EBD223E"/>
    <w:rsid w:val="2EC10AD1"/>
    <w:rsid w:val="2ECB6A5A"/>
    <w:rsid w:val="2EFC0112"/>
    <w:rsid w:val="2F2B730D"/>
    <w:rsid w:val="2F9F3DC1"/>
    <w:rsid w:val="2FFC7AC2"/>
    <w:rsid w:val="301430AF"/>
    <w:rsid w:val="30171DC7"/>
    <w:rsid w:val="30630612"/>
    <w:rsid w:val="308E59B0"/>
    <w:rsid w:val="30B10568"/>
    <w:rsid w:val="30E55DD3"/>
    <w:rsid w:val="30E60399"/>
    <w:rsid w:val="31356AA5"/>
    <w:rsid w:val="313E22F0"/>
    <w:rsid w:val="315C5D82"/>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9F697F"/>
    <w:rsid w:val="34B25886"/>
    <w:rsid w:val="35277FF8"/>
    <w:rsid w:val="35763460"/>
    <w:rsid w:val="35776F72"/>
    <w:rsid w:val="35845F6C"/>
    <w:rsid w:val="35997371"/>
    <w:rsid w:val="35F44A12"/>
    <w:rsid w:val="360134DF"/>
    <w:rsid w:val="360B1E2F"/>
    <w:rsid w:val="360D500F"/>
    <w:rsid w:val="36330424"/>
    <w:rsid w:val="369C3F13"/>
    <w:rsid w:val="36FE3ABA"/>
    <w:rsid w:val="37072BDE"/>
    <w:rsid w:val="37455334"/>
    <w:rsid w:val="37731921"/>
    <w:rsid w:val="37E509C0"/>
    <w:rsid w:val="37E96FB8"/>
    <w:rsid w:val="38222D85"/>
    <w:rsid w:val="38803721"/>
    <w:rsid w:val="38925A62"/>
    <w:rsid w:val="389F5F4F"/>
    <w:rsid w:val="38C36BA2"/>
    <w:rsid w:val="38C772AE"/>
    <w:rsid w:val="38F6595C"/>
    <w:rsid w:val="391702A7"/>
    <w:rsid w:val="39286EB6"/>
    <w:rsid w:val="39601DF4"/>
    <w:rsid w:val="396960F3"/>
    <w:rsid w:val="39840D35"/>
    <w:rsid w:val="39A97DAF"/>
    <w:rsid w:val="39CD1330"/>
    <w:rsid w:val="39DD1AFF"/>
    <w:rsid w:val="39F84185"/>
    <w:rsid w:val="3A2510B9"/>
    <w:rsid w:val="3A2B1DFC"/>
    <w:rsid w:val="3AA6422C"/>
    <w:rsid w:val="3AAF46D5"/>
    <w:rsid w:val="3B135A0E"/>
    <w:rsid w:val="3B272BBC"/>
    <w:rsid w:val="3B374FEE"/>
    <w:rsid w:val="3B4410EE"/>
    <w:rsid w:val="3B56159C"/>
    <w:rsid w:val="3B596DF7"/>
    <w:rsid w:val="3B7D732B"/>
    <w:rsid w:val="3BB47700"/>
    <w:rsid w:val="3BD30423"/>
    <w:rsid w:val="3C6C0B58"/>
    <w:rsid w:val="3CBE41D5"/>
    <w:rsid w:val="3D446B0E"/>
    <w:rsid w:val="3D953A6B"/>
    <w:rsid w:val="3DBB5979"/>
    <w:rsid w:val="3DD56F21"/>
    <w:rsid w:val="3E1057AF"/>
    <w:rsid w:val="3E3E4155"/>
    <w:rsid w:val="3E6C0DFA"/>
    <w:rsid w:val="3E740322"/>
    <w:rsid w:val="3E7F4380"/>
    <w:rsid w:val="3E8D171B"/>
    <w:rsid w:val="3EA5630D"/>
    <w:rsid w:val="3EAC4F97"/>
    <w:rsid w:val="3EB33A2E"/>
    <w:rsid w:val="3EBA731B"/>
    <w:rsid w:val="3EE33949"/>
    <w:rsid w:val="3EFB5800"/>
    <w:rsid w:val="3F213F58"/>
    <w:rsid w:val="3F3B4E59"/>
    <w:rsid w:val="3F6E677C"/>
    <w:rsid w:val="3F712F46"/>
    <w:rsid w:val="3FBC0EF7"/>
    <w:rsid w:val="3FCD2AB9"/>
    <w:rsid w:val="3FD17600"/>
    <w:rsid w:val="4050218A"/>
    <w:rsid w:val="405969F9"/>
    <w:rsid w:val="405C7868"/>
    <w:rsid w:val="408B24EB"/>
    <w:rsid w:val="408D1DBF"/>
    <w:rsid w:val="40C652D1"/>
    <w:rsid w:val="417044B8"/>
    <w:rsid w:val="41A203A0"/>
    <w:rsid w:val="41C77987"/>
    <w:rsid w:val="41E83F8C"/>
    <w:rsid w:val="41F84B01"/>
    <w:rsid w:val="42293430"/>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8A2C0A"/>
    <w:rsid w:val="45FE7734"/>
    <w:rsid w:val="461F0A8B"/>
    <w:rsid w:val="4648721E"/>
    <w:rsid w:val="46663E71"/>
    <w:rsid w:val="466A37AC"/>
    <w:rsid w:val="46BC4B0D"/>
    <w:rsid w:val="46CB071B"/>
    <w:rsid w:val="46DA365D"/>
    <w:rsid w:val="46DE140B"/>
    <w:rsid w:val="46E77334"/>
    <w:rsid w:val="46F22E29"/>
    <w:rsid w:val="46F7142F"/>
    <w:rsid w:val="47107AE3"/>
    <w:rsid w:val="473C62ED"/>
    <w:rsid w:val="475B1F20"/>
    <w:rsid w:val="47617242"/>
    <w:rsid w:val="478C16C9"/>
    <w:rsid w:val="47BD246B"/>
    <w:rsid w:val="47CB2B0C"/>
    <w:rsid w:val="47E773CE"/>
    <w:rsid w:val="47EE2C9A"/>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2A7C37"/>
    <w:rsid w:val="4E30647F"/>
    <w:rsid w:val="4EBA03C3"/>
    <w:rsid w:val="4EBC5459"/>
    <w:rsid w:val="4ED94CB0"/>
    <w:rsid w:val="4EEC2ED3"/>
    <w:rsid w:val="4F022516"/>
    <w:rsid w:val="4F0B7724"/>
    <w:rsid w:val="4F0E56EA"/>
    <w:rsid w:val="4F2E11BC"/>
    <w:rsid w:val="4F3C4343"/>
    <w:rsid w:val="4F416688"/>
    <w:rsid w:val="4F5620B0"/>
    <w:rsid w:val="4F616EB4"/>
    <w:rsid w:val="4F6654EE"/>
    <w:rsid w:val="4F7379C6"/>
    <w:rsid w:val="4F872BDB"/>
    <w:rsid w:val="4FA033E9"/>
    <w:rsid w:val="4FA743DA"/>
    <w:rsid w:val="4FB3565A"/>
    <w:rsid w:val="500656EA"/>
    <w:rsid w:val="503D1C79"/>
    <w:rsid w:val="507A6406"/>
    <w:rsid w:val="50853863"/>
    <w:rsid w:val="508A4590"/>
    <w:rsid w:val="50F1461D"/>
    <w:rsid w:val="50FE5411"/>
    <w:rsid w:val="510B072E"/>
    <w:rsid w:val="511B0BF4"/>
    <w:rsid w:val="512534EE"/>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C26F6F"/>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7F511C3"/>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AB1837"/>
    <w:rsid w:val="5BBB2DD6"/>
    <w:rsid w:val="5BE263B6"/>
    <w:rsid w:val="5C8E5C5A"/>
    <w:rsid w:val="5C965E61"/>
    <w:rsid w:val="5CF5796F"/>
    <w:rsid w:val="5D242A11"/>
    <w:rsid w:val="5D4848EE"/>
    <w:rsid w:val="5D9217C2"/>
    <w:rsid w:val="5DAD06BF"/>
    <w:rsid w:val="5DE23CB3"/>
    <w:rsid w:val="5DE97EEC"/>
    <w:rsid w:val="5DFA5EB0"/>
    <w:rsid w:val="5E000E4D"/>
    <w:rsid w:val="5E0B583E"/>
    <w:rsid w:val="5E201A7B"/>
    <w:rsid w:val="5E3C62C4"/>
    <w:rsid w:val="5EBD0484"/>
    <w:rsid w:val="5F2C5C7C"/>
    <w:rsid w:val="5F36141C"/>
    <w:rsid w:val="5F4C3354"/>
    <w:rsid w:val="5FC5273F"/>
    <w:rsid w:val="604F6C39"/>
    <w:rsid w:val="60806DF2"/>
    <w:rsid w:val="60B713CD"/>
    <w:rsid w:val="61072DA5"/>
    <w:rsid w:val="611C0817"/>
    <w:rsid w:val="61224A52"/>
    <w:rsid w:val="61520CCB"/>
    <w:rsid w:val="61724C72"/>
    <w:rsid w:val="61851A29"/>
    <w:rsid w:val="622D1522"/>
    <w:rsid w:val="622E0574"/>
    <w:rsid w:val="62630E4B"/>
    <w:rsid w:val="62683B6B"/>
    <w:rsid w:val="626D63D0"/>
    <w:rsid w:val="6275761C"/>
    <w:rsid w:val="62816E52"/>
    <w:rsid w:val="62AC5944"/>
    <w:rsid w:val="632F3F8A"/>
    <w:rsid w:val="637279B4"/>
    <w:rsid w:val="63817D2B"/>
    <w:rsid w:val="63BD1FA9"/>
    <w:rsid w:val="63C23FC4"/>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9EA02D1"/>
    <w:rsid w:val="6A0E3FB4"/>
    <w:rsid w:val="6A240C4C"/>
    <w:rsid w:val="6A292754"/>
    <w:rsid w:val="6A5E3B28"/>
    <w:rsid w:val="6A6B1EBE"/>
    <w:rsid w:val="6A77261D"/>
    <w:rsid w:val="6A8F43F7"/>
    <w:rsid w:val="6A9B4287"/>
    <w:rsid w:val="6AD625F3"/>
    <w:rsid w:val="6B7218BE"/>
    <w:rsid w:val="6B750BA9"/>
    <w:rsid w:val="6BB93285"/>
    <w:rsid w:val="6C0C698C"/>
    <w:rsid w:val="6C222401"/>
    <w:rsid w:val="6C56267F"/>
    <w:rsid w:val="6C731A76"/>
    <w:rsid w:val="6C826EF9"/>
    <w:rsid w:val="6CAE4C93"/>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0EF7D93"/>
    <w:rsid w:val="710B3646"/>
    <w:rsid w:val="711759F2"/>
    <w:rsid w:val="7129563E"/>
    <w:rsid w:val="713C4ED8"/>
    <w:rsid w:val="71407642"/>
    <w:rsid w:val="71641210"/>
    <w:rsid w:val="71D95B7C"/>
    <w:rsid w:val="71EA6A50"/>
    <w:rsid w:val="71FE31A8"/>
    <w:rsid w:val="720C30AE"/>
    <w:rsid w:val="721F6113"/>
    <w:rsid w:val="7233782C"/>
    <w:rsid w:val="729D2152"/>
    <w:rsid w:val="72DC3F1C"/>
    <w:rsid w:val="73177841"/>
    <w:rsid w:val="733774FE"/>
    <w:rsid w:val="73617E1B"/>
    <w:rsid w:val="736D7653"/>
    <w:rsid w:val="738035CB"/>
    <w:rsid w:val="73852C46"/>
    <w:rsid w:val="7396335C"/>
    <w:rsid w:val="73F46595"/>
    <w:rsid w:val="74283FA2"/>
    <w:rsid w:val="742C135B"/>
    <w:rsid w:val="74463733"/>
    <w:rsid w:val="745D5487"/>
    <w:rsid w:val="748A2F40"/>
    <w:rsid w:val="74F85778"/>
    <w:rsid w:val="75272439"/>
    <w:rsid w:val="75752F8D"/>
    <w:rsid w:val="7578403C"/>
    <w:rsid w:val="758F1E9B"/>
    <w:rsid w:val="75CE266B"/>
    <w:rsid w:val="76120141"/>
    <w:rsid w:val="768216BE"/>
    <w:rsid w:val="76C23B43"/>
    <w:rsid w:val="76DA1737"/>
    <w:rsid w:val="76FD6F97"/>
    <w:rsid w:val="770218E8"/>
    <w:rsid w:val="7762556B"/>
    <w:rsid w:val="779469CE"/>
    <w:rsid w:val="77C875A5"/>
    <w:rsid w:val="77E552D2"/>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777AC6"/>
    <w:rsid w:val="7DFB6D82"/>
    <w:rsid w:val="7E1D71D1"/>
    <w:rsid w:val="7E246254"/>
    <w:rsid w:val="7E6D090F"/>
    <w:rsid w:val="7ECC66B2"/>
    <w:rsid w:val="7F2914C3"/>
    <w:rsid w:val="7F4C66EA"/>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0"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字符"/>
    <w:link w:val="3"/>
    <w:qFormat/>
    <w:uiPriority w:val="0"/>
    <w:rPr>
      <w:rFonts w:ascii="Calibri Light" w:hAnsi="Calibri Light" w:eastAsia="宋体" w:cs="Times New Roman"/>
      <w:b/>
      <w:bCs/>
      <w:sz w:val="28"/>
      <w:szCs w:val="32"/>
    </w:rPr>
  </w:style>
  <w:style w:type="character" w:customStyle="1" w:styleId="16">
    <w:name w:val="页脚 字符"/>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字符"/>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字符"/>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996ACE-787C-412D-91B2-87BD10C3E55F}">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27</Pages>
  <Words>925</Words>
  <Characters>5279</Characters>
  <Lines>43</Lines>
  <Paragraphs>12</Paragraphs>
  <TotalTime>0</TotalTime>
  <ScaleCrop>false</ScaleCrop>
  <LinksUpToDate>false</LinksUpToDate>
  <CharactersWithSpaces>6192</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2024-10-08T09:03:00Z</dcterms:created>
  <dc:creator>王明新TIAD</dc:creator>
  <cp:lastModifiedBy>Administrator</cp:lastModifiedBy>
  <cp:lastPrinted>2024-10-15T03:45:00Z</cp:lastPrinted>
  <dcterms:modified xsi:type="dcterms:W3CDTF">2024-10-26T03:41:29Z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