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202青龙满族自治县信访局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299.17</w:t>
            </w:r>
          </w:p>
        </w:tc>
        <w:tc>
          <w:tcPr>
            <w:tcW w:w="4535" w:type="dxa"/>
            <w:vAlign w:val="center"/>
          </w:tcPr>
          <w:p>
            <w:pPr>
              <w:pStyle w:val="12"/>
            </w:pPr>
            <w:r>
              <w:t>一、一般公共服务支出</w:t>
            </w:r>
          </w:p>
        </w:tc>
        <w:tc>
          <w:tcPr>
            <w:tcW w:w="2126" w:type="dxa"/>
            <w:vAlign w:val="center"/>
          </w:tcPr>
          <w:p>
            <w:pPr>
              <w:pStyle w:val="11"/>
            </w:pPr>
            <w:r>
              <w:t>283.44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299.17</w:t>
            </w:r>
          </w:p>
        </w:tc>
        <w:tc>
          <w:tcPr>
            <w:tcW w:w="4535" w:type="dxa"/>
            <w:vAlign w:val="center"/>
          </w:tcPr>
          <w:p>
            <w:pPr>
              <w:pStyle w:val="14"/>
            </w:pPr>
            <w:r>
              <w:t>本年支出合计</w:t>
            </w:r>
          </w:p>
        </w:tc>
        <w:tc>
          <w:tcPr>
            <w:tcW w:w="2126" w:type="dxa"/>
            <w:vAlign w:val="center"/>
          </w:tcPr>
          <w:p>
            <w:pPr>
              <w:pStyle w:val="15"/>
            </w:pPr>
            <w:r>
              <w:t>325.55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26.38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325.55</w:t>
            </w:r>
          </w:p>
        </w:tc>
        <w:tc>
          <w:tcPr>
            <w:tcW w:w="4535" w:type="dxa"/>
            <w:vAlign w:val="center"/>
          </w:tcPr>
          <w:p>
            <w:pPr>
              <w:pStyle w:val="14"/>
            </w:pPr>
            <w:r>
              <w:t>支出总计</w:t>
            </w:r>
          </w:p>
        </w:tc>
        <w:tc>
          <w:tcPr>
            <w:tcW w:w="2126" w:type="dxa"/>
            <w:vAlign w:val="center"/>
          </w:tcPr>
          <w:p>
            <w:pPr>
              <w:pStyle w:val="15"/>
            </w:pPr>
            <w:r>
              <w:t>325.55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202青龙满族自治县信访局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325.55</w:t>
            </w:r>
          </w:p>
        </w:tc>
        <w:tc>
          <w:tcPr>
            <w:tcW w:w="1134" w:type="dxa"/>
            <w:vAlign w:val="center"/>
          </w:tcPr>
          <w:p>
            <w:pPr>
              <w:pStyle w:val="15"/>
            </w:pPr>
            <w:r>
              <w:t>299.17</w:t>
            </w:r>
          </w:p>
        </w:tc>
        <w:tc>
          <w:tcPr>
            <w:tcW w:w="1134" w:type="dxa"/>
            <w:vAlign w:val="center"/>
          </w:tcPr>
          <w:p>
            <w:pPr>
              <w:pStyle w:val="15"/>
            </w:pPr>
            <w:r>
              <w:t>299.17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26.38</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283.44</w:t>
            </w:r>
          </w:p>
        </w:tc>
        <w:tc>
          <w:tcPr>
            <w:tcW w:w="1134" w:type="dxa"/>
            <w:vAlign w:val="center"/>
          </w:tcPr>
          <w:p>
            <w:pPr>
              <w:pStyle w:val="11"/>
            </w:pPr>
            <w:r>
              <w:t>257.35</w:t>
            </w:r>
          </w:p>
        </w:tc>
        <w:tc>
          <w:tcPr>
            <w:tcW w:w="1134" w:type="dxa"/>
            <w:vAlign w:val="center"/>
          </w:tcPr>
          <w:p>
            <w:pPr>
              <w:pStyle w:val="11"/>
            </w:pPr>
            <w:r>
              <w:t>257.35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283.44</w:t>
            </w:r>
          </w:p>
        </w:tc>
        <w:tc>
          <w:tcPr>
            <w:tcW w:w="1134" w:type="dxa"/>
            <w:vAlign w:val="center"/>
          </w:tcPr>
          <w:p>
            <w:pPr>
              <w:pStyle w:val="11"/>
            </w:pPr>
            <w:r>
              <w:t>257.35</w:t>
            </w:r>
          </w:p>
        </w:tc>
        <w:tc>
          <w:tcPr>
            <w:tcW w:w="1134" w:type="dxa"/>
            <w:vAlign w:val="center"/>
          </w:tcPr>
          <w:p>
            <w:pPr>
              <w:pStyle w:val="11"/>
            </w:pPr>
            <w:r>
              <w:t>257.35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143.57</w:t>
            </w:r>
          </w:p>
        </w:tc>
        <w:tc>
          <w:tcPr>
            <w:tcW w:w="1134" w:type="dxa"/>
            <w:vAlign w:val="center"/>
          </w:tcPr>
          <w:p>
            <w:pPr>
              <w:pStyle w:val="11"/>
            </w:pPr>
            <w:r>
              <w:t>143.35</w:t>
            </w:r>
          </w:p>
        </w:tc>
        <w:tc>
          <w:tcPr>
            <w:tcW w:w="1134" w:type="dxa"/>
            <w:vAlign w:val="center"/>
          </w:tcPr>
          <w:p>
            <w:pPr>
              <w:pStyle w:val="11"/>
            </w:pPr>
            <w:r>
              <w:t>143.35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2014003</w:t>
            </w:r>
          </w:p>
        </w:tc>
        <w:tc>
          <w:tcPr>
            <w:tcW w:w="1559" w:type="dxa"/>
            <w:vAlign w:val="center"/>
          </w:tcPr>
          <w:p>
            <w:pPr>
              <w:pStyle w:val="12"/>
            </w:pPr>
            <w:r>
              <w:t>机关服务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131.87</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24.07</w:t>
            </w:r>
          </w:p>
        </w:tc>
        <w:tc>
          <w:tcPr>
            <w:tcW w:w="1134" w:type="dxa"/>
            <w:vAlign w:val="center"/>
          </w:tcPr>
          <w:p>
            <w:pPr>
              <w:pStyle w:val="11"/>
            </w:pPr>
            <w:r>
              <w:t>23.78</w:t>
            </w:r>
          </w:p>
        </w:tc>
        <w:tc>
          <w:tcPr>
            <w:tcW w:w="1134" w:type="dxa"/>
            <w:vAlign w:val="center"/>
          </w:tcPr>
          <w:p>
            <w:pPr>
              <w:pStyle w:val="11"/>
            </w:pPr>
            <w:r>
              <w:t>23.78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2.08</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2.08</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325.55</w:t>
            </w:r>
          </w:p>
        </w:tc>
        <w:tc>
          <w:tcPr>
            <w:tcW w:w="1361" w:type="dxa"/>
            <w:vAlign w:val="center"/>
          </w:tcPr>
          <w:p>
            <w:pPr>
              <w:pStyle w:val="15"/>
            </w:pPr>
            <w:r>
              <w:t>185.81</w:t>
            </w:r>
          </w:p>
        </w:tc>
        <w:tc>
          <w:tcPr>
            <w:tcW w:w="1361" w:type="dxa"/>
            <w:vAlign w:val="center"/>
          </w:tcPr>
          <w:p>
            <w:pPr>
              <w:pStyle w:val="15"/>
            </w:pPr>
            <w:r>
              <w:t>139.74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283.44</w:t>
            </w:r>
          </w:p>
        </w:tc>
        <w:tc>
          <w:tcPr>
            <w:tcW w:w="1361" w:type="dxa"/>
            <w:vAlign w:val="center"/>
          </w:tcPr>
          <w:p>
            <w:pPr>
              <w:pStyle w:val="11"/>
            </w:pPr>
            <w:r>
              <w:t>143.71</w:t>
            </w:r>
          </w:p>
        </w:tc>
        <w:tc>
          <w:tcPr>
            <w:tcW w:w="1361" w:type="dxa"/>
            <w:vAlign w:val="center"/>
          </w:tcPr>
          <w:p>
            <w:pPr>
              <w:pStyle w:val="11"/>
            </w:pPr>
            <w:r>
              <w:t>139.74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283.44</w:t>
            </w:r>
          </w:p>
        </w:tc>
        <w:tc>
          <w:tcPr>
            <w:tcW w:w="1361" w:type="dxa"/>
            <w:vAlign w:val="center"/>
          </w:tcPr>
          <w:p>
            <w:pPr>
              <w:pStyle w:val="11"/>
            </w:pPr>
            <w:r>
              <w:t>143.71</w:t>
            </w:r>
          </w:p>
        </w:tc>
        <w:tc>
          <w:tcPr>
            <w:tcW w:w="1361" w:type="dxa"/>
            <w:vAlign w:val="center"/>
          </w:tcPr>
          <w:p>
            <w:pPr>
              <w:pStyle w:val="11"/>
            </w:pPr>
            <w:r>
              <w:t>139.74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143.57</w:t>
            </w:r>
          </w:p>
        </w:tc>
        <w:tc>
          <w:tcPr>
            <w:tcW w:w="1361" w:type="dxa"/>
            <w:vAlign w:val="center"/>
          </w:tcPr>
          <w:p>
            <w:pPr>
              <w:pStyle w:val="11"/>
            </w:pPr>
            <w:r>
              <w:t>143.57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2014003</w:t>
            </w:r>
          </w:p>
        </w:tc>
        <w:tc>
          <w:tcPr>
            <w:tcW w:w="4535" w:type="dxa"/>
            <w:vAlign w:val="center"/>
          </w:tcPr>
          <w:p>
            <w:pPr>
              <w:pStyle w:val="12"/>
            </w:pPr>
            <w:r>
              <w:t>机关服务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131.87</w:t>
            </w:r>
          </w:p>
        </w:tc>
        <w:tc>
          <w:tcPr>
            <w:tcW w:w="1361" w:type="dxa"/>
            <w:vAlign w:val="center"/>
          </w:tcPr>
          <w:p>
            <w:pPr>
              <w:pStyle w:val="11"/>
            </w:pPr>
            <w:r>
              <w:t>0.13</w:t>
            </w:r>
          </w:p>
        </w:tc>
        <w:tc>
          <w:tcPr>
            <w:tcW w:w="1361" w:type="dxa"/>
            <w:vAlign w:val="center"/>
          </w:tcPr>
          <w:p>
            <w:pPr>
              <w:pStyle w:val="11"/>
            </w:pPr>
            <w:r>
              <w:t>131.74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24.07</w:t>
            </w:r>
          </w:p>
        </w:tc>
        <w:tc>
          <w:tcPr>
            <w:tcW w:w="1361" w:type="dxa"/>
            <w:vAlign w:val="center"/>
          </w:tcPr>
          <w:p>
            <w:pPr>
              <w:pStyle w:val="11"/>
            </w:pPr>
            <w:r>
              <w:t>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21.99</w:t>
            </w:r>
          </w:p>
        </w:tc>
        <w:tc>
          <w:tcPr>
            <w:tcW w:w="1361" w:type="dxa"/>
            <w:vAlign w:val="center"/>
          </w:tcPr>
          <w:p>
            <w:pPr>
              <w:pStyle w:val="11"/>
            </w:pPr>
            <w:r>
              <w:t>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4.24</w:t>
            </w:r>
          </w:p>
        </w:tc>
        <w:tc>
          <w:tcPr>
            <w:tcW w:w="1361" w:type="dxa"/>
            <w:vAlign w:val="center"/>
          </w:tcPr>
          <w:p>
            <w:pPr>
              <w:pStyle w:val="11"/>
            </w:pPr>
            <w:r>
              <w:t>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17.76</w:t>
            </w:r>
          </w:p>
        </w:tc>
        <w:tc>
          <w:tcPr>
            <w:tcW w:w="1361" w:type="dxa"/>
            <w:vAlign w:val="center"/>
          </w:tcPr>
          <w:p>
            <w:pPr>
              <w:pStyle w:val="11"/>
            </w:pPr>
            <w:r>
              <w:t>17.76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8.93</w:t>
            </w:r>
          </w:p>
        </w:tc>
        <w:tc>
          <w:tcPr>
            <w:tcW w:w="1361" w:type="dxa"/>
            <w:vAlign w:val="center"/>
          </w:tcPr>
          <w:p>
            <w:pPr>
              <w:pStyle w:val="11"/>
            </w:pPr>
            <w:r>
              <w:t>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8.93</w:t>
            </w:r>
          </w:p>
        </w:tc>
        <w:tc>
          <w:tcPr>
            <w:tcW w:w="1361" w:type="dxa"/>
            <w:vAlign w:val="center"/>
          </w:tcPr>
          <w:p>
            <w:pPr>
              <w:pStyle w:val="11"/>
            </w:pPr>
            <w:r>
              <w:t>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299.17</w:t>
            </w:r>
          </w:p>
        </w:tc>
        <w:tc>
          <w:tcPr>
            <w:tcW w:w="3402" w:type="dxa"/>
            <w:vAlign w:val="center"/>
          </w:tcPr>
          <w:p>
            <w:pPr>
              <w:pStyle w:val="12"/>
            </w:pPr>
            <w:r>
              <w:t>一、一般公共服务支出</w:t>
            </w:r>
          </w:p>
        </w:tc>
        <w:tc>
          <w:tcPr>
            <w:tcW w:w="1474" w:type="dxa"/>
            <w:vAlign w:val="center"/>
          </w:tcPr>
          <w:p>
            <w:pPr>
              <w:pStyle w:val="11"/>
            </w:pPr>
            <w:r>
              <w:t>283.44</w:t>
            </w:r>
          </w:p>
        </w:tc>
        <w:tc>
          <w:tcPr>
            <w:tcW w:w="1474" w:type="dxa"/>
            <w:vAlign w:val="center"/>
          </w:tcPr>
          <w:p>
            <w:pPr>
              <w:pStyle w:val="11"/>
            </w:pPr>
            <w:r>
              <w:t>283.44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24.07</w:t>
            </w:r>
          </w:p>
        </w:tc>
        <w:tc>
          <w:tcPr>
            <w:tcW w:w="1474" w:type="dxa"/>
            <w:vAlign w:val="center"/>
          </w:tcPr>
          <w:p>
            <w:pPr>
              <w:pStyle w:val="11"/>
            </w:pPr>
            <w:r>
              <w:t>24.07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8.93</w:t>
            </w:r>
          </w:p>
        </w:tc>
        <w:tc>
          <w:tcPr>
            <w:tcW w:w="1474" w:type="dxa"/>
            <w:vAlign w:val="center"/>
          </w:tcPr>
          <w:p>
            <w:pPr>
              <w:pStyle w:val="11"/>
            </w:pPr>
            <w:r>
              <w:t>8.93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9.10</w:t>
            </w:r>
          </w:p>
        </w:tc>
        <w:tc>
          <w:tcPr>
            <w:tcW w:w="1474" w:type="dxa"/>
            <w:vAlign w:val="center"/>
          </w:tcPr>
          <w:p>
            <w:pPr>
              <w:pStyle w:val="11"/>
            </w:pPr>
            <w:r>
              <w:t>9.10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299.17</w:t>
            </w:r>
          </w:p>
        </w:tc>
        <w:tc>
          <w:tcPr>
            <w:tcW w:w="3402" w:type="dxa"/>
            <w:vAlign w:val="center"/>
          </w:tcPr>
          <w:p>
            <w:pPr>
              <w:pStyle w:val="14"/>
            </w:pPr>
            <w:r>
              <w:t>本年支出合计</w:t>
            </w:r>
          </w:p>
        </w:tc>
        <w:tc>
          <w:tcPr>
            <w:tcW w:w="1474" w:type="dxa"/>
            <w:vAlign w:val="center"/>
          </w:tcPr>
          <w:p>
            <w:pPr>
              <w:pStyle w:val="15"/>
            </w:pPr>
            <w:r>
              <w:t>325.55</w:t>
            </w:r>
          </w:p>
        </w:tc>
        <w:tc>
          <w:tcPr>
            <w:tcW w:w="1474" w:type="dxa"/>
            <w:vAlign w:val="center"/>
          </w:tcPr>
          <w:p>
            <w:pPr>
              <w:pStyle w:val="15"/>
            </w:pPr>
            <w:r>
              <w:t>325.55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26.38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26.38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325.55</w:t>
            </w:r>
          </w:p>
        </w:tc>
        <w:tc>
          <w:tcPr>
            <w:tcW w:w="3402" w:type="dxa"/>
            <w:vAlign w:val="center"/>
          </w:tcPr>
          <w:p>
            <w:pPr>
              <w:pStyle w:val="14"/>
            </w:pPr>
            <w:r>
              <w:t>支出总计</w:t>
            </w:r>
          </w:p>
        </w:tc>
        <w:tc>
          <w:tcPr>
            <w:tcW w:w="1474" w:type="dxa"/>
            <w:vAlign w:val="center"/>
          </w:tcPr>
          <w:p>
            <w:pPr>
              <w:pStyle w:val="15"/>
            </w:pPr>
            <w:r>
              <w:t>325.55</w:t>
            </w:r>
          </w:p>
        </w:tc>
        <w:tc>
          <w:tcPr>
            <w:tcW w:w="1474" w:type="dxa"/>
            <w:vAlign w:val="center"/>
          </w:tcPr>
          <w:p>
            <w:pPr>
              <w:pStyle w:val="15"/>
            </w:pPr>
            <w:r>
              <w:t>325.55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325.55</w:t>
            </w:r>
          </w:p>
        </w:tc>
        <w:tc>
          <w:tcPr>
            <w:tcW w:w="2551" w:type="dxa"/>
            <w:vAlign w:val="center"/>
          </w:tcPr>
          <w:p>
            <w:pPr>
              <w:pStyle w:val="15"/>
            </w:pPr>
            <w:r>
              <w:t>185.81</w:t>
            </w:r>
          </w:p>
        </w:tc>
        <w:tc>
          <w:tcPr>
            <w:tcW w:w="2551" w:type="dxa"/>
            <w:vAlign w:val="center"/>
          </w:tcPr>
          <w:p>
            <w:pPr>
              <w:pStyle w:val="15"/>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283.44</w:t>
            </w:r>
          </w:p>
        </w:tc>
        <w:tc>
          <w:tcPr>
            <w:tcW w:w="2551" w:type="dxa"/>
            <w:vAlign w:val="center"/>
          </w:tcPr>
          <w:p>
            <w:pPr>
              <w:pStyle w:val="11"/>
            </w:pPr>
            <w:r>
              <w:t>143.71</w:t>
            </w:r>
          </w:p>
        </w:tc>
        <w:tc>
          <w:tcPr>
            <w:tcW w:w="2551" w:type="dxa"/>
            <w:vAlign w:val="center"/>
          </w:tcPr>
          <w:p>
            <w:pPr>
              <w:pStyle w:val="11"/>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283.44</w:t>
            </w:r>
          </w:p>
        </w:tc>
        <w:tc>
          <w:tcPr>
            <w:tcW w:w="2551" w:type="dxa"/>
            <w:vAlign w:val="center"/>
          </w:tcPr>
          <w:p>
            <w:pPr>
              <w:pStyle w:val="11"/>
            </w:pPr>
            <w:r>
              <w:t>143.71</w:t>
            </w:r>
          </w:p>
        </w:tc>
        <w:tc>
          <w:tcPr>
            <w:tcW w:w="2551" w:type="dxa"/>
            <w:vAlign w:val="center"/>
          </w:tcPr>
          <w:p>
            <w:pPr>
              <w:pStyle w:val="11"/>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143.57</w:t>
            </w:r>
          </w:p>
        </w:tc>
        <w:tc>
          <w:tcPr>
            <w:tcW w:w="2551" w:type="dxa"/>
            <w:vAlign w:val="center"/>
          </w:tcPr>
          <w:p>
            <w:pPr>
              <w:pStyle w:val="11"/>
            </w:pPr>
            <w:r>
              <w:t>143.57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2014003</w:t>
            </w:r>
          </w:p>
        </w:tc>
        <w:tc>
          <w:tcPr>
            <w:tcW w:w="4535" w:type="dxa"/>
            <w:vAlign w:val="center"/>
          </w:tcPr>
          <w:p>
            <w:pPr>
              <w:pStyle w:val="12"/>
            </w:pPr>
            <w:r>
              <w:t>机关服务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131.87</w:t>
            </w:r>
          </w:p>
        </w:tc>
        <w:tc>
          <w:tcPr>
            <w:tcW w:w="2551" w:type="dxa"/>
            <w:vAlign w:val="center"/>
          </w:tcPr>
          <w:p>
            <w:pPr>
              <w:pStyle w:val="11"/>
            </w:pPr>
            <w:r>
              <w:t>0.13</w:t>
            </w:r>
          </w:p>
        </w:tc>
        <w:tc>
          <w:tcPr>
            <w:tcW w:w="2551" w:type="dxa"/>
            <w:vAlign w:val="center"/>
          </w:tcPr>
          <w:p>
            <w:pPr>
              <w:pStyle w:val="11"/>
            </w:pPr>
            <w:r>
              <w:t>131.74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24.07</w:t>
            </w:r>
          </w:p>
        </w:tc>
        <w:tc>
          <w:tcPr>
            <w:tcW w:w="2551" w:type="dxa"/>
            <w:vAlign w:val="center"/>
          </w:tcPr>
          <w:p>
            <w:pPr>
              <w:pStyle w:val="11"/>
            </w:pPr>
            <w:r>
              <w:t>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8.93</w:t>
            </w:r>
          </w:p>
        </w:tc>
        <w:tc>
          <w:tcPr>
            <w:tcW w:w="2551" w:type="dxa"/>
            <w:vAlign w:val="center"/>
          </w:tcPr>
          <w:p>
            <w:pPr>
              <w:pStyle w:val="11"/>
            </w:pPr>
            <w:r>
              <w:t>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8.93</w:t>
            </w:r>
          </w:p>
        </w:tc>
        <w:tc>
          <w:tcPr>
            <w:tcW w:w="2551" w:type="dxa"/>
            <w:vAlign w:val="center"/>
          </w:tcPr>
          <w:p>
            <w:pPr>
              <w:pStyle w:val="11"/>
            </w:pPr>
            <w:r>
              <w:t>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185.81</w:t>
            </w:r>
          </w:p>
        </w:tc>
        <w:tc>
          <w:tcPr>
            <w:tcW w:w="2551" w:type="dxa"/>
            <w:vAlign w:val="center"/>
          </w:tcPr>
          <w:p>
            <w:pPr>
              <w:pStyle w:val="15"/>
            </w:pPr>
            <w:r>
              <w:t>158.71</w:t>
            </w:r>
          </w:p>
        </w:tc>
        <w:tc>
          <w:tcPr>
            <w:tcW w:w="2551" w:type="dxa"/>
            <w:vAlign w:val="center"/>
          </w:tcPr>
          <w:p>
            <w:pPr>
              <w:pStyle w:val="15"/>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152.39</w:t>
            </w:r>
          </w:p>
        </w:tc>
        <w:tc>
          <w:tcPr>
            <w:tcW w:w="2551" w:type="dxa"/>
            <w:vAlign w:val="center"/>
          </w:tcPr>
          <w:p>
            <w:pPr>
              <w:pStyle w:val="11"/>
            </w:pPr>
            <w:r>
              <w:t>152.39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64.69</w:t>
            </w:r>
          </w:p>
        </w:tc>
        <w:tc>
          <w:tcPr>
            <w:tcW w:w="2551" w:type="dxa"/>
            <w:vAlign w:val="center"/>
          </w:tcPr>
          <w:p>
            <w:pPr>
              <w:pStyle w:val="11"/>
            </w:pPr>
            <w:r>
              <w:t>64.69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31.49</w:t>
            </w:r>
          </w:p>
        </w:tc>
        <w:tc>
          <w:tcPr>
            <w:tcW w:w="2551" w:type="dxa"/>
            <w:vAlign w:val="center"/>
          </w:tcPr>
          <w:p>
            <w:pPr>
              <w:pStyle w:val="11"/>
            </w:pPr>
            <w:r>
              <w:t>31.49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12.85</w:t>
            </w:r>
          </w:p>
        </w:tc>
        <w:tc>
          <w:tcPr>
            <w:tcW w:w="2551" w:type="dxa"/>
            <w:vAlign w:val="center"/>
          </w:tcPr>
          <w:p>
            <w:pPr>
              <w:pStyle w:val="11"/>
            </w:pPr>
            <w:r>
              <w:t>12.85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8.63</w:t>
            </w:r>
          </w:p>
        </w:tc>
        <w:tc>
          <w:tcPr>
            <w:tcW w:w="2551" w:type="dxa"/>
            <w:vAlign w:val="center"/>
          </w:tcPr>
          <w:p>
            <w:pPr>
              <w:pStyle w:val="11"/>
            </w:pPr>
            <w:r>
              <w:t>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0.85</w:t>
            </w:r>
          </w:p>
        </w:tc>
        <w:tc>
          <w:tcPr>
            <w:tcW w:w="2551" w:type="dxa"/>
            <w:vAlign w:val="center"/>
          </w:tcPr>
          <w:p>
            <w:pPr>
              <w:pStyle w:val="11"/>
            </w:pPr>
            <w:r>
              <w:t>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27.11</w:t>
            </w:r>
          </w:p>
        </w:tc>
        <w:tc>
          <w:tcPr>
            <w:tcW w:w="2551" w:type="dxa"/>
            <w:vAlign w:val="center"/>
          </w:tcPr>
          <w:p>
            <w:pPr>
              <w:pStyle w:val="11"/>
            </w:pPr>
          </w:p>
        </w:tc>
        <w:tc>
          <w:tcPr>
            <w:tcW w:w="2551" w:type="dxa"/>
            <w:vAlign w:val="center"/>
          </w:tcPr>
          <w:p>
            <w:pPr>
              <w:pStyle w:val="11"/>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7.92</w:t>
            </w:r>
          </w:p>
        </w:tc>
        <w:tc>
          <w:tcPr>
            <w:tcW w:w="2551" w:type="dxa"/>
            <w:vAlign w:val="center"/>
          </w:tcPr>
          <w:p>
            <w:pPr>
              <w:pStyle w:val="11"/>
            </w:pPr>
          </w:p>
        </w:tc>
        <w:tc>
          <w:tcPr>
            <w:tcW w:w="2551" w:type="dxa"/>
            <w:vAlign w:val="center"/>
          </w:tcPr>
          <w:p>
            <w:pPr>
              <w:pStyle w:val="11"/>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6.32</w:t>
            </w:r>
          </w:p>
        </w:tc>
        <w:tc>
          <w:tcPr>
            <w:tcW w:w="2551" w:type="dxa"/>
            <w:vAlign w:val="center"/>
          </w:tcPr>
          <w:p>
            <w:pPr>
              <w:pStyle w:val="11"/>
            </w:pPr>
            <w:r>
              <w:t>6.32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202青龙满族自治县信访局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青龙满族自治县信访局2024年部门预算信息公开情况说明</w:t>
      </w:r>
    </w:p>
    <w:p>
      <w:pPr>
        <w:jc w:val="center"/>
      </w:pPr>
      <w:r>
        <w:rPr>
          <w:rFonts w:ascii="方正小标宋_GBK" w:hAnsi="方正小标宋_GBK" w:eastAsia="方正小标宋_GBK" w:cs="方正小标宋_GBK"/>
          <w:color w:val="000000"/>
          <w:sz w:val="44"/>
        </w:rPr>
        <w:t>青龙满族自治县信访局2024年部门预算信息公开情况说明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按照《中华人民共和国预算法》、《地方预决算公开操作规程》和《关于进一步推进预算公开工作的实施意见》规定，现将青龙满族自治县信访局2024年部门预算公开如下：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pPr>
      <w:r>
        <w:rPr>
          <w:rFonts w:ascii="方正楷体_GBK" w:hAnsi="方正楷体_GBK" w:eastAsia="方正楷体_GBK" w:cs="方正楷体_GBK"/>
          <w:b/>
          <w:color w:val="000000"/>
          <w:sz w:val="32"/>
        </w:rPr>
        <w:t>部门职责：</w:t>
      </w:r>
      <w:r>
        <w:rPr>
          <w:rFonts w:eastAsia="方正仿宋_GBK"/>
          <w:color w:val="000000"/>
          <w:sz w:val="28"/>
        </w:rPr>
        <w:t>按照《中华人民共和国预算法》、《地方预决算公开操作规程》和《关于进一步推进预算公开工作的实施意见》规定，现将青龙满族自治县信访局本级2024年单位预算公开如下：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30"/>
      </w:pPr>
      <w:r>
        <w:rPr>
          <w:rFonts w:ascii="方正楷体_GBK" w:hAnsi="方正楷体_GBK" w:eastAsia="方正楷体_GBK" w:cs="方正楷体_GBK"/>
          <w:b/>
          <w:color w:val="000000"/>
          <w:sz w:val="32"/>
        </w:rPr>
        <w:t>单位职责：</w:t>
      </w:r>
      <w:r>
        <w:t>1.组织协调机关日常政务工作；</w:t>
      </w:r>
    </w:p>
    <w:p>
      <w:pPr>
        <w:pStyle w:val="30"/>
      </w:pPr>
      <w:r>
        <w:t>负责会议组织、文秘事务、信访信息、对外宣传、机要通信、信件管理、档案管理、保守秘密、安全保卫、计划生育等行政事务；负责群众工作中心的日常管理工作。</w:t>
      </w:r>
    </w:p>
    <w:p>
      <w:pPr>
        <w:pStyle w:val="30"/>
      </w:pPr>
      <w:r>
        <w:t>2.接待日常群众来访，处理群众来信，做上访群众的疏导工作；</w:t>
      </w:r>
    </w:p>
    <w:p>
      <w:pPr>
        <w:pStyle w:val="30"/>
      </w:pPr>
      <w:r>
        <w:t>(1)接待日常群众来信来访；</w:t>
      </w:r>
    </w:p>
    <w:p>
      <w:pPr>
        <w:pStyle w:val="30"/>
      </w:pPr>
      <w:r>
        <w:t>(2）联系、预约县级领导接待来访；</w:t>
      </w:r>
    </w:p>
    <w:p>
      <w:pPr>
        <w:pStyle w:val="30"/>
      </w:pPr>
      <w:r>
        <w:t>(3）组织、协调各</w:t>
      </w:r>
      <w:r>
        <w:rPr>
          <w:rFonts w:hint="eastAsia"/>
          <w:lang w:eastAsia="zh-CN"/>
        </w:rPr>
        <w:t>单位</w:t>
      </w:r>
      <w:r>
        <w:t>集中接访，联系相关</w:t>
      </w:r>
      <w:r>
        <w:rPr>
          <w:rFonts w:hint="eastAsia"/>
          <w:lang w:eastAsia="zh-CN"/>
        </w:rPr>
        <w:t>单位</w:t>
      </w:r>
      <w:r>
        <w:t>日常到信访局接访；</w:t>
      </w:r>
    </w:p>
    <w:p>
      <w:pPr>
        <w:pStyle w:val="30"/>
      </w:pPr>
      <w:r>
        <w:t>(4）协助县级领导接访，维持接访秩序；</w:t>
      </w:r>
    </w:p>
    <w:p>
      <w:pPr>
        <w:pStyle w:val="30"/>
      </w:pPr>
      <w:r>
        <w:t>(5)负责来信来访登记、各项信访统计报表上报工作;</w:t>
      </w:r>
    </w:p>
    <w:p>
      <w:pPr>
        <w:pStyle w:val="30"/>
      </w:pPr>
      <w:r>
        <w:t>(6)负责人民群众建议征集和整理工作。</w:t>
      </w:r>
    </w:p>
    <w:p>
      <w:pPr>
        <w:pStyle w:val="30"/>
      </w:pPr>
      <w:r>
        <w:t>3.承办中央、省、市、县四级交办及领导转办交办的各类信访案件及信访矛盾纠纷和隐患排查工作；</w:t>
      </w:r>
    </w:p>
    <w:p>
      <w:pPr>
        <w:pStyle w:val="30"/>
      </w:pPr>
      <w:r>
        <w:t>（1）承办中央、省、市、县四级交办及领导转办交办的各类信访案件；</w:t>
      </w:r>
    </w:p>
    <w:p>
      <w:pPr>
        <w:pStyle w:val="30"/>
      </w:pPr>
      <w:r>
        <w:t>(2）负责各类矛盾纠纷和信访隐患、信访信息排查工作；</w:t>
      </w:r>
    </w:p>
    <w:p>
      <w:pPr>
        <w:pStyle w:val="30"/>
      </w:pPr>
      <w:r>
        <w:t>(3）负责中央、省、市三级交办案件结案材料的起草、上报等各项工作。</w:t>
      </w:r>
    </w:p>
    <w:p>
      <w:pPr>
        <w:pStyle w:val="30"/>
      </w:pPr>
      <w:r>
        <w:t>4.督导、检查领导批办及上级信访</w:t>
      </w:r>
      <w:r>
        <w:rPr>
          <w:rFonts w:hint="eastAsia"/>
          <w:lang w:eastAsia="zh-CN"/>
        </w:rPr>
        <w:t>单位</w:t>
      </w:r>
      <w:r>
        <w:t>交办的各类信访案件；</w:t>
      </w:r>
    </w:p>
    <w:p>
      <w:pPr>
        <w:pStyle w:val="30"/>
      </w:pPr>
      <w:r>
        <w:t>（1）督导、检查领导批办及上级信访</w:t>
      </w:r>
      <w:r>
        <w:rPr>
          <w:rFonts w:hint="eastAsia"/>
          <w:lang w:eastAsia="zh-CN"/>
        </w:rPr>
        <w:t>单位</w:t>
      </w:r>
      <w:r>
        <w:t>交办的各类信访案件，协调、帮助、指导各乡镇各</w:t>
      </w:r>
      <w:r>
        <w:rPr>
          <w:rFonts w:hint="eastAsia"/>
          <w:lang w:eastAsia="zh-CN"/>
        </w:rPr>
        <w:t>单位</w:t>
      </w:r>
      <w:r>
        <w:t>办理信访案件；</w:t>
      </w:r>
    </w:p>
    <w:p>
      <w:pPr>
        <w:pStyle w:val="30"/>
      </w:pPr>
      <w:r>
        <w:t>（2）对乡镇及县直</w:t>
      </w:r>
      <w:r>
        <w:rPr>
          <w:rFonts w:hint="eastAsia"/>
          <w:lang w:eastAsia="zh-CN"/>
        </w:rPr>
        <w:t>单位</w:t>
      </w:r>
      <w:r>
        <w:t>信访工作进行年度考核；</w:t>
      </w:r>
    </w:p>
    <w:p>
      <w:pPr>
        <w:pStyle w:val="30"/>
      </w:pPr>
      <w:r>
        <w:t>（3）通过河北省信访信息系统，及时检查有关乡镇和</w:t>
      </w:r>
      <w:r>
        <w:rPr>
          <w:rFonts w:hint="eastAsia"/>
          <w:lang w:eastAsia="zh-CN"/>
        </w:rPr>
        <w:t>单位</w:t>
      </w:r>
      <w:r>
        <w:t>案件办理情况。</w:t>
      </w:r>
    </w:p>
    <w:p>
      <w:pPr>
        <w:pStyle w:val="30"/>
      </w:pPr>
      <w:r>
        <w:t>5.受理信访人对各工作</w:t>
      </w:r>
      <w:r>
        <w:rPr>
          <w:rFonts w:hint="eastAsia"/>
          <w:lang w:eastAsia="zh-CN"/>
        </w:rPr>
        <w:t>单位</w:t>
      </w:r>
      <w:r>
        <w:t>及乡镇党委、政府就信访事项所做处理意见不服而提出的复查请求。</w:t>
      </w:r>
    </w:p>
    <w:p>
      <w:pPr>
        <w:pStyle w:val="30"/>
      </w:pPr>
      <w:r>
        <w:t>畅通信访渠道、完善信访复查程序，有效化解信访矛盾，降低越级访和重复访率。受理信访人对县委、县政府各工作</w:t>
      </w:r>
      <w:r>
        <w:rPr>
          <w:rFonts w:hint="eastAsia"/>
          <w:lang w:eastAsia="zh-CN"/>
        </w:rPr>
        <w:t>单位</w:t>
      </w:r>
      <w:r>
        <w:t>及乡镇党委、政府就信访事项所做处理意见不服而向县委、县政府提出复查请求，依法依规按规定期限向信访人出具信访答复。</w:t>
      </w:r>
    </w:p>
    <w:p>
      <w:pPr>
        <w:pStyle w:val="30"/>
      </w:pPr>
      <w:r>
        <w:t>6.做好信访维稳值班工作</w:t>
      </w:r>
    </w:p>
    <w:p>
      <w:pPr>
        <w:pStyle w:val="30"/>
      </w:pPr>
      <w:r>
        <w:t>根据省、市信访工作联席会议办公室的有关通知要求，各级“两会”、国家、省、市重大活动、北戴河旅游旺季等期间，到北京、石家庄、秦皇岛及北戴河值班，负责组织协调、稳控劝返工作。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31"/>
      </w:pPr>
      <w:r>
        <w:t>按照预算管理有关规定，目前我</w:t>
      </w:r>
      <w:r>
        <w:rPr>
          <w:rFonts w:hint="eastAsia"/>
          <w:lang w:val="en-US" w:eastAsia="zh-CN"/>
        </w:rPr>
        <w:t>部门</w:t>
      </w:r>
      <w:r>
        <w:t>预算的编制实行综合预算管理，即全部收入和支出都反映在预算中。信访局机关及所属事业单位的收支包含在</w:t>
      </w:r>
      <w:r>
        <w:rPr>
          <w:rFonts w:hint="eastAsia"/>
          <w:lang w:val="en-US" w:eastAsia="zh-CN"/>
        </w:rPr>
        <w:t>部门</w:t>
      </w:r>
      <w:r>
        <w:t>预算中。</w:t>
      </w:r>
    </w:p>
    <w:p>
      <w:pPr>
        <w:pStyle w:val="31"/>
      </w:pPr>
      <w:r>
        <w:t>1.收入说明</w:t>
      </w:r>
    </w:p>
    <w:p>
      <w:pPr>
        <w:pStyle w:val="31"/>
        <w:rPr>
          <w:rFonts w:hint="eastAsia"/>
          <w:lang w:val="en-US" w:eastAsia="zh-CN"/>
        </w:rPr>
      </w:pPr>
      <w:r>
        <w:t>反映</w:t>
      </w:r>
      <w:r>
        <w:rPr>
          <w:rFonts w:hint="eastAsia"/>
          <w:lang w:val="en-US" w:eastAsia="zh-CN"/>
        </w:rPr>
        <w:t>本部门</w:t>
      </w:r>
      <w:r>
        <w:t>当年全部收入。</w:t>
      </w:r>
      <w:r>
        <w:rPr>
          <w:rFonts w:hint="eastAsia"/>
          <w:lang w:eastAsia="zh-CN"/>
        </w:rPr>
        <w:t>2024</w:t>
      </w:r>
      <w:r>
        <w:t>年预算收入</w:t>
      </w:r>
      <w:r>
        <w:rPr>
          <w:rFonts w:hint="eastAsia"/>
          <w:lang w:val="en-US" w:eastAsia="zh-CN"/>
        </w:rPr>
        <w:t>325.55</w:t>
      </w:r>
      <w:r>
        <w:t>万元，其中：一般公共预算收入</w:t>
      </w:r>
      <w:r>
        <w:rPr>
          <w:rFonts w:hint="eastAsia"/>
          <w:lang w:val="en-US" w:eastAsia="zh-CN"/>
        </w:rPr>
        <w:t>325.55</w:t>
      </w:r>
      <w:r>
        <w:t>万元。</w:t>
      </w:r>
    </w:p>
    <w:p>
      <w:pPr>
        <w:pStyle w:val="31"/>
      </w:pPr>
      <w:r>
        <w:t>2.支出说明</w:t>
      </w:r>
    </w:p>
    <w:p>
      <w:pPr>
        <w:pStyle w:val="31"/>
        <w:rPr>
          <w:b w:val="0"/>
          <w:bCs w:val="0"/>
        </w:rPr>
      </w:pPr>
      <w:bookmarkStart w:id="11" w:name="_Toc_3_3_0000000012"/>
      <w:r>
        <w:t>收支预算总表支出栏、基本支出表、项目支出表按经济分类和支出功能分类科目编制，反映信访局</w:t>
      </w:r>
      <w:r>
        <w:rPr>
          <w:rFonts w:hint="eastAsia"/>
          <w:lang w:val="en-US" w:eastAsia="zh-CN"/>
        </w:rPr>
        <w:t>部门</w:t>
      </w:r>
      <w:r>
        <w:t>年度单位预算中支出预算的总体情况。</w:t>
      </w:r>
      <w:r>
        <w:rPr>
          <w:rFonts w:hint="eastAsia"/>
          <w:lang w:eastAsia="zh-CN"/>
        </w:rPr>
        <w:t>2024</w:t>
      </w:r>
      <w:r>
        <w:t>年支出预算</w:t>
      </w:r>
      <w:r>
        <w:rPr>
          <w:rFonts w:hint="eastAsia"/>
          <w:lang w:val="en-US" w:eastAsia="zh-CN"/>
        </w:rPr>
        <w:t>325.55</w:t>
      </w:r>
      <w:r>
        <w:t>万元，其中基本支出</w:t>
      </w:r>
      <w:r>
        <w:rPr>
          <w:rFonts w:hint="eastAsia"/>
          <w:lang w:val="en-US" w:eastAsia="zh-CN"/>
        </w:rPr>
        <w:t>185.81</w:t>
      </w:r>
      <w:r>
        <w:t>万元，包括人员经费</w:t>
      </w:r>
      <w:r>
        <w:rPr>
          <w:rFonts w:hint="eastAsia"/>
          <w:lang w:val="en-US" w:eastAsia="zh-CN"/>
        </w:rPr>
        <w:t>158.71</w:t>
      </w:r>
      <w:r>
        <w:t>万元</w:t>
      </w:r>
      <w:r>
        <w:rPr>
          <w:rFonts w:hint="eastAsia"/>
          <w:lang w:eastAsia="zh-CN"/>
        </w:rPr>
        <w:t>（</w:t>
      </w:r>
      <w:r>
        <w:rPr>
          <w:rFonts w:hint="eastAsia"/>
          <w:lang w:val="en-US" w:eastAsia="zh-CN"/>
        </w:rPr>
        <w:t>本年预算158.2万元，上年结转0.51万元</w:t>
      </w:r>
      <w:r>
        <w:rPr>
          <w:rFonts w:hint="eastAsia"/>
          <w:lang w:eastAsia="zh-CN"/>
        </w:rPr>
        <w:t>）</w:t>
      </w:r>
      <w:r>
        <w:t>和日常公用经费</w:t>
      </w:r>
      <w:r>
        <w:rPr>
          <w:rFonts w:hint="eastAsia"/>
          <w:lang w:val="en-US" w:eastAsia="zh-CN"/>
        </w:rPr>
        <w:t>27.11</w:t>
      </w:r>
      <w:r>
        <w:t>万元</w:t>
      </w:r>
      <w:r>
        <w:rPr>
          <w:rFonts w:hint="eastAsia"/>
          <w:lang w:eastAsia="zh-CN"/>
        </w:rPr>
        <w:t>（</w:t>
      </w:r>
      <w:r>
        <w:rPr>
          <w:rFonts w:hint="eastAsia"/>
          <w:lang w:val="en-US" w:eastAsia="zh-CN"/>
        </w:rPr>
        <w:t>本年预算26.98万元，上年结转0.13万元</w:t>
      </w:r>
      <w:r>
        <w:rPr>
          <w:rFonts w:hint="eastAsia"/>
          <w:lang w:eastAsia="zh-CN"/>
        </w:rPr>
        <w:t>）</w:t>
      </w:r>
      <w:r>
        <w:t>；项目支出</w:t>
      </w:r>
      <w:r>
        <w:rPr>
          <w:rFonts w:hint="eastAsia"/>
          <w:lang w:val="en-US" w:eastAsia="zh-CN"/>
        </w:rPr>
        <w:t>139.74</w:t>
      </w:r>
      <w:r>
        <w:t>万元，主要为群众工作中心运行经费8万元、特殊疑难信访问题救助资金县级配套25万元、群众工作中心聘用法律服务费1万元、信访维稳经费80万元</w:t>
      </w:r>
      <w:r>
        <w:rPr>
          <w:b w:val="0"/>
          <w:bCs w:val="0"/>
        </w:rPr>
        <w:t>,上年结转</w:t>
      </w:r>
      <w:r>
        <w:rPr>
          <w:rFonts w:hint="eastAsia"/>
          <w:b w:val="0"/>
          <w:bCs w:val="0"/>
          <w:lang w:val="en-US" w:eastAsia="zh-CN"/>
        </w:rPr>
        <w:t>25.74</w:t>
      </w:r>
      <w:r>
        <w:rPr>
          <w:b w:val="0"/>
          <w:bCs w:val="0"/>
        </w:rPr>
        <w:t>万元。</w:t>
      </w:r>
    </w:p>
    <w:p>
      <w:pPr>
        <w:pStyle w:val="31"/>
      </w:pPr>
      <w:r>
        <w:t>3.比上年增减情况</w:t>
      </w:r>
      <w:r>
        <w:rPr>
          <w:rFonts w:hint="eastAsia"/>
          <w:lang w:eastAsia="zh-CN"/>
        </w:rPr>
        <w:t>：2024</w:t>
      </w:r>
      <w:r>
        <w:t>年预算收支安排</w:t>
      </w:r>
      <w:r>
        <w:rPr>
          <w:rFonts w:hint="eastAsia"/>
          <w:lang w:val="en-US" w:eastAsia="zh-CN"/>
        </w:rPr>
        <w:t>325.55</w:t>
      </w:r>
      <w:r>
        <w:t>万元，较202</w:t>
      </w:r>
      <w:r>
        <w:rPr>
          <w:rFonts w:hint="eastAsia"/>
          <w:lang w:val="en-US" w:eastAsia="zh-CN"/>
        </w:rPr>
        <w:t>3</w:t>
      </w:r>
      <w:r>
        <w:t>年</w:t>
      </w:r>
      <w:r>
        <w:rPr>
          <w:rFonts w:hint="eastAsia"/>
          <w:lang w:val="en-US" w:eastAsia="zh-CN"/>
        </w:rPr>
        <w:t>增加19.97万元，主要是因为2023年度结转和增加人员1人</w:t>
      </w:r>
      <w:r>
        <w:t>。</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32"/>
      </w:pPr>
      <w:r>
        <w:rPr>
          <w:rFonts w:hint="eastAsia"/>
          <w:lang w:eastAsia="zh-CN"/>
        </w:rPr>
        <w:t>2024</w:t>
      </w:r>
      <w:r>
        <w:t>年，我</w:t>
      </w:r>
      <w:r>
        <w:rPr>
          <w:rFonts w:hint="eastAsia"/>
          <w:lang w:val="en-US" w:eastAsia="zh-CN"/>
        </w:rPr>
        <w:t>部门</w:t>
      </w:r>
      <w:r>
        <w:t>运行经费共计安排</w:t>
      </w:r>
      <w:r>
        <w:rPr>
          <w:rFonts w:hint="eastAsia"/>
          <w:lang w:val="en-US" w:eastAsia="zh-CN"/>
        </w:rPr>
        <w:t>27.11</w:t>
      </w:r>
      <w:r>
        <w:t>万元，主要用于信访局办公经费1.</w:t>
      </w:r>
      <w:r>
        <w:rPr>
          <w:rFonts w:hint="eastAsia"/>
          <w:lang w:val="en-US" w:eastAsia="zh-CN"/>
        </w:rPr>
        <w:t>6</w:t>
      </w:r>
      <w:r>
        <w:t>万元，水费0.1</w:t>
      </w:r>
      <w:r>
        <w:rPr>
          <w:rFonts w:hint="eastAsia"/>
          <w:lang w:val="en-US" w:eastAsia="zh-CN"/>
        </w:rPr>
        <w:t>9</w:t>
      </w:r>
      <w:r>
        <w:t>万元、电费1.</w:t>
      </w:r>
      <w:r>
        <w:rPr>
          <w:rFonts w:hint="eastAsia"/>
          <w:lang w:val="en-US" w:eastAsia="zh-CN"/>
        </w:rPr>
        <w:t>6</w:t>
      </w:r>
      <w:r>
        <w:t>万元、取暖费7.9229万元、电话费</w:t>
      </w:r>
      <w:r>
        <w:rPr>
          <w:rFonts w:hint="eastAsia"/>
          <w:lang w:val="en-US" w:eastAsia="zh-CN"/>
        </w:rPr>
        <w:t>和</w:t>
      </w:r>
      <w:r>
        <w:t>网络维修（护）费</w:t>
      </w:r>
      <w:r>
        <w:rPr>
          <w:rFonts w:hint="eastAsia"/>
          <w:lang w:val="en-US" w:eastAsia="zh-CN"/>
        </w:rPr>
        <w:t>5.60</w:t>
      </w:r>
      <w:r>
        <w:t>万元、公务接待费0.8万元、公务用车运行维护费</w:t>
      </w:r>
      <w:r>
        <w:rPr>
          <w:rFonts w:hint="eastAsia"/>
          <w:lang w:val="en-US" w:eastAsia="zh-CN"/>
        </w:rPr>
        <w:t>2.07</w:t>
      </w:r>
      <w:r>
        <w:t>万元、其他交通费用7.</w:t>
      </w:r>
      <w:r>
        <w:rPr>
          <w:rFonts w:hint="eastAsia"/>
          <w:lang w:val="en-US" w:eastAsia="zh-CN"/>
        </w:rPr>
        <w:t>8</w:t>
      </w:r>
      <w:r>
        <w:t>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3"/>
      </w:pPr>
      <w:r>
        <w:t>202</w:t>
      </w:r>
      <w:r>
        <w:rPr>
          <w:rFonts w:hint="eastAsia"/>
          <w:lang w:val="en-US" w:eastAsia="zh-CN"/>
        </w:rPr>
        <w:t>4</w:t>
      </w:r>
      <w:r>
        <w:t>年，我单位财政拨款“三公”经费预算安排2.4万元，其中因公出国（境）费0万元，同比无变化，原因是无因公出国（境）安排；公务用车购置及运维费</w:t>
      </w:r>
      <w:r>
        <w:rPr>
          <w:rFonts w:hint="eastAsia"/>
          <w:lang w:val="en-US" w:eastAsia="zh-CN"/>
        </w:rPr>
        <w:t>1.6</w:t>
      </w:r>
      <w:r>
        <w:t>万元（其中：公务用车购置费为0万元，公务用车运维费</w:t>
      </w:r>
      <w:r>
        <w:rPr>
          <w:rFonts w:hint="eastAsia"/>
          <w:lang w:val="en-US" w:eastAsia="zh-CN"/>
        </w:rPr>
        <w:t>1.6</w:t>
      </w:r>
      <w:r>
        <w:t>万元)，与上年</w:t>
      </w:r>
      <w:r>
        <w:rPr>
          <w:rFonts w:hint="eastAsia"/>
          <w:lang w:val="en-US" w:eastAsia="zh-CN"/>
        </w:rPr>
        <w:t>持平</w:t>
      </w:r>
      <w:r>
        <w:t>；公务接待费0.8万元，与上年持平。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第一部分 部门整体绩效目标</w:t>
      </w:r>
    </w:p>
    <w:p>
      <w:pPr>
        <w:pStyle w:val="21"/>
      </w:pPr>
      <w:r>
        <w:t>（第一部分 单位整体绩效目标</w:t>
      </w:r>
    </w:p>
    <w:p>
      <w:pPr>
        <w:pStyle w:val="21"/>
      </w:pPr>
      <w:r>
        <w:t>（一）总体绩效目标</w:t>
      </w:r>
    </w:p>
    <w:p>
      <w:pPr>
        <w:pStyle w:val="21"/>
      </w:pPr>
      <w:r>
        <w:t>总体绩效目标：</w:t>
      </w:r>
    </w:p>
    <w:p>
      <w:pPr>
        <w:pStyle w:val="21"/>
      </w:pPr>
      <w:r>
        <w:t>1、组织协调机关日常党务、政务工作；</w:t>
      </w:r>
    </w:p>
    <w:p>
      <w:pPr>
        <w:pStyle w:val="21"/>
      </w:pPr>
      <w:r>
        <w:t>2、接待日常群众来访，处理群众来信，做上访群众的疏导工作；</w:t>
      </w:r>
    </w:p>
    <w:p>
      <w:pPr>
        <w:pStyle w:val="21"/>
      </w:pPr>
      <w:r>
        <w:t>3、承办中央、省、市、县交办及领导转办交办的各类信访案件及信访矛盾纠纷和隐患排查工作；</w:t>
      </w:r>
    </w:p>
    <w:p>
      <w:pPr>
        <w:pStyle w:val="21"/>
      </w:pPr>
      <w:r>
        <w:t>4、承办国家、省、市信访局网上交办信访案件，县本级网上信访案件受理工作；</w:t>
      </w:r>
    </w:p>
    <w:p>
      <w:pPr>
        <w:pStyle w:val="21"/>
      </w:pPr>
      <w:r>
        <w:t>5、按规定做好各级特殊疑难信访救助资金的使用；</w:t>
      </w:r>
    </w:p>
    <w:p>
      <w:pPr>
        <w:pStyle w:val="21"/>
      </w:pPr>
      <w:r>
        <w:t>6、督导、检查领导批办及上级信访部门交办的各类信访案件；</w:t>
      </w:r>
    </w:p>
    <w:p>
      <w:pPr>
        <w:pStyle w:val="21"/>
      </w:pPr>
      <w:r>
        <w:t>7、受理信访人对各工作部门及乡镇党委、政府就信访事项所做处理意见不服而提出的复查请求；</w:t>
      </w:r>
    </w:p>
    <w:p>
      <w:pPr>
        <w:pStyle w:val="21"/>
      </w:pPr>
      <w:r>
        <w:t>8、做好信访维稳值班工作。</w:t>
      </w:r>
    </w:p>
    <w:p>
      <w:pPr>
        <w:pStyle w:val="21"/>
      </w:pPr>
      <w:r>
        <w:t>（二）分项绩效目标</w:t>
      </w:r>
    </w:p>
    <w:p>
      <w:pPr>
        <w:pStyle w:val="21"/>
      </w:pPr>
      <w:r>
        <w:t>（一）信访工作</w:t>
      </w:r>
    </w:p>
    <w:p>
      <w:pPr>
        <w:pStyle w:val="21"/>
      </w:pPr>
      <w:r>
        <w:t>绩效目标:协助上级信访局处理越级上访听证,畅通信访渠道，提高信访事项办理质量和效率,减少信访案件，维护社会和谐稳定；</w:t>
      </w:r>
    </w:p>
    <w:p>
      <w:pPr>
        <w:pStyle w:val="21"/>
      </w:pPr>
      <w:r>
        <w:t>绩效指标：</w:t>
      </w:r>
    </w:p>
    <w:p>
      <w:pPr>
        <w:pStyle w:val="21"/>
      </w:pPr>
      <w:r>
        <w:t>参与信访日常接待和处理信访案件数≥40件。</w:t>
      </w:r>
    </w:p>
    <w:p>
      <w:pPr>
        <w:pStyle w:val="21"/>
      </w:pPr>
      <w:r>
        <w:t>进京赴省到市访下降≥35百分比。</w:t>
      </w:r>
    </w:p>
    <w:p>
      <w:pPr>
        <w:pStyle w:val="21"/>
      </w:pPr>
      <w:r>
        <w:t>（二）维稳工作</w:t>
      </w:r>
    </w:p>
    <w:p>
      <w:pPr>
        <w:pStyle w:val="21"/>
      </w:pPr>
      <w:r>
        <w:t>绩效目标: 处置影响社会政治稳定的各类非访、突发性、群体性事件；组织协调、稳控劝返、服务保障我县越级非访工作。</w:t>
      </w:r>
    </w:p>
    <w:p>
      <w:pPr>
        <w:pStyle w:val="21"/>
      </w:pPr>
      <w:r>
        <w:t>绩效指标：</w:t>
      </w:r>
    </w:p>
    <w:p>
      <w:pPr>
        <w:pStyle w:val="21"/>
      </w:pPr>
      <w:r>
        <w:t>解决特殊疑难信访个案件数≥8件。</w:t>
      </w:r>
    </w:p>
    <w:p>
      <w:pPr>
        <w:pStyle w:val="21"/>
      </w:pPr>
      <w:r>
        <w:t>北京、石家庄、秦皇岛信访值班任务及接劝返工作次数≤147次。</w:t>
      </w:r>
    </w:p>
    <w:p>
      <w:pPr>
        <w:pStyle w:val="21"/>
      </w:pPr>
      <w:r>
        <w:t>（三）工作保障措施</w:t>
      </w:r>
    </w:p>
    <w:p>
      <w:pPr>
        <w:pStyle w:val="21"/>
      </w:pPr>
      <w:r>
        <w:t>1.进一步深入研究我县信访工作历史成因、现状及下一步管控办法，重点完善新时代符合青龙实际、管用的工作新机制，特别是在压实各级责任及考核管理方面，充分调动各方力量积极性；在强化社会治理方面，出台相关制度文件，调动一切积极因素，形成维护社会稳定就是促进社会发展的共识。全党动员，全民动手，切实解决群众合理诉求，做好重大敏感期信访维稳工作，形成全县信访工作强大合力。</w:t>
      </w:r>
    </w:p>
    <w:p>
      <w:pPr>
        <w:pStyle w:val="21"/>
      </w:pPr>
      <w:r>
        <w:t>2.进一步强化信访老案、骨头案、钉子案集中攻坚行动作为信访稳定工作抓手，深入推进“</w:t>
      </w:r>
      <w:bookmarkStart w:id="20" w:name="_GoBack"/>
      <w:bookmarkEnd w:id="20"/>
      <w:r>
        <w:t>不忘初心</w:t>
      </w:r>
      <w:r>
        <w:rPr>
          <w:rFonts w:hint="eastAsia"/>
          <w:lang w:eastAsia="zh-CN"/>
        </w:rPr>
        <w:t>、</w:t>
      </w:r>
      <w:r>
        <w:t>牢记使命”主题教育，重视解决群众的心里事、烦心事，努力把矛盾问题化解在当地，化解在基层，化解在源头。</w:t>
      </w:r>
    </w:p>
    <w:p>
      <w:pPr>
        <w:pStyle w:val="21"/>
      </w:pPr>
      <w:r>
        <w:t>3.进一步强化初信初访办理工作。针对初信初访化解乏力现象，县联席办按照《关于开展初信初访源头预防有效控制信访增量实施方案》，对乡镇部门的初信初访化解率和息诉率进行考核，做到初信初访化解率达到100%，息诉息访率达到100%，对初信初访结案不及时、息诉息访率低实行倒排通报并上报县联席会议第一召集人。</w:t>
      </w:r>
    </w:p>
    <w:p>
      <w:pPr>
        <w:pStyle w:val="21"/>
      </w:pPr>
      <w:r>
        <w:t>4.进一步强化信访积案攻坚化解工作，提高息诉息访率。所有纳入信访积案攻坚化解的信访案件虽已全部办结，但是息诉息访率较低，县联席办将持续用力，充分利用相关资源，将所有信访积案实现清仓见底。</w:t>
      </w:r>
    </w:p>
    <w:p>
      <w:pPr>
        <w:pStyle w:val="21"/>
      </w:pPr>
      <w:r>
        <w:t>5.进一步强化“大走访、大排查、大攻坚” 活动成为常态化，结合其他中心工作，与群众零距离，密切党群、干群关系，全力做好群众工作，为今后敏感期信访稳定工作打下坚实基础。</w:t>
      </w:r>
    </w:p>
    <w:p>
      <w:pPr>
        <w:pStyle w:val="21"/>
      </w:pPr>
      <w:r>
        <w:t>6.进一步强化“阳光信访、责任信访、法治信访”，加大网上信访办理力度；强化双向治访，加大对信访工作主体责任落实跟踪督办、追责问责力度，对长期缠访、闹访的违法上访行为要依法打击，净化信访环境，规范信访秩序。</w:t>
      </w:r>
    </w:p>
    <w:p>
      <w:pPr>
        <w:spacing w:line="500" w:lineRule="exact"/>
        <w:ind w:firstLine="560"/>
      </w:pPr>
      <w:r>
        <w:rPr>
          <w:rFonts w:eastAsia="方正仿宋_GBK"/>
          <w:color w:val="000000"/>
          <w:sz w:val="28"/>
        </w:rPr>
        <w:t>（二）分项绩效目标</w:t>
      </w:r>
    </w:p>
    <w:p>
      <w:pPr>
        <w:pStyle w:val="22"/>
      </w:pPr>
      <w:r>
        <w:t>（一）信访工作</w:t>
      </w:r>
    </w:p>
    <w:p>
      <w:pPr>
        <w:pStyle w:val="22"/>
      </w:pPr>
      <w:r>
        <w:t>绩效目标:协助上级信访局处理越级上访听证,畅通信访渠道，提高信访事项办理质量和效率,减少信访案件，维护社会和谐稳定；</w:t>
      </w:r>
    </w:p>
    <w:p>
      <w:pPr>
        <w:pStyle w:val="22"/>
      </w:pPr>
      <w:r>
        <w:t>绩效指标：</w:t>
      </w:r>
    </w:p>
    <w:p>
      <w:pPr>
        <w:pStyle w:val="22"/>
      </w:pPr>
      <w:r>
        <w:t>参与信访日常接待和处理信访案件数≥40件。</w:t>
      </w:r>
    </w:p>
    <w:p>
      <w:pPr>
        <w:pStyle w:val="22"/>
      </w:pPr>
      <w:r>
        <w:t>进京赴省到市访下降≥35百分比。</w:t>
      </w:r>
    </w:p>
    <w:p>
      <w:pPr>
        <w:pStyle w:val="22"/>
      </w:pPr>
      <w:r>
        <w:t>（二）维稳工作</w:t>
      </w:r>
    </w:p>
    <w:p>
      <w:pPr>
        <w:pStyle w:val="22"/>
      </w:pPr>
      <w:r>
        <w:t>绩效目标: 处置影响社会政治稳定的各类非访、突发性、群体性事件；组织协调、稳控劝返、服务保障我县越级非访工作。</w:t>
      </w:r>
    </w:p>
    <w:p>
      <w:pPr>
        <w:pStyle w:val="22"/>
      </w:pPr>
      <w:r>
        <w:t>绩效指标：</w:t>
      </w:r>
    </w:p>
    <w:p>
      <w:pPr>
        <w:pStyle w:val="22"/>
      </w:pPr>
      <w:r>
        <w:t>解决特殊疑难信访个案件数≥8件。</w:t>
      </w:r>
    </w:p>
    <w:p>
      <w:pPr>
        <w:pStyle w:val="22"/>
      </w:pPr>
      <w:r>
        <w:t>北京、石家庄、秦皇岛信访值班任务及接劝返工作次数≤147次。</w:t>
      </w:r>
    </w:p>
    <w:p>
      <w:pPr>
        <w:spacing w:line="500" w:lineRule="exact"/>
        <w:ind w:firstLine="560"/>
      </w:pPr>
      <w:r>
        <w:rPr>
          <w:rFonts w:eastAsia="方正仿宋_GBK"/>
          <w:color w:val="000000"/>
          <w:sz w:val="28"/>
        </w:rPr>
        <w:t>（三）工作保障措施</w:t>
      </w:r>
    </w:p>
    <w:p>
      <w:pPr>
        <w:pStyle w:val="23"/>
      </w:pPr>
      <w:r>
        <w:t>1.进一步深入研究我县信访工作历史成因、现状及下一步管控办法，重点完善新时代符合青龙实际、管用的工作新机制，特别是在压实各级责任及考核管理方面，充分调动各方力量积极性；在强化社会治理方面，出台相关制度文件，调动一切积极因素，形成维护社会稳定就是促进社会发展的共识。全党动员，全民动手，切实解决群众合理诉求，做好重大敏感期信访维稳工作，形成全县信访工作强大合力。</w:t>
      </w:r>
    </w:p>
    <w:p>
      <w:pPr>
        <w:pStyle w:val="23"/>
      </w:pPr>
      <w:r>
        <w:t>2.进一步强化信访老案、骨头案、钉子案集中攻坚行动作为信访稳定工作抓手，深入推进“不忘初心</w:t>
      </w:r>
      <w:r>
        <w:rPr>
          <w:rFonts w:hint="eastAsia"/>
          <w:lang w:eastAsia="zh-CN"/>
        </w:rPr>
        <w:t>、</w:t>
      </w:r>
      <w:r>
        <w:t>牢记使命”主题教育，重视解决群众的心里事、烦心事，努力把矛盾问题化解在当地，化解在基层，化解在源头。</w:t>
      </w:r>
    </w:p>
    <w:p>
      <w:pPr>
        <w:pStyle w:val="23"/>
      </w:pPr>
      <w:r>
        <w:t>3.进一步强化初信初访办理工作。针对初信初访化解乏力现象，县联席办按照《关于开展初信初访源头预防有效控制信访增量实施方案》，对乡镇部门的初信初访化解率和息诉率进行考核，做到初信初访化解率达到100%，息诉息访率达到100%，对初信初访结案不及时、息诉息访率低实行倒排通报并上报县联席会议第一召集人。</w:t>
      </w:r>
    </w:p>
    <w:p>
      <w:pPr>
        <w:pStyle w:val="23"/>
      </w:pPr>
      <w:r>
        <w:t>4.进一步强化信访积案攻坚化解工作，提高息诉息访率。所有纳入信访积案攻坚化解的信访案件虽已全部办结，但是息诉息访率较低，县联席办将持续用力，充分利用相关资源，将所有信访积案实现清仓见底。</w:t>
      </w:r>
    </w:p>
    <w:p>
      <w:pPr>
        <w:pStyle w:val="23"/>
      </w:pPr>
      <w:r>
        <w:t>5.进一步强化“大走访、大排查、大攻坚” 活动成为常态化，结合其他中心工作，与群众零距离，密切党群、干群关系，全力做好群众工作，为今后敏感期信访稳定工作打下坚实基础。</w:t>
      </w:r>
    </w:p>
    <w:p>
      <w:pPr>
        <w:pStyle w:val="23"/>
        <w:sectPr>
          <w:pgSz w:w="16840" w:h="11900" w:orient="landscape"/>
          <w:pgMar w:top="1361" w:right="1020" w:bottom="1361" w:left="1020" w:header="720" w:footer="720" w:gutter="0"/>
          <w:cols w:space="720" w:num="1"/>
        </w:sectPr>
      </w:pPr>
      <w:r>
        <w:t>6.进一步强化“阳光信访、责任信访、法治信访”，加大网上信访办理力度；强化双向治访，加大对信访工作主体责任落实跟踪督办、追责问责力度，对长期缠访、闹访的违法上访行为要依法打击，净化信访环境，规范信访秩序。</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0" w:after="0" w:line="240" w:lineRule="auto"/>
        <w:ind w:firstLine="640"/>
        <w:jc w:val="left"/>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无专项资金</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bookmarkStart w:id="16" w:name="_Toc_3_3_0000000017"/>
      <w:r>
        <w:rPr>
          <w:rFonts w:ascii="方正仿宋_GBK" w:hAnsi="方正仿宋_GBK" w:eastAsia="方正仿宋_GBK" w:cs="方正仿宋_GBK"/>
          <w:b/>
          <w:color w:val="000000"/>
          <w:sz w:val="28"/>
        </w:rPr>
        <w:t>1、群众工作中心聘用法律服务费绩效目标表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13032123P00331710078D</w:t>
            </w:r>
          </w:p>
        </w:tc>
        <w:tc>
          <w:tcPr>
            <w:tcW w:w="2835" w:type="dxa"/>
            <w:vAlign w:val="center"/>
          </w:tcPr>
          <w:p>
            <w:pPr>
              <w:pStyle w:val="10"/>
            </w:pPr>
            <w:r>
              <w:t>项目名称</w:t>
            </w:r>
          </w:p>
        </w:tc>
        <w:tc>
          <w:tcPr>
            <w:tcW w:w="6094" w:type="dxa"/>
            <w:gridSpan w:val="3"/>
            <w:vAlign w:val="center"/>
          </w:tcPr>
          <w:p>
            <w:pPr>
              <w:pStyle w:val="12"/>
            </w:pPr>
            <w:r>
              <w:t>群众工作中心聘用法律服务费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预算数1万元，其中财政资金1万元，主要用于支出县群众工作中心聘请的律师服务费用。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1.通过聘请专业的法律服务并发挥律师专业优势，实现重大政策与法律法规的有效衔接。</w:t>
            </w:r>
            <w:r>
              <w:tab/>
            </w:r>
            <w:r>
              <w:tab/>
            </w:r>
            <w:r>
              <w:tab/>
            </w:r>
            <w:r>
              <w:tab/>
            </w:r>
            <w:r>
              <w:tab/>
            </w:r>
            <w:r>
              <w:tab/>
            </w:r>
          </w:p>
          <w:p>
            <w:pPr>
              <w:pStyle w:val="12"/>
            </w:pPr>
            <w:r>
              <w:t>2.通过促进案件化解率的提升，提高依法决策水平，提升政府公信力，推动法治政府建设。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律师人数</w:t>
            </w:r>
          </w:p>
        </w:tc>
        <w:tc>
          <w:tcPr>
            <w:tcW w:w="5386" w:type="dxa"/>
            <w:vAlign w:val="center"/>
          </w:tcPr>
          <w:p>
            <w:pPr>
              <w:pStyle w:val="12"/>
            </w:pPr>
            <w:r>
              <w:t>聘请律师参与信访案件</w:t>
            </w:r>
          </w:p>
        </w:tc>
        <w:tc>
          <w:tcPr>
            <w:tcW w:w="2268" w:type="dxa"/>
            <w:vAlign w:val="center"/>
          </w:tcPr>
          <w:p>
            <w:pPr>
              <w:pStyle w:val="12"/>
            </w:pPr>
            <w:r>
              <w:t>1人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信访案件数量</w:t>
            </w:r>
          </w:p>
        </w:tc>
        <w:tc>
          <w:tcPr>
            <w:tcW w:w="5386" w:type="dxa"/>
            <w:vAlign w:val="center"/>
          </w:tcPr>
          <w:p>
            <w:pPr>
              <w:pStyle w:val="12"/>
            </w:pPr>
            <w:r>
              <w:t>参与信访日常接待和处理信访案件数</w:t>
            </w:r>
          </w:p>
        </w:tc>
        <w:tc>
          <w:tcPr>
            <w:tcW w:w="2268" w:type="dxa"/>
            <w:vAlign w:val="center"/>
          </w:tcPr>
          <w:p>
            <w:pPr>
              <w:pStyle w:val="12"/>
            </w:pPr>
            <w:r>
              <w:t>≥40次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参与信访案件听证率</w:t>
            </w:r>
          </w:p>
        </w:tc>
        <w:tc>
          <w:tcPr>
            <w:tcW w:w="5386" w:type="dxa"/>
            <w:vAlign w:val="center"/>
          </w:tcPr>
          <w:p>
            <w:pPr>
              <w:pStyle w:val="12"/>
            </w:pPr>
            <w:r>
              <w:t>听证的信访案件占信访总案件的比率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涉法涉诉信访案件参与率</w:t>
            </w:r>
          </w:p>
        </w:tc>
        <w:tc>
          <w:tcPr>
            <w:tcW w:w="5386" w:type="dxa"/>
            <w:vAlign w:val="center"/>
          </w:tcPr>
          <w:p>
            <w:pPr>
              <w:pStyle w:val="12"/>
            </w:pPr>
            <w:r>
              <w:t>参与涉法涉诉信访案件占信访案件的比率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法律服务及时性</w:t>
            </w:r>
          </w:p>
        </w:tc>
        <w:tc>
          <w:tcPr>
            <w:tcW w:w="5386" w:type="dxa"/>
            <w:vAlign w:val="center"/>
          </w:tcPr>
          <w:p>
            <w:pPr>
              <w:pStyle w:val="12"/>
            </w:pPr>
            <w:r>
              <w:t>按合同约定及工作计划需要提供法律服务</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律师服务费</w:t>
            </w:r>
          </w:p>
        </w:tc>
        <w:tc>
          <w:tcPr>
            <w:tcW w:w="5386" w:type="dxa"/>
            <w:vAlign w:val="center"/>
          </w:tcPr>
          <w:p>
            <w:pPr>
              <w:pStyle w:val="12"/>
            </w:pPr>
            <w:r>
              <w:t>反映支付给律师的服务费用</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提高息诉息访率</w:t>
            </w:r>
          </w:p>
        </w:tc>
        <w:tc>
          <w:tcPr>
            <w:tcW w:w="5386" w:type="dxa"/>
            <w:vAlign w:val="center"/>
          </w:tcPr>
          <w:p>
            <w:pPr>
              <w:pStyle w:val="12"/>
            </w:pPr>
            <w:r>
              <w:t>对参与信访日常接待和处理信访案件息诉息访率提高</w:t>
            </w: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减少差旅费</w:t>
            </w:r>
          </w:p>
        </w:tc>
        <w:tc>
          <w:tcPr>
            <w:tcW w:w="5386" w:type="dxa"/>
            <w:vAlign w:val="center"/>
          </w:tcPr>
          <w:p>
            <w:pPr>
              <w:pStyle w:val="12"/>
            </w:pPr>
            <w:r>
              <w:t>通过律师参与接访，减少到北京石家庄等地接访费用</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律师参与的信访案件群众满意度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2、群众工作中心运行经费绩效目标表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13032123P00331710077R</w:t>
            </w:r>
          </w:p>
        </w:tc>
        <w:tc>
          <w:tcPr>
            <w:tcW w:w="2835" w:type="dxa"/>
            <w:vAlign w:val="center"/>
          </w:tcPr>
          <w:p>
            <w:pPr>
              <w:pStyle w:val="10"/>
            </w:pPr>
            <w:r>
              <w:t>项目名称</w:t>
            </w:r>
          </w:p>
        </w:tc>
        <w:tc>
          <w:tcPr>
            <w:tcW w:w="6094" w:type="dxa"/>
            <w:gridSpan w:val="3"/>
            <w:vAlign w:val="center"/>
          </w:tcPr>
          <w:p>
            <w:pPr>
              <w:pStyle w:val="12"/>
            </w:pPr>
            <w:r>
              <w:t>群众工作中心运行经费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8.76</w:t>
            </w:r>
          </w:p>
        </w:tc>
        <w:tc>
          <w:tcPr>
            <w:tcW w:w="2835" w:type="dxa"/>
            <w:vAlign w:val="center"/>
          </w:tcPr>
          <w:p>
            <w:pPr>
              <w:pStyle w:val="10"/>
            </w:pPr>
            <w:r>
              <w:t>其中：财政    资金</w:t>
            </w:r>
          </w:p>
        </w:tc>
        <w:tc>
          <w:tcPr>
            <w:tcW w:w="2551" w:type="dxa"/>
            <w:vAlign w:val="center"/>
          </w:tcPr>
          <w:p>
            <w:pPr>
              <w:pStyle w:val="12"/>
            </w:pPr>
            <w:r>
              <w:t>8.76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预算数8万元，其中财政资金8万元，主要用于保障群众工作中心正常运行，支付保安门卫工资。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lang w:val="en-US"/>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1.通过拓展和延伸群众工作职能，着力打造群众工作新平台，构建我县信访工作新格局。</w:t>
            </w:r>
          </w:p>
          <w:p>
            <w:pPr>
              <w:pStyle w:val="12"/>
            </w:pPr>
            <w:r>
              <w:t>2.通过处理一般性群众来访工作，促进社会稳定和谐。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办公设备数量</w:t>
            </w:r>
          </w:p>
        </w:tc>
        <w:tc>
          <w:tcPr>
            <w:tcW w:w="5386" w:type="dxa"/>
            <w:vAlign w:val="center"/>
          </w:tcPr>
          <w:p>
            <w:pPr>
              <w:pStyle w:val="12"/>
            </w:pPr>
            <w:r>
              <w:t>群众工作中心办公设备套数</w:t>
            </w:r>
          </w:p>
        </w:tc>
        <w:tc>
          <w:tcPr>
            <w:tcW w:w="2268" w:type="dxa"/>
            <w:vAlign w:val="center"/>
          </w:tcPr>
          <w:p>
            <w:pPr>
              <w:pStyle w:val="12"/>
            </w:pPr>
            <w:r>
              <w:t>≥11套</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支付工资人数</w:t>
            </w:r>
          </w:p>
        </w:tc>
        <w:tc>
          <w:tcPr>
            <w:tcW w:w="5386" w:type="dxa"/>
            <w:vAlign w:val="center"/>
          </w:tcPr>
          <w:p>
            <w:pPr>
              <w:pStyle w:val="12"/>
            </w:pPr>
            <w:r>
              <w:t>支付保安门卫工资</w:t>
            </w:r>
          </w:p>
        </w:tc>
        <w:tc>
          <w:tcPr>
            <w:tcW w:w="2268" w:type="dxa"/>
            <w:vAlign w:val="center"/>
          </w:tcPr>
          <w:p>
            <w:pPr>
              <w:pStyle w:val="12"/>
            </w:pPr>
            <w:r>
              <w:t>≥2人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设备运行率</w:t>
            </w:r>
          </w:p>
        </w:tc>
        <w:tc>
          <w:tcPr>
            <w:tcW w:w="5386" w:type="dxa"/>
            <w:vAlign w:val="center"/>
          </w:tcPr>
          <w:p>
            <w:pPr>
              <w:pStyle w:val="12"/>
            </w:pPr>
            <w:r>
              <w:t>设备正常运行率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人员出勤率</w:t>
            </w:r>
          </w:p>
        </w:tc>
        <w:tc>
          <w:tcPr>
            <w:tcW w:w="5386" w:type="dxa"/>
            <w:vAlign w:val="center"/>
          </w:tcPr>
          <w:p>
            <w:pPr>
              <w:pStyle w:val="12"/>
            </w:pPr>
            <w:r>
              <w:t>保安、门卫人员月出勤率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工资支付及时性</w:t>
            </w:r>
          </w:p>
        </w:tc>
        <w:tc>
          <w:tcPr>
            <w:tcW w:w="5386" w:type="dxa"/>
            <w:vAlign w:val="center"/>
          </w:tcPr>
          <w:p>
            <w:pPr>
              <w:pStyle w:val="12"/>
            </w:pPr>
            <w:r>
              <w:t>反映工资支付的及时性</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保安、门卫工资成本</w:t>
            </w:r>
          </w:p>
        </w:tc>
        <w:tc>
          <w:tcPr>
            <w:tcW w:w="5386" w:type="dxa"/>
            <w:vAlign w:val="center"/>
          </w:tcPr>
          <w:p>
            <w:pPr>
              <w:pStyle w:val="12"/>
            </w:pPr>
            <w:r>
              <w:t>保安门卫一年的工资成本</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群众工作中心运行中耗材，办公费等</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接待率</w:t>
            </w:r>
          </w:p>
        </w:tc>
        <w:tc>
          <w:tcPr>
            <w:tcW w:w="5386" w:type="dxa"/>
            <w:vAlign w:val="center"/>
          </w:tcPr>
          <w:p>
            <w:pPr>
              <w:pStyle w:val="12"/>
            </w:pPr>
            <w:r>
              <w:t>做到群众来访全部接待</w:t>
            </w:r>
          </w:p>
        </w:tc>
        <w:tc>
          <w:tcPr>
            <w:tcW w:w="2268" w:type="dxa"/>
            <w:vAlign w:val="center"/>
          </w:tcPr>
          <w:p>
            <w:pPr>
              <w:pStyle w:val="12"/>
            </w:pPr>
            <w:r>
              <w:t>≤99%</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维护正常办公秩序</w:t>
            </w:r>
          </w:p>
        </w:tc>
        <w:tc>
          <w:tcPr>
            <w:tcW w:w="5386" w:type="dxa"/>
            <w:vAlign w:val="center"/>
          </w:tcPr>
          <w:p>
            <w:pPr>
              <w:pStyle w:val="12"/>
            </w:pPr>
            <w:r>
              <w:t>维护群众工作中心正常办公秩序</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3、特殊疑难信访问题救助资金县级配套绩效目标表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13032123P003317100766</w:t>
            </w:r>
          </w:p>
        </w:tc>
        <w:tc>
          <w:tcPr>
            <w:tcW w:w="2835" w:type="dxa"/>
            <w:vAlign w:val="center"/>
          </w:tcPr>
          <w:p>
            <w:pPr>
              <w:pStyle w:val="10"/>
            </w:pPr>
            <w:r>
              <w:t>项目名称</w:t>
            </w:r>
          </w:p>
        </w:tc>
        <w:tc>
          <w:tcPr>
            <w:tcW w:w="6094" w:type="dxa"/>
            <w:gridSpan w:val="3"/>
            <w:vAlign w:val="center"/>
          </w:tcPr>
          <w:p>
            <w:pPr>
              <w:pStyle w:val="12"/>
            </w:pPr>
            <w:r>
              <w:t>特殊疑难信访问题救助资金县级配套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预算数25万元，其中财政资金25万元，主要用于解决特殊疑难信访问题，化解信访积案。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1.通过化解矛盾、疏导教育等多种措施相结合，达到“案结事了”，息诉罢访。</w:t>
            </w:r>
          </w:p>
          <w:p>
            <w:pPr>
              <w:pStyle w:val="12"/>
            </w:pPr>
            <w:r>
              <w:t>2.通过对特殊疑难信访个案有实际困难的当事人给予求助，维护社会稳定。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解决特殊疑难信访个案</w:t>
            </w:r>
          </w:p>
        </w:tc>
        <w:tc>
          <w:tcPr>
            <w:tcW w:w="5386" w:type="dxa"/>
            <w:vAlign w:val="center"/>
          </w:tcPr>
          <w:p>
            <w:pPr>
              <w:pStyle w:val="12"/>
            </w:pPr>
            <w:r>
              <w:t>年内解决了特殊疑难信访个案件数</w:t>
            </w:r>
          </w:p>
        </w:tc>
        <w:tc>
          <w:tcPr>
            <w:tcW w:w="2268" w:type="dxa"/>
            <w:vAlign w:val="center"/>
          </w:tcPr>
          <w:p>
            <w:pPr>
              <w:pStyle w:val="12"/>
            </w:pPr>
            <w:r>
              <w:t>≥10件</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特殊疑难信访个案息诉罢访率</w:t>
            </w:r>
          </w:p>
        </w:tc>
        <w:tc>
          <w:tcPr>
            <w:tcW w:w="5386" w:type="dxa"/>
            <w:vAlign w:val="center"/>
          </w:tcPr>
          <w:p>
            <w:pPr>
              <w:pStyle w:val="12"/>
            </w:pPr>
            <w:r>
              <w:t>特殊疑难信访个案息诉罢访数占疑难个案总数的比率</w:t>
            </w:r>
          </w:p>
        </w:tc>
        <w:tc>
          <w:tcPr>
            <w:tcW w:w="2268" w:type="dxa"/>
            <w:vAlign w:val="center"/>
          </w:tcPr>
          <w:p>
            <w:pPr>
              <w:pStyle w:val="12"/>
            </w:pPr>
            <w:r>
              <w:t>≥95%</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特殊疑难信访救助金核实精准率</w:t>
            </w:r>
          </w:p>
        </w:tc>
        <w:tc>
          <w:tcPr>
            <w:tcW w:w="5386" w:type="dxa"/>
            <w:vAlign w:val="center"/>
          </w:tcPr>
          <w:p>
            <w:pPr>
              <w:pStyle w:val="12"/>
            </w:pPr>
            <w:r>
              <w:t>对特殊疑难信访人员需救助真实情况进行核实</w:t>
            </w:r>
          </w:p>
        </w:tc>
        <w:tc>
          <w:tcPr>
            <w:tcW w:w="2268" w:type="dxa"/>
            <w:vAlign w:val="center"/>
          </w:tcPr>
          <w:p>
            <w:pPr>
              <w:pStyle w:val="12"/>
            </w:pPr>
            <w:r>
              <w: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tc>
        <w:tc>
          <w:tcPr>
            <w:tcW w:w="5386" w:type="dxa"/>
            <w:vAlign w:val="center"/>
          </w:tcPr>
          <w:p>
            <w:pPr>
              <w:pStyle w:val="12"/>
            </w:pPr>
            <w:r>
              <w:t>救助金银行转账支付</w:t>
            </w:r>
          </w:p>
        </w:tc>
        <w:tc>
          <w:tcPr>
            <w:tcW w:w="2268" w:type="dxa"/>
            <w:vAlign w:val="center"/>
          </w:tcPr>
          <w:p>
            <w:pPr>
              <w:pStyle w:val="12"/>
            </w:pPr>
            <w:r>
              <w: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救助资金发放时间</w:t>
            </w:r>
          </w:p>
        </w:tc>
        <w:tc>
          <w:tcPr>
            <w:tcW w:w="5386" w:type="dxa"/>
            <w:vAlign w:val="center"/>
          </w:tcPr>
          <w:p>
            <w:pPr>
              <w:pStyle w:val="12"/>
            </w:pPr>
            <w:r>
              <w:t>救助资金即时发放，申请批准日期三个月之内</w:t>
            </w:r>
          </w:p>
        </w:tc>
        <w:tc>
          <w:tcPr>
            <w:tcW w:w="2268" w:type="dxa"/>
            <w:vAlign w:val="center"/>
          </w:tcPr>
          <w:p>
            <w:pPr>
              <w:pStyle w:val="12"/>
            </w:pPr>
            <w:r>
              <w:t>3月</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救助资金标准</w:t>
            </w:r>
          </w:p>
        </w:tc>
        <w:tc>
          <w:tcPr>
            <w:tcW w:w="5386" w:type="dxa"/>
            <w:vAlign w:val="center"/>
          </w:tcPr>
          <w:p>
            <w:pPr>
              <w:pStyle w:val="12"/>
            </w:pPr>
            <w:r>
              <w:t>根据实际情况5000-50000</w:t>
            </w:r>
          </w:p>
        </w:tc>
        <w:tc>
          <w:tcPr>
            <w:tcW w:w="2268" w:type="dxa"/>
            <w:vAlign w:val="center"/>
          </w:tcPr>
          <w:p>
            <w:pPr>
              <w:pStyle w:val="12"/>
            </w:pPr>
            <w:r>
              <w:t>≤2.5万元</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特殊疑难信访人员救助率（%）</w:t>
            </w:r>
          </w:p>
        </w:tc>
        <w:tc>
          <w:tcPr>
            <w:tcW w:w="5386" w:type="dxa"/>
            <w:vAlign w:val="center"/>
          </w:tcPr>
          <w:p>
            <w:pPr>
              <w:pStyle w:val="12"/>
            </w:pPr>
            <w:r>
              <w:t>特殊疑难信访个案救助比例</w:t>
            </w:r>
          </w:p>
        </w:tc>
        <w:tc>
          <w:tcPr>
            <w:tcW w:w="2268" w:type="dxa"/>
            <w:vAlign w:val="center"/>
          </w:tcPr>
          <w:p>
            <w:pPr>
              <w:pStyle w:val="12"/>
            </w:pPr>
            <w:r>
              <w:t>≥10%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化解信访案件，维护社会稳定</w:t>
            </w:r>
          </w:p>
        </w:tc>
        <w:tc>
          <w:tcPr>
            <w:tcW w:w="2268" w:type="dxa"/>
            <w:vAlign w:val="center"/>
          </w:tcPr>
          <w:p>
            <w:pPr>
              <w:pStyle w:val="12"/>
            </w:pPr>
            <w:r>
              <w:t>&gt;100%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问卷调查，满意的占调查总数的比例</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13032123P00331710075J</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预算数80万元，其中财政资金80万元，主要用于北京石家庄北戴河等地信访保障值班费用，保障县信访局正常信访业务办理支出。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1.通过有效防控进京、赴省、到市及北戴河集体访，圆满完成各大重要活动期间的信访值班任务及接劝返工作。</w:t>
            </w:r>
            <w:r>
              <w:tab/>
            </w:r>
            <w:r>
              <w:tab/>
            </w:r>
            <w:r>
              <w:tab/>
            </w:r>
            <w:r>
              <w:tab/>
            </w:r>
            <w:r>
              <w:tab/>
            </w:r>
            <w:r>
              <w:tab/>
            </w:r>
          </w:p>
          <w:p>
            <w:pPr>
              <w:pStyle w:val="12"/>
            </w:pPr>
            <w:r>
              <w:t>2.通过开展信访工作，保障我县社会稳定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北京、石家庄接劝返工作次数</w:t>
            </w:r>
          </w:p>
        </w:tc>
        <w:tc>
          <w:tcPr>
            <w:tcW w:w="2268" w:type="dxa"/>
            <w:vAlign w:val="center"/>
          </w:tcPr>
          <w:p>
            <w:pPr>
              <w:pStyle w:val="12"/>
            </w:pPr>
            <w:r>
              <w:t>≥200次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进京集体访与上年同期下降率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&lt;24小时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维稳人员交通费及补助</w:t>
            </w:r>
          </w:p>
        </w:tc>
        <w:tc>
          <w:tcPr>
            <w:tcW w:w="5386" w:type="dxa"/>
            <w:vAlign w:val="center"/>
          </w:tcPr>
          <w:p>
            <w:pPr>
              <w:pStyle w:val="12"/>
            </w:pPr>
            <w:r>
              <w:t>市内补助90元/人/天，市外180元/人/天,住宿标准石家庄350元，北京地区500元</w:t>
            </w:r>
          </w:p>
        </w:tc>
        <w:tc>
          <w:tcPr>
            <w:tcW w:w="2268" w:type="dxa"/>
            <w:vAlign w:val="center"/>
          </w:tcPr>
          <w:p>
            <w:pPr>
              <w:pStyle w:val="12"/>
            </w:pPr>
            <w:r>
              <w:t>680元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各“敏感期”国家、省市集体访“零登记”</w:t>
            </w:r>
          </w:p>
        </w:tc>
        <w:tc>
          <w:tcPr>
            <w:tcW w:w="5386" w:type="dxa"/>
            <w:vAlign w:val="center"/>
          </w:tcPr>
          <w:p>
            <w:pPr>
              <w:pStyle w:val="12"/>
            </w:pPr>
            <w:r>
              <w:t>年内发生进京、赴省、到市集体访登记数</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进京赴省访持续下降，不出现恶性事件</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通过调查问卷，满意的占调查总数的比例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13032123P00331910064E</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0.06</w:t>
            </w:r>
          </w:p>
        </w:tc>
        <w:tc>
          <w:tcPr>
            <w:tcW w:w="2835" w:type="dxa"/>
            <w:vAlign w:val="center"/>
          </w:tcPr>
          <w:p>
            <w:pPr>
              <w:pStyle w:val="10"/>
            </w:pPr>
            <w:r>
              <w:t>其中：财政    资金</w:t>
            </w:r>
          </w:p>
        </w:tc>
        <w:tc>
          <w:tcPr>
            <w:tcW w:w="2551" w:type="dxa"/>
            <w:vAlign w:val="center"/>
          </w:tcPr>
          <w:p>
            <w:pPr>
              <w:pStyle w:val="12"/>
            </w:pPr>
            <w:r>
              <w:t>0.06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用于解决进京赴省访及暑期北戴河信访情况，做好到北京石家庄北戴河接劝返等相关工作，保障社会稳定，确保我县信访质效进一步提高。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1.通过有效防控进京、赴省、到市及北戴河集体访，圆满完成各大重要活动期间的信访值班任务及接劝返工作。</w:t>
            </w:r>
          </w:p>
          <w:p>
            <w:pPr>
              <w:pStyle w:val="12"/>
            </w:pPr>
            <w:r>
              <w:t>2.通过开展信访工作，保障我县社会稳定.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北京、石家庄接劝返工作次数</w:t>
            </w:r>
          </w:p>
        </w:tc>
        <w:tc>
          <w:tcPr>
            <w:tcW w:w="2268" w:type="dxa"/>
            <w:vAlign w:val="center"/>
          </w:tcPr>
          <w:p>
            <w:pPr>
              <w:pStyle w:val="12"/>
            </w:pPr>
            <w:r>
              <w:t>≥50次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进京集体访与上年同期下降率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信访工作条例宣传</w:t>
            </w:r>
          </w:p>
        </w:tc>
        <w:tc>
          <w:tcPr>
            <w:tcW w:w="5386" w:type="dxa"/>
            <w:vAlign w:val="center"/>
          </w:tcPr>
          <w:p>
            <w:pPr>
              <w:pStyle w:val="12"/>
            </w:pPr>
            <w:r>
              <w:t>印刷宣传资料等</w:t>
            </w:r>
          </w:p>
        </w:tc>
        <w:tc>
          <w:tcPr>
            <w:tcW w:w="2268" w:type="dxa"/>
            <w:vAlign w:val="center"/>
          </w:tcPr>
          <w:p>
            <w:pPr>
              <w:pStyle w:val="12"/>
            </w:pPr>
            <w:r>
              <w:t>≥1000份</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&lt;24小时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维稳人员交通费及补助</w:t>
            </w:r>
          </w:p>
        </w:tc>
        <w:tc>
          <w:tcPr>
            <w:tcW w:w="5386" w:type="dxa"/>
            <w:vAlign w:val="center"/>
          </w:tcPr>
          <w:p>
            <w:pPr>
              <w:pStyle w:val="12"/>
            </w:pPr>
            <w:r>
              <w:t>市内补助90元/人/天，市外180元/人/天,住宿标准石家庄350元，北京地区500元</w:t>
            </w:r>
          </w:p>
        </w:tc>
        <w:tc>
          <w:tcPr>
            <w:tcW w:w="2268" w:type="dxa"/>
            <w:vAlign w:val="center"/>
          </w:tcPr>
          <w:p>
            <w:pPr>
              <w:pStyle w:val="12"/>
            </w:pPr>
            <w:r>
              <w:t>680元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确保实现进京赴省集体访零登记</w:t>
            </w:r>
          </w:p>
        </w:tc>
        <w:tc>
          <w:tcPr>
            <w:tcW w:w="5386" w:type="dxa"/>
            <w:vAlign w:val="center"/>
          </w:tcPr>
          <w:p>
            <w:pPr>
              <w:pStyle w:val="12"/>
            </w:pPr>
            <w:r>
              <w:t>年内发生进京、赴省、到市集体访登记数</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进京赴省访持续下降，不出现恶性事件</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通过调查问卷，满意的占调查总数的比例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13032123P00331910066M</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20.03</w:t>
            </w:r>
          </w:p>
        </w:tc>
        <w:tc>
          <w:tcPr>
            <w:tcW w:w="2835" w:type="dxa"/>
            <w:vAlign w:val="center"/>
          </w:tcPr>
          <w:p>
            <w:pPr>
              <w:pStyle w:val="10"/>
            </w:pPr>
            <w:r>
              <w:t>其中：财政    资金</w:t>
            </w:r>
          </w:p>
        </w:tc>
        <w:tc>
          <w:tcPr>
            <w:tcW w:w="2551" w:type="dxa"/>
            <w:vAlign w:val="center"/>
          </w:tcPr>
          <w:p>
            <w:pPr>
              <w:pStyle w:val="12"/>
            </w:pPr>
            <w:r>
              <w:t>20.03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预算数20万元，其中财政资金20万元，主要用于支付北京、石家庄等地信访保障值班差旅费用，机关办公费、劳务费等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1.通过派出到北戴河信访保障值班工作组，确保我县到北戴河上访实现历史最好目标</w:t>
            </w:r>
          </w:p>
          <w:p>
            <w:pPr>
              <w:pStyle w:val="12"/>
            </w:pPr>
            <w:r>
              <w:t>2.通过北京信访保障值班，劝返进京上访人员，确保进京上访人员大幅下降。</w:t>
            </w:r>
          </w:p>
          <w:p>
            <w:pPr>
              <w:pStyle w:val="12"/>
            </w:pPr>
            <w:r>
              <w:t>3.保障机关单位正常运转。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北京、石家庄、北戴河等地接劝返工作次数</w:t>
            </w:r>
          </w:p>
        </w:tc>
        <w:tc>
          <w:tcPr>
            <w:tcW w:w="2268" w:type="dxa"/>
            <w:vAlign w:val="center"/>
          </w:tcPr>
          <w:p>
            <w:pPr>
              <w:pStyle w:val="12"/>
            </w:pPr>
            <w:r>
              <w:t>≥40次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门卫、保洁数量</w:t>
            </w:r>
          </w:p>
        </w:tc>
        <w:tc>
          <w:tcPr>
            <w:tcW w:w="5386" w:type="dxa"/>
            <w:vAlign w:val="center"/>
          </w:tcPr>
          <w:p>
            <w:pPr>
              <w:pStyle w:val="12"/>
            </w:pPr>
            <w:r>
              <w:t>门卫保洁数量</w:t>
            </w:r>
          </w:p>
        </w:tc>
        <w:tc>
          <w:tcPr>
            <w:tcW w:w="2268" w:type="dxa"/>
            <w:vAlign w:val="center"/>
          </w:tcPr>
          <w:p>
            <w:pPr>
              <w:pStyle w:val="12"/>
            </w:pPr>
            <w:r>
              <w:t>3人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集体访下降率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上访案件问题处理占总数的比例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≤24小时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≤4000元/次</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维稳人员差旅费</w:t>
            </w:r>
          </w:p>
        </w:tc>
        <w:tc>
          <w:tcPr>
            <w:tcW w:w="5386" w:type="dxa"/>
            <w:vAlign w:val="center"/>
          </w:tcPr>
          <w:p>
            <w:pPr>
              <w:pStyle w:val="12"/>
            </w:pPr>
            <w:r>
              <w:t>市内交通补助90元/人/天，市外180元/人/天,住宿标准石家庄350元，北京地区500元</w:t>
            </w:r>
          </w:p>
        </w:tc>
        <w:tc>
          <w:tcPr>
            <w:tcW w:w="2268" w:type="dxa"/>
            <w:vAlign w:val="center"/>
          </w:tcPr>
          <w:p>
            <w:pPr>
              <w:pStyle w:val="12"/>
            </w:pPr>
            <w:r>
              <w:t>≤680元/人/天</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确保我县暑期信访稳定和谐</w:t>
            </w:r>
          </w:p>
        </w:tc>
        <w:tc>
          <w:tcPr>
            <w:tcW w:w="5386" w:type="dxa"/>
            <w:vAlign w:val="center"/>
          </w:tcPr>
          <w:p>
            <w:pPr>
              <w:pStyle w:val="12"/>
            </w:pPr>
            <w:r>
              <w:t>通过开展进京、赴省、北戴河等地接劝返工作，发生进京、赴省、到市集体访登记数下降</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通过开展进京、赴省访接劝返工作，进京赴省个体访持续下降，不出现恶性事件</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相关调查中，满意和基本满意的占调查总数的比例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13032123P003319100679</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4.89</w:t>
            </w:r>
          </w:p>
        </w:tc>
        <w:tc>
          <w:tcPr>
            <w:tcW w:w="2835" w:type="dxa"/>
            <w:vAlign w:val="center"/>
          </w:tcPr>
          <w:p>
            <w:pPr>
              <w:pStyle w:val="10"/>
            </w:pPr>
            <w:r>
              <w:t>其中：财政    资金</w:t>
            </w:r>
          </w:p>
        </w:tc>
        <w:tc>
          <w:tcPr>
            <w:tcW w:w="2551" w:type="dxa"/>
            <w:vAlign w:val="center"/>
          </w:tcPr>
          <w:p>
            <w:pPr>
              <w:pStyle w:val="12"/>
            </w:pPr>
            <w:r>
              <w:t>4.89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w:t>
            </w:r>
            <w:r>
              <w:rPr>
                <w:rFonts w:hint="eastAsia"/>
                <w:lang w:val="en-US" w:eastAsia="zh-CN"/>
              </w:rPr>
              <w:t>4.89</w:t>
            </w:r>
            <w:r>
              <w:t>万元，其中财政资金</w:t>
            </w:r>
            <w:r>
              <w:rPr>
                <w:rFonts w:hint="eastAsia"/>
                <w:lang w:val="en-US" w:eastAsia="zh-CN"/>
              </w:rPr>
              <w:t>4.89</w:t>
            </w:r>
            <w:r>
              <w:t>万元，主要用于支付差旅费、其他交通费等费用。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1.通过北京信访保障值班，劝返进京上访人员，确保进京上访人员大幅下降。</w:t>
            </w:r>
          </w:p>
          <w:p>
            <w:pPr>
              <w:pStyle w:val="12"/>
            </w:pPr>
            <w:r>
              <w:t>2.增加报案数量，确保信访接待大厅信访秩序和谐稳定。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北京、石家庄、北戴河等地接劝返工作次数</w:t>
            </w:r>
          </w:p>
        </w:tc>
        <w:tc>
          <w:tcPr>
            <w:tcW w:w="2268" w:type="dxa"/>
            <w:vAlign w:val="center"/>
          </w:tcPr>
          <w:p>
            <w:pPr>
              <w:pStyle w:val="12"/>
            </w:pPr>
            <w:r>
              <w:t>≥20次</w:t>
            </w:r>
          </w:p>
        </w:tc>
        <w:tc>
          <w:tcPr>
            <w:tcW w:w="1276" w:type="dxa"/>
            <w:vAlign w:val="center"/>
          </w:tcPr>
          <w:p>
            <w:pPr>
              <w:pStyle w:val="12"/>
            </w:pPr>
            <w:r>
              <w:tab/>
            </w:r>
            <w:r>
              <w:t>工作计划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新聘用临时保安</w:t>
            </w:r>
          </w:p>
        </w:tc>
        <w:tc>
          <w:tcPr>
            <w:tcW w:w="5386" w:type="dxa"/>
            <w:vAlign w:val="center"/>
          </w:tcPr>
          <w:p>
            <w:pPr>
              <w:pStyle w:val="12"/>
            </w:pPr>
            <w:r>
              <w:t>保安人数</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p>
            <w:pPr>
              <w:pStyle w:val="12"/>
            </w:pPr>
          </w:p>
        </w:tc>
        <w:tc>
          <w:tcPr>
            <w:tcW w:w="5386" w:type="dxa"/>
            <w:vAlign w:val="center"/>
          </w:tcPr>
          <w:p>
            <w:pPr>
              <w:pStyle w:val="12"/>
            </w:pPr>
            <w:r>
              <w:t>上访案件问题处理占总数的比例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≤24小时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≤4000元/次</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维稳人员差旅费</w:t>
            </w:r>
          </w:p>
        </w:tc>
        <w:tc>
          <w:tcPr>
            <w:tcW w:w="5386" w:type="dxa"/>
            <w:vAlign w:val="center"/>
          </w:tcPr>
          <w:p>
            <w:pPr>
              <w:pStyle w:val="12"/>
            </w:pPr>
            <w:r>
              <w:t>市内交通补助90元/人/天，市外180元/人/天,住宿标准石家庄350元，北京地区500元</w:t>
            </w:r>
          </w:p>
        </w:tc>
        <w:tc>
          <w:tcPr>
            <w:tcW w:w="2268" w:type="dxa"/>
            <w:vAlign w:val="center"/>
          </w:tcPr>
          <w:p>
            <w:pPr>
              <w:pStyle w:val="12"/>
            </w:pPr>
            <w:r>
              <w:t>≤680元/人/天</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确保我县暑期信访稳定和谐</w:t>
            </w:r>
          </w:p>
        </w:tc>
        <w:tc>
          <w:tcPr>
            <w:tcW w:w="5386" w:type="dxa"/>
            <w:vAlign w:val="center"/>
          </w:tcPr>
          <w:p>
            <w:pPr>
              <w:pStyle w:val="12"/>
            </w:pPr>
            <w:r>
              <w:t>通过开展进京、赴省、北戴河等地接劝返工作，发生进京、赴省、到市集体访登记数下降</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通过开展进京、赴省访接劝返工作，进京赴省个体访持续下降，不出现恶性事件</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相关调查中，满意和基本满意的占调查总数的比例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八、政府采购预算情况</w:t>
      </w:r>
      <w:bookmarkEnd w:id="16"/>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b w:val="0"/>
          <w:color w:val="000000"/>
          <w:sz w:val="28"/>
          <w:lang w:eastAsia="zh-CN"/>
        </w:rPr>
        <w:t>2024</w:t>
      </w:r>
      <w:r>
        <w:rPr>
          <w:rFonts w:ascii="Times New Roman" w:hAnsi="Times New Roman" w:eastAsia="方正仿宋_GBK" w:cs="Times New Roman"/>
          <w:b w:val="0"/>
          <w:color w:val="000000"/>
          <w:sz w:val="28"/>
        </w:rPr>
        <w:t>年，青龙满族自治县信访局本级安排政府采购预算0.00万元。具体内容见下表。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202青龙满族自治县信访局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青龙满族自治县信访局（含所属单位）上年末固定资产金额为0.00万元（详见下表）。本年度拟购置固定资产总额为0.00万元，已按要求列入政府采购预算，详见政府采购预算表。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202青龙满族自治县信访局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lZmI3OGE4NzQwOTZiNzNhYjhkZmEyYmM0N2VkNDAifQ=="/>
  </w:docVars>
  <w:rsids>
    <w:rsidRoot w:val="00F7133F"/>
    <w:rsid w:val="00430891"/>
    <w:rsid w:val="00637815"/>
    <w:rsid w:val="008C0220"/>
    <w:rsid w:val="00F7133F"/>
    <w:rsid w:val="25917AA4"/>
    <w:rsid w:val="5112777A"/>
    <w:rsid w:val="60F6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2024-07-12T09:25:39Z</dcterms:created>
  <dcterms:modified xsi:type="dcterms:W3CDTF">2024-07-12T01:25:39Z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2024-07-12T09:25:37Z</dcterms:created>
  <dcterms:modified xsi:type="dcterms:W3CDTF">2024-07-12T01:25:37Z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2024-07-12T09:25:39Z</dcterms:created>
  <dcterms:modified xsi:type="dcterms:W3CDTF">2024-07-12T01:25:39Z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2024-07-12T09:25:38Z</dcterms:created>
  <dcterms:modified xsi:type="dcterms:W3CDTF">2024-07-12T01:25:38Z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2024-07-12T09:25:36Z</dcterms:created>
  <dcterms:modified xsi:type="dcterms:W3CDTF">2024-07-12T01:25:36Z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2024-07-12T09:25:38Z</dcterms:created>
  <dcterms:modified xsi:type="dcterms:W3CDTF">2024-07-12T01:25:38Z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2024-07-12T09:25:39Z</dcterms:created>
  <dcterms:modified xsi:type="dcterms:W3CDTF">2024-07-12T01:25:38Z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2024-07-12T09:25:39Z</dcterms:created>
  <dcterms:modified xsi:type="dcterms:W3CDTF">2024-07-12T01:25:39Z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2024-07-12T09:25:37Z</dcterms:created>
  <dcterms:modified xsi:type="dcterms:W3CDTF">2024-07-12T01:25:37Z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2024-07-12T09:25:40Z</dcterms:created>
  <dcterms:modified xsi:type="dcterms:W3CDTF">2024-07-12T01:25:40Z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2024-07-12T09:25:38Z</dcterms:created>
  <dcterms:modified xsi:type="dcterms:W3CDTF">2024-07-12T01:25:38Z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FBF009-401F-4E51-9787-8F804B4D3D62}">
  <ds:schemaRefs/>
</ds:datastoreItem>
</file>

<file path=customXml/itemProps10.xml><?xml version="1.0" encoding="utf-8"?>
<ds:datastoreItem xmlns:ds="http://schemas.openxmlformats.org/officeDocument/2006/customXml" ds:itemID="{59096E67-CFF1-48AA-BB05-157E2DAA4D73}">
  <ds:schemaRefs/>
</ds:datastoreItem>
</file>

<file path=customXml/itemProps11.xml><?xml version="1.0" encoding="utf-8"?>
<ds:datastoreItem xmlns:ds="http://schemas.openxmlformats.org/officeDocument/2006/customXml" ds:itemID="{34BFF9CD-2F81-4CF2-A283-1310C8F0A719}">
  <ds:schemaRefs/>
</ds:datastoreItem>
</file>

<file path=customXml/itemProps12.xml><?xml version="1.0" encoding="utf-8"?>
<ds:datastoreItem xmlns:ds="http://schemas.openxmlformats.org/officeDocument/2006/customXml" ds:itemID="{16A8E7AD-022C-4C4D-9DD9-78E1B55A3453}">
  <ds:schemaRefs/>
</ds:datastoreItem>
</file>

<file path=customXml/itemProps13.xml><?xml version="1.0" encoding="utf-8"?>
<ds:datastoreItem xmlns:ds="http://schemas.openxmlformats.org/officeDocument/2006/customXml" ds:itemID="{68B8AAEA-4F36-4222-9189-D3A6DA542E6B}">
  <ds:schemaRefs/>
</ds:datastoreItem>
</file>

<file path=customXml/itemProps14.xml><?xml version="1.0" encoding="utf-8"?>
<ds:datastoreItem xmlns:ds="http://schemas.openxmlformats.org/officeDocument/2006/customXml" ds:itemID="{D711D161-4E94-4080-A888-CF8561AC6FE2}">
  <ds:schemaRefs/>
</ds:datastoreItem>
</file>

<file path=customXml/itemProps15.xml><?xml version="1.0" encoding="utf-8"?>
<ds:datastoreItem xmlns:ds="http://schemas.openxmlformats.org/officeDocument/2006/customXml" ds:itemID="{7FB45593-F84A-4F61-AD84-69D081F89ED9}">
  <ds:schemaRefs/>
</ds:datastoreItem>
</file>

<file path=customXml/itemProps16.xml><?xml version="1.0" encoding="utf-8"?>
<ds:datastoreItem xmlns:ds="http://schemas.openxmlformats.org/officeDocument/2006/customXml" ds:itemID="{AF0E611C-CE7D-4502-AB22-301A85D96146}">
  <ds:schemaRefs/>
</ds:datastoreItem>
</file>

<file path=customXml/itemProps17.xml><?xml version="1.0" encoding="utf-8"?>
<ds:datastoreItem xmlns:ds="http://schemas.openxmlformats.org/officeDocument/2006/customXml" ds:itemID="{D21DEC1E-F0FD-46B8-ABEE-3EF500A4E38D}">
  <ds:schemaRefs/>
</ds:datastoreItem>
</file>

<file path=customXml/itemProps18.xml><?xml version="1.0" encoding="utf-8"?>
<ds:datastoreItem xmlns:ds="http://schemas.openxmlformats.org/officeDocument/2006/customXml" ds:itemID="{13BA62CA-A24A-44BF-8FB7-0685E408ECC7}">
  <ds:schemaRefs/>
</ds:datastoreItem>
</file>

<file path=customXml/itemProps19.xml><?xml version="1.0" encoding="utf-8"?>
<ds:datastoreItem xmlns:ds="http://schemas.openxmlformats.org/officeDocument/2006/customXml" ds:itemID="{F95A89CF-A9C8-4568-AF3F-7EFE67AC43DB}">
  <ds:schemaRefs/>
</ds:datastoreItem>
</file>

<file path=customXml/itemProps2.xml><?xml version="1.0" encoding="utf-8"?>
<ds:datastoreItem xmlns:ds="http://schemas.openxmlformats.org/officeDocument/2006/customXml" ds:itemID="{7F294AAB-E90A-4687-AD2E-CA1A02870E38}">
  <ds:schemaRefs/>
</ds:datastoreItem>
</file>

<file path=customXml/itemProps20.xml><?xml version="1.0" encoding="utf-8"?>
<ds:datastoreItem xmlns:ds="http://schemas.openxmlformats.org/officeDocument/2006/customXml" ds:itemID="{401AC104-1C2D-4751-B64F-8A87C39187B4}">
  <ds:schemaRefs/>
</ds:datastoreItem>
</file>

<file path=customXml/itemProps21.xml><?xml version="1.0" encoding="utf-8"?>
<ds:datastoreItem xmlns:ds="http://schemas.openxmlformats.org/officeDocument/2006/customXml" ds:itemID="{B3EBC3FF-D7B0-41AA-A30F-359D6F7ED695}">
  <ds:schemaRefs/>
</ds:datastoreItem>
</file>

<file path=customXml/itemProps22.xml><?xml version="1.0" encoding="utf-8"?>
<ds:datastoreItem xmlns:ds="http://schemas.openxmlformats.org/officeDocument/2006/customXml" ds:itemID="{EF12D816-9932-44BA-AD6B-97A33513B22B}">
  <ds:schemaRefs/>
</ds:datastoreItem>
</file>

<file path=customXml/itemProps3.xml><?xml version="1.0" encoding="utf-8"?>
<ds:datastoreItem xmlns:ds="http://schemas.openxmlformats.org/officeDocument/2006/customXml" ds:itemID="{32FFDBB4-6328-4BC1-B891-8B349F76C9C9}">
  <ds:schemaRefs/>
</ds:datastoreItem>
</file>

<file path=customXml/itemProps4.xml><?xml version="1.0" encoding="utf-8"?>
<ds:datastoreItem xmlns:ds="http://schemas.openxmlformats.org/officeDocument/2006/customXml" ds:itemID="{634E5D6B-707A-46D4-9099-57452B44939D}">
  <ds:schemaRefs/>
</ds:datastoreItem>
</file>

<file path=customXml/itemProps5.xml><?xml version="1.0" encoding="utf-8"?>
<ds:datastoreItem xmlns:ds="http://schemas.openxmlformats.org/officeDocument/2006/customXml" ds:itemID="{CD64ECEE-3E5A-4D0B-A70A-6E75C3D4760D}">
  <ds:schemaRefs/>
</ds:datastoreItem>
</file>

<file path=customXml/itemProps6.xml><?xml version="1.0" encoding="utf-8"?>
<ds:datastoreItem xmlns:ds="http://schemas.openxmlformats.org/officeDocument/2006/customXml" ds:itemID="{2C1AAEEB-D3CC-4733-A45A-88CC9B47566D}">
  <ds:schemaRefs/>
</ds:datastoreItem>
</file>

<file path=customXml/itemProps7.xml><?xml version="1.0" encoding="utf-8"?>
<ds:datastoreItem xmlns:ds="http://schemas.openxmlformats.org/officeDocument/2006/customXml" ds:itemID="{215C2A0C-FFB9-4FAF-BBE2-13E4F19B4BCF}">
  <ds:schemaRefs/>
</ds:datastoreItem>
</file>

<file path=customXml/itemProps8.xml><?xml version="1.0" encoding="utf-8"?>
<ds:datastoreItem xmlns:ds="http://schemas.openxmlformats.org/officeDocument/2006/customXml" ds:itemID="{A6F6CB58-4974-43F0-A479-B75A5E6D7620}">
  <ds:schemaRefs/>
</ds:datastoreItem>
</file>

<file path=customXml/itemProps9.xml><?xml version="1.0" encoding="utf-8"?>
<ds:datastoreItem xmlns:ds="http://schemas.openxmlformats.org/officeDocument/2006/customXml" ds:itemID="{B54CFFA8-5880-48FB-8BB1-13229F0A38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12543</Words>
  <Characters>14610</Characters>
  <Lines>121</Lines>
  <Paragraphs>34</Paragraphs>
  <TotalTime>0</TotalTime>
  <ScaleCrop>false</ScaleCrop>
  <LinksUpToDate>false</LinksUpToDate>
  <CharactersWithSpaces>14805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王爷</cp:lastModifiedBy>
  <dcterms:modified xsi:type="dcterms:W3CDTF">2024-09-14T01:13:17Z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6100D1E24A534066B734C07F59751086_12</vt:lpwstr>
  </property>
</Properties>
</file>