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6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15" w:type="dxa"/>
          <w:left w:w="15" w:type="dxa"/>
          <w:bottom w:w="15" w:type="dxa"/>
          <w:right w:w="15" w:type="dxa"/>
        </w:tblCellMar>
      </w:tblPr>
      <w:tblGrid>
        <w:gridCol w:w="544"/>
        <w:gridCol w:w="849"/>
        <w:gridCol w:w="1134"/>
        <w:gridCol w:w="3117"/>
        <w:gridCol w:w="1134"/>
        <w:gridCol w:w="963"/>
        <w:gridCol w:w="3968"/>
        <w:gridCol w:w="3402"/>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15" w:type="dxa"/>
            <w:left w:w="15" w:type="dxa"/>
            <w:bottom w:w="15" w:type="dxa"/>
            <w:right w:w="15" w:type="dxa"/>
          </w:tblCellMar>
        </w:tblPrEx>
        <w:trPr>
          <w:trHeight w:val="567" w:hRule="atLeast"/>
        </w:trPr>
        <w:tc>
          <w:tcPr>
            <w:tcW w:w="544" w:type="dxa"/>
            <w:tcBorders>
              <w:tl2br w:val="nil"/>
              <w:tr2bl w:val="nil"/>
            </w:tcBorders>
            <w:shd w:val="clear"/>
            <w:vAlign w:val="center"/>
          </w:tcPr>
          <w:p>
            <w:pPr>
              <w:keepNext w:val="0"/>
              <w:keepLines w:val="0"/>
              <w:widowControl/>
              <w:suppressLineNumbers w:val="0"/>
              <w:jc w:val="center"/>
              <w:textAlignment w:val="center"/>
              <w:rPr>
                <w:rFonts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序号</w:t>
            </w:r>
          </w:p>
        </w:tc>
        <w:tc>
          <w:tcPr>
            <w:tcW w:w="849"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权力</w:t>
            </w:r>
          </w:p>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类型</w:t>
            </w:r>
          </w:p>
        </w:tc>
        <w:tc>
          <w:tcPr>
            <w:tcW w:w="1134"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权力事项</w:t>
            </w:r>
          </w:p>
        </w:tc>
        <w:tc>
          <w:tcPr>
            <w:tcW w:w="3117"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实施依据</w:t>
            </w:r>
          </w:p>
        </w:tc>
        <w:tc>
          <w:tcPr>
            <w:tcW w:w="1134"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省级</w:t>
            </w:r>
          </w:p>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主管部门</w:t>
            </w:r>
          </w:p>
        </w:tc>
        <w:tc>
          <w:tcPr>
            <w:tcW w:w="963"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kern w:val="0"/>
                <w:sz w:val="24"/>
                <w:szCs w:val="24"/>
                <w:u w:val="none"/>
                <w:lang w:val="en-US" w:eastAsia="zh-CN" w:bidi="ar"/>
              </w:rPr>
            </w:pPr>
            <w:r>
              <w:rPr>
                <w:rFonts w:hint="eastAsia" w:ascii="黑体" w:hAnsi="宋体" w:eastAsia="黑体" w:cs="黑体"/>
                <w:i w:val="0"/>
                <w:color w:val="auto"/>
                <w:kern w:val="0"/>
                <w:sz w:val="24"/>
                <w:szCs w:val="24"/>
                <w:u w:val="none"/>
                <w:lang w:val="en-US" w:eastAsia="zh-CN" w:bidi="ar"/>
              </w:rPr>
              <w:t>实施</w:t>
            </w:r>
          </w:p>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层级</w:t>
            </w:r>
          </w:p>
        </w:tc>
        <w:tc>
          <w:tcPr>
            <w:tcW w:w="3968"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责任事项</w:t>
            </w:r>
          </w:p>
        </w:tc>
        <w:tc>
          <w:tcPr>
            <w:tcW w:w="3402" w:type="dxa"/>
            <w:tcBorders>
              <w:tl2br w:val="nil"/>
              <w:tr2bl w:val="nil"/>
            </w:tcBorders>
            <w:shd w:val="clear"/>
            <w:vAlign w:val="center"/>
          </w:tcPr>
          <w:p>
            <w:pPr>
              <w:keepNext w:val="0"/>
              <w:keepLines w:val="0"/>
              <w:widowControl/>
              <w:suppressLineNumbers w:val="0"/>
              <w:jc w:val="center"/>
              <w:textAlignment w:val="center"/>
              <w:rPr>
                <w:rFonts w:hint="eastAsia" w:ascii="黑体" w:hAnsi="宋体" w:eastAsia="黑体" w:cs="黑体"/>
                <w:i w:val="0"/>
                <w:color w:val="auto"/>
                <w:sz w:val="24"/>
                <w:szCs w:val="24"/>
                <w:u w:val="none"/>
              </w:rPr>
            </w:pPr>
            <w:r>
              <w:rPr>
                <w:rFonts w:hint="eastAsia" w:ascii="黑体" w:hAnsi="宋体" w:eastAsia="黑体" w:cs="黑体"/>
                <w:i w:val="0"/>
                <w:color w:val="auto"/>
                <w:kern w:val="0"/>
                <w:sz w:val="24"/>
                <w:szCs w:val="24"/>
                <w:u w:val="none"/>
                <w:lang w:val="en-US" w:eastAsia="zh-CN" w:bidi="ar"/>
              </w:rPr>
              <w:t>追责情形</w:t>
            </w:r>
          </w:p>
        </w:tc>
        <w:tc>
          <w:tcPr>
            <w:tcW w:w="567" w:type="dxa"/>
            <w:tcBorders>
              <w:tl2br w:val="nil"/>
              <w:tr2bl w:val="nil"/>
            </w:tcBorders>
            <w:shd w:val="clear"/>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15" w:type="dxa"/>
            <w:left w:w="15" w:type="dxa"/>
            <w:bottom w:w="15" w:type="dxa"/>
            <w:right w:w="15" w:type="dxa"/>
          </w:tblCellMar>
        </w:tblPrEx>
        <w:trPr>
          <w:trHeight w:val="8957" w:hRule="atLeast"/>
        </w:trPr>
        <w:tc>
          <w:tcPr>
            <w:tcW w:w="544" w:type="dxa"/>
            <w:tcBorders>
              <w:tl2br w:val="nil"/>
              <w:tr2bl w:val="nil"/>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40" w:lineRule="exact"/>
              <w:ind w:left="0" w:leftChars="0" w:right="0" w:rightChars="0" w:firstLine="0" w:firstLineChars="0"/>
              <w:jc w:val="center"/>
              <w:outlineLvl w:val="9"/>
              <w:rPr>
                <w:rFonts w:hint="eastAsia" w:ascii="仿宋_GB2312" w:hAnsi="仿宋_GB2312" w:eastAsia="仿宋_GB2312" w:cs="仿宋_GB2312"/>
                <w:i w:val="0"/>
                <w:color w:val="000000"/>
                <w:sz w:val="18"/>
                <w:szCs w:val="18"/>
                <w:u w:val="none"/>
                <w:lang w:val="en-US" w:eastAsia="zh-CN"/>
              </w:rPr>
            </w:pPr>
            <w:r>
              <w:rPr>
                <w:rFonts w:hint="eastAsia" w:ascii="仿宋_GB2312" w:hAnsi="仿宋_GB2312" w:eastAsia="仿宋_GB2312" w:cs="仿宋_GB2312"/>
                <w:i w:val="0"/>
                <w:color w:val="000000"/>
                <w:sz w:val="18"/>
                <w:szCs w:val="18"/>
                <w:u w:val="none"/>
                <w:lang w:val="en-US" w:eastAsia="zh-CN"/>
              </w:rPr>
              <w:t>1</w:t>
            </w:r>
          </w:p>
        </w:tc>
        <w:tc>
          <w:tcPr>
            <w:tcW w:w="849"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行政裁决</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城市房屋拆迁行政裁决</w:t>
            </w:r>
          </w:p>
        </w:tc>
        <w:tc>
          <w:tcPr>
            <w:tcW w:w="3117"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1.《国有土地上房屋征收与补偿条例》（国务院令第590号）第三十五条 本条例自公布之日起施行。2001年6月13日国务院公布的《城市房屋拆迁管理条例》同时废止。本条例施行前已依法取得房屋拆迁许可证的项目，继续沿用原有的规定办理，但政府不得责成有关部门强制拆迁。</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2.《中华人民共和国建设关于印发&lt;城市房屋拆迁行政裁决工作规程&gt;的通知》（建住房【2003】252号）第三条 市、县人民政府城市房屋拆迁管理部门负责本行政区域内城市房屋拆迁行政裁决工作。房屋拆迁管理部门及其工作人员应当按照有关法律、法规规定，依法履行行政裁决职责。</w:t>
            </w:r>
          </w:p>
        </w:tc>
        <w:tc>
          <w:tcPr>
            <w:tcW w:w="1134"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省住建厅</w:t>
            </w:r>
          </w:p>
        </w:tc>
        <w:tc>
          <w:tcPr>
            <w:tcW w:w="963"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市级、县级</w:t>
            </w:r>
          </w:p>
        </w:tc>
        <w:tc>
          <w:tcPr>
            <w:tcW w:w="3968"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1.受理责任：公示申请条件、法定期限、需提供的申请书及其他资料（申请人及被申请人的基本情况，申请裁决的要求和理由，有关证据材料，申请日期等） 一次性告知补正材料。对裁决申请材料进行审查，对符合条件的依法受理、立案；对不符合条件的，不予受理并通知申请人，告知其理由。</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审理责任：通知拆迁补偿纠纷裁决的申请人及对方当事人，并要求对方当事人在规定的期限内提交答辩书及有关证据材料。收到答辩书后，对争议的事实、证据材料进行审查，针对疑问情况或经当事人请求，举行公开听证，由当事人双方当面陈述案情，进行辩论、举证、质证，以查明案情。</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3.裁决责任：根据</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事实和法律、法规做出裁决，制作并向双方当事人送达的裁决书（说明裁决的理由、一句，并告知当事人能否向法院起诉的权利及行使诉权的期限）。</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4、执行责任：拆迁补偿纠纷裁决生效后，争议当事人应当自觉履行。</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5、其他法律法规规章文件规定应履行的责任。</w:t>
            </w:r>
          </w:p>
        </w:tc>
        <w:tc>
          <w:tcPr>
            <w:tcW w:w="3402" w:type="dxa"/>
            <w:tcBorders>
              <w:tl2br w:val="nil"/>
              <w:tr2bl w:val="nil"/>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因不履行或不正确履行行政职责，有下列情形的，行政机关及相关工作人员应承担相应任：</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1.对符合条件的拆迁补偿纠纷裁决申请不予受理、裁决的；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2.对不符合法定条件的拆迁补偿纠纷裁决申请受理、裁决的；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3.因裁决不当给行政相对人造成损失的；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4.没有法律和事实依据进行行政裁决的；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5.符合听证条件、当事人要求听证，应予组织听证而不组织听证的；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6.在拆迁补偿纠纷裁决工作中玩忽职守、滥用职权的；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7.在行政裁决过程中发生腐败行为的；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8、其他违反法律法规规章文件规定行为的。</w:t>
            </w:r>
          </w:p>
        </w:tc>
        <w:tc>
          <w:tcPr>
            <w:tcW w:w="567" w:type="dxa"/>
            <w:tcBorders>
              <w:tl2br w:val="nil"/>
              <w:tr2bl w:val="nil"/>
            </w:tcBorders>
            <w:shd w:val="clear"/>
            <w:vAlign w:val="center"/>
          </w:tcPr>
          <w:p>
            <w:pPr>
              <w:rPr>
                <w:rFonts w:hint="eastAsia" w:ascii="仿宋_GB2312" w:hAnsi="仿宋_GB2312" w:eastAsia="仿宋_GB2312" w:cs="仿宋_GB2312"/>
                <w:i w:val="0"/>
                <w:color w:val="000000"/>
                <w:sz w:val="18"/>
                <w:szCs w:val="18"/>
                <w:u w:val="none"/>
              </w:rPr>
            </w:pPr>
          </w:p>
        </w:tc>
      </w:tr>
    </w:tbl>
    <w:p/>
    <w:sectPr>
      <w:pgSz w:w="16838" w:h="11906" w:orient="landscape"/>
      <w:pgMar w:top="720" w:right="720" w:bottom="720" w:left="72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82FB5"/>
    <w:rsid w:val="33F82FB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2022-09-05T09:06:00Z</dcterms:created>
  <dc:creator>Administrator</dc:creator>
  <cp:lastModifiedBy>Administrator</cp:lastModifiedBy>
  <dcterms:modified xsi:type="dcterms:W3CDTF">2022-09-05T09:11:07Z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