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ascii="黑体" w:hAnsi="Times New Roman" w:eastAsia="黑体" w:cs="Times New Roman"/>
          <w:sz w:val="44"/>
          <w:szCs w:val="44"/>
        </w:rPr>
      </w:pPr>
      <w:r>
        <w:rPr>
          <w:rFonts w:hint="eastAsia" w:ascii="黑体" w:hAnsi="Times New Roman" w:eastAsia="黑体" w:cs="Times New Roman"/>
          <w:sz w:val="44"/>
          <w:szCs w:val="44"/>
        </w:rPr>
        <w:t>青龙满族自治县</w:t>
      </w:r>
    </w:p>
    <w:p>
      <w:pPr>
        <w:spacing w:line="579" w:lineRule="exact"/>
        <w:ind w:firstLine="880" w:firstLineChars="200"/>
        <w:jc w:val="center"/>
        <w:rPr>
          <w:rFonts w:ascii="黑体" w:hAnsi="Times New Roman" w:eastAsia="黑体" w:cs="Times New Roman"/>
          <w:sz w:val="44"/>
          <w:szCs w:val="44"/>
        </w:rPr>
      </w:pPr>
      <w:r>
        <w:rPr>
          <w:rFonts w:hint="eastAsia" w:ascii="黑体" w:hAnsi="Times New Roman" w:eastAsia="黑体" w:cs="Times New Roman"/>
          <w:sz w:val="44"/>
          <w:szCs w:val="44"/>
        </w:rPr>
        <w:t>人民政府信访局2018年部门预算信息公开情况说明</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按照《中华人民共和国预算法》</w:t>
      </w:r>
      <w:bookmarkStart w:id="3" w:name="_GoBack"/>
      <w:bookmarkEnd w:id="3"/>
      <w:r>
        <w:rPr>
          <w:rFonts w:hint="eastAsia" w:ascii="仿宋" w:hAnsi="仿宋" w:eastAsia="仿宋" w:cs="Times New Roman"/>
          <w:sz w:val="32"/>
          <w:szCs w:val="32"/>
        </w:rPr>
        <w:t>、《地方预决算公开操作规程》和《河北省预决算公开操作规程实施细则》规定，现将青龙满族自治县人民政府信访局2018年部门预算公开如下：</w:t>
      </w:r>
    </w:p>
    <w:p>
      <w:pPr>
        <w:spacing w:line="520" w:lineRule="exact"/>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20" w:lineRule="exact"/>
        <w:ind w:firstLine="630" w:firstLineChars="196"/>
        <w:rPr>
          <w:rFonts w:ascii="仿宋" w:hAnsi="仿宋" w:eastAsia="仿宋" w:cs="Times New Roman"/>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spacing w:line="520" w:lineRule="exact"/>
        <w:ind w:firstLine="627" w:firstLineChars="196"/>
        <w:rPr>
          <w:rFonts w:ascii="仿宋" w:hAnsi="仿宋" w:eastAsia="仿宋"/>
          <w:sz w:val="32"/>
          <w:szCs w:val="32"/>
        </w:rPr>
      </w:pPr>
      <w:r>
        <w:rPr>
          <w:rFonts w:ascii="仿宋" w:hAnsi="仿宋" w:eastAsia="仿宋"/>
          <w:sz w:val="32"/>
          <w:szCs w:val="32"/>
        </w:rPr>
        <w:t>1、组织协调机关日常政务工作；</w:t>
      </w:r>
    </w:p>
    <w:p>
      <w:pPr>
        <w:spacing w:line="520" w:lineRule="exact"/>
        <w:ind w:firstLine="627" w:firstLineChars="196"/>
        <w:rPr>
          <w:rFonts w:ascii="仿宋" w:hAnsi="仿宋" w:eastAsia="仿宋"/>
          <w:sz w:val="32"/>
          <w:szCs w:val="32"/>
        </w:rPr>
      </w:pPr>
      <w:r>
        <w:rPr>
          <w:rFonts w:ascii="仿宋" w:hAnsi="仿宋" w:eastAsia="仿宋"/>
          <w:sz w:val="32"/>
          <w:szCs w:val="32"/>
        </w:rPr>
        <w:t>负责会议组织、文秘事务、信访信息、对外宣传、机要通信、信件管理、档案管理、保守秘密、安全保卫、计划生育等行政事务；负责群众工作中心的日常管理工作。</w:t>
      </w:r>
    </w:p>
    <w:p>
      <w:pPr>
        <w:spacing w:line="520" w:lineRule="exact"/>
        <w:ind w:firstLine="627" w:firstLineChars="196"/>
        <w:rPr>
          <w:rFonts w:ascii="仿宋" w:hAnsi="仿宋" w:eastAsia="仿宋"/>
          <w:sz w:val="32"/>
          <w:szCs w:val="32"/>
        </w:rPr>
      </w:pPr>
      <w:r>
        <w:rPr>
          <w:rFonts w:ascii="仿宋" w:hAnsi="仿宋" w:eastAsia="仿宋"/>
          <w:sz w:val="32"/>
          <w:szCs w:val="32"/>
        </w:rPr>
        <w:t>2、接待日常群众来访，处理群众来信，做上访群众的疏导工作；</w:t>
      </w:r>
    </w:p>
    <w:p>
      <w:pPr>
        <w:spacing w:line="520" w:lineRule="exact"/>
        <w:ind w:firstLine="627" w:firstLineChars="196"/>
        <w:rPr>
          <w:rFonts w:ascii="仿宋" w:hAnsi="仿宋" w:eastAsia="仿宋"/>
          <w:sz w:val="32"/>
          <w:szCs w:val="32"/>
        </w:rPr>
      </w:pPr>
      <w:r>
        <w:rPr>
          <w:rFonts w:ascii="仿宋" w:hAnsi="仿宋" w:eastAsia="仿宋"/>
          <w:sz w:val="32"/>
          <w:szCs w:val="32"/>
        </w:rPr>
        <w:t>(1)接待日常群众来信来访；</w:t>
      </w:r>
    </w:p>
    <w:p>
      <w:pPr>
        <w:spacing w:line="520" w:lineRule="exact"/>
        <w:ind w:firstLine="627" w:firstLineChars="196"/>
        <w:rPr>
          <w:rFonts w:ascii="仿宋" w:hAnsi="仿宋" w:eastAsia="仿宋"/>
          <w:sz w:val="32"/>
          <w:szCs w:val="32"/>
        </w:rPr>
      </w:pPr>
      <w:r>
        <w:rPr>
          <w:rFonts w:ascii="仿宋" w:hAnsi="仿宋" w:eastAsia="仿宋"/>
          <w:sz w:val="32"/>
          <w:szCs w:val="32"/>
        </w:rPr>
        <w:t>(2）联系、预约县级领导接待来访；</w:t>
      </w:r>
    </w:p>
    <w:p>
      <w:pPr>
        <w:spacing w:line="520" w:lineRule="exact"/>
        <w:ind w:firstLine="627" w:firstLineChars="196"/>
        <w:rPr>
          <w:rFonts w:ascii="仿宋" w:hAnsi="仿宋" w:eastAsia="仿宋"/>
          <w:sz w:val="32"/>
          <w:szCs w:val="32"/>
        </w:rPr>
      </w:pPr>
      <w:r>
        <w:rPr>
          <w:rFonts w:ascii="仿宋" w:hAnsi="仿宋" w:eastAsia="仿宋"/>
          <w:sz w:val="32"/>
          <w:szCs w:val="32"/>
        </w:rPr>
        <w:t>(3）组织、协调各部门集中接访，联系相关部门日常到信访局接访；</w:t>
      </w:r>
    </w:p>
    <w:p>
      <w:pPr>
        <w:spacing w:line="520" w:lineRule="exact"/>
        <w:ind w:firstLine="627" w:firstLineChars="196"/>
        <w:rPr>
          <w:rFonts w:ascii="仿宋" w:hAnsi="仿宋" w:eastAsia="仿宋"/>
          <w:sz w:val="32"/>
          <w:szCs w:val="32"/>
        </w:rPr>
      </w:pPr>
      <w:r>
        <w:rPr>
          <w:rFonts w:ascii="仿宋" w:hAnsi="仿宋" w:eastAsia="仿宋"/>
          <w:sz w:val="32"/>
          <w:szCs w:val="32"/>
        </w:rPr>
        <w:t>(4）协助县级领导接访，维持接访秩序；</w:t>
      </w:r>
    </w:p>
    <w:p>
      <w:pPr>
        <w:spacing w:line="520" w:lineRule="exact"/>
        <w:ind w:firstLine="627" w:firstLineChars="196"/>
        <w:rPr>
          <w:rFonts w:ascii="仿宋" w:hAnsi="仿宋" w:eastAsia="仿宋"/>
          <w:sz w:val="32"/>
          <w:szCs w:val="32"/>
        </w:rPr>
      </w:pPr>
      <w:r>
        <w:rPr>
          <w:rFonts w:ascii="仿宋" w:hAnsi="仿宋" w:eastAsia="仿宋"/>
          <w:sz w:val="32"/>
          <w:szCs w:val="32"/>
        </w:rPr>
        <w:t>(5)负责来信来访登记、各项信访统计报表上报工作</w:t>
      </w:r>
      <w:r>
        <w:rPr>
          <w:rFonts w:hint="eastAsia" w:ascii="仿宋" w:hAnsi="仿宋" w:eastAsia="仿宋"/>
          <w:sz w:val="32"/>
          <w:szCs w:val="32"/>
        </w:rPr>
        <w:t>;</w:t>
      </w:r>
    </w:p>
    <w:p>
      <w:pPr>
        <w:spacing w:line="520" w:lineRule="exact"/>
        <w:ind w:firstLine="627" w:firstLineChars="196"/>
        <w:rPr>
          <w:rFonts w:ascii="仿宋" w:hAnsi="仿宋" w:eastAsia="仿宋"/>
          <w:sz w:val="32"/>
          <w:szCs w:val="32"/>
        </w:rPr>
      </w:pPr>
      <w:r>
        <w:rPr>
          <w:rFonts w:ascii="仿宋" w:hAnsi="仿宋" w:eastAsia="仿宋"/>
          <w:sz w:val="32"/>
          <w:szCs w:val="32"/>
        </w:rPr>
        <w:t>(6)负责人民群众建议征集和整理工作。</w:t>
      </w:r>
    </w:p>
    <w:p>
      <w:pPr>
        <w:spacing w:line="520" w:lineRule="exact"/>
        <w:ind w:firstLine="627" w:firstLineChars="196"/>
        <w:rPr>
          <w:rFonts w:ascii="仿宋" w:hAnsi="仿宋" w:eastAsia="仿宋"/>
          <w:sz w:val="32"/>
          <w:szCs w:val="32"/>
        </w:rPr>
      </w:pPr>
      <w:r>
        <w:rPr>
          <w:rFonts w:ascii="仿宋" w:hAnsi="仿宋" w:eastAsia="仿宋"/>
          <w:sz w:val="32"/>
          <w:szCs w:val="32"/>
        </w:rPr>
        <w:t>3、承办中央、省、市、县四级交办及领导转办交办的各类信访案件及信访矛盾纠纷和隐患排查工作；</w:t>
      </w:r>
    </w:p>
    <w:p>
      <w:pPr>
        <w:tabs>
          <w:tab w:val="left" w:pos="720"/>
        </w:tabs>
        <w:spacing w:line="520" w:lineRule="exact"/>
        <w:ind w:firstLine="627" w:firstLineChars="196"/>
        <w:rPr>
          <w:rFonts w:ascii="仿宋" w:hAnsi="仿宋" w:eastAsia="仿宋"/>
          <w:sz w:val="32"/>
          <w:szCs w:val="32"/>
        </w:rPr>
      </w:pPr>
      <w:r>
        <w:rPr>
          <w:rFonts w:ascii="仿宋" w:hAnsi="仿宋" w:eastAsia="仿宋"/>
          <w:sz w:val="32"/>
          <w:szCs w:val="32"/>
        </w:rPr>
        <w:t>（1）承办中央、省、市、县四级交办及领导转办交办的各类信访案件；</w:t>
      </w:r>
    </w:p>
    <w:p>
      <w:pPr>
        <w:spacing w:line="520" w:lineRule="exact"/>
        <w:ind w:firstLine="627" w:firstLineChars="196"/>
        <w:rPr>
          <w:rFonts w:ascii="仿宋" w:hAnsi="仿宋" w:eastAsia="仿宋"/>
          <w:sz w:val="32"/>
          <w:szCs w:val="32"/>
        </w:rPr>
      </w:pPr>
      <w:r>
        <w:rPr>
          <w:rFonts w:ascii="仿宋" w:hAnsi="仿宋" w:eastAsia="仿宋"/>
          <w:sz w:val="32"/>
          <w:szCs w:val="32"/>
        </w:rPr>
        <w:t xml:space="preserve"> (2）负责各类矛盾纠纷和信访隐患、信访信息排查工作；</w:t>
      </w:r>
    </w:p>
    <w:p>
      <w:pPr>
        <w:spacing w:line="520" w:lineRule="exact"/>
        <w:ind w:firstLine="627" w:firstLineChars="196"/>
        <w:rPr>
          <w:rFonts w:ascii="仿宋" w:hAnsi="仿宋" w:eastAsia="仿宋"/>
          <w:sz w:val="32"/>
          <w:szCs w:val="32"/>
        </w:rPr>
      </w:pPr>
      <w:r>
        <w:rPr>
          <w:rFonts w:ascii="仿宋" w:hAnsi="仿宋" w:eastAsia="仿宋"/>
          <w:sz w:val="32"/>
          <w:szCs w:val="32"/>
        </w:rPr>
        <w:t xml:space="preserve"> (3）负责中央、省、市三级交办案件结案材料的起草、上报等各项工作。</w:t>
      </w:r>
    </w:p>
    <w:p>
      <w:pPr>
        <w:spacing w:line="520" w:lineRule="exact"/>
        <w:ind w:firstLine="627" w:firstLineChars="196"/>
        <w:rPr>
          <w:rFonts w:ascii="仿宋" w:hAnsi="仿宋" w:eastAsia="仿宋"/>
          <w:sz w:val="32"/>
          <w:szCs w:val="32"/>
        </w:rPr>
      </w:pPr>
      <w:r>
        <w:rPr>
          <w:rFonts w:ascii="仿宋" w:hAnsi="仿宋" w:eastAsia="仿宋"/>
          <w:sz w:val="32"/>
          <w:szCs w:val="32"/>
        </w:rPr>
        <w:t>4、督导、检查领导批办及</w:t>
      </w:r>
      <w:r>
        <w:rPr>
          <w:rFonts w:hint="eastAsia" w:ascii="仿宋" w:hAnsi="仿宋" w:eastAsia="仿宋"/>
          <w:sz w:val="32"/>
          <w:szCs w:val="32"/>
        </w:rPr>
        <w:t>上级</w:t>
      </w:r>
      <w:r>
        <w:rPr>
          <w:rFonts w:ascii="仿宋" w:hAnsi="仿宋" w:eastAsia="仿宋"/>
          <w:sz w:val="32"/>
          <w:szCs w:val="32"/>
        </w:rPr>
        <w:t>信访部门交办的各类信访案件；</w:t>
      </w:r>
    </w:p>
    <w:p>
      <w:pPr>
        <w:spacing w:line="520" w:lineRule="exact"/>
        <w:ind w:firstLine="627" w:firstLineChars="196"/>
        <w:rPr>
          <w:rFonts w:ascii="仿宋" w:hAnsi="仿宋" w:eastAsia="仿宋"/>
          <w:sz w:val="32"/>
          <w:szCs w:val="32"/>
        </w:rPr>
      </w:pPr>
      <w:r>
        <w:rPr>
          <w:rFonts w:ascii="仿宋" w:hAnsi="仿宋" w:eastAsia="仿宋"/>
          <w:sz w:val="32"/>
          <w:szCs w:val="32"/>
        </w:rPr>
        <w:t>（1）督导、检查领导批办及</w:t>
      </w:r>
      <w:r>
        <w:rPr>
          <w:rFonts w:hint="eastAsia" w:ascii="仿宋" w:hAnsi="仿宋" w:eastAsia="仿宋"/>
          <w:sz w:val="32"/>
          <w:szCs w:val="32"/>
        </w:rPr>
        <w:t>上级</w:t>
      </w:r>
      <w:r>
        <w:rPr>
          <w:rFonts w:ascii="仿宋" w:hAnsi="仿宋" w:eastAsia="仿宋"/>
          <w:sz w:val="32"/>
          <w:szCs w:val="32"/>
        </w:rPr>
        <w:t>信访部门交办的各类信访案件，协调、帮助、指导各乡镇各部门办理信访案件；</w:t>
      </w:r>
    </w:p>
    <w:p>
      <w:pPr>
        <w:spacing w:line="520" w:lineRule="exact"/>
        <w:ind w:firstLine="627" w:firstLineChars="196"/>
        <w:rPr>
          <w:rFonts w:ascii="仿宋" w:hAnsi="仿宋" w:eastAsia="仿宋"/>
          <w:sz w:val="32"/>
          <w:szCs w:val="32"/>
        </w:rPr>
      </w:pPr>
      <w:r>
        <w:rPr>
          <w:rFonts w:ascii="仿宋" w:hAnsi="仿宋" w:eastAsia="仿宋"/>
          <w:sz w:val="32"/>
          <w:szCs w:val="32"/>
        </w:rPr>
        <w:t>（2）对乡镇及县直部门信访工作进行年度考核；</w:t>
      </w:r>
    </w:p>
    <w:p>
      <w:pPr>
        <w:spacing w:line="520" w:lineRule="exact"/>
        <w:ind w:firstLine="640" w:firstLineChars="200"/>
        <w:rPr>
          <w:rFonts w:ascii="仿宋" w:hAnsi="仿宋" w:eastAsia="仿宋"/>
          <w:sz w:val="32"/>
          <w:szCs w:val="32"/>
        </w:rPr>
      </w:pPr>
      <w:r>
        <w:rPr>
          <w:rFonts w:ascii="仿宋" w:hAnsi="仿宋" w:eastAsia="仿宋"/>
          <w:sz w:val="32"/>
          <w:szCs w:val="32"/>
        </w:rPr>
        <w:t>（3）通过河北</w:t>
      </w:r>
      <w:r>
        <w:rPr>
          <w:rFonts w:hint="eastAsia" w:ascii="仿宋" w:hAnsi="仿宋" w:eastAsia="仿宋"/>
          <w:sz w:val="32"/>
          <w:szCs w:val="32"/>
        </w:rPr>
        <w:t>省</w:t>
      </w:r>
      <w:r>
        <w:rPr>
          <w:rFonts w:ascii="仿宋" w:hAnsi="仿宋" w:eastAsia="仿宋"/>
          <w:sz w:val="32"/>
          <w:szCs w:val="32"/>
        </w:rPr>
        <w:t>信访信息系统，及时检查有关</w:t>
      </w:r>
      <w:r>
        <w:rPr>
          <w:rFonts w:hint="eastAsia" w:ascii="仿宋" w:hAnsi="仿宋" w:eastAsia="仿宋"/>
          <w:sz w:val="32"/>
          <w:szCs w:val="32"/>
        </w:rPr>
        <w:t>乡镇</w:t>
      </w:r>
      <w:r>
        <w:rPr>
          <w:rFonts w:ascii="仿宋" w:hAnsi="仿宋" w:eastAsia="仿宋"/>
          <w:sz w:val="32"/>
          <w:szCs w:val="32"/>
        </w:rPr>
        <w:t>和部门</w:t>
      </w:r>
      <w:r>
        <w:rPr>
          <w:rFonts w:hint="eastAsia" w:ascii="仿宋" w:hAnsi="仿宋" w:eastAsia="仿宋"/>
          <w:sz w:val="32"/>
          <w:szCs w:val="32"/>
        </w:rPr>
        <w:t>案件</w:t>
      </w:r>
      <w:r>
        <w:rPr>
          <w:rFonts w:ascii="仿宋" w:hAnsi="仿宋" w:eastAsia="仿宋"/>
          <w:sz w:val="32"/>
          <w:szCs w:val="32"/>
        </w:rPr>
        <w:t>办理情况。</w:t>
      </w:r>
    </w:p>
    <w:p>
      <w:pPr>
        <w:spacing w:line="520" w:lineRule="exact"/>
        <w:ind w:firstLine="640" w:firstLineChars="200"/>
        <w:rPr>
          <w:rFonts w:ascii="仿宋" w:hAnsi="仿宋" w:eastAsia="仿宋"/>
          <w:sz w:val="32"/>
          <w:szCs w:val="32"/>
        </w:rPr>
      </w:pPr>
      <w:r>
        <w:rPr>
          <w:rFonts w:ascii="仿宋" w:hAnsi="仿宋" w:eastAsia="仿宋"/>
          <w:sz w:val="32"/>
          <w:szCs w:val="32"/>
        </w:rPr>
        <w:t>5、受理信访人对各工作部门及乡镇党委、政府就信访事项所做处理意见不服而提出的复查请求。</w:t>
      </w:r>
    </w:p>
    <w:p>
      <w:pPr>
        <w:spacing w:line="520" w:lineRule="exact"/>
        <w:ind w:firstLine="627" w:firstLineChars="196"/>
        <w:rPr>
          <w:rFonts w:ascii="仿宋" w:hAnsi="仿宋" w:eastAsia="仿宋"/>
          <w:sz w:val="32"/>
          <w:szCs w:val="32"/>
        </w:rPr>
      </w:pPr>
      <w:r>
        <w:rPr>
          <w:rFonts w:ascii="仿宋" w:hAnsi="仿宋" w:eastAsia="仿宋"/>
          <w:sz w:val="32"/>
          <w:szCs w:val="32"/>
        </w:rPr>
        <w:t>畅通信访渠道、完善信访复查程序，有效化解信访矛盾，降低越级访和重复访率。受理信访人对县委、县政府各工作部门及乡镇党委、政府就信访事项所做处理意见不服而向县委、县政府提出复查请求，依法依规按规定期限向信访人出具信访答复。</w:t>
      </w:r>
    </w:p>
    <w:p>
      <w:pPr>
        <w:spacing w:line="520" w:lineRule="exact"/>
        <w:ind w:firstLine="627" w:firstLineChars="196"/>
        <w:rPr>
          <w:rFonts w:ascii="仿宋" w:hAnsi="仿宋" w:eastAsia="仿宋"/>
          <w:sz w:val="32"/>
          <w:szCs w:val="32"/>
        </w:rPr>
      </w:pPr>
      <w:r>
        <w:rPr>
          <w:rFonts w:ascii="仿宋" w:hAnsi="仿宋" w:eastAsia="仿宋"/>
          <w:sz w:val="32"/>
          <w:szCs w:val="32"/>
        </w:rPr>
        <w:t>6、做好信访维稳值班工作</w:t>
      </w:r>
    </w:p>
    <w:p>
      <w:pPr>
        <w:spacing w:line="520" w:lineRule="exact"/>
        <w:ind w:firstLine="627" w:firstLineChars="196"/>
        <w:rPr>
          <w:rFonts w:ascii="仿宋" w:hAnsi="仿宋" w:eastAsia="仿宋"/>
          <w:sz w:val="32"/>
          <w:szCs w:val="32"/>
        </w:rPr>
      </w:pPr>
      <w:r>
        <w:rPr>
          <w:rFonts w:ascii="仿宋" w:hAnsi="仿宋" w:eastAsia="仿宋"/>
          <w:sz w:val="32"/>
          <w:szCs w:val="32"/>
        </w:rPr>
        <w:t>根据省、市</w:t>
      </w:r>
      <w:r>
        <w:rPr>
          <w:rFonts w:hint="eastAsia" w:ascii="仿宋" w:hAnsi="仿宋" w:eastAsia="仿宋"/>
          <w:sz w:val="32"/>
          <w:szCs w:val="32"/>
        </w:rPr>
        <w:t>信访工作</w:t>
      </w:r>
      <w:r>
        <w:rPr>
          <w:rFonts w:ascii="仿宋" w:hAnsi="仿宋" w:eastAsia="仿宋"/>
          <w:sz w:val="32"/>
          <w:szCs w:val="32"/>
        </w:rPr>
        <w:t>联席会议办公室的有关通知要求，各级“两会”、国家、省、市重大活动、北戴河旅游</w:t>
      </w:r>
      <w:r>
        <w:rPr>
          <w:rFonts w:hint="eastAsia" w:ascii="仿宋" w:hAnsi="仿宋" w:eastAsia="仿宋"/>
          <w:sz w:val="32"/>
          <w:szCs w:val="32"/>
        </w:rPr>
        <w:t>旺季</w:t>
      </w:r>
      <w:r>
        <w:rPr>
          <w:rFonts w:ascii="仿宋" w:hAnsi="仿宋" w:eastAsia="仿宋"/>
          <w:sz w:val="32"/>
          <w:szCs w:val="32"/>
        </w:rPr>
        <w:t>等期间，到北京、石家庄、秦皇岛及北戴河值班，负责组织协调、稳控劝返工作。</w:t>
      </w:r>
    </w:p>
    <w:p>
      <w:pPr>
        <w:autoSpaceDE w:val="0"/>
        <w:autoSpaceDN w:val="0"/>
        <w:adjustRightInd w:val="0"/>
        <w:spacing w:line="520" w:lineRule="exact"/>
        <w:ind w:firstLine="643" w:firstLineChars="200"/>
        <w:jc w:val="left"/>
        <w:rPr>
          <w:rFonts w:ascii="仿宋" w:hAnsi="仿宋" w:eastAsia="仿宋" w:cs="Times New Roman"/>
          <w:b/>
          <w:sz w:val="32"/>
          <w:szCs w:val="32"/>
        </w:rPr>
      </w:pPr>
    </w:p>
    <w:p>
      <w:pPr>
        <w:autoSpaceDE w:val="0"/>
        <w:autoSpaceDN w:val="0"/>
        <w:adjustRightInd w:val="0"/>
        <w:spacing w:line="520" w:lineRule="exact"/>
        <w:ind w:firstLine="643" w:firstLineChars="200"/>
        <w:jc w:val="left"/>
        <w:rPr>
          <w:rFonts w:ascii="仿宋" w:hAnsi="仿宋" w:eastAsia="仿宋" w:cs="Times New Roman"/>
          <w:b/>
          <w:sz w:val="32"/>
          <w:szCs w:val="32"/>
        </w:rPr>
      </w:pPr>
    </w:p>
    <w:p>
      <w:pPr>
        <w:autoSpaceDE w:val="0"/>
        <w:autoSpaceDN w:val="0"/>
        <w:adjustRightInd w:val="0"/>
        <w:spacing w:line="520" w:lineRule="exact"/>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机构设置：</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801"/>
        <w:gridCol w:w="992"/>
        <w:gridCol w:w="1984"/>
        <w:gridCol w:w="2468"/>
        <w:gridCol w:w="1069"/>
        <w:gridCol w:w="539"/>
        <w:gridCol w:w="869"/>
        <w:gridCol w:w="725"/>
        <w:gridCol w:w="725"/>
        <w:gridCol w:w="725"/>
        <w:gridCol w:w="725"/>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blHeader/>
        </w:trPr>
        <w:tc>
          <w:tcPr>
            <w:tcW w:w="3437" w:type="pct"/>
            <w:gridSpan w:val="6"/>
            <w:tcBorders>
              <w:top w:val="nil"/>
              <w:left w:val="nil"/>
              <w:bottom w:val="single" w:color="auto" w:sz="4" w:space="0"/>
              <w:right w:val="nil"/>
            </w:tcBorders>
            <w:shd w:val="clear" w:color="auto" w:fill="auto"/>
            <w:tcMar>
              <w:top w:w="0" w:type="dxa"/>
              <w:left w:w="108" w:type="dxa"/>
              <w:bottom w:w="0" w:type="dxa"/>
              <w:right w:w="108" w:type="dxa"/>
            </w:tcMar>
            <w:vAlign w:val="center"/>
          </w:tcPr>
          <w:p>
            <w:pPr>
              <w:widowControl/>
              <w:spacing w:line="520" w:lineRule="exact"/>
              <w:jc w:val="left"/>
              <w:rPr>
                <w:rFonts w:ascii="仿宋" w:hAnsi="仿宋" w:eastAsia="仿宋" w:cs="宋体"/>
                <w:kern w:val="0"/>
                <w:sz w:val="32"/>
                <w:szCs w:val="32"/>
              </w:rPr>
            </w:pPr>
            <w:r>
              <w:rPr>
                <w:rFonts w:hint="eastAsia" w:ascii="仿宋" w:hAnsi="仿宋" w:eastAsia="仿宋" w:cs="宋体"/>
                <w:kern w:val="0"/>
                <w:sz w:val="32"/>
                <w:szCs w:val="32"/>
              </w:rPr>
              <w:t>202</w:t>
            </w:r>
            <w:r>
              <w:rPr>
                <w:rFonts w:ascii="仿宋" w:hAnsi="仿宋" w:eastAsia="仿宋" w:cs="宋体"/>
                <w:kern w:val="0"/>
                <w:sz w:val="32"/>
                <w:szCs w:val="32"/>
              </w:rPr>
              <w:t>青龙满族自治县</w:t>
            </w:r>
            <w:r>
              <w:rPr>
                <w:rFonts w:hint="eastAsia" w:ascii="仿宋" w:hAnsi="仿宋" w:eastAsia="仿宋" w:cs="宋体"/>
                <w:kern w:val="0"/>
                <w:sz w:val="32"/>
                <w:szCs w:val="32"/>
              </w:rPr>
              <w:t>人民政府信访局</w:t>
            </w:r>
          </w:p>
        </w:tc>
        <w:tc>
          <w:tcPr>
            <w:tcW w:w="1563" w:type="pct"/>
            <w:gridSpan w:val="6"/>
            <w:tcBorders>
              <w:top w:val="nil"/>
              <w:left w:val="nil"/>
              <w:bottom w:val="single" w:color="auto" w:sz="4" w:space="0"/>
              <w:right w:val="nil"/>
            </w:tcBorders>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ascii="仿宋" w:hAnsi="仿宋" w:eastAsia="仿宋" w:cs="宋体"/>
                <w:kern w:val="0"/>
                <w:sz w:val="32"/>
                <w:szCs w:val="32"/>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blHeader/>
        </w:trPr>
        <w:tc>
          <w:tcPr>
            <w:tcW w:w="977" w:type="pct"/>
            <w:vMerge w:val="restart"/>
            <w:tcBorders>
              <w:top w:val="single" w:color="auto" w:sz="4" w:space="0"/>
            </w:tcBorders>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单位名称</w:t>
            </w:r>
          </w:p>
        </w:tc>
        <w:tc>
          <w:tcPr>
            <w:tcW w:w="346" w:type="pct"/>
            <w:vMerge w:val="restart"/>
            <w:tcBorders>
              <w:top w:val="single" w:color="auto" w:sz="4" w:space="0"/>
            </w:tcBorders>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b/>
                <w:bCs/>
                <w:kern w:val="0"/>
                <w:sz w:val="32"/>
                <w:szCs w:val="32"/>
              </w:rPr>
            </w:pPr>
            <w:r>
              <w:rPr>
                <w:rFonts w:ascii="仿宋" w:hAnsi="仿宋" w:eastAsia="仿宋" w:cs="宋体"/>
                <w:b/>
                <w:bCs/>
                <w:kern w:val="0"/>
                <w:sz w:val="32"/>
                <w:szCs w:val="32"/>
              </w:rPr>
              <w:t>单位</w:t>
            </w:r>
          </w:p>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性质</w:t>
            </w:r>
          </w:p>
        </w:tc>
        <w:tc>
          <w:tcPr>
            <w:tcW w:w="692" w:type="pct"/>
            <w:vMerge w:val="restart"/>
            <w:tcBorders>
              <w:top w:val="single" w:color="auto" w:sz="4" w:space="0"/>
            </w:tcBorders>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单位规格</w:t>
            </w:r>
          </w:p>
        </w:tc>
        <w:tc>
          <w:tcPr>
            <w:tcW w:w="861" w:type="pct"/>
            <w:vMerge w:val="restart"/>
            <w:tcBorders>
              <w:top w:val="single" w:color="auto" w:sz="4" w:space="0"/>
            </w:tcBorders>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经费保障形式</w:t>
            </w:r>
          </w:p>
        </w:tc>
        <w:tc>
          <w:tcPr>
            <w:tcW w:w="373" w:type="pct"/>
            <w:vMerge w:val="restart"/>
            <w:tcBorders>
              <w:top w:val="single" w:color="auto" w:sz="4" w:space="0"/>
            </w:tcBorders>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车辆编制数</w:t>
            </w:r>
          </w:p>
        </w:tc>
        <w:tc>
          <w:tcPr>
            <w:tcW w:w="491" w:type="pct"/>
            <w:gridSpan w:val="2"/>
            <w:tcBorders>
              <w:top w:val="single" w:color="auto" w:sz="4" w:space="0"/>
            </w:tcBorders>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编制</w:t>
            </w:r>
          </w:p>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人数</w:t>
            </w:r>
          </w:p>
        </w:tc>
        <w:tc>
          <w:tcPr>
            <w:tcW w:w="506" w:type="pct"/>
            <w:gridSpan w:val="2"/>
            <w:tcBorders>
              <w:top w:val="single" w:color="auto" w:sz="4" w:space="0"/>
            </w:tcBorders>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在职</w:t>
            </w:r>
          </w:p>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人数</w:t>
            </w:r>
          </w:p>
        </w:tc>
        <w:tc>
          <w:tcPr>
            <w:tcW w:w="754" w:type="pct"/>
            <w:gridSpan w:val="3"/>
            <w:tcBorders>
              <w:top w:val="single" w:color="auto" w:sz="4" w:space="0"/>
            </w:tcBorders>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7" w:hRule="atLeast"/>
          <w:tblHeader/>
        </w:trPr>
        <w:tc>
          <w:tcPr>
            <w:tcW w:w="977" w:type="pct"/>
            <w:vMerge w:val="continue"/>
            <w:shd w:val="clear" w:color="auto" w:fill="FFFFFF"/>
            <w:vAlign w:val="center"/>
          </w:tcPr>
          <w:p>
            <w:pPr>
              <w:widowControl/>
              <w:spacing w:line="520" w:lineRule="exact"/>
              <w:jc w:val="left"/>
              <w:rPr>
                <w:rFonts w:ascii="仿宋" w:hAnsi="仿宋" w:eastAsia="仿宋" w:cs="宋体"/>
                <w:kern w:val="0"/>
                <w:sz w:val="32"/>
                <w:szCs w:val="32"/>
              </w:rPr>
            </w:pPr>
          </w:p>
        </w:tc>
        <w:tc>
          <w:tcPr>
            <w:tcW w:w="346" w:type="pct"/>
            <w:vMerge w:val="continue"/>
            <w:shd w:val="clear" w:color="auto" w:fill="FFFFFF"/>
            <w:vAlign w:val="center"/>
          </w:tcPr>
          <w:p>
            <w:pPr>
              <w:widowControl/>
              <w:spacing w:line="520" w:lineRule="exact"/>
              <w:jc w:val="left"/>
              <w:rPr>
                <w:rFonts w:ascii="仿宋" w:hAnsi="仿宋" w:eastAsia="仿宋" w:cs="宋体"/>
                <w:kern w:val="0"/>
                <w:sz w:val="32"/>
                <w:szCs w:val="32"/>
              </w:rPr>
            </w:pPr>
          </w:p>
        </w:tc>
        <w:tc>
          <w:tcPr>
            <w:tcW w:w="692" w:type="pct"/>
            <w:vMerge w:val="continue"/>
            <w:shd w:val="clear" w:color="auto" w:fill="FFFFFF"/>
            <w:vAlign w:val="center"/>
          </w:tcPr>
          <w:p>
            <w:pPr>
              <w:widowControl/>
              <w:spacing w:line="520" w:lineRule="exact"/>
              <w:jc w:val="left"/>
              <w:rPr>
                <w:rFonts w:ascii="仿宋" w:hAnsi="仿宋" w:eastAsia="仿宋" w:cs="宋体"/>
                <w:kern w:val="0"/>
                <w:sz w:val="32"/>
                <w:szCs w:val="32"/>
              </w:rPr>
            </w:pPr>
          </w:p>
        </w:tc>
        <w:tc>
          <w:tcPr>
            <w:tcW w:w="861" w:type="pct"/>
            <w:vMerge w:val="continue"/>
            <w:shd w:val="clear" w:color="auto" w:fill="FFFFFF"/>
            <w:vAlign w:val="center"/>
          </w:tcPr>
          <w:p>
            <w:pPr>
              <w:widowControl/>
              <w:spacing w:line="520" w:lineRule="exact"/>
              <w:jc w:val="left"/>
              <w:rPr>
                <w:rFonts w:ascii="仿宋" w:hAnsi="仿宋" w:eastAsia="仿宋" w:cs="宋体"/>
                <w:kern w:val="0"/>
                <w:sz w:val="32"/>
                <w:szCs w:val="32"/>
              </w:rPr>
            </w:pPr>
          </w:p>
        </w:tc>
        <w:tc>
          <w:tcPr>
            <w:tcW w:w="373" w:type="pct"/>
            <w:vMerge w:val="continue"/>
            <w:shd w:val="clear" w:color="auto" w:fill="FFFFFF"/>
            <w:vAlign w:val="center"/>
          </w:tcPr>
          <w:p>
            <w:pPr>
              <w:widowControl/>
              <w:spacing w:line="520" w:lineRule="exact"/>
              <w:jc w:val="left"/>
              <w:rPr>
                <w:rFonts w:ascii="仿宋" w:hAnsi="仿宋" w:eastAsia="仿宋" w:cs="宋体"/>
                <w:kern w:val="0"/>
                <w:sz w:val="32"/>
                <w:szCs w:val="32"/>
              </w:rPr>
            </w:pPr>
          </w:p>
        </w:tc>
        <w:tc>
          <w:tcPr>
            <w:tcW w:w="188" w:type="pct"/>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行政</w:t>
            </w:r>
          </w:p>
        </w:tc>
        <w:tc>
          <w:tcPr>
            <w:tcW w:w="303" w:type="pct"/>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b/>
                <w:bCs/>
                <w:kern w:val="0"/>
                <w:sz w:val="32"/>
                <w:szCs w:val="32"/>
              </w:rPr>
            </w:pPr>
            <w:r>
              <w:rPr>
                <w:rFonts w:ascii="仿宋" w:hAnsi="仿宋" w:eastAsia="仿宋" w:cs="宋体"/>
                <w:b/>
                <w:bCs/>
                <w:kern w:val="0"/>
                <w:sz w:val="32"/>
                <w:szCs w:val="32"/>
              </w:rPr>
              <w:t>事</w:t>
            </w:r>
          </w:p>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业</w:t>
            </w:r>
          </w:p>
        </w:tc>
        <w:tc>
          <w:tcPr>
            <w:tcW w:w="253" w:type="pct"/>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行政</w:t>
            </w:r>
          </w:p>
        </w:tc>
        <w:tc>
          <w:tcPr>
            <w:tcW w:w="253" w:type="pct"/>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事业</w:t>
            </w:r>
          </w:p>
        </w:tc>
        <w:tc>
          <w:tcPr>
            <w:tcW w:w="253" w:type="pct"/>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离休</w:t>
            </w:r>
          </w:p>
        </w:tc>
        <w:tc>
          <w:tcPr>
            <w:tcW w:w="253" w:type="pct"/>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退休</w:t>
            </w:r>
          </w:p>
        </w:tc>
        <w:tc>
          <w:tcPr>
            <w:tcW w:w="248" w:type="pct"/>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退职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7" w:hRule="atLeast"/>
        </w:trPr>
        <w:tc>
          <w:tcPr>
            <w:tcW w:w="977" w:type="pct"/>
            <w:shd w:val="clear" w:color="auto" w:fill="auto"/>
            <w:tcMar>
              <w:top w:w="0" w:type="dxa"/>
              <w:left w:w="108" w:type="dxa"/>
              <w:bottom w:w="0" w:type="dxa"/>
              <w:right w:w="108" w:type="dxa"/>
            </w:tcMar>
            <w:vAlign w:val="center"/>
          </w:tcPr>
          <w:p>
            <w:pPr>
              <w:widowControl/>
              <w:spacing w:line="520" w:lineRule="exact"/>
              <w:jc w:val="center"/>
              <w:rPr>
                <w:rFonts w:ascii="仿宋" w:hAnsi="仿宋" w:eastAsia="仿宋" w:cs="宋体"/>
                <w:kern w:val="0"/>
                <w:sz w:val="32"/>
                <w:szCs w:val="32"/>
              </w:rPr>
            </w:pPr>
            <w:r>
              <w:rPr>
                <w:rFonts w:ascii="仿宋" w:hAnsi="仿宋" w:eastAsia="仿宋" w:cs="宋体"/>
                <w:b/>
                <w:bCs/>
                <w:kern w:val="0"/>
                <w:sz w:val="32"/>
                <w:szCs w:val="32"/>
              </w:rPr>
              <w:t>合</w:t>
            </w:r>
            <w:r>
              <w:rPr>
                <w:rFonts w:ascii="宋体" w:hAnsi="宋体" w:eastAsia="仿宋" w:cs="宋体"/>
                <w:b/>
                <w:bCs/>
                <w:kern w:val="0"/>
                <w:sz w:val="32"/>
                <w:szCs w:val="32"/>
              </w:rPr>
              <w:t>    </w:t>
            </w:r>
            <w:r>
              <w:rPr>
                <w:rFonts w:ascii="仿宋" w:hAnsi="仿宋" w:eastAsia="仿宋" w:cs="宋体"/>
                <w:b/>
                <w:bCs/>
                <w:kern w:val="0"/>
                <w:sz w:val="32"/>
                <w:szCs w:val="32"/>
              </w:rPr>
              <w:t>计</w:t>
            </w:r>
          </w:p>
        </w:tc>
        <w:tc>
          <w:tcPr>
            <w:tcW w:w="346" w:type="pct"/>
            <w:shd w:val="clear" w:color="auto" w:fill="auto"/>
            <w:tcMar>
              <w:top w:w="0" w:type="dxa"/>
              <w:left w:w="108" w:type="dxa"/>
              <w:bottom w:w="0" w:type="dxa"/>
              <w:right w:w="108" w:type="dxa"/>
            </w:tcMar>
            <w:vAlign w:val="center"/>
          </w:tcPr>
          <w:p>
            <w:pPr>
              <w:widowControl/>
              <w:spacing w:line="520" w:lineRule="exact"/>
              <w:jc w:val="left"/>
              <w:rPr>
                <w:rFonts w:ascii="仿宋" w:hAnsi="仿宋" w:eastAsia="仿宋" w:cs="宋体"/>
                <w:kern w:val="0"/>
                <w:sz w:val="32"/>
                <w:szCs w:val="32"/>
              </w:rPr>
            </w:pPr>
            <w:r>
              <w:rPr>
                <w:rFonts w:ascii="宋体" w:hAnsi="宋体" w:eastAsia="仿宋" w:cs="宋体"/>
                <w:b/>
                <w:bCs/>
                <w:kern w:val="0"/>
                <w:sz w:val="32"/>
                <w:szCs w:val="32"/>
              </w:rPr>
              <w:t> </w:t>
            </w:r>
          </w:p>
        </w:tc>
        <w:tc>
          <w:tcPr>
            <w:tcW w:w="692" w:type="pct"/>
            <w:shd w:val="clear" w:color="auto" w:fill="auto"/>
            <w:tcMar>
              <w:top w:w="0" w:type="dxa"/>
              <w:left w:w="108" w:type="dxa"/>
              <w:bottom w:w="0" w:type="dxa"/>
              <w:right w:w="108" w:type="dxa"/>
            </w:tcMar>
            <w:vAlign w:val="center"/>
          </w:tcPr>
          <w:p>
            <w:pPr>
              <w:widowControl/>
              <w:spacing w:line="520" w:lineRule="exact"/>
              <w:jc w:val="left"/>
              <w:rPr>
                <w:rFonts w:ascii="仿宋" w:hAnsi="仿宋" w:eastAsia="仿宋" w:cs="宋体"/>
                <w:kern w:val="0"/>
                <w:sz w:val="32"/>
                <w:szCs w:val="32"/>
              </w:rPr>
            </w:pPr>
            <w:r>
              <w:rPr>
                <w:rFonts w:ascii="宋体" w:hAnsi="宋体" w:eastAsia="仿宋" w:cs="宋体"/>
                <w:b/>
                <w:bCs/>
                <w:kern w:val="0"/>
                <w:sz w:val="32"/>
                <w:szCs w:val="32"/>
              </w:rPr>
              <w:t> </w:t>
            </w:r>
          </w:p>
        </w:tc>
        <w:tc>
          <w:tcPr>
            <w:tcW w:w="861" w:type="pct"/>
            <w:shd w:val="clear" w:color="auto" w:fill="auto"/>
            <w:tcMar>
              <w:top w:w="0" w:type="dxa"/>
              <w:left w:w="108" w:type="dxa"/>
              <w:bottom w:w="0" w:type="dxa"/>
              <w:right w:w="108" w:type="dxa"/>
            </w:tcMar>
            <w:vAlign w:val="center"/>
          </w:tcPr>
          <w:p>
            <w:pPr>
              <w:widowControl/>
              <w:spacing w:line="520" w:lineRule="exact"/>
              <w:jc w:val="left"/>
              <w:rPr>
                <w:rFonts w:ascii="仿宋" w:hAnsi="仿宋" w:eastAsia="仿宋" w:cs="宋体"/>
                <w:kern w:val="0"/>
                <w:sz w:val="32"/>
                <w:szCs w:val="32"/>
              </w:rPr>
            </w:pPr>
            <w:r>
              <w:rPr>
                <w:rFonts w:ascii="宋体" w:hAnsi="宋体" w:eastAsia="仿宋" w:cs="宋体"/>
                <w:b/>
                <w:bCs/>
                <w:kern w:val="0"/>
                <w:sz w:val="32"/>
                <w:szCs w:val="32"/>
              </w:rPr>
              <w:t> </w:t>
            </w:r>
          </w:p>
        </w:tc>
        <w:tc>
          <w:tcPr>
            <w:tcW w:w="373"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hint="eastAsia" w:ascii="仿宋" w:hAnsi="仿宋" w:eastAsia="仿宋" w:cs="宋体"/>
                <w:b/>
                <w:bCs/>
                <w:kern w:val="0"/>
                <w:sz w:val="32"/>
                <w:szCs w:val="32"/>
              </w:rPr>
              <w:t>1</w:t>
            </w:r>
          </w:p>
        </w:tc>
        <w:tc>
          <w:tcPr>
            <w:tcW w:w="188"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hint="eastAsia" w:ascii="仿宋" w:hAnsi="仿宋" w:eastAsia="仿宋" w:cs="宋体"/>
                <w:b/>
                <w:bCs/>
                <w:kern w:val="0"/>
                <w:sz w:val="32"/>
                <w:szCs w:val="32"/>
              </w:rPr>
              <w:t>12</w:t>
            </w:r>
          </w:p>
        </w:tc>
        <w:tc>
          <w:tcPr>
            <w:tcW w:w="303"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p>
        </w:tc>
        <w:tc>
          <w:tcPr>
            <w:tcW w:w="253"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hint="eastAsia" w:ascii="仿宋" w:hAnsi="仿宋" w:eastAsia="仿宋" w:cs="宋体"/>
                <w:b/>
                <w:bCs/>
                <w:kern w:val="0"/>
                <w:sz w:val="32"/>
                <w:szCs w:val="32"/>
              </w:rPr>
              <w:t>12</w:t>
            </w:r>
          </w:p>
        </w:tc>
        <w:tc>
          <w:tcPr>
            <w:tcW w:w="253"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p>
        </w:tc>
        <w:tc>
          <w:tcPr>
            <w:tcW w:w="253"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ascii="宋体" w:hAnsi="宋体" w:eastAsia="仿宋" w:cs="宋体"/>
                <w:b/>
                <w:bCs/>
                <w:kern w:val="0"/>
                <w:sz w:val="32"/>
                <w:szCs w:val="32"/>
              </w:rPr>
              <w:t> </w:t>
            </w:r>
          </w:p>
        </w:tc>
        <w:tc>
          <w:tcPr>
            <w:tcW w:w="253"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hint="eastAsia" w:ascii="仿宋" w:hAnsi="仿宋" w:eastAsia="仿宋" w:cs="宋体"/>
                <w:b/>
                <w:bCs/>
                <w:kern w:val="0"/>
                <w:sz w:val="32"/>
                <w:szCs w:val="32"/>
              </w:rPr>
              <w:t>5</w:t>
            </w:r>
          </w:p>
        </w:tc>
        <w:tc>
          <w:tcPr>
            <w:tcW w:w="248"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ascii="宋体" w:hAnsi="宋体" w:eastAsia="仿宋" w:cs="宋体"/>
                <w:b/>
                <w:bCs/>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977" w:type="pct"/>
            <w:shd w:val="clear" w:color="auto" w:fill="auto"/>
            <w:tcMar>
              <w:top w:w="0" w:type="dxa"/>
              <w:left w:w="108" w:type="dxa"/>
              <w:bottom w:w="0" w:type="dxa"/>
              <w:right w:w="108" w:type="dxa"/>
            </w:tcMar>
            <w:vAlign w:val="center"/>
          </w:tcPr>
          <w:p>
            <w:pPr>
              <w:widowControl/>
              <w:spacing w:line="520" w:lineRule="exact"/>
              <w:jc w:val="left"/>
              <w:rPr>
                <w:rFonts w:ascii="仿宋" w:hAnsi="仿宋" w:eastAsia="仿宋" w:cs="宋体"/>
                <w:kern w:val="0"/>
                <w:sz w:val="32"/>
                <w:szCs w:val="32"/>
              </w:rPr>
            </w:pPr>
            <w:r>
              <w:rPr>
                <w:rFonts w:ascii="仿宋" w:hAnsi="仿宋" w:eastAsia="仿宋" w:cs="宋体"/>
                <w:kern w:val="0"/>
                <w:sz w:val="32"/>
                <w:szCs w:val="32"/>
              </w:rPr>
              <w:t>青龙满族自治县</w:t>
            </w:r>
          </w:p>
          <w:p>
            <w:pPr>
              <w:widowControl/>
              <w:spacing w:line="520" w:lineRule="exact"/>
              <w:jc w:val="left"/>
              <w:rPr>
                <w:rFonts w:ascii="仿宋" w:hAnsi="仿宋" w:eastAsia="仿宋" w:cs="宋体"/>
                <w:kern w:val="0"/>
                <w:sz w:val="32"/>
                <w:szCs w:val="32"/>
              </w:rPr>
            </w:pPr>
            <w:r>
              <w:rPr>
                <w:rFonts w:hint="eastAsia" w:ascii="仿宋" w:hAnsi="仿宋" w:eastAsia="仿宋" w:cs="宋体"/>
                <w:kern w:val="0"/>
                <w:sz w:val="32"/>
                <w:szCs w:val="32"/>
              </w:rPr>
              <w:t>人民政府信访局</w:t>
            </w:r>
          </w:p>
        </w:tc>
        <w:tc>
          <w:tcPr>
            <w:tcW w:w="346" w:type="pct"/>
            <w:shd w:val="clear" w:color="auto" w:fill="auto"/>
            <w:tcMar>
              <w:top w:w="0" w:type="dxa"/>
              <w:left w:w="108" w:type="dxa"/>
              <w:bottom w:w="0" w:type="dxa"/>
              <w:right w:w="108" w:type="dxa"/>
            </w:tcMar>
            <w:vAlign w:val="center"/>
          </w:tcPr>
          <w:p>
            <w:pPr>
              <w:widowControl/>
              <w:spacing w:line="520" w:lineRule="exact"/>
              <w:jc w:val="left"/>
              <w:rPr>
                <w:rFonts w:ascii="仿宋" w:hAnsi="仿宋" w:eastAsia="仿宋" w:cs="宋体"/>
                <w:kern w:val="0"/>
                <w:sz w:val="32"/>
                <w:szCs w:val="32"/>
              </w:rPr>
            </w:pPr>
            <w:r>
              <w:rPr>
                <w:rFonts w:ascii="仿宋" w:hAnsi="仿宋" w:eastAsia="仿宋" w:cs="宋体"/>
                <w:kern w:val="0"/>
                <w:sz w:val="32"/>
                <w:szCs w:val="32"/>
              </w:rPr>
              <w:t>行政</w:t>
            </w:r>
          </w:p>
        </w:tc>
        <w:tc>
          <w:tcPr>
            <w:tcW w:w="692" w:type="pct"/>
            <w:shd w:val="clear" w:color="auto" w:fill="auto"/>
            <w:tcMar>
              <w:top w:w="0" w:type="dxa"/>
              <w:left w:w="108" w:type="dxa"/>
              <w:bottom w:w="0" w:type="dxa"/>
              <w:right w:w="108" w:type="dxa"/>
            </w:tcMar>
            <w:vAlign w:val="center"/>
          </w:tcPr>
          <w:p>
            <w:pPr>
              <w:widowControl/>
              <w:spacing w:line="520" w:lineRule="exact"/>
              <w:jc w:val="left"/>
              <w:rPr>
                <w:rFonts w:ascii="仿宋" w:hAnsi="仿宋" w:eastAsia="仿宋" w:cs="宋体"/>
                <w:kern w:val="0"/>
                <w:sz w:val="32"/>
                <w:szCs w:val="32"/>
              </w:rPr>
            </w:pPr>
            <w:r>
              <w:rPr>
                <w:rFonts w:ascii="仿宋" w:hAnsi="仿宋" w:eastAsia="仿宋" w:cs="宋体"/>
                <w:kern w:val="0"/>
                <w:sz w:val="32"/>
                <w:szCs w:val="32"/>
              </w:rPr>
              <w:t>正科级</w:t>
            </w:r>
          </w:p>
        </w:tc>
        <w:tc>
          <w:tcPr>
            <w:tcW w:w="861" w:type="pct"/>
            <w:shd w:val="clear" w:color="auto" w:fill="auto"/>
            <w:tcMar>
              <w:top w:w="0" w:type="dxa"/>
              <w:left w:w="108" w:type="dxa"/>
              <w:bottom w:w="0" w:type="dxa"/>
              <w:right w:w="108" w:type="dxa"/>
            </w:tcMar>
            <w:vAlign w:val="center"/>
          </w:tcPr>
          <w:p>
            <w:pPr>
              <w:widowControl/>
              <w:spacing w:line="520" w:lineRule="exact"/>
              <w:jc w:val="left"/>
              <w:rPr>
                <w:rFonts w:ascii="仿宋" w:hAnsi="仿宋" w:eastAsia="仿宋" w:cs="宋体"/>
                <w:kern w:val="0"/>
                <w:sz w:val="32"/>
                <w:szCs w:val="32"/>
              </w:rPr>
            </w:pPr>
            <w:r>
              <w:rPr>
                <w:rFonts w:ascii="仿宋" w:hAnsi="仿宋" w:eastAsia="仿宋" w:cs="宋体"/>
                <w:kern w:val="0"/>
                <w:sz w:val="32"/>
                <w:szCs w:val="32"/>
              </w:rPr>
              <w:t>财政性资金</w:t>
            </w:r>
          </w:p>
          <w:p>
            <w:pPr>
              <w:widowControl/>
              <w:spacing w:line="520" w:lineRule="exact"/>
              <w:jc w:val="left"/>
              <w:rPr>
                <w:rFonts w:ascii="仿宋" w:hAnsi="仿宋" w:eastAsia="仿宋" w:cs="宋体"/>
                <w:kern w:val="0"/>
                <w:sz w:val="32"/>
                <w:szCs w:val="32"/>
              </w:rPr>
            </w:pPr>
            <w:r>
              <w:rPr>
                <w:rFonts w:ascii="仿宋" w:hAnsi="仿宋" w:eastAsia="仿宋" w:cs="宋体"/>
                <w:kern w:val="0"/>
                <w:sz w:val="32"/>
                <w:szCs w:val="32"/>
              </w:rPr>
              <w:t>基本保证</w:t>
            </w:r>
          </w:p>
        </w:tc>
        <w:tc>
          <w:tcPr>
            <w:tcW w:w="373"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hint="eastAsia" w:ascii="仿宋" w:hAnsi="仿宋" w:eastAsia="仿宋" w:cs="宋体"/>
                <w:kern w:val="0"/>
                <w:sz w:val="32"/>
                <w:szCs w:val="32"/>
              </w:rPr>
              <w:t>1</w:t>
            </w:r>
          </w:p>
        </w:tc>
        <w:tc>
          <w:tcPr>
            <w:tcW w:w="188"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hint="eastAsia" w:ascii="仿宋" w:hAnsi="仿宋" w:eastAsia="仿宋" w:cs="宋体"/>
                <w:kern w:val="0"/>
                <w:sz w:val="32"/>
                <w:szCs w:val="32"/>
              </w:rPr>
              <w:t>12</w:t>
            </w:r>
          </w:p>
        </w:tc>
        <w:tc>
          <w:tcPr>
            <w:tcW w:w="303"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p>
        </w:tc>
        <w:tc>
          <w:tcPr>
            <w:tcW w:w="253"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hint="eastAsia" w:ascii="仿宋" w:hAnsi="仿宋" w:eastAsia="仿宋" w:cs="宋体"/>
                <w:kern w:val="0"/>
                <w:sz w:val="32"/>
                <w:szCs w:val="32"/>
              </w:rPr>
              <w:t>12</w:t>
            </w:r>
          </w:p>
        </w:tc>
        <w:tc>
          <w:tcPr>
            <w:tcW w:w="253"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ascii="宋体" w:hAnsi="宋体" w:eastAsia="仿宋" w:cs="宋体"/>
                <w:kern w:val="0"/>
                <w:sz w:val="32"/>
                <w:szCs w:val="32"/>
              </w:rPr>
              <w:t> </w:t>
            </w:r>
          </w:p>
        </w:tc>
        <w:tc>
          <w:tcPr>
            <w:tcW w:w="253"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ascii="宋体" w:hAnsi="宋体" w:eastAsia="仿宋" w:cs="宋体"/>
                <w:kern w:val="0"/>
                <w:sz w:val="32"/>
                <w:szCs w:val="32"/>
              </w:rPr>
              <w:t> </w:t>
            </w:r>
          </w:p>
        </w:tc>
        <w:tc>
          <w:tcPr>
            <w:tcW w:w="253"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hint="eastAsia" w:ascii="仿宋" w:hAnsi="仿宋" w:eastAsia="仿宋" w:cs="宋体"/>
                <w:kern w:val="0"/>
                <w:sz w:val="32"/>
                <w:szCs w:val="32"/>
              </w:rPr>
              <w:t>5</w:t>
            </w:r>
          </w:p>
        </w:tc>
        <w:tc>
          <w:tcPr>
            <w:tcW w:w="248" w:type="pct"/>
            <w:shd w:val="clear" w:color="auto" w:fill="auto"/>
            <w:tcMar>
              <w:top w:w="0" w:type="dxa"/>
              <w:left w:w="108" w:type="dxa"/>
              <w:bottom w:w="0" w:type="dxa"/>
              <w:right w:w="108" w:type="dxa"/>
            </w:tcMar>
            <w:vAlign w:val="center"/>
          </w:tcPr>
          <w:p>
            <w:pPr>
              <w:widowControl/>
              <w:spacing w:line="520" w:lineRule="exact"/>
              <w:jc w:val="right"/>
              <w:rPr>
                <w:rFonts w:ascii="仿宋" w:hAnsi="仿宋" w:eastAsia="仿宋" w:cs="宋体"/>
                <w:kern w:val="0"/>
                <w:sz w:val="32"/>
                <w:szCs w:val="32"/>
              </w:rPr>
            </w:pPr>
            <w:r>
              <w:rPr>
                <w:rFonts w:ascii="宋体" w:hAnsi="宋体" w:eastAsia="仿宋" w:cs="宋体"/>
                <w:kern w:val="0"/>
                <w:sz w:val="32"/>
                <w:szCs w:val="32"/>
              </w:rPr>
              <w:t> </w:t>
            </w:r>
          </w:p>
        </w:tc>
      </w:tr>
    </w:tbl>
    <w:p>
      <w:pPr>
        <w:spacing w:line="520" w:lineRule="exact"/>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20" w:lineRule="exact"/>
        <w:ind w:firstLine="640"/>
        <w:rPr>
          <w:rFonts w:ascii="仿宋" w:hAnsi="仿宋" w:eastAsia="仿宋" w:cs="Times New Roman"/>
          <w:sz w:val="32"/>
          <w:szCs w:val="32"/>
        </w:rPr>
      </w:pPr>
      <w:r>
        <w:rPr>
          <w:rFonts w:hint="eastAsia" w:ascii="仿宋" w:hAnsi="仿宋" w:eastAsia="仿宋" w:cs="Times New Roman"/>
          <w:sz w:val="32"/>
          <w:szCs w:val="32"/>
        </w:rPr>
        <w:t>按照预算管理有关规定，目前我县部门预算的编制实行综合预算制度，即全部收入和支出都反映在预算中。信访局机关的收支包含在部门预算中。</w:t>
      </w:r>
    </w:p>
    <w:p>
      <w:pPr>
        <w:spacing w:line="520" w:lineRule="exact"/>
        <w:ind w:firstLine="640"/>
        <w:rPr>
          <w:rFonts w:ascii="仿宋" w:hAnsi="仿宋" w:eastAsia="仿宋" w:cs="Times New Roman"/>
          <w:b/>
          <w:sz w:val="32"/>
          <w:szCs w:val="32"/>
        </w:rPr>
      </w:pPr>
      <w:r>
        <w:rPr>
          <w:rFonts w:hint="eastAsia" w:ascii="仿宋" w:hAnsi="仿宋" w:eastAsia="仿宋" w:cs="Times New Roman"/>
          <w:b/>
          <w:sz w:val="32"/>
          <w:szCs w:val="32"/>
        </w:rPr>
        <w:t>1、收入说明</w:t>
      </w:r>
    </w:p>
    <w:p>
      <w:pPr>
        <w:spacing w:line="520" w:lineRule="exact"/>
        <w:ind w:firstLine="640"/>
        <w:rPr>
          <w:rFonts w:ascii="仿宋" w:hAnsi="仿宋" w:eastAsia="仿宋" w:cs="Times New Roman"/>
          <w:sz w:val="32"/>
          <w:szCs w:val="32"/>
        </w:rPr>
      </w:pPr>
      <w:r>
        <w:rPr>
          <w:rFonts w:hint="eastAsia" w:ascii="仿宋" w:hAnsi="仿宋" w:eastAsia="仿宋" w:cs="Times New Roman"/>
          <w:sz w:val="32"/>
          <w:szCs w:val="32"/>
        </w:rPr>
        <w:t>反映本部门当年全部收入。2018年预算收入280.28万元，其中：一般公共预算收入280.28万元。</w:t>
      </w:r>
    </w:p>
    <w:p>
      <w:pPr>
        <w:spacing w:line="520" w:lineRule="exact"/>
        <w:ind w:firstLine="640"/>
        <w:rPr>
          <w:rFonts w:ascii="仿宋" w:hAnsi="仿宋" w:eastAsia="仿宋" w:cs="Times New Roman"/>
          <w:b/>
          <w:sz w:val="32"/>
          <w:szCs w:val="32"/>
        </w:rPr>
      </w:pPr>
      <w:r>
        <w:rPr>
          <w:rFonts w:hint="eastAsia" w:ascii="仿宋" w:hAnsi="仿宋" w:eastAsia="仿宋" w:cs="Times New Roman"/>
          <w:b/>
          <w:sz w:val="32"/>
          <w:szCs w:val="32"/>
        </w:rPr>
        <w:t>2、支出说明</w:t>
      </w:r>
    </w:p>
    <w:p>
      <w:pPr>
        <w:spacing w:line="520" w:lineRule="exact"/>
        <w:ind w:firstLine="640"/>
        <w:rPr>
          <w:rFonts w:ascii="仿宋" w:hAnsi="仿宋" w:eastAsia="仿宋" w:cs="Times New Roman"/>
          <w:sz w:val="32"/>
          <w:szCs w:val="32"/>
        </w:rPr>
      </w:pPr>
      <w:r>
        <w:rPr>
          <w:rFonts w:hint="eastAsia" w:ascii="仿宋" w:hAnsi="仿宋" w:eastAsia="仿宋" w:cs="Times New Roman"/>
          <w:sz w:val="32"/>
          <w:szCs w:val="32"/>
        </w:rPr>
        <w:t>收支预算总表支出栏、基本支出表、项目支出表按经济分类和支出功能分类科目编制，反映信访局年度部门预算中支出预算的总体情况。2018年支出预算280.28万元，其中基本支出118.28万元，包括人员经费101.37万元和日常公用经费16.91万元；项目支出162.00万元，包括本级支出和对下补助支出，主要为信访维稳经费等。</w:t>
      </w:r>
    </w:p>
    <w:p>
      <w:pPr>
        <w:spacing w:line="520" w:lineRule="exact"/>
        <w:ind w:firstLine="803" w:firstLineChars="250"/>
        <w:rPr>
          <w:rFonts w:ascii="仿宋" w:hAnsi="仿宋" w:eastAsia="仿宋" w:cs="Times New Roman"/>
          <w:b/>
          <w:sz w:val="32"/>
          <w:szCs w:val="32"/>
        </w:rPr>
      </w:pPr>
      <w:r>
        <w:rPr>
          <w:rFonts w:hint="eastAsia" w:ascii="仿宋" w:hAnsi="仿宋" w:eastAsia="仿宋" w:cs="Times New Roman"/>
          <w:b/>
          <w:sz w:val="32"/>
          <w:szCs w:val="32"/>
        </w:rPr>
        <w:t>3、比上年增减情况</w:t>
      </w:r>
    </w:p>
    <w:p>
      <w:pPr>
        <w:tabs>
          <w:tab w:val="left" w:pos="709"/>
          <w:tab w:val="left" w:pos="851"/>
        </w:tabs>
        <w:spacing w:line="520" w:lineRule="exact"/>
        <w:ind w:firstLine="800" w:firstLineChars="250"/>
        <w:rPr>
          <w:rFonts w:ascii="仿宋" w:hAnsi="仿宋" w:eastAsia="仿宋" w:cs="Times New Roman"/>
          <w:sz w:val="32"/>
          <w:szCs w:val="32"/>
        </w:rPr>
      </w:pPr>
      <w:r>
        <w:rPr>
          <w:rFonts w:hint="eastAsia" w:ascii="仿宋" w:hAnsi="仿宋" w:eastAsia="仿宋" w:cs="Times New Roman"/>
          <w:sz w:val="32"/>
          <w:szCs w:val="32"/>
        </w:rPr>
        <w:t>2018年预算收支安排280.28万元，较2017年预算增加0.84万元，其中：基本支出增加8.84万元，主要为增加人员经费支出；项目支出减少8万元，主要是减少群众工作中心运行经费等项目资金。</w:t>
      </w:r>
    </w:p>
    <w:p>
      <w:pPr>
        <w:autoSpaceDE w:val="0"/>
        <w:autoSpaceDN w:val="0"/>
        <w:adjustRightInd w:val="0"/>
        <w:spacing w:line="520" w:lineRule="exact"/>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spacing w:line="520" w:lineRule="exact"/>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2018年，我部门机关运行经费共计安排16.91万元，主要用于信访局办公费0.6万元、水费0.12万元、电费2万元、邮电费0.5万元、取暖费7.93万元、公务用车运行维护费2万元、公务接待费1.3万元、网络运行维护费2.46万元等日常运行支出。</w:t>
      </w:r>
    </w:p>
    <w:p>
      <w:pPr>
        <w:autoSpaceDE w:val="0"/>
        <w:autoSpaceDN w:val="0"/>
        <w:adjustRightInd w:val="0"/>
        <w:spacing w:line="520" w:lineRule="exact"/>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spacing w:line="520" w:lineRule="exact"/>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2018年，我部门财政拨款“三公”经费预算安排3.3万元，其中公务用车购置及运维费2万元（其中：公务用车购置0万元，公务用车运维费2万元），与上年持平；公务接待费1.3万元，同比减少0.05万元。</w:t>
      </w:r>
      <w:r>
        <w:rPr>
          <w:rFonts w:ascii="仿宋" w:hAnsi="仿宋" w:eastAsia="仿宋" w:cs="Times New Roman"/>
          <w:bCs/>
          <w:sz w:val="32"/>
          <w:szCs w:val="32"/>
        </w:rPr>
        <w:t>减少原因</w:t>
      </w:r>
      <w:r>
        <w:rPr>
          <w:rFonts w:hint="eastAsia" w:ascii="仿宋" w:hAnsi="仿宋" w:eastAsia="仿宋" w:cs="Times New Roman"/>
          <w:bCs/>
          <w:sz w:val="32"/>
          <w:szCs w:val="32"/>
        </w:rPr>
        <w:t>为</w:t>
      </w:r>
      <w:r>
        <w:rPr>
          <w:rFonts w:hint="eastAsia" w:ascii="仿宋" w:hAnsi="仿宋" w:eastAsia="仿宋" w:cs="Times New Roman"/>
          <w:sz w:val="32"/>
          <w:szCs w:val="32"/>
        </w:rPr>
        <w:t>落实中央关于厉行节约的要求，控制接待次数、降低接待规模等措施，严格控制“三公”经费的支出；因公出国（境）费0万元，与上年持平。</w:t>
      </w:r>
    </w:p>
    <w:p>
      <w:pPr>
        <w:autoSpaceDE w:val="0"/>
        <w:autoSpaceDN w:val="0"/>
        <w:adjustRightInd w:val="0"/>
        <w:spacing w:line="520" w:lineRule="exact"/>
        <w:jc w:val="left"/>
        <w:rPr>
          <w:rFonts w:ascii="黑体" w:hAnsi="黑体" w:eastAsia="黑体" w:cs="Times New Roman"/>
          <w:sz w:val="32"/>
          <w:szCs w:val="32"/>
        </w:rPr>
      </w:pPr>
      <w:r>
        <w:rPr>
          <w:rFonts w:hint="eastAsia" w:ascii="仿宋" w:hAnsi="仿宋" w:eastAsia="仿宋" w:cs="Times New Roman"/>
          <w:sz w:val="32"/>
          <w:szCs w:val="32"/>
        </w:rPr>
        <w:t xml:space="preserve">  </w:t>
      </w:r>
      <w:r>
        <w:rPr>
          <w:rFonts w:hint="eastAsia" w:ascii="黑体" w:hAnsi="黑体" w:eastAsia="黑体" w:cs="Times New Roman"/>
          <w:sz w:val="32"/>
          <w:szCs w:val="32"/>
        </w:rPr>
        <w:t xml:space="preserve">   五、绩效预算信息</w:t>
      </w:r>
    </w:p>
    <w:p>
      <w:pPr>
        <w:spacing w:line="520" w:lineRule="exact"/>
        <w:ind w:firstLine="803" w:firstLineChars="250"/>
        <w:jc w:val="left"/>
        <w:rPr>
          <w:rFonts w:ascii="仿宋" w:hAnsi="仿宋" w:eastAsia="仿宋" w:cs="Times New Roman"/>
          <w:b/>
          <w:sz w:val="32"/>
          <w:szCs w:val="32"/>
        </w:rPr>
      </w:pPr>
      <w:bookmarkStart w:id="0" w:name="_Toc471398463"/>
      <w:r>
        <w:rPr>
          <w:rFonts w:hint="eastAsia" w:ascii="仿宋" w:hAnsi="仿宋" w:eastAsia="仿宋" w:cs="Times New Roman"/>
          <w:b/>
          <w:sz w:val="32"/>
          <w:szCs w:val="32"/>
        </w:rPr>
        <w:t>总体绩效目标：</w:t>
      </w:r>
    </w:p>
    <w:p>
      <w:pPr>
        <w:spacing w:line="520" w:lineRule="exact"/>
        <w:ind w:firstLine="800" w:firstLineChars="250"/>
        <w:jc w:val="left"/>
        <w:rPr>
          <w:rFonts w:ascii="仿宋" w:hAnsi="仿宋" w:eastAsia="仿宋" w:cs="Times New Roman"/>
          <w:sz w:val="32"/>
          <w:szCs w:val="32"/>
        </w:rPr>
      </w:pPr>
      <w:r>
        <w:rPr>
          <w:rFonts w:ascii="仿宋" w:hAnsi="仿宋" w:eastAsia="仿宋" w:cs="Times New Roman"/>
          <w:sz w:val="32"/>
          <w:szCs w:val="32"/>
        </w:rPr>
        <w:t>1、组织协调机关日常党务、政务工作；</w:t>
      </w:r>
    </w:p>
    <w:p>
      <w:pPr>
        <w:spacing w:line="520" w:lineRule="exact"/>
        <w:ind w:firstLine="800" w:firstLineChars="250"/>
        <w:jc w:val="left"/>
        <w:rPr>
          <w:rFonts w:ascii="仿宋" w:hAnsi="仿宋" w:eastAsia="仿宋" w:cs="Times New Roman"/>
          <w:sz w:val="32"/>
          <w:szCs w:val="32"/>
        </w:rPr>
      </w:pPr>
      <w:r>
        <w:rPr>
          <w:rFonts w:ascii="仿宋" w:hAnsi="仿宋" w:eastAsia="仿宋" w:cs="Times New Roman"/>
          <w:sz w:val="32"/>
          <w:szCs w:val="32"/>
        </w:rPr>
        <w:t>2、接待日常群众来访，处理群众来信，做上访群众的疏导工作；</w:t>
      </w:r>
    </w:p>
    <w:p>
      <w:pPr>
        <w:spacing w:line="520" w:lineRule="exact"/>
        <w:ind w:firstLine="800" w:firstLineChars="250"/>
        <w:jc w:val="left"/>
        <w:rPr>
          <w:rFonts w:ascii="仿宋" w:hAnsi="仿宋" w:eastAsia="仿宋" w:cs="Times New Roman"/>
          <w:sz w:val="32"/>
          <w:szCs w:val="32"/>
        </w:rPr>
      </w:pPr>
      <w:r>
        <w:rPr>
          <w:rFonts w:ascii="仿宋" w:hAnsi="仿宋" w:eastAsia="仿宋" w:cs="Times New Roman"/>
          <w:sz w:val="32"/>
          <w:szCs w:val="32"/>
        </w:rPr>
        <w:t>3、承办中央、省、市、县交办及领导转办交办的各类信访案件及信访矛盾纠纷和隐患排查工作；</w:t>
      </w:r>
    </w:p>
    <w:p>
      <w:pPr>
        <w:spacing w:line="520" w:lineRule="exact"/>
        <w:ind w:firstLine="800" w:firstLineChars="250"/>
        <w:jc w:val="left"/>
        <w:rPr>
          <w:rFonts w:ascii="仿宋" w:hAnsi="仿宋" w:eastAsia="仿宋" w:cs="Times New Roman"/>
          <w:sz w:val="32"/>
          <w:szCs w:val="32"/>
        </w:rPr>
      </w:pPr>
      <w:r>
        <w:rPr>
          <w:rFonts w:ascii="仿宋" w:hAnsi="仿宋" w:eastAsia="仿宋" w:cs="Times New Roman"/>
          <w:sz w:val="32"/>
          <w:szCs w:val="32"/>
        </w:rPr>
        <w:t>4、承办国家、省、市信访局网上交办信访案件，县本级网上信访案件受理工作；</w:t>
      </w:r>
    </w:p>
    <w:p>
      <w:pPr>
        <w:spacing w:line="520" w:lineRule="exact"/>
        <w:ind w:firstLine="800" w:firstLineChars="250"/>
        <w:jc w:val="left"/>
        <w:rPr>
          <w:rFonts w:ascii="仿宋" w:hAnsi="仿宋" w:eastAsia="仿宋" w:cs="Times New Roman"/>
          <w:sz w:val="32"/>
          <w:szCs w:val="32"/>
        </w:rPr>
      </w:pPr>
      <w:r>
        <w:rPr>
          <w:rFonts w:ascii="仿宋" w:hAnsi="仿宋" w:eastAsia="仿宋" w:cs="Times New Roman"/>
          <w:sz w:val="32"/>
          <w:szCs w:val="32"/>
        </w:rPr>
        <w:t>5、按规定做好各级特殊疑难信访救助资金的使用；</w:t>
      </w:r>
    </w:p>
    <w:p>
      <w:pPr>
        <w:spacing w:line="520" w:lineRule="exact"/>
        <w:ind w:firstLine="800" w:firstLineChars="250"/>
        <w:jc w:val="left"/>
        <w:rPr>
          <w:rFonts w:ascii="仿宋" w:hAnsi="仿宋" w:eastAsia="仿宋" w:cs="Times New Roman"/>
          <w:sz w:val="32"/>
          <w:szCs w:val="32"/>
        </w:rPr>
      </w:pPr>
      <w:r>
        <w:rPr>
          <w:rFonts w:ascii="仿宋" w:hAnsi="仿宋" w:eastAsia="仿宋" w:cs="Times New Roman"/>
          <w:sz w:val="32"/>
          <w:szCs w:val="32"/>
        </w:rPr>
        <w:t>6、督导、检查领导批办及</w:t>
      </w:r>
      <w:r>
        <w:rPr>
          <w:rFonts w:hint="eastAsia" w:ascii="仿宋" w:hAnsi="仿宋" w:eastAsia="仿宋" w:cs="Times New Roman"/>
          <w:sz w:val="32"/>
          <w:szCs w:val="32"/>
        </w:rPr>
        <w:t>上级</w:t>
      </w:r>
      <w:r>
        <w:rPr>
          <w:rFonts w:ascii="仿宋" w:hAnsi="仿宋" w:eastAsia="仿宋" w:cs="Times New Roman"/>
          <w:sz w:val="32"/>
          <w:szCs w:val="32"/>
        </w:rPr>
        <w:t>信访部门交办的各类信访案件；</w:t>
      </w:r>
    </w:p>
    <w:p>
      <w:pPr>
        <w:spacing w:line="520" w:lineRule="exact"/>
        <w:ind w:firstLine="800" w:firstLineChars="250"/>
        <w:jc w:val="left"/>
        <w:rPr>
          <w:rFonts w:ascii="仿宋" w:hAnsi="仿宋" w:eastAsia="仿宋" w:cs="Times New Roman"/>
          <w:sz w:val="32"/>
          <w:szCs w:val="32"/>
        </w:rPr>
      </w:pPr>
      <w:r>
        <w:rPr>
          <w:rFonts w:ascii="仿宋" w:hAnsi="仿宋" w:eastAsia="仿宋" w:cs="Times New Roman"/>
          <w:sz w:val="32"/>
          <w:szCs w:val="32"/>
        </w:rPr>
        <w:t>7、受理信访人对各工作部门及乡镇党委、政府就信访事项所做处理意见不服而提出的复查请求；</w:t>
      </w:r>
    </w:p>
    <w:p>
      <w:pPr>
        <w:spacing w:line="520" w:lineRule="exact"/>
        <w:ind w:firstLine="800" w:firstLineChars="250"/>
        <w:jc w:val="left"/>
        <w:rPr>
          <w:rFonts w:ascii="仿宋" w:hAnsi="仿宋" w:eastAsia="仿宋" w:cs="Times New Roman"/>
          <w:sz w:val="32"/>
          <w:szCs w:val="32"/>
        </w:rPr>
      </w:pPr>
      <w:r>
        <w:rPr>
          <w:rFonts w:ascii="仿宋" w:hAnsi="仿宋" w:eastAsia="仿宋" w:cs="Times New Roman"/>
          <w:sz w:val="32"/>
          <w:szCs w:val="32"/>
        </w:rPr>
        <w:t>8、做好信访维稳值班工作。</w:t>
      </w:r>
      <w:bookmarkEnd w:id="0"/>
      <w:bookmarkStart w:id="1" w:name="_Toc504489147"/>
    </w:p>
    <w:p>
      <w:pPr>
        <w:jc w:val="center"/>
        <w:outlineLvl w:val="0"/>
        <w:rPr>
          <w:rFonts w:ascii="方正小标宋_GBK" w:hAnsi="Calibri" w:eastAsia="方正小标宋_GBK" w:cs="Times New Roman"/>
          <w:sz w:val="32"/>
        </w:rPr>
      </w:pPr>
      <w:r>
        <w:rPr>
          <w:rFonts w:hint="eastAsia" w:ascii="方正小标宋_GBK" w:hAnsi="Calibri" w:eastAsia="方正小标宋_GBK" w:cs="Times New Roman"/>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7"/>
        <w:gridCol w:w="851"/>
        <w:gridCol w:w="3685"/>
        <w:gridCol w:w="2410"/>
        <w:gridCol w:w="1985"/>
        <w:gridCol w:w="615"/>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08"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202</w:t>
            </w:r>
            <w:r>
              <w:rPr>
                <w:rFonts w:hint="eastAsia" w:ascii="方正小标宋_GBK" w:eastAsia="方正小标宋_GBK"/>
                <w:sz w:val="24"/>
              </w:rPr>
              <w:t>信访局</w:t>
            </w:r>
          </w:p>
        </w:tc>
        <w:tc>
          <w:tcPr>
            <w:tcW w:w="282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17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8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368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41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98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26"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177" w:type="dxa"/>
            <w:vMerge w:val="continue"/>
            <w:shd w:val="clear" w:color="auto" w:fill="auto"/>
            <w:vAlign w:val="center"/>
          </w:tcPr>
          <w:p>
            <w:pPr>
              <w:spacing w:line="300" w:lineRule="exact"/>
              <w:jc w:val="left"/>
              <w:outlineLvl w:val="0"/>
            </w:pPr>
          </w:p>
        </w:tc>
        <w:tc>
          <w:tcPr>
            <w:tcW w:w="851" w:type="dxa"/>
            <w:vMerge w:val="continue"/>
            <w:shd w:val="clear" w:color="auto" w:fill="auto"/>
            <w:vAlign w:val="center"/>
          </w:tcPr>
          <w:p>
            <w:pPr>
              <w:spacing w:line="300" w:lineRule="exact"/>
              <w:jc w:val="left"/>
              <w:outlineLvl w:val="0"/>
            </w:pPr>
          </w:p>
        </w:tc>
        <w:tc>
          <w:tcPr>
            <w:tcW w:w="3685" w:type="dxa"/>
            <w:vMerge w:val="continue"/>
            <w:shd w:val="clear" w:color="auto" w:fill="auto"/>
            <w:vAlign w:val="center"/>
          </w:tcPr>
          <w:p>
            <w:pPr>
              <w:spacing w:line="300" w:lineRule="exact"/>
              <w:jc w:val="left"/>
              <w:outlineLvl w:val="0"/>
            </w:pPr>
          </w:p>
        </w:tc>
        <w:tc>
          <w:tcPr>
            <w:tcW w:w="2410" w:type="dxa"/>
            <w:vMerge w:val="continue"/>
            <w:shd w:val="clear" w:color="auto" w:fill="auto"/>
            <w:vAlign w:val="center"/>
          </w:tcPr>
          <w:p>
            <w:pPr>
              <w:spacing w:line="300" w:lineRule="exact"/>
              <w:jc w:val="left"/>
              <w:outlineLvl w:val="0"/>
            </w:pPr>
          </w:p>
        </w:tc>
        <w:tc>
          <w:tcPr>
            <w:tcW w:w="1985" w:type="dxa"/>
            <w:vMerge w:val="continue"/>
            <w:shd w:val="clear" w:color="auto" w:fill="auto"/>
            <w:vAlign w:val="center"/>
          </w:tcPr>
          <w:p>
            <w:pPr>
              <w:spacing w:line="300" w:lineRule="exact"/>
              <w:jc w:val="left"/>
              <w:outlineLvl w:val="0"/>
            </w:pPr>
          </w:p>
        </w:tc>
        <w:tc>
          <w:tcPr>
            <w:tcW w:w="61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2" w:hRule="atLeast"/>
          <w:jc w:val="center"/>
        </w:trPr>
        <w:tc>
          <w:tcPr>
            <w:tcW w:w="2177"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一、信访问题处理</w:t>
            </w:r>
          </w:p>
        </w:tc>
        <w:tc>
          <w:tcPr>
            <w:tcW w:w="851" w:type="dxa"/>
            <w:shd w:val="clear" w:color="auto" w:fill="auto"/>
            <w:vAlign w:val="center"/>
          </w:tcPr>
          <w:p>
            <w:pPr>
              <w:spacing w:line="300" w:lineRule="exact"/>
              <w:jc w:val="left"/>
              <w:rPr>
                <w:rFonts w:ascii="方正书宋_GBK" w:eastAsia="方正书宋_GBK"/>
              </w:rPr>
            </w:pPr>
            <w:r>
              <w:rPr>
                <w:rFonts w:ascii="方正书宋_GBK" w:eastAsia="方正书宋_GBK"/>
              </w:rPr>
              <w:t>152.00</w:t>
            </w:r>
          </w:p>
        </w:tc>
        <w:tc>
          <w:tcPr>
            <w:tcW w:w="36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负责正常信访、非访、突发性及群体性事件的办理；驻外值班工作；提供相关服务保障；协助上级信访局处理越级上访；信访事项督查、复查复核、听证；负责县委县政府交办的其他事项。</w:t>
            </w:r>
          </w:p>
        </w:tc>
        <w:tc>
          <w:tcPr>
            <w:tcW w:w="241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畅通信访渠道，减少信访案件，维护社会和谐稳定。</w:t>
            </w:r>
          </w:p>
        </w:tc>
        <w:tc>
          <w:tcPr>
            <w:tcW w:w="1985" w:type="dxa"/>
            <w:shd w:val="clear" w:color="auto" w:fill="auto"/>
            <w:vAlign w:val="center"/>
          </w:tcPr>
          <w:p>
            <w:pPr>
              <w:spacing w:line="300" w:lineRule="exact"/>
              <w:jc w:val="left"/>
              <w:rPr>
                <w:rFonts w:ascii="方正书宋_GBK" w:eastAsia="方正书宋_GBK"/>
              </w:rPr>
            </w:pPr>
          </w:p>
        </w:tc>
        <w:tc>
          <w:tcPr>
            <w:tcW w:w="615"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、信访业务办理</w:t>
            </w:r>
          </w:p>
        </w:tc>
        <w:tc>
          <w:tcPr>
            <w:tcW w:w="851" w:type="dxa"/>
            <w:vMerge w:val="restart"/>
            <w:shd w:val="clear" w:color="auto" w:fill="auto"/>
            <w:vAlign w:val="center"/>
          </w:tcPr>
          <w:p>
            <w:pPr>
              <w:spacing w:line="300" w:lineRule="exact"/>
              <w:jc w:val="left"/>
              <w:rPr>
                <w:rFonts w:ascii="方正书宋_GBK" w:eastAsia="方正书宋_GBK"/>
              </w:rPr>
            </w:pPr>
          </w:p>
        </w:tc>
        <w:tc>
          <w:tcPr>
            <w:tcW w:w="3685"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办理人民群众来信、来访、网上信访；协助上级信访局处理越级上访工作。</w:t>
            </w:r>
          </w:p>
        </w:tc>
        <w:tc>
          <w:tcPr>
            <w:tcW w:w="2410"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畅通信访渠道，提高信访事项办理质量和效率。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信访事项办理率</w:t>
            </w:r>
          </w:p>
        </w:tc>
        <w:tc>
          <w:tcPr>
            <w:tcW w:w="61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continue"/>
            <w:shd w:val="clear" w:color="auto" w:fill="auto"/>
            <w:vAlign w:val="center"/>
          </w:tcPr>
          <w:p>
            <w:pPr>
              <w:spacing w:line="300" w:lineRule="exact"/>
              <w:jc w:val="left"/>
              <w:rPr>
                <w:rFonts w:ascii="方正书宋_GBK" w:eastAsia="方正书宋_GBK"/>
                <w:b/>
              </w:rPr>
            </w:pPr>
          </w:p>
        </w:tc>
        <w:tc>
          <w:tcPr>
            <w:tcW w:w="851" w:type="dxa"/>
            <w:vMerge w:val="continue"/>
            <w:shd w:val="clear" w:color="auto" w:fill="auto"/>
            <w:vAlign w:val="center"/>
          </w:tcPr>
          <w:p>
            <w:pPr>
              <w:spacing w:line="300" w:lineRule="exact"/>
              <w:jc w:val="left"/>
              <w:rPr>
                <w:rFonts w:ascii="方正书宋_GBK" w:eastAsia="方正书宋_GBK"/>
              </w:rPr>
            </w:pPr>
          </w:p>
        </w:tc>
        <w:tc>
          <w:tcPr>
            <w:tcW w:w="3685" w:type="dxa"/>
            <w:vMerge w:val="continue"/>
            <w:shd w:val="clear" w:color="auto" w:fill="auto"/>
            <w:vAlign w:val="center"/>
          </w:tcPr>
          <w:p>
            <w:pPr>
              <w:spacing w:line="300" w:lineRule="exact"/>
              <w:jc w:val="left"/>
              <w:rPr>
                <w:rFonts w:ascii="方正书宋_GBK" w:eastAsia="方正书宋_GBK"/>
              </w:rPr>
            </w:pPr>
          </w:p>
        </w:tc>
        <w:tc>
          <w:tcPr>
            <w:tcW w:w="2410" w:type="dxa"/>
            <w:vMerge w:val="continue"/>
            <w:shd w:val="clear" w:color="auto" w:fill="auto"/>
            <w:vAlign w:val="center"/>
          </w:tcPr>
          <w:p>
            <w:pPr>
              <w:spacing w:line="300" w:lineRule="exact"/>
              <w:jc w:val="left"/>
              <w:rPr>
                <w:rFonts w:ascii="方正书宋_GBK" w:eastAsia="方正书宋_GBK"/>
              </w:rPr>
            </w:pP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群众来信受理率</w:t>
            </w:r>
          </w:p>
        </w:tc>
        <w:tc>
          <w:tcPr>
            <w:tcW w:w="61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continue"/>
            <w:shd w:val="clear" w:color="auto" w:fill="auto"/>
            <w:vAlign w:val="center"/>
          </w:tcPr>
          <w:p>
            <w:pPr>
              <w:spacing w:line="300" w:lineRule="exact"/>
              <w:jc w:val="left"/>
              <w:rPr>
                <w:rFonts w:ascii="方正书宋_GBK" w:eastAsia="方正书宋_GBK"/>
                <w:b/>
              </w:rPr>
            </w:pPr>
          </w:p>
        </w:tc>
        <w:tc>
          <w:tcPr>
            <w:tcW w:w="851" w:type="dxa"/>
            <w:vMerge w:val="continue"/>
            <w:shd w:val="clear" w:color="auto" w:fill="auto"/>
            <w:vAlign w:val="center"/>
          </w:tcPr>
          <w:p>
            <w:pPr>
              <w:spacing w:line="300" w:lineRule="exact"/>
              <w:jc w:val="left"/>
              <w:rPr>
                <w:rFonts w:ascii="方正书宋_GBK" w:eastAsia="方正书宋_GBK"/>
              </w:rPr>
            </w:pPr>
          </w:p>
        </w:tc>
        <w:tc>
          <w:tcPr>
            <w:tcW w:w="3685" w:type="dxa"/>
            <w:vMerge w:val="continue"/>
            <w:shd w:val="clear" w:color="auto" w:fill="auto"/>
            <w:vAlign w:val="center"/>
          </w:tcPr>
          <w:p>
            <w:pPr>
              <w:spacing w:line="300" w:lineRule="exact"/>
              <w:jc w:val="left"/>
              <w:rPr>
                <w:rFonts w:ascii="方正书宋_GBK" w:eastAsia="方正书宋_GBK"/>
              </w:rPr>
            </w:pPr>
          </w:p>
        </w:tc>
        <w:tc>
          <w:tcPr>
            <w:tcW w:w="2410" w:type="dxa"/>
            <w:vMerge w:val="continue"/>
            <w:shd w:val="clear" w:color="auto" w:fill="auto"/>
            <w:vAlign w:val="center"/>
          </w:tcPr>
          <w:p>
            <w:pPr>
              <w:spacing w:line="300" w:lineRule="exact"/>
              <w:jc w:val="left"/>
              <w:rPr>
                <w:rFonts w:ascii="方正书宋_GBK" w:eastAsia="方正书宋_GBK"/>
              </w:rPr>
            </w:pP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初信初访受理及时率</w:t>
            </w:r>
          </w:p>
        </w:tc>
        <w:tc>
          <w:tcPr>
            <w:tcW w:w="61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continue"/>
            <w:shd w:val="clear" w:color="auto" w:fill="auto"/>
            <w:vAlign w:val="center"/>
          </w:tcPr>
          <w:p>
            <w:pPr>
              <w:spacing w:line="300" w:lineRule="exact"/>
              <w:jc w:val="left"/>
              <w:rPr>
                <w:rFonts w:ascii="方正书宋_GBK" w:eastAsia="方正书宋_GBK"/>
                <w:b/>
              </w:rPr>
            </w:pPr>
          </w:p>
        </w:tc>
        <w:tc>
          <w:tcPr>
            <w:tcW w:w="851" w:type="dxa"/>
            <w:vMerge w:val="continue"/>
            <w:shd w:val="clear" w:color="auto" w:fill="auto"/>
            <w:vAlign w:val="center"/>
          </w:tcPr>
          <w:p>
            <w:pPr>
              <w:spacing w:line="300" w:lineRule="exact"/>
              <w:jc w:val="left"/>
              <w:rPr>
                <w:rFonts w:ascii="方正书宋_GBK" w:eastAsia="方正书宋_GBK"/>
              </w:rPr>
            </w:pPr>
          </w:p>
        </w:tc>
        <w:tc>
          <w:tcPr>
            <w:tcW w:w="3685" w:type="dxa"/>
            <w:vMerge w:val="continue"/>
            <w:shd w:val="clear" w:color="auto" w:fill="auto"/>
            <w:vAlign w:val="center"/>
          </w:tcPr>
          <w:p>
            <w:pPr>
              <w:spacing w:line="300" w:lineRule="exact"/>
              <w:jc w:val="left"/>
              <w:rPr>
                <w:rFonts w:ascii="方正书宋_GBK" w:eastAsia="方正书宋_GBK"/>
              </w:rPr>
            </w:pPr>
          </w:p>
        </w:tc>
        <w:tc>
          <w:tcPr>
            <w:tcW w:w="2410" w:type="dxa"/>
            <w:vMerge w:val="continue"/>
            <w:shd w:val="clear" w:color="auto" w:fill="auto"/>
            <w:vAlign w:val="center"/>
          </w:tcPr>
          <w:p>
            <w:pPr>
              <w:spacing w:line="300" w:lineRule="exact"/>
              <w:jc w:val="left"/>
              <w:rPr>
                <w:rFonts w:ascii="方正书宋_GBK" w:eastAsia="方正书宋_GBK"/>
              </w:rPr>
            </w:pP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信访事项按期结案率</w:t>
            </w:r>
          </w:p>
        </w:tc>
        <w:tc>
          <w:tcPr>
            <w:tcW w:w="61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、处置非访、突发性及群体性事件</w:t>
            </w:r>
          </w:p>
        </w:tc>
        <w:tc>
          <w:tcPr>
            <w:tcW w:w="851"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100.00</w:t>
            </w:r>
          </w:p>
        </w:tc>
        <w:tc>
          <w:tcPr>
            <w:tcW w:w="3685"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公安机关维护重点区域的正常工作秩序；处置影响社会政治稳定的各类非访、突发性、群体性事件；负责组织协调、稳控劝返、服务保障我县越级非访工作。做好各级两会期间和国家、省、市重大活动期间、北戴河旅游高峰期及驻京常年值班工作。承办县联席办的日常工作。</w:t>
            </w:r>
          </w:p>
        </w:tc>
        <w:tc>
          <w:tcPr>
            <w:tcW w:w="2410"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妥善处置非正常访，维护社会大局和谐稳定。</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信访事项受理及时率</w:t>
            </w:r>
          </w:p>
        </w:tc>
        <w:tc>
          <w:tcPr>
            <w:tcW w:w="61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continue"/>
            <w:shd w:val="clear" w:color="auto" w:fill="auto"/>
            <w:vAlign w:val="center"/>
          </w:tcPr>
          <w:p>
            <w:pPr>
              <w:spacing w:line="300" w:lineRule="exact"/>
              <w:jc w:val="left"/>
              <w:rPr>
                <w:rFonts w:ascii="方正书宋_GBK" w:eastAsia="方正书宋_GBK"/>
                <w:b/>
              </w:rPr>
            </w:pPr>
          </w:p>
        </w:tc>
        <w:tc>
          <w:tcPr>
            <w:tcW w:w="851" w:type="dxa"/>
            <w:vMerge w:val="continue"/>
            <w:shd w:val="clear" w:color="auto" w:fill="auto"/>
            <w:vAlign w:val="center"/>
          </w:tcPr>
          <w:p>
            <w:pPr>
              <w:spacing w:line="300" w:lineRule="exact"/>
              <w:jc w:val="left"/>
              <w:rPr>
                <w:rFonts w:ascii="方正书宋_GBK" w:eastAsia="方正书宋_GBK"/>
              </w:rPr>
            </w:pPr>
          </w:p>
        </w:tc>
        <w:tc>
          <w:tcPr>
            <w:tcW w:w="3685" w:type="dxa"/>
            <w:vMerge w:val="continue"/>
            <w:shd w:val="clear" w:color="auto" w:fill="auto"/>
            <w:vAlign w:val="center"/>
          </w:tcPr>
          <w:p>
            <w:pPr>
              <w:spacing w:line="300" w:lineRule="exact"/>
              <w:jc w:val="left"/>
              <w:rPr>
                <w:rFonts w:ascii="方正书宋_GBK" w:eastAsia="方正书宋_GBK"/>
              </w:rPr>
            </w:pPr>
          </w:p>
        </w:tc>
        <w:tc>
          <w:tcPr>
            <w:tcW w:w="2410" w:type="dxa"/>
            <w:vMerge w:val="continue"/>
            <w:shd w:val="clear" w:color="auto" w:fill="auto"/>
            <w:vAlign w:val="center"/>
          </w:tcPr>
          <w:p>
            <w:pPr>
              <w:spacing w:line="300" w:lineRule="exact"/>
              <w:jc w:val="left"/>
              <w:rPr>
                <w:rFonts w:ascii="方正书宋_GBK" w:eastAsia="方正书宋_GBK"/>
              </w:rPr>
            </w:pP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进京集体访与上年同期下降率</w:t>
            </w:r>
          </w:p>
        </w:tc>
        <w:tc>
          <w:tcPr>
            <w:tcW w:w="615"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持平</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上升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continue"/>
            <w:shd w:val="clear" w:color="auto" w:fill="auto"/>
            <w:vAlign w:val="center"/>
          </w:tcPr>
          <w:p>
            <w:pPr>
              <w:spacing w:line="300" w:lineRule="exact"/>
              <w:jc w:val="left"/>
              <w:rPr>
                <w:rFonts w:ascii="方正书宋_GBK" w:eastAsia="方正书宋_GBK"/>
                <w:b/>
              </w:rPr>
            </w:pPr>
          </w:p>
        </w:tc>
        <w:tc>
          <w:tcPr>
            <w:tcW w:w="851" w:type="dxa"/>
            <w:vMerge w:val="continue"/>
            <w:shd w:val="clear" w:color="auto" w:fill="auto"/>
            <w:vAlign w:val="center"/>
          </w:tcPr>
          <w:p>
            <w:pPr>
              <w:spacing w:line="300" w:lineRule="exact"/>
              <w:jc w:val="left"/>
              <w:rPr>
                <w:rFonts w:ascii="方正书宋_GBK" w:eastAsia="方正书宋_GBK"/>
              </w:rPr>
            </w:pPr>
          </w:p>
        </w:tc>
        <w:tc>
          <w:tcPr>
            <w:tcW w:w="3685" w:type="dxa"/>
            <w:vMerge w:val="continue"/>
            <w:shd w:val="clear" w:color="auto" w:fill="auto"/>
            <w:vAlign w:val="center"/>
          </w:tcPr>
          <w:p>
            <w:pPr>
              <w:spacing w:line="300" w:lineRule="exact"/>
              <w:jc w:val="left"/>
              <w:rPr>
                <w:rFonts w:ascii="方正书宋_GBK" w:eastAsia="方正书宋_GBK"/>
              </w:rPr>
            </w:pPr>
          </w:p>
        </w:tc>
        <w:tc>
          <w:tcPr>
            <w:tcW w:w="2410" w:type="dxa"/>
            <w:vMerge w:val="continue"/>
            <w:shd w:val="clear" w:color="auto" w:fill="auto"/>
            <w:vAlign w:val="center"/>
          </w:tcPr>
          <w:p>
            <w:pPr>
              <w:spacing w:line="300" w:lineRule="exact"/>
              <w:jc w:val="left"/>
              <w:rPr>
                <w:rFonts w:ascii="方正书宋_GBK" w:eastAsia="方正书宋_GBK"/>
              </w:rPr>
            </w:pP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赴省到市集体访与上年同期下降率</w:t>
            </w:r>
          </w:p>
        </w:tc>
        <w:tc>
          <w:tcPr>
            <w:tcW w:w="615" w:type="dxa"/>
            <w:shd w:val="clear" w:color="auto" w:fill="auto"/>
            <w:vAlign w:val="center"/>
          </w:tcPr>
          <w:p>
            <w:pPr>
              <w:spacing w:line="300" w:lineRule="exact"/>
              <w:jc w:val="center"/>
              <w:rPr>
                <w:rFonts w:ascii="方正书宋_GBK" w:eastAsia="方正书宋_GBK"/>
              </w:rPr>
            </w:pP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持平</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上升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continue"/>
            <w:shd w:val="clear" w:color="auto" w:fill="auto"/>
            <w:vAlign w:val="center"/>
          </w:tcPr>
          <w:p>
            <w:pPr>
              <w:spacing w:line="300" w:lineRule="exact"/>
              <w:jc w:val="left"/>
              <w:rPr>
                <w:rFonts w:ascii="方正书宋_GBK" w:eastAsia="方正书宋_GBK"/>
                <w:b/>
              </w:rPr>
            </w:pPr>
          </w:p>
        </w:tc>
        <w:tc>
          <w:tcPr>
            <w:tcW w:w="851" w:type="dxa"/>
            <w:vMerge w:val="continue"/>
            <w:shd w:val="clear" w:color="auto" w:fill="auto"/>
            <w:vAlign w:val="center"/>
          </w:tcPr>
          <w:p>
            <w:pPr>
              <w:spacing w:line="300" w:lineRule="exact"/>
              <w:jc w:val="left"/>
              <w:rPr>
                <w:rFonts w:ascii="方正书宋_GBK" w:eastAsia="方正书宋_GBK"/>
              </w:rPr>
            </w:pPr>
          </w:p>
        </w:tc>
        <w:tc>
          <w:tcPr>
            <w:tcW w:w="3685" w:type="dxa"/>
            <w:vMerge w:val="continue"/>
            <w:shd w:val="clear" w:color="auto" w:fill="auto"/>
            <w:vAlign w:val="center"/>
          </w:tcPr>
          <w:p>
            <w:pPr>
              <w:spacing w:line="300" w:lineRule="exact"/>
              <w:jc w:val="left"/>
              <w:rPr>
                <w:rFonts w:ascii="方正书宋_GBK" w:eastAsia="方正书宋_GBK"/>
              </w:rPr>
            </w:pPr>
          </w:p>
        </w:tc>
        <w:tc>
          <w:tcPr>
            <w:tcW w:w="2410" w:type="dxa"/>
            <w:vMerge w:val="continue"/>
            <w:shd w:val="clear" w:color="auto" w:fill="auto"/>
            <w:vAlign w:val="center"/>
          </w:tcPr>
          <w:p>
            <w:pPr>
              <w:spacing w:line="300" w:lineRule="exact"/>
              <w:jc w:val="left"/>
              <w:rPr>
                <w:rFonts w:ascii="方正书宋_GBK" w:eastAsia="方正书宋_GBK"/>
              </w:rPr>
            </w:pP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信访事项按期结案率</w:t>
            </w:r>
          </w:p>
        </w:tc>
        <w:tc>
          <w:tcPr>
            <w:tcW w:w="61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、信访事项督查、复查复核、听证</w:t>
            </w:r>
          </w:p>
        </w:tc>
        <w:tc>
          <w:tcPr>
            <w:tcW w:w="851"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52.00</w:t>
            </w:r>
          </w:p>
        </w:tc>
        <w:tc>
          <w:tcPr>
            <w:tcW w:w="3685"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负责指导全县信访督查、复查复核、听证等工作，并对相关事项进行审核、上报；负责三跨三分离案件的办理工作；负责特殊疑难信访案件的承办督办工作。</w:t>
            </w:r>
          </w:p>
        </w:tc>
        <w:tc>
          <w:tcPr>
            <w:tcW w:w="2410"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加大对市以上交办案件督办力度；对复查案件及时办理；对三跨三分离案件及时协调；推动重要信访事项解决，规范信访事项办理、终结；用好特殊疑难信访问题专项资金。</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信访案件复查率</w:t>
            </w:r>
          </w:p>
        </w:tc>
        <w:tc>
          <w:tcPr>
            <w:tcW w:w="61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continue"/>
            <w:shd w:val="clear" w:color="auto" w:fill="auto"/>
            <w:vAlign w:val="center"/>
          </w:tcPr>
          <w:p>
            <w:pPr>
              <w:spacing w:line="300" w:lineRule="exact"/>
              <w:jc w:val="left"/>
              <w:rPr>
                <w:rFonts w:ascii="方正书宋_GBK" w:eastAsia="方正书宋_GBK"/>
                <w:b/>
              </w:rPr>
            </w:pPr>
          </w:p>
        </w:tc>
        <w:tc>
          <w:tcPr>
            <w:tcW w:w="851" w:type="dxa"/>
            <w:vMerge w:val="continue"/>
            <w:shd w:val="clear" w:color="auto" w:fill="auto"/>
            <w:vAlign w:val="center"/>
          </w:tcPr>
          <w:p>
            <w:pPr>
              <w:spacing w:line="300" w:lineRule="exact"/>
              <w:jc w:val="left"/>
              <w:rPr>
                <w:rFonts w:ascii="方正书宋_GBK" w:eastAsia="方正书宋_GBK"/>
              </w:rPr>
            </w:pPr>
          </w:p>
        </w:tc>
        <w:tc>
          <w:tcPr>
            <w:tcW w:w="3685" w:type="dxa"/>
            <w:vMerge w:val="continue"/>
            <w:shd w:val="clear" w:color="auto" w:fill="auto"/>
            <w:vAlign w:val="center"/>
          </w:tcPr>
          <w:p>
            <w:pPr>
              <w:spacing w:line="300" w:lineRule="exact"/>
              <w:jc w:val="left"/>
              <w:rPr>
                <w:rFonts w:ascii="方正书宋_GBK" w:eastAsia="方正书宋_GBK"/>
              </w:rPr>
            </w:pPr>
          </w:p>
        </w:tc>
        <w:tc>
          <w:tcPr>
            <w:tcW w:w="2410" w:type="dxa"/>
            <w:vMerge w:val="continue"/>
            <w:shd w:val="clear" w:color="auto" w:fill="auto"/>
            <w:vAlign w:val="center"/>
          </w:tcPr>
          <w:p>
            <w:pPr>
              <w:spacing w:line="300" w:lineRule="exact"/>
              <w:jc w:val="left"/>
              <w:rPr>
                <w:rFonts w:ascii="方正书宋_GBK" w:eastAsia="方正书宋_GBK"/>
              </w:rPr>
            </w:pP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信访案件听证率</w:t>
            </w:r>
          </w:p>
        </w:tc>
        <w:tc>
          <w:tcPr>
            <w:tcW w:w="61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continue"/>
            <w:shd w:val="clear" w:color="auto" w:fill="auto"/>
            <w:vAlign w:val="center"/>
          </w:tcPr>
          <w:p>
            <w:pPr>
              <w:spacing w:line="300" w:lineRule="exact"/>
              <w:jc w:val="left"/>
              <w:rPr>
                <w:rFonts w:ascii="方正书宋_GBK" w:eastAsia="方正书宋_GBK"/>
                <w:b/>
              </w:rPr>
            </w:pPr>
          </w:p>
        </w:tc>
        <w:tc>
          <w:tcPr>
            <w:tcW w:w="851" w:type="dxa"/>
            <w:vMerge w:val="continue"/>
            <w:shd w:val="clear" w:color="auto" w:fill="auto"/>
            <w:vAlign w:val="center"/>
          </w:tcPr>
          <w:p>
            <w:pPr>
              <w:spacing w:line="300" w:lineRule="exact"/>
              <w:jc w:val="left"/>
              <w:rPr>
                <w:rFonts w:ascii="方正书宋_GBK" w:eastAsia="方正书宋_GBK"/>
              </w:rPr>
            </w:pPr>
          </w:p>
        </w:tc>
        <w:tc>
          <w:tcPr>
            <w:tcW w:w="3685" w:type="dxa"/>
            <w:vMerge w:val="continue"/>
            <w:shd w:val="clear" w:color="auto" w:fill="auto"/>
            <w:vAlign w:val="center"/>
          </w:tcPr>
          <w:p>
            <w:pPr>
              <w:spacing w:line="300" w:lineRule="exact"/>
              <w:jc w:val="left"/>
              <w:rPr>
                <w:rFonts w:ascii="方正书宋_GBK" w:eastAsia="方正书宋_GBK"/>
              </w:rPr>
            </w:pPr>
          </w:p>
        </w:tc>
        <w:tc>
          <w:tcPr>
            <w:tcW w:w="2410" w:type="dxa"/>
            <w:vMerge w:val="continue"/>
            <w:shd w:val="clear" w:color="auto" w:fill="auto"/>
            <w:vAlign w:val="center"/>
          </w:tcPr>
          <w:p>
            <w:pPr>
              <w:spacing w:line="300" w:lineRule="exact"/>
              <w:jc w:val="left"/>
              <w:rPr>
                <w:rFonts w:ascii="方正书宋_GBK" w:eastAsia="方正书宋_GBK"/>
              </w:rPr>
            </w:pP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三跨三分离案件受理率</w:t>
            </w:r>
          </w:p>
        </w:tc>
        <w:tc>
          <w:tcPr>
            <w:tcW w:w="61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continue"/>
            <w:shd w:val="clear" w:color="auto" w:fill="auto"/>
            <w:vAlign w:val="center"/>
          </w:tcPr>
          <w:p>
            <w:pPr>
              <w:spacing w:line="300" w:lineRule="exact"/>
              <w:jc w:val="left"/>
              <w:rPr>
                <w:rFonts w:ascii="方正书宋_GBK" w:eastAsia="方正书宋_GBK"/>
                <w:b/>
              </w:rPr>
            </w:pPr>
          </w:p>
        </w:tc>
        <w:tc>
          <w:tcPr>
            <w:tcW w:w="851" w:type="dxa"/>
            <w:vMerge w:val="continue"/>
            <w:shd w:val="clear" w:color="auto" w:fill="auto"/>
            <w:vAlign w:val="center"/>
          </w:tcPr>
          <w:p>
            <w:pPr>
              <w:spacing w:line="300" w:lineRule="exact"/>
              <w:jc w:val="left"/>
              <w:rPr>
                <w:rFonts w:ascii="方正书宋_GBK" w:eastAsia="方正书宋_GBK"/>
              </w:rPr>
            </w:pPr>
          </w:p>
        </w:tc>
        <w:tc>
          <w:tcPr>
            <w:tcW w:w="3685" w:type="dxa"/>
            <w:vMerge w:val="continue"/>
            <w:shd w:val="clear" w:color="auto" w:fill="auto"/>
            <w:vAlign w:val="center"/>
          </w:tcPr>
          <w:p>
            <w:pPr>
              <w:spacing w:line="300" w:lineRule="exact"/>
              <w:jc w:val="left"/>
              <w:rPr>
                <w:rFonts w:ascii="方正书宋_GBK" w:eastAsia="方正书宋_GBK"/>
              </w:rPr>
            </w:pPr>
          </w:p>
        </w:tc>
        <w:tc>
          <w:tcPr>
            <w:tcW w:w="2410" w:type="dxa"/>
            <w:vMerge w:val="continue"/>
            <w:shd w:val="clear" w:color="auto" w:fill="auto"/>
            <w:vAlign w:val="center"/>
          </w:tcPr>
          <w:p>
            <w:pPr>
              <w:spacing w:line="300" w:lineRule="exact"/>
              <w:jc w:val="left"/>
              <w:rPr>
                <w:rFonts w:ascii="方正书宋_GBK" w:eastAsia="方正书宋_GBK"/>
              </w:rPr>
            </w:pP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督办信访案件数</w:t>
            </w:r>
          </w:p>
        </w:tc>
        <w:tc>
          <w:tcPr>
            <w:tcW w:w="615" w:type="dxa"/>
            <w:shd w:val="clear" w:color="auto" w:fill="auto"/>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次及以上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5" w:hRule="atLeast"/>
          <w:jc w:val="center"/>
        </w:trPr>
        <w:tc>
          <w:tcPr>
            <w:tcW w:w="2177"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二、信访事务管理</w:t>
            </w:r>
          </w:p>
        </w:tc>
        <w:tc>
          <w:tcPr>
            <w:tcW w:w="851"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36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调研提出信访工作对策建议；督促检查和指导全县信访工作；群众服务中心日常工作。</w:t>
            </w:r>
          </w:p>
        </w:tc>
        <w:tc>
          <w:tcPr>
            <w:tcW w:w="241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进一步提高信访干部业务能力；吸收可行建议，改进信访工作；提高信访信息化应用水平，实现办公自动化、网络化智能化。保障机要邮件正常传递和信访群众服务中心正常运转；确保会议正常召开。</w:t>
            </w:r>
          </w:p>
        </w:tc>
        <w:tc>
          <w:tcPr>
            <w:tcW w:w="1985" w:type="dxa"/>
            <w:shd w:val="clear" w:color="auto" w:fill="auto"/>
            <w:vAlign w:val="center"/>
          </w:tcPr>
          <w:p>
            <w:pPr>
              <w:spacing w:line="300" w:lineRule="exact"/>
              <w:jc w:val="left"/>
              <w:rPr>
                <w:rFonts w:ascii="方正书宋_GBK" w:eastAsia="方正书宋_GBK"/>
              </w:rPr>
            </w:pPr>
          </w:p>
        </w:tc>
        <w:tc>
          <w:tcPr>
            <w:tcW w:w="615"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、综合事务管理及群众工作中心</w:t>
            </w:r>
          </w:p>
        </w:tc>
        <w:tc>
          <w:tcPr>
            <w:tcW w:w="851"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3685"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调研提出信访工作对策建议；督促检查和指导全县信访工作；信息化建设与运维管理；机要邮件正常传递；完善群众工作相关工作制度，发挥群众工作中心的作用，畅通信访渠道。</w:t>
            </w:r>
          </w:p>
        </w:tc>
        <w:tc>
          <w:tcPr>
            <w:tcW w:w="2410"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进一步提高信访干部业务能力；吸收可行建议，改进信访工作；提高信访信息化应用水平。保障机要邮件正常传递和信访群众服务中心正常运转；确保会议正常召开。</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信访干部业务培训率</w:t>
            </w:r>
          </w:p>
        </w:tc>
        <w:tc>
          <w:tcPr>
            <w:tcW w:w="61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continue"/>
            <w:shd w:val="clear" w:color="auto" w:fill="auto"/>
            <w:vAlign w:val="center"/>
          </w:tcPr>
          <w:p>
            <w:pPr>
              <w:spacing w:line="300" w:lineRule="exact"/>
              <w:jc w:val="left"/>
              <w:rPr>
                <w:rFonts w:ascii="方正书宋_GBK" w:eastAsia="方正书宋_GBK"/>
                <w:b/>
              </w:rPr>
            </w:pPr>
          </w:p>
        </w:tc>
        <w:tc>
          <w:tcPr>
            <w:tcW w:w="851" w:type="dxa"/>
            <w:vMerge w:val="continue"/>
            <w:shd w:val="clear" w:color="auto" w:fill="auto"/>
            <w:vAlign w:val="center"/>
          </w:tcPr>
          <w:p>
            <w:pPr>
              <w:spacing w:line="300" w:lineRule="exact"/>
              <w:jc w:val="left"/>
              <w:rPr>
                <w:rFonts w:ascii="方正书宋_GBK" w:eastAsia="方正书宋_GBK"/>
              </w:rPr>
            </w:pPr>
          </w:p>
        </w:tc>
        <w:tc>
          <w:tcPr>
            <w:tcW w:w="3685" w:type="dxa"/>
            <w:vMerge w:val="continue"/>
            <w:shd w:val="clear" w:color="auto" w:fill="auto"/>
            <w:vAlign w:val="center"/>
          </w:tcPr>
          <w:p>
            <w:pPr>
              <w:spacing w:line="300" w:lineRule="exact"/>
              <w:jc w:val="left"/>
              <w:rPr>
                <w:rFonts w:ascii="方正书宋_GBK" w:eastAsia="方正书宋_GBK"/>
              </w:rPr>
            </w:pPr>
          </w:p>
        </w:tc>
        <w:tc>
          <w:tcPr>
            <w:tcW w:w="2410" w:type="dxa"/>
            <w:vMerge w:val="continue"/>
            <w:shd w:val="clear" w:color="auto" w:fill="auto"/>
            <w:vAlign w:val="center"/>
          </w:tcPr>
          <w:p>
            <w:pPr>
              <w:spacing w:line="300" w:lineRule="exact"/>
              <w:jc w:val="left"/>
              <w:rPr>
                <w:rFonts w:ascii="方正书宋_GBK" w:eastAsia="方正书宋_GBK"/>
              </w:rPr>
            </w:pP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信访工作考评率</w:t>
            </w:r>
          </w:p>
        </w:tc>
        <w:tc>
          <w:tcPr>
            <w:tcW w:w="61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continue"/>
            <w:shd w:val="clear" w:color="auto" w:fill="auto"/>
            <w:vAlign w:val="center"/>
          </w:tcPr>
          <w:p>
            <w:pPr>
              <w:spacing w:line="300" w:lineRule="exact"/>
              <w:jc w:val="left"/>
              <w:rPr>
                <w:rFonts w:ascii="方正书宋_GBK" w:eastAsia="方正书宋_GBK"/>
                <w:b/>
              </w:rPr>
            </w:pPr>
          </w:p>
        </w:tc>
        <w:tc>
          <w:tcPr>
            <w:tcW w:w="851" w:type="dxa"/>
            <w:vMerge w:val="continue"/>
            <w:shd w:val="clear" w:color="auto" w:fill="auto"/>
            <w:vAlign w:val="center"/>
          </w:tcPr>
          <w:p>
            <w:pPr>
              <w:spacing w:line="300" w:lineRule="exact"/>
              <w:jc w:val="left"/>
              <w:rPr>
                <w:rFonts w:ascii="方正书宋_GBK" w:eastAsia="方正书宋_GBK"/>
              </w:rPr>
            </w:pPr>
          </w:p>
        </w:tc>
        <w:tc>
          <w:tcPr>
            <w:tcW w:w="3685" w:type="dxa"/>
            <w:vMerge w:val="continue"/>
            <w:shd w:val="clear" w:color="auto" w:fill="auto"/>
            <w:vAlign w:val="center"/>
          </w:tcPr>
          <w:p>
            <w:pPr>
              <w:spacing w:line="300" w:lineRule="exact"/>
              <w:jc w:val="left"/>
              <w:rPr>
                <w:rFonts w:ascii="方正书宋_GBK" w:eastAsia="方正书宋_GBK"/>
              </w:rPr>
            </w:pPr>
          </w:p>
        </w:tc>
        <w:tc>
          <w:tcPr>
            <w:tcW w:w="2410" w:type="dxa"/>
            <w:vMerge w:val="continue"/>
            <w:shd w:val="clear" w:color="auto" w:fill="auto"/>
            <w:vAlign w:val="center"/>
          </w:tcPr>
          <w:p>
            <w:pPr>
              <w:spacing w:line="300" w:lineRule="exact"/>
              <w:jc w:val="left"/>
              <w:rPr>
                <w:rFonts w:ascii="方正书宋_GBK" w:eastAsia="方正书宋_GBK"/>
              </w:rPr>
            </w:pPr>
          </w:p>
        </w:tc>
        <w:tc>
          <w:tcPr>
            <w:tcW w:w="1985"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三级</w:t>
            </w:r>
            <w:r>
              <w:rPr>
                <w:rFonts w:hint="cs" w:ascii="方正书宋_GBK" w:eastAsia="方正书宋_GBK"/>
              </w:rPr>
              <w:t>”</w:t>
            </w:r>
            <w:r>
              <w:rPr>
                <w:rFonts w:hint="eastAsia" w:ascii="方正书宋_GBK" w:eastAsia="方正书宋_GBK"/>
              </w:rPr>
              <w:t>调处率</w:t>
            </w:r>
          </w:p>
        </w:tc>
        <w:tc>
          <w:tcPr>
            <w:tcW w:w="61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77" w:type="dxa"/>
            <w:vMerge w:val="continue"/>
            <w:shd w:val="clear" w:color="auto" w:fill="auto"/>
            <w:vAlign w:val="center"/>
          </w:tcPr>
          <w:p>
            <w:pPr>
              <w:spacing w:line="300" w:lineRule="exact"/>
              <w:jc w:val="left"/>
              <w:rPr>
                <w:rFonts w:ascii="方正书宋_GBK" w:eastAsia="方正书宋_GBK"/>
                <w:b/>
              </w:rPr>
            </w:pPr>
          </w:p>
        </w:tc>
        <w:tc>
          <w:tcPr>
            <w:tcW w:w="851" w:type="dxa"/>
            <w:vMerge w:val="continue"/>
            <w:shd w:val="clear" w:color="auto" w:fill="auto"/>
            <w:vAlign w:val="center"/>
          </w:tcPr>
          <w:p>
            <w:pPr>
              <w:spacing w:line="300" w:lineRule="exact"/>
              <w:jc w:val="left"/>
              <w:rPr>
                <w:rFonts w:ascii="方正书宋_GBK" w:eastAsia="方正书宋_GBK"/>
              </w:rPr>
            </w:pPr>
          </w:p>
        </w:tc>
        <w:tc>
          <w:tcPr>
            <w:tcW w:w="3685" w:type="dxa"/>
            <w:vMerge w:val="continue"/>
            <w:shd w:val="clear" w:color="auto" w:fill="auto"/>
            <w:vAlign w:val="center"/>
          </w:tcPr>
          <w:p>
            <w:pPr>
              <w:spacing w:line="300" w:lineRule="exact"/>
              <w:jc w:val="left"/>
              <w:rPr>
                <w:rFonts w:ascii="方正书宋_GBK" w:eastAsia="方正书宋_GBK"/>
              </w:rPr>
            </w:pPr>
          </w:p>
        </w:tc>
        <w:tc>
          <w:tcPr>
            <w:tcW w:w="2410" w:type="dxa"/>
            <w:vMerge w:val="continue"/>
            <w:shd w:val="clear" w:color="auto" w:fill="auto"/>
            <w:vAlign w:val="center"/>
          </w:tcPr>
          <w:p>
            <w:pPr>
              <w:spacing w:line="300" w:lineRule="exact"/>
              <w:jc w:val="left"/>
              <w:rPr>
                <w:rFonts w:ascii="方正书宋_GBK" w:eastAsia="方正书宋_GBK"/>
              </w:rPr>
            </w:pP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群众工作中心任务完成率</w:t>
            </w:r>
          </w:p>
        </w:tc>
        <w:tc>
          <w:tcPr>
            <w:tcW w:w="615"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bl>
    <w:p>
      <w:pPr>
        <w:spacing w:line="300" w:lineRule="exact"/>
        <w:jc w:val="left"/>
        <w:outlineLvl w:val="0"/>
        <w:rPr>
          <w:rFonts w:ascii="Calibri" w:hAnsi="Calibri" w:eastAsia="宋体" w:cs="Times New Roman"/>
        </w:rPr>
        <w:sectPr>
          <w:head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仿宋_GB2312" w:hAnsi="Times New Roman" w:eastAsia="仿宋_GB2312" w:cs="Times New Roman"/>
          <w:sz w:val="32"/>
          <w:szCs w:val="24"/>
        </w:rPr>
      </w:pPr>
      <w:bookmarkStart w:id="2" w:name="_Toc471398468"/>
      <w:r>
        <w:rPr>
          <w:rFonts w:hint="eastAsia" w:ascii="仿宋_GB2312" w:hAnsi="Times New Roman" w:eastAsia="仿宋_GB2312" w:cs="Times New Roman"/>
          <w:sz w:val="32"/>
          <w:szCs w:val="24"/>
        </w:rPr>
        <w:t xml:space="preserve">    </w:t>
      </w:r>
      <w:bookmarkEnd w:id="2"/>
      <w:r>
        <w:rPr>
          <w:rFonts w:ascii="仿宋_GB2312" w:hAnsi="Times New Roman" w:eastAsia="仿宋_GB2312" w:cs="Times New Roman"/>
          <w:sz w:val="32"/>
          <w:szCs w:val="24"/>
        </w:rPr>
        <w:t>本部门</w:t>
      </w:r>
      <w:r>
        <w:rPr>
          <w:rFonts w:hint="eastAsia" w:ascii="仿宋_GB2312" w:hAnsi="Times New Roman" w:eastAsia="仿宋_GB2312" w:cs="Times New Roman"/>
          <w:sz w:val="32"/>
          <w:szCs w:val="24"/>
        </w:rPr>
        <w:t>2018年没有安排政府采购预算</w:t>
      </w:r>
      <w:r>
        <w:rPr>
          <w:rFonts w:ascii="仿宋_GB2312" w:hAnsi="Times New Roman" w:eastAsia="仿宋_GB2312" w:cs="Times New Roman"/>
          <w:sz w:val="32"/>
          <w:szCs w:val="24"/>
        </w:rPr>
        <w:t>。</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我部门上年末固定资产金额为</w:t>
      </w:r>
      <w:r>
        <w:rPr>
          <w:rFonts w:hint="eastAsia" w:ascii="仿宋_GB2312" w:hAnsi="Times New Roman" w:eastAsia="仿宋_GB2312" w:cs="Times New Roman"/>
          <w:sz w:val="32"/>
          <w:szCs w:val="32"/>
        </w:rPr>
        <w:t>672.10</w:t>
      </w:r>
      <w:r>
        <w:rPr>
          <w:rFonts w:hint="eastAsia" w:ascii="仿宋_GB2312" w:hAnsi="黑体" w:eastAsia="仿宋_GB2312" w:cs="Times New Roman"/>
          <w:sz w:val="32"/>
          <w:szCs w:val="32"/>
        </w:rPr>
        <w:t>万元（</w:t>
      </w:r>
      <w:r>
        <w:rPr>
          <w:rFonts w:hint="eastAsia" w:ascii="仿宋_GB2312" w:hAnsi="Times New Roman" w:eastAsia="仿宋_GB2312" w:cs="Times New Roman"/>
          <w:sz w:val="32"/>
          <w:szCs w:val="32"/>
        </w:rPr>
        <w:t>详见下表）</w:t>
      </w:r>
      <w:r>
        <w:rPr>
          <w:rFonts w:hint="eastAsia" w:ascii="仿宋_GB2312" w:hAnsi="黑体"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青龙县部门固定资产占用情况表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仿宋_GB2312" w:hAnsi="Times New Roman" w:eastAsia="仿宋_GB2312" w:cs="Times New Roman"/>
                <w:sz w:val="32"/>
                <w:szCs w:val="32"/>
              </w:rPr>
              <w:t>信访局</w:t>
            </w:r>
          </w:p>
        </w:tc>
        <w:tc>
          <w:tcPr>
            <w:tcW w:w="510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截止时间：2017年12月31日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672.1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2631.28</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523.79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2631.28</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523.79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1</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15.83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793</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132.48</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1、一般</w:t>
      </w:r>
      <w:r>
        <w:rPr>
          <w:rFonts w:hint="eastAsia" w:ascii="仿宋_GB2312" w:hAnsi="Times New Roman" w:eastAsia="仿宋_GB2312" w:cs="Times New Roman"/>
          <w:b/>
          <w:sz w:val="32"/>
          <w:szCs w:val="32"/>
        </w:rPr>
        <w:t>公</w:t>
      </w:r>
      <w:r>
        <w:rPr>
          <w:rFonts w:ascii="仿宋_GB2312" w:hAnsi="Times New Roman" w:eastAsia="仿宋_GB2312" w:cs="Times New Roman"/>
          <w:b/>
          <w:sz w:val="32"/>
          <w:szCs w:val="32"/>
        </w:rPr>
        <w:t>共预算拨款收入：</w:t>
      </w:r>
      <w:r>
        <w:rPr>
          <w:rFonts w:hint="eastAsia" w:ascii="仿宋_GB2312" w:hAnsi="Times New Roman" w:eastAsia="仿宋_GB2312" w:cs="Times New Roman"/>
          <w:sz w:val="32"/>
          <w:szCs w:val="32"/>
        </w:rPr>
        <w:t>指县级财政通过当年一般公共预算拨付的资金。</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2、事业收入：</w:t>
      </w:r>
      <w:r>
        <w:rPr>
          <w:rFonts w:hint="eastAsia" w:ascii="仿宋_GB2312" w:hAnsi="Times New Roman" w:eastAsia="仿宋_GB2312"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仿宋_GB2312" w:hAnsi="Times New Roman" w:eastAsia="仿宋_GB2312" w:cs="Times New Roman"/>
          <w:b/>
          <w:sz w:val="32"/>
          <w:szCs w:val="32"/>
        </w:rPr>
        <w:t>3、其他收入：</w:t>
      </w:r>
      <w:r>
        <w:rPr>
          <w:rFonts w:ascii="仿宋_GB2312" w:hAnsi="Times New Roman" w:eastAsia="仿宋_GB2312" w:cs="Times New Roman"/>
          <w:sz w:val="32"/>
          <w:szCs w:val="32"/>
        </w:rPr>
        <w:t>指除“</w:t>
      </w:r>
      <w:r>
        <w:rPr>
          <w:rFonts w:hint="eastAsia" w:ascii="仿宋_GB2312" w:hAnsi="Times New Roman" w:eastAsia="仿宋_GB2312" w:cs="Times New Roman"/>
          <w:sz w:val="32"/>
          <w:szCs w:val="32"/>
        </w:rPr>
        <w:t>一般公共预算</w:t>
      </w:r>
      <w:r>
        <w:rPr>
          <w:rFonts w:ascii="仿宋_GB2312" w:hAnsi="Times New Roman" w:eastAsia="仿宋_GB2312"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4、基本支出：</w:t>
      </w:r>
      <w:r>
        <w:rPr>
          <w:rFonts w:hint="eastAsia" w:ascii="仿宋_GB2312" w:hAnsi="Times New Roman" w:eastAsia="仿宋_GB2312" w:cs="Times New Roman"/>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5、项目支出：</w:t>
      </w:r>
      <w:r>
        <w:rPr>
          <w:rFonts w:hint="eastAsia" w:ascii="仿宋_GB2312" w:hAnsi="Times New Roman" w:eastAsia="仿宋_GB2312" w:cs="Times New Roman"/>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6、上缴上级支出：</w:t>
      </w:r>
      <w:r>
        <w:rPr>
          <w:rFonts w:hint="eastAsia" w:ascii="仿宋_GB2312" w:hAnsi="Times New Roman" w:eastAsia="仿宋_GB2312"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7、“三公”经费：</w:t>
      </w:r>
      <w:r>
        <w:rPr>
          <w:rFonts w:ascii="仿宋_GB2312" w:hAnsi="Times New Roman" w:eastAsia="仿宋_GB2312" w:cs="Times New Roman"/>
          <w:sz w:val="32"/>
          <w:szCs w:val="32"/>
        </w:rPr>
        <w:t>纳入</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级财政预算管理的“三公”经费，是指</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级部门用财政拨款安排的因公出国（境）费、公务用车购置及运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费和公务接待费。其中，因公出国（境）费反映单位公务出国（境）的住宿费、旅费、伙食补助费、杂费、培训费等支出；公务用车购置及运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8、机关运行费：</w:t>
      </w:r>
      <w:r>
        <w:rPr>
          <w:rFonts w:hint="eastAsia" w:ascii="仿宋_GB2312"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_GB2312" w:hAnsi="Times New Roman" w:eastAsia="仿宋_GB2312" w:cs="Times New Roman"/>
          <w:sz w:val="32"/>
          <w:szCs w:val="32"/>
        </w:rPr>
        <w:t>其他费用。</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9、上年结转：</w:t>
      </w:r>
      <w:r>
        <w:rPr>
          <w:rFonts w:hint="eastAsia" w:ascii="仿宋_GB2312" w:hAnsi="Times New Roman" w:eastAsia="仿宋_GB2312" w:cs="Times New Roman"/>
          <w:sz w:val="32"/>
          <w:szCs w:val="32"/>
        </w:rPr>
        <w:t>指以前年度尚未完成、结转到本年仍按原规定用途继续使用的资金。</w:t>
      </w:r>
    </w:p>
    <w:p>
      <w:pPr>
        <w:tabs>
          <w:tab w:val="left" w:pos="11490"/>
        </w:tabs>
        <w:ind w:firstLine="482" w:firstLineChars="15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10、事业单位经营支出：</w:t>
      </w:r>
      <w:r>
        <w:rPr>
          <w:rFonts w:hint="eastAsia" w:ascii="仿宋_GB2312"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800" w:firstLineChars="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lZmI3OGE4NzQwOTZiNzNhYjhkZmEyYmM0N2VkNDAifQ=="/>
  </w:docVars>
  <w:rsids>
    <w:rsidRoot w:val="00F66032"/>
    <w:rsid w:val="000053CC"/>
    <w:rsid w:val="00010D1F"/>
    <w:rsid w:val="00027791"/>
    <w:rsid w:val="00037AF6"/>
    <w:rsid w:val="00041028"/>
    <w:rsid w:val="0004565F"/>
    <w:rsid w:val="00072187"/>
    <w:rsid w:val="00075D5F"/>
    <w:rsid w:val="000B2696"/>
    <w:rsid w:val="000B529B"/>
    <w:rsid w:val="000C24E6"/>
    <w:rsid w:val="000C3A19"/>
    <w:rsid w:val="000C3C6C"/>
    <w:rsid w:val="000E44E0"/>
    <w:rsid w:val="001008B8"/>
    <w:rsid w:val="001245BB"/>
    <w:rsid w:val="001251A3"/>
    <w:rsid w:val="001643E8"/>
    <w:rsid w:val="001919C4"/>
    <w:rsid w:val="0019723B"/>
    <w:rsid w:val="001E0757"/>
    <w:rsid w:val="001E63C0"/>
    <w:rsid w:val="001E6DDC"/>
    <w:rsid w:val="001F7873"/>
    <w:rsid w:val="00241FD4"/>
    <w:rsid w:val="002444C3"/>
    <w:rsid w:val="00251B12"/>
    <w:rsid w:val="00265318"/>
    <w:rsid w:val="002835D7"/>
    <w:rsid w:val="00290FD6"/>
    <w:rsid w:val="00296113"/>
    <w:rsid w:val="002A0D61"/>
    <w:rsid w:val="002A673A"/>
    <w:rsid w:val="002B08A2"/>
    <w:rsid w:val="002C5E13"/>
    <w:rsid w:val="002C62BC"/>
    <w:rsid w:val="002E0EB8"/>
    <w:rsid w:val="002F3E58"/>
    <w:rsid w:val="0030542C"/>
    <w:rsid w:val="00311B7A"/>
    <w:rsid w:val="00313D9C"/>
    <w:rsid w:val="00334448"/>
    <w:rsid w:val="00335970"/>
    <w:rsid w:val="003523A1"/>
    <w:rsid w:val="00366669"/>
    <w:rsid w:val="003A69E6"/>
    <w:rsid w:val="003B2147"/>
    <w:rsid w:val="00416489"/>
    <w:rsid w:val="00424943"/>
    <w:rsid w:val="0042727E"/>
    <w:rsid w:val="0043175C"/>
    <w:rsid w:val="004354E2"/>
    <w:rsid w:val="00437296"/>
    <w:rsid w:val="00451590"/>
    <w:rsid w:val="00451871"/>
    <w:rsid w:val="00465478"/>
    <w:rsid w:val="004706DE"/>
    <w:rsid w:val="00472923"/>
    <w:rsid w:val="00486DCD"/>
    <w:rsid w:val="004879DC"/>
    <w:rsid w:val="004B0C3A"/>
    <w:rsid w:val="004B287D"/>
    <w:rsid w:val="004C2DDE"/>
    <w:rsid w:val="004C49A8"/>
    <w:rsid w:val="004D5788"/>
    <w:rsid w:val="004E3066"/>
    <w:rsid w:val="004E3FE4"/>
    <w:rsid w:val="004E419C"/>
    <w:rsid w:val="004E74CD"/>
    <w:rsid w:val="004F29ED"/>
    <w:rsid w:val="004F4353"/>
    <w:rsid w:val="00524EFD"/>
    <w:rsid w:val="00555C88"/>
    <w:rsid w:val="00572067"/>
    <w:rsid w:val="00573562"/>
    <w:rsid w:val="00590ECE"/>
    <w:rsid w:val="005936B9"/>
    <w:rsid w:val="005C1187"/>
    <w:rsid w:val="005D7BF2"/>
    <w:rsid w:val="005F5714"/>
    <w:rsid w:val="00611D03"/>
    <w:rsid w:val="00614A29"/>
    <w:rsid w:val="0064759F"/>
    <w:rsid w:val="0065365E"/>
    <w:rsid w:val="006544EC"/>
    <w:rsid w:val="00673D76"/>
    <w:rsid w:val="006854F0"/>
    <w:rsid w:val="006A70C1"/>
    <w:rsid w:val="006B1C4A"/>
    <w:rsid w:val="006B610D"/>
    <w:rsid w:val="006E49F5"/>
    <w:rsid w:val="007013C8"/>
    <w:rsid w:val="007026A1"/>
    <w:rsid w:val="00753836"/>
    <w:rsid w:val="0075393C"/>
    <w:rsid w:val="00754592"/>
    <w:rsid w:val="00762296"/>
    <w:rsid w:val="00776C08"/>
    <w:rsid w:val="007C219A"/>
    <w:rsid w:val="007E1DA8"/>
    <w:rsid w:val="007E1F30"/>
    <w:rsid w:val="007E7DA2"/>
    <w:rsid w:val="007F1F11"/>
    <w:rsid w:val="007F6C26"/>
    <w:rsid w:val="00813208"/>
    <w:rsid w:val="008334AE"/>
    <w:rsid w:val="00836FED"/>
    <w:rsid w:val="0083724E"/>
    <w:rsid w:val="00841D53"/>
    <w:rsid w:val="00845CD2"/>
    <w:rsid w:val="00852B0D"/>
    <w:rsid w:val="008635EF"/>
    <w:rsid w:val="00864B7F"/>
    <w:rsid w:val="00881692"/>
    <w:rsid w:val="008A6576"/>
    <w:rsid w:val="008B3CC5"/>
    <w:rsid w:val="008B52CD"/>
    <w:rsid w:val="008C75AA"/>
    <w:rsid w:val="008C7C4D"/>
    <w:rsid w:val="008E4261"/>
    <w:rsid w:val="008E70D4"/>
    <w:rsid w:val="008F4662"/>
    <w:rsid w:val="00905D08"/>
    <w:rsid w:val="00916AC7"/>
    <w:rsid w:val="00925753"/>
    <w:rsid w:val="009425F4"/>
    <w:rsid w:val="00943BD8"/>
    <w:rsid w:val="00954B2C"/>
    <w:rsid w:val="00963748"/>
    <w:rsid w:val="00966C5C"/>
    <w:rsid w:val="00973104"/>
    <w:rsid w:val="00995BF0"/>
    <w:rsid w:val="009A16D5"/>
    <w:rsid w:val="009A353D"/>
    <w:rsid w:val="009A6244"/>
    <w:rsid w:val="009B0B77"/>
    <w:rsid w:val="009B511E"/>
    <w:rsid w:val="009C1A3A"/>
    <w:rsid w:val="009C7913"/>
    <w:rsid w:val="009D133A"/>
    <w:rsid w:val="009D37D3"/>
    <w:rsid w:val="00A16E6C"/>
    <w:rsid w:val="00A40F60"/>
    <w:rsid w:val="00A44A15"/>
    <w:rsid w:val="00A44E3D"/>
    <w:rsid w:val="00A60ACD"/>
    <w:rsid w:val="00A63C44"/>
    <w:rsid w:val="00A72D2E"/>
    <w:rsid w:val="00A74447"/>
    <w:rsid w:val="00A74CE5"/>
    <w:rsid w:val="00A77500"/>
    <w:rsid w:val="00A80BBB"/>
    <w:rsid w:val="00A911E7"/>
    <w:rsid w:val="00A939D9"/>
    <w:rsid w:val="00AB1D0F"/>
    <w:rsid w:val="00AC43E2"/>
    <w:rsid w:val="00AD5259"/>
    <w:rsid w:val="00B01D36"/>
    <w:rsid w:val="00B078CD"/>
    <w:rsid w:val="00B20712"/>
    <w:rsid w:val="00B21A1B"/>
    <w:rsid w:val="00B262B4"/>
    <w:rsid w:val="00B43238"/>
    <w:rsid w:val="00B45091"/>
    <w:rsid w:val="00B45DD3"/>
    <w:rsid w:val="00B50FE1"/>
    <w:rsid w:val="00B73582"/>
    <w:rsid w:val="00B75216"/>
    <w:rsid w:val="00B755A2"/>
    <w:rsid w:val="00B9104C"/>
    <w:rsid w:val="00B91D52"/>
    <w:rsid w:val="00B9490F"/>
    <w:rsid w:val="00BA1ACD"/>
    <w:rsid w:val="00BC4361"/>
    <w:rsid w:val="00BD09F8"/>
    <w:rsid w:val="00BF2377"/>
    <w:rsid w:val="00C005B2"/>
    <w:rsid w:val="00C412DE"/>
    <w:rsid w:val="00C56915"/>
    <w:rsid w:val="00C57F8C"/>
    <w:rsid w:val="00C6319F"/>
    <w:rsid w:val="00C678F7"/>
    <w:rsid w:val="00C7055A"/>
    <w:rsid w:val="00C77F9F"/>
    <w:rsid w:val="00C94BAC"/>
    <w:rsid w:val="00C9549E"/>
    <w:rsid w:val="00CA7176"/>
    <w:rsid w:val="00CB4CA2"/>
    <w:rsid w:val="00CC75B0"/>
    <w:rsid w:val="00CD2773"/>
    <w:rsid w:val="00CD36E6"/>
    <w:rsid w:val="00CE01BA"/>
    <w:rsid w:val="00CE143B"/>
    <w:rsid w:val="00D07DBA"/>
    <w:rsid w:val="00D206E3"/>
    <w:rsid w:val="00D21482"/>
    <w:rsid w:val="00D27003"/>
    <w:rsid w:val="00D9307A"/>
    <w:rsid w:val="00DE14F7"/>
    <w:rsid w:val="00DE3EB7"/>
    <w:rsid w:val="00DF085C"/>
    <w:rsid w:val="00DF2165"/>
    <w:rsid w:val="00E160F5"/>
    <w:rsid w:val="00E167C7"/>
    <w:rsid w:val="00E55B78"/>
    <w:rsid w:val="00E64259"/>
    <w:rsid w:val="00E76361"/>
    <w:rsid w:val="00E96519"/>
    <w:rsid w:val="00EB4BE0"/>
    <w:rsid w:val="00EC47F6"/>
    <w:rsid w:val="00EF08C9"/>
    <w:rsid w:val="00EF535E"/>
    <w:rsid w:val="00F471F7"/>
    <w:rsid w:val="00F66032"/>
    <w:rsid w:val="00F83B96"/>
    <w:rsid w:val="00F8441D"/>
    <w:rsid w:val="00F87C1E"/>
    <w:rsid w:val="00F958C2"/>
    <w:rsid w:val="00FA33E9"/>
    <w:rsid w:val="00FA740E"/>
    <w:rsid w:val="00FC06C7"/>
    <w:rsid w:val="00FD5DB4"/>
    <w:rsid w:val="00FE1724"/>
    <w:rsid w:val="00FE59D6"/>
    <w:rsid w:val="2BBF4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autoRedefine/>
    <w:uiPriority w:val="39"/>
    <w:rPr>
      <w:rFonts w:ascii="Times New Roman" w:hAnsi="Times New Roman" w:eastAsia="宋体" w:cs="Times New Roman"/>
      <w:szCs w:val="24"/>
    </w:rPr>
  </w:style>
  <w:style w:type="paragraph" w:styleId="6">
    <w:name w:val="footnote text"/>
    <w:basedOn w:val="1"/>
    <w:link w:val="15"/>
    <w:autoRedefine/>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autoRedefine/>
    <w:uiPriority w:val="39"/>
    <w:pPr>
      <w:ind w:left="420" w:leftChars="200"/>
    </w:pPr>
    <w:rPr>
      <w:rFonts w:ascii="Times New Roman" w:hAnsi="Times New Roman" w:eastAsia="宋体" w:cs="Times New Roman"/>
      <w:szCs w:val="24"/>
    </w:rPr>
  </w:style>
  <w:style w:type="character" w:styleId="10">
    <w:name w:val="footnote reference"/>
    <w:autoRedefine/>
    <w:semiHidden/>
    <w:unhideWhenUsed/>
    <w:qFormat/>
    <w:uiPriority w:val="99"/>
    <w:rPr>
      <w:vertAlign w:val="superscript"/>
    </w:rPr>
  </w:style>
  <w:style w:type="character" w:customStyle="1" w:styleId="11">
    <w:name w:val="页眉 Char"/>
    <w:basedOn w:val="9"/>
    <w:link w:val="4"/>
    <w:autoRedefine/>
    <w:qFormat/>
    <w:uiPriority w:val="99"/>
    <w:rPr>
      <w:rFonts w:ascii="Times New Roman" w:hAnsi="Times New Roman" w:eastAsia="宋体" w:cs="Times New Roman"/>
      <w:sz w:val="18"/>
      <w:szCs w:val="18"/>
    </w:rPr>
  </w:style>
  <w:style w:type="character" w:customStyle="1" w:styleId="12">
    <w:name w:val="页脚 Char"/>
    <w:basedOn w:val="9"/>
    <w:link w:val="3"/>
    <w:autoRedefine/>
    <w:qFormat/>
    <w:uiPriority w:val="99"/>
    <w:rPr>
      <w:rFonts w:ascii="Times New Roman" w:hAnsi="Times New Roman" w:eastAsia="宋体" w:cs="Times New Roman"/>
      <w:sz w:val="18"/>
      <w:szCs w:val="18"/>
    </w:rPr>
  </w:style>
  <w:style w:type="character" w:customStyle="1" w:styleId="13">
    <w:name w:val="批注框文本 Char"/>
    <w:basedOn w:val="9"/>
    <w:link w:val="2"/>
    <w:autoRedefine/>
    <w:semiHidden/>
    <w:qFormat/>
    <w:uiPriority w:val="99"/>
    <w:rPr>
      <w:sz w:val="18"/>
      <w:szCs w:val="18"/>
    </w:rPr>
  </w:style>
  <w:style w:type="paragraph" w:customStyle="1" w:styleId="14">
    <w:name w:val="Default"/>
    <w:autoRedefine/>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0FEF-69AE-4189-A2C5-0962577ABD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673</Words>
  <Characters>3839</Characters>
  <Lines>31</Lines>
  <Paragraphs>9</Paragraphs>
  <TotalTime>5</TotalTime>
  <ScaleCrop>false</ScaleCrop>
  <LinksUpToDate>false</LinksUpToDate>
  <CharactersWithSpaces>4503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2019-01-22T09:16:00Z</dcterms:created>
  <dc:creator>guest</dc:creator>
  <cp:lastModifiedBy>。。。。。。</cp:lastModifiedBy>
  <cp:lastPrinted>2018-02-23T05:50:00Z</cp:lastPrinted>
  <dcterms:modified xsi:type="dcterms:W3CDTF">2024-04-16T03:15:34Z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94B33D71D40D425AB221480AF730F1E8_12</vt:lpwstr>
  </property>
</Properties>
</file>