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二〇二〇年十月</w:t>
                  </w:r>
                </w:p>
              </w:txbxContent>
            </v:textbox>
          </v:shape>
        </w:pict>
      </w:r>
      <w:r>
        <w:pict>
          <v:shape id="椭圆 8" o:spid="_x0000_s1051" o:spt="3" type="#_x0000_t3" style="position:absolute;left:0pt;margin-left:53.5pt;margin-top:232.45pt;height:121.95pt;width:121.95pt;z-index:251661312;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focussize="0,0"/>
            <v:stroke on="f" weight="1pt" joinstyle="miter"/>
            <v:imagedata o:title=""/>
            <o:lock v:ext="edit"/>
            <v:textbox>
              <w:txbxContent>
                <w:p/>
              </w:txbxContent>
            </v:textbox>
          </v:shape>
        </w:pict>
      </w:r>
      <w:r>
        <w:pict>
          <v:rect id="矩形 14" o:spid="_x0000_s1050"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9"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textbox>
              <w:txbxContent>
                <w:p/>
              </w:txbxContent>
            </v:textbox>
          </v:shape>
        </w:pict>
      </w:r>
      <w:r>
        <w:pict>
          <v:group id="_x0000_s1046" o:spid="_x0000_s1046" o:spt="203" style="position:absolute;left:0pt;margin-left:1.25pt;margin-top:821.7pt;height:21.45pt;width:595.25pt;z-index:251662336;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43" o:spid="_x0000_s1043" o:spt="203" style="position:absolute;left:0pt;margin-left:-2.5pt;margin-top:-3.35pt;height:69.6pt;width:600.25pt;z-index:-251657216;mso-width-relative:page;mso-height-relative:page;" coordorigin="136,-667" coordsize="120,1392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5" o:spt="1" style="position:absolute;left:136;top:2;height:62;width:120;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4" o:spid="_x0000_s1044" o:spt="202" type="#_x0000_t202" style="position:absolute;left:172;top:-667;height:13920;width:81;"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42"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青龙满族自治县马圈子镇人民政府</w:t>
      </w:r>
    </w:p>
    <w:p>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二〇二〇年十月</w:t>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41" o:spid="_x0000_s1041"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o:title="image1" focussize="0,0" r:id="rId30"/>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320" w:firstLineChars="1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根据《马圈子镇人民政府职能配置、内设机构和人员编制方案》规定，马圈子镇人民政府的主要职责是：</w:t>
      </w:r>
    </w:p>
    <w:p>
      <w:pPr>
        <w:spacing w:before="100" w:beforeAutospacing="1" w:after="100" w:afterAutospacing="1"/>
        <w:ind w:firstLine="641"/>
        <w:jc w:val="left"/>
        <w:rPr>
          <w:rFonts w:ascii="仿宋_GB2312" w:hAnsi="Calibri" w:eastAsia="仿宋_GB2312" w:cs="ArialUnicodeMS"/>
          <w:kern w:val="0"/>
          <w:sz w:val="32"/>
          <w:szCs w:val="32"/>
        </w:rPr>
      </w:pPr>
      <w:r>
        <w:rPr>
          <w:rFonts w:ascii="仿宋_GB2312" w:hAnsi="Calibri" w:eastAsia="仿宋_GB2312" w:cs="ArialUnicodeMS"/>
          <w:kern w:val="0"/>
          <w:sz w:val="32"/>
          <w:szCs w:val="32"/>
        </w:rPr>
        <w:t>宣传、贯彻执行党的路线、方针、政策和国家的法律法规，执行本级人民代表大会决议和上级国家行政机关的决定和命令，其主要职责是：</w:t>
      </w:r>
    </w:p>
    <w:p>
      <w:pPr>
        <w:spacing w:before="100" w:beforeAutospacing="1" w:after="100" w:afterAutospacing="1"/>
        <w:ind w:firstLine="641"/>
        <w:jc w:val="left"/>
        <w:rPr>
          <w:rFonts w:ascii="仿宋_GB2312" w:hAnsi="Calibri" w:eastAsia="仿宋_GB2312" w:cs="ArialUnicodeMS"/>
          <w:kern w:val="0"/>
          <w:sz w:val="32"/>
          <w:szCs w:val="32"/>
        </w:rPr>
      </w:pPr>
      <w:r>
        <w:rPr>
          <w:rFonts w:ascii="仿宋_GB2312" w:hAnsi="Calibri" w:eastAsia="仿宋_GB2312" w:cs="ArialUnicodeMS"/>
          <w:kern w:val="0"/>
          <w:sz w:val="32"/>
          <w:szCs w:val="32"/>
        </w:rPr>
        <w:t>（一）、促进经济发展。围绕“工业强县、钢铁立县、开放活县、和谐兴县”的发展战略，科学制定本镇产业发展规划，谋划适应镇实际的经济发展模式；推进农业产业结构调整，努力提高农业产业化和农民进入市场的组织化水平，促进粮食生产稳定发展，农民持续增收；营造良好的发展环境，促进招商引资和项目建设；增强农村集体经济实力，大力发展民营经济，培育和发展农民专业合作组织和中介组织，壮大第二、第三产业，加快城镇化进程。</w:t>
      </w:r>
    </w:p>
    <w:p>
      <w:pPr>
        <w:spacing w:before="100" w:beforeAutospacing="1" w:after="100" w:afterAutospacing="1"/>
        <w:ind w:firstLine="641"/>
        <w:jc w:val="left"/>
        <w:rPr>
          <w:rFonts w:ascii="仿宋_GB2312" w:hAnsi="Calibri" w:eastAsia="仿宋_GB2312" w:cs="ArialUnicodeMS"/>
          <w:kern w:val="0"/>
          <w:sz w:val="32"/>
          <w:szCs w:val="32"/>
        </w:rPr>
      </w:pPr>
      <w:r>
        <w:rPr>
          <w:rFonts w:ascii="仿宋_GB2312" w:hAnsi="Calibri" w:eastAsia="仿宋_GB2312" w:cs="ArialUnicodeMS"/>
          <w:kern w:val="0"/>
          <w:sz w:val="32"/>
          <w:szCs w:val="32"/>
        </w:rPr>
        <w:t>（二）、加强社会管理。组织、监督国家基本公共政策的实施，加强镇村财政资金监管，加强义务教育、公共卫生、计划生育、镇村建设等社会事务的行政管理，促进各项社会事业的发展；协助县直有关部门做好国土资源管理、环境保护、动物防疫、减灾救灾等工作；保障法律法规赋予公民的经济、政治、文化权利，落实公民在选举、决策、管理和监督方面的民主权利，依法行政；加强农村党组织建设，依法推进村民组织自治，加强农村宣传文化工作，抓好农村的思想政治建设和精神文明建设；制定文明生态村建设和构建和谐社会的相关措施，抓好组织实施。</w:t>
      </w:r>
    </w:p>
    <w:p>
      <w:pPr>
        <w:spacing w:before="100" w:beforeAutospacing="1" w:after="100" w:afterAutospacing="1"/>
        <w:ind w:firstLine="641"/>
        <w:jc w:val="left"/>
        <w:rPr>
          <w:rFonts w:ascii="仿宋_GB2312" w:hAnsi="Calibri" w:eastAsia="仿宋_GB2312" w:cs="ArialUnicodeMS"/>
          <w:kern w:val="0"/>
          <w:sz w:val="32"/>
          <w:szCs w:val="32"/>
        </w:rPr>
      </w:pPr>
      <w:r>
        <w:rPr>
          <w:rFonts w:ascii="仿宋_GB2312" w:hAnsi="Calibri" w:eastAsia="仿宋_GB2312" w:cs="ArialUnicodeMS"/>
          <w:kern w:val="0"/>
          <w:sz w:val="32"/>
          <w:szCs w:val="32"/>
        </w:rPr>
        <w:t>（三）、提供公共服务。1、生产保障。提供水利灌溉、道路运输、电力供应、农技推广、病虫害防治等生产性公共产品；2、教育保障。协助教育部门普及九年义务制教育，加强对农村劳动力的职业培训，提高农民的科学文化素质和就业本领；3、医疗保障。农村医疗设施、医疗手段的完善和提高，农村医疗保险制度的建立和落实；4、养老保障。福利院、敬老院的建设，农村养老保险制度的推行；5、生活保障。建设乡村社会各种生活基础设施。建立农村特困户的救助制度和救助体系；6、生育保障。为控制人口数量、提高人口素质和生殖健康提供各种优质服务。</w:t>
      </w:r>
    </w:p>
    <w:p>
      <w:pPr>
        <w:spacing w:before="100" w:beforeAutospacing="1" w:after="100" w:afterAutospacing="1"/>
        <w:ind w:firstLine="641"/>
        <w:jc w:val="left"/>
        <w:rPr>
          <w:rFonts w:ascii="仿宋_GB2312" w:hAnsi="Calibri" w:eastAsia="仿宋_GB2312" w:cs="ArialUnicodeMS"/>
          <w:kern w:val="0"/>
          <w:sz w:val="32"/>
          <w:szCs w:val="32"/>
        </w:rPr>
      </w:pPr>
      <w:r>
        <w:rPr>
          <w:rFonts w:ascii="仿宋_GB2312" w:hAnsi="Calibri" w:eastAsia="仿宋_GB2312" w:cs="ArialUnicodeMS"/>
          <w:kern w:val="0"/>
          <w:sz w:val="32"/>
          <w:szCs w:val="32"/>
        </w:rPr>
        <w:t>（四）、维护农村稳定。贯彻执行国家法律法规和政策，增强农民法律意识，教育农民知法、懂法、守法；建立完善协调联动机制，搞好农村矛盾纠纷排查调处，加强社会治安综合治理，维护社会安全秩序；妥善处理突发性、群体性事件，协助司法机关打击各类刑事犯罪活动；保护社会公正，维护社会秩序和社会稳定。</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1个，具体情况如下：</w:t>
      </w:r>
    </w:p>
    <w:p>
      <w:pPr>
        <w:spacing w:line="580" w:lineRule="exact"/>
        <w:ind w:firstLine="640" w:firstLineChars="200"/>
        <w:rPr>
          <w:rFonts w:ascii="仿宋_GB2312" w:hAnsi="Calibri" w:eastAsia="仿宋_GB2312" w:cs="ArialUnicodeMS"/>
          <w:kern w:val="0"/>
          <w:sz w:val="32"/>
          <w:szCs w:val="32"/>
        </w:rPr>
      </w:pP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序号</w:t>
            </w:r>
          </w:p>
        </w:tc>
        <w:tc>
          <w:tcPr>
            <w:tcW w:w="3485" w:type="dxa"/>
            <w:vAlign w:val="center"/>
          </w:tcPr>
          <w:p>
            <w:pPr>
              <w:spacing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单位名称</w:t>
            </w:r>
          </w:p>
        </w:tc>
        <w:tc>
          <w:tcPr>
            <w:tcW w:w="2445" w:type="dxa"/>
            <w:vAlign w:val="center"/>
          </w:tcPr>
          <w:p>
            <w:pPr>
              <w:spacing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单位基本性质</w:t>
            </w:r>
          </w:p>
        </w:tc>
        <w:tc>
          <w:tcPr>
            <w:tcW w:w="2665" w:type="dxa"/>
            <w:vAlign w:val="center"/>
          </w:tcPr>
          <w:p>
            <w:pPr>
              <w:spacing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mbria" w:eastAsia="仿宋_GB2312" w:cs="ArialUnicodeMS"/>
                <w:kern w:val="0"/>
                <w:sz w:val="28"/>
                <w:szCs w:val="28"/>
              </w:rPr>
            </w:pPr>
            <w:r>
              <w:rPr>
                <w:rFonts w:ascii="仿宋_GB2312" w:hAnsi="Cambria" w:eastAsia="仿宋_GB2312" w:cs="ArialUnicodeMS"/>
                <w:kern w:val="0"/>
                <w:sz w:val="28"/>
                <w:szCs w:val="28"/>
              </w:rPr>
              <w:t>1</w:t>
            </w:r>
          </w:p>
        </w:tc>
        <w:tc>
          <w:tcPr>
            <w:tcW w:w="3485" w:type="dxa"/>
          </w:tcPr>
          <w:p>
            <w:pPr>
              <w:spacing w:line="560" w:lineRule="exac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马圈子镇人民政府</w:t>
            </w:r>
            <w:r>
              <w:rPr>
                <w:rFonts w:ascii="仿宋_GB2312" w:hAnsi="Cambria" w:eastAsia="仿宋_GB2312" w:cs="ArialUnicodeMS"/>
                <w:kern w:val="0"/>
                <w:sz w:val="28"/>
                <w:szCs w:val="28"/>
              </w:rPr>
              <w:t>(</w:t>
            </w:r>
            <w:r>
              <w:rPr>
                <w:rFonts w:hint="eastAsia" w:ascii="仿宋_GB2312" w:hAnsi="Cambria" w:eastAsia="仿宋_GB2312" w:cs="ArialUnicodeMS"/>
                <w:kern w:val="0"/>
                <w:sz w:val="28"/>
                <w:szCs w:val="28"/>
              </w:rPr>
              <w:t>本级</w:t>
            </w:r>
            <w:r>
              <w:rPr>
                <w:rFonts w:ascii="仿宋_GB2312" w:hAnsi="Cambria" w:eastAsia="仿宋_GB2312" w:cs="ArialUnicodeMS"/>
                <w:kern w:val="0"/>
                <w:sz w:val="28"/>
                <w:szCs w:val="28"/>
              </w:rPr>
              <w:t>)</w:t>
            </w:r>
          </w:p>
        </w:tc>
        <w:tc>
          <w:tcPr>
            <w:tcW w:w="2445" w:type="dxa"/>
          </w:tcPr>
          <w:p>
            <w:pPr>
              <w:spacing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行政单位</w:t>
            </w:r>
          </w:p>
        </w:tc>
        <w:tc>
          <w:tcPr>
            <w:tcW w:w="2665" w:type="dxa"/>
          </w:tcPr>
          <w:p>
            <w:pPr>
              <w:spacing w:line="560" w:lineRule="exact"/>
              <w:jc w:val="center"/>
              <w:rPr>
                <w:rFonts w:ascii="仿宋_GB2312" w:hAnsi="Cambria" w:eastAsia="仿宋_GB2312" w:cs="ArialUnicodeMS"/>
                <w:kern w:val="0"/>
                <w:sz w:val="24"/>
              </w:rPr>
            </w:pPr>
            <w:r>
              <w:rPr>
                <w:rFonts w:hint="eastAsia" w:ascii="仿宋_GB2312" w:hAnsi="Cambria" w:eastAsia="仿宋_GB2312" w:cs="ArialUnicodeMS"/>
                <w:kern w:val="0"/>
                <w:sz w:val="24"/>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left w:val="nil"/>
              <w:bottom w:val="nil"/>
              <w:right w:val="nil"/>
            </w:tcBorders>
          </w:tcPr>
          <w:p>
            <w:pPr>
              <w:spacing w:line="560" w:lineRule="exact"/>
              <w:ind w:firstLine="560" w:firstLineChars="200"/>
              <w:jc w:val="left"/>
              <w:rPr>
                <w:rFonts w:ascii="仿宋_GB2312" w:hAnsi="Cambria"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6950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default" w:ascii="仿宋_GB2312" w:hAnsi="Times New Roman" w:eastAsia="仿宋_GB2312" w:cs="DengXian-Regular"/>
          <w:sz w:val="32"/>
          <w:szCs w:val="32"/>
          <w:lang w:val="en-US" w:eastAsia="zh-CN"/>
        </w:rPr>
      </w:pPr>
      <w:r>
        <w:rPr>
          <w:rFonts w:hint="eastAsia" w:ascii="仿宋_GB2312" w:eastAsia="仿宋_GB2312" w:cs="DengXian-Regular"/>
          <w:sz w:val="32"/>
          <w:szCs w:val="32"/>
        </w:rPr>
        <w:t>本部门</w:t>
      </w:r>
      <w:r>
        <w:rPr>
          <w:rFonts w:ascii="仿宋_GB2312" w:eastAsia="仿宋_GB2312" w:cs="DengXian-Regular"/>
          <w:sz w:val="32"/>
          <w:szCs w:val="32"/>
        </w:rPr>
        <w:t>2019</w:t>
      </w:r>
      <w:r>
        <w:rPr>
          <w:rFonts w:hint="eastAsia" w:ascii="仿宋_GB2312" w:eastAsia="仿宋_GB2312" w:cs="DengXian-Regular"/>
          <w:sz w:val="32"/>
          <w:szCs w:val="32"/>
        </w:rPr>
        <w:t>年度决算收入总计</w:t>
      </w:r>
      <w:r>
        <w:rPr>
          <w:rFonts w:ascii="仿宋_GB2312" w:eastAsia="仿宋_GB2312" w:cs="DengXian-Regular"/>
          <w:sz w:val="32"/>
          <w:szCs w:val="32"/>
        </w:rPr>
        <w:t>1633.27</w:t>
      </w:r>
      <w:r>
        <w:rPr>
          <w:rFonts w:hint="eastAsia" w:ascii="仿宋_GB2312" w:eastAsia="仿宋_GB2312" w:cs="DengXian-Regular"/>
          <w:sz w:val="32"/>
          <w:szCs w:val="32"/>
        </w:rPr>
        <w:t>万元，决算支出总计</w:t>
      </w:r>
      <w:r>
        <w:rPr>
          <w:rFonts w:ascii="仿宋_GB2312" w:eastAsia="仿宋_GB2312" w:cs="DengXian-Regular"/>
          <w:sz w:val="32"/>
          <w:szCs w:val="32"/>
        </w:rPr>
        <w:t>1356.28</w:t>
      </w:r>
      <w:r>
        <w:rPr>
          <w:rFonts w:hint="eastAsia" w:ascii="仿宋_GB2312" w:eastAsia="仿宋_GB2312" w:cs="DengXian-Regular"/>
          <w:sz w:val="32"/>
          <w:szCs w:val="32"/>
        </w:rPr>
        <w:t>万元，年初结转和结余</w:t>
      </w:r>
      <w:r>
        <w:rPr>
          <w:rFonts w:ascii="仿宋_GB2312" w:eastAsia="仿宋_GB2312" w:cs="DengXian-Regular"/>
          <w:sz w:val="32"/>
          <w:szCs w:val="32"/>
        </w:rPr>
        <w:t>115.49</w:t>
      </w:r>
      <w:r>
        <w:rPr>
          <w:rFonts w:hint="eastAsia" w:ascii="仿宋_GB2312" w:eastAsia="仿宋_GB2312" w:cs="DengXian-Regular"/>
          <w:sz w:val="32"/>
          <w:szCs w:val="32"/>
        </w:rPr>
        <w:t>万元，年末结转和结余</w:t>
      </w:r>
      <w:r>
        <w:rPr>
          <w:rFonts w:ascii="仿宋_GB2312" w:eastAsia="仿宋_GB2312" w:cs="DengXian-Regular"/>
          <w:sz w:val="32"/>
          <w:szCs w:val="32"/>
        </w:rPr>
        <w:t>392.48</w:t>
      </w:r>
      <w:r>
        <w:rPr>
          <w:rFonts w:hint="eastAsia" w:ascii="仿宋_GB2312" w:eastAsia="仿宋_GB2312" w:cs="DengXian-Regular"/>
          <w:sz w:val="32"/>
          <w:szCs w:val="32"/>
        </w:rPr>
        <w:t>万元。</w:t>
      </w:r>
      <w:r>
        <w:rPr>
          <w:rFonts w:hint="eastAsia" w:ascii="仿宋_GB2312" w:hAnsi="Times New Roman" w:eastAsia="仿宋_GB2312" w:cs="DengXian-Regular"/>
          <w:sz w:val="32"/>
          <w:szCs w:val="32"/>
        </w:rPr>
        <w:t>与</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度决算相比，</w:t>
      </w:r>
      <w:r>
        <w:rPr>
          <w:rFonts w:hint="eastAsia" w:ascii="仿宋_GB2312" w:hAnsi="Times New Roman" w:eastAsia="仿宋_GB2312" w:cs="DengXian-Regular"/>
          <w:sz w:val="32"/>
          <w:szCs w:val="32"/>
          <w:lang w:val="en-US" w:eastAsia="zh-CN"/>
        </w:rPr>
        <w:t>收入减少148.82万元，下降8.35%，</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是本年度严格执行八项规定，</w:t>
      </w:r>
      <w:r>
        <w:rPr>
          <w:rFonts w:hint="eastAsia" w:ascii="仿宋_GB2312" w:hAnsi="Times New Roman" w:eastAsia="仿宋_GB2312" w:cs="DengXian-Regular"/>
          <w:sz w:val="32"/>
          <w:szCs w:val="32"/>
          <w:lang w:val="en-US" w:eastAsia="zh-CN"/>
        </w:rPr>
        <w:t>削</w:t>
      </w:r>
      <w:r>
        <w:rPr>
          <w:rFonts w:hint="eastAsia" w:ascii="仿宋_GB2312" w:hAnsi="Times New Roman" w:eastAsia="仿宋_GB2312" w:cs="DengXian-Regular"/>
          <w:sz w:val="32"/>
          <w:szCs w:val="32"/>
        </w:rPr>
        <w:t>减机关运行经费支出</w:t>
      </w:r>
      <w:r>
        <w:rPr>
          <w:rFonts w:hint="eastAsia" w:ascii="仿宋_GB2312" w:hAnsi="Times New Roman" w:eastAsia="仿宋_GB2312" w:cs="DengXian-Regular"/>
          <w:sz w:val="32"/>
          <w:szCs w:val="32"/>
          <w:lang w:eastAsia="zh-CN"/>
        </w:rPr>
        <w:t>，减少项目支出数量及金额。与</w:t>
      </w:r>
      <w:r>
        <w:rPr>
          <w:rFonts w:hint="eastAsia" w:ascii="仿宋_GB2312" w:hAnsi="Times New Roman" w:eastAsia="仿宋_GB2312" w:cs="DengXian-Regular"/>
          <w:sz w:val="32"/>
          <w:szCs w:val="32"/>
          <w:lang w:val="en-US" w:eastAsia="zh-CN"/>
        </w:rPr>
        <w:t>2018年度决算相比，支出减少440.7万元，下降</w:t>
      </w:r>
      <w:r>
        <w:rPr>
          <w:rFonts w:ascii="仿宋_GB2312" w:hAnsi="Times New Roman" w:eastAsia="仿宋_GB2312" w:cs="DengXian-Regular"/>
          <w:sz w:val="32"/>
          <w:szCs w:val="32"/>
        </w:rPr>
        <w:t>24.52</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r>
        <w:rPr>
          <w:rFonts w:hint="eastAsia" w:ascii="仿宋_GB2312" w:eastAsia="仿宋_GB2312" w:cs="DengXian-Regular"/>
          <w:sz w:val="32"/>
          <w:szCs w:val="32"/>
          <w:lang w:val="en-US" w:eastAsia="zh-CN"/>
        </w:rPr>
        <w:t>减少了项目支出。</w:t>
      </w:r>
    </w:p>
    <w:p>
      <w:pPr>
        <w:adjustRightInd w:val="0"/>
        <w:snapToGrid w:val="0"/>
        <w:spacing w:line="580" w:lineRule="exact"/>
        <w:ind w:firstLine="640" w:firstLineChars="200"/>
        <w:rPr>
          <w:rFonts w:hint="default" w:ascii="仿宋_GB2312" w:eastAsia="仿宋_GB2312" w:cs="DengXian-Regular"/>
          <w:sz w:val="32"/>
          <w:szCs w:val="32"/>
          <w:lang w:val="en-US" w:eastAsia="zh-CN"/>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w:t>
      </w:r>
      <w:r>
        <w:rPr>
          <w:rFonts w:ascii="仿宋_GB2312" w:hAnsi="Times New Roman" w:eastAsia="仿宋_GB2312" w:cs="DengXian-Regular"/>
          <w:sz w:val="32"/>
          <w:szCs w:val="32"/>
        </w:rPr>
        <w:t>1633.27</w:t>
      </w:r>
      <w:r>
        <w:rPr>
          <w:rFonts w:hint="eastAsia" w:ascii="仿宋_GB2312" w:hAnsi="Times New Roman" w:eastAsia="仿宋_GB2312" w:cs="DengXian-Regular"/>
          <w:sz w:val="32"/>
          <w:szCs w:val="32"/>
        </w:rPr>
        <w:t>万元，其中：财政拨款收入</w:t>
      </w:r>
      <w:r>
        <w:rPr>
          <w:rFonts w:ascii="仿宋_GB2312" w:hAnsi="Times New Roman" w:eastAsia="仿宋_GB2312" w:cs="DengXian-Regular"/>
          <w:sz w:val="32"/>
          <w:szCs w:val="32"/>
        </w:rPr>
        <w:t>1633.27</w:t>
      </w:r>
      <w:r>
        <w:rPr>
          <w:rFonts w:hint="eastAsia" w:ascii="仿宋_GB2312" w:hAnsi="Times New Roman" w:eastAsia="仿宋_GB2312" w:cs="DengXian-Regular"/>
          <w:sz w:val="32"/>
          <w:szCs w:val="32"/>
        </w:rPr>
        <w:t>万元，占100%。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w:t>
      </w:r>
      <w:r>
        <w:rPr>
          <w:rFonts w:ascii="仿宋_GB2312" w:hAnsi="Times New Roman" w:eastAsia="仿宋_GB2312" w:cs="DengXian-Regular"/>
          <w:sz w:val="32"/>
          <w:szCs w:val="32"/>
        </w:rPr>
        <w:t>1356.28</w:t>
      </w:r>
      <w:r>
        <w:rPr>
          <w:rFonts w:hint="eastAsia" w:ascii="仿宋_GB2312" w:hAnsi="Times New Roman" w:eastAsia="仿宋_GB2312" w:cs="DengXian-Regular"/>
          <w:sz w:val="32"/>
          <w:szCs w:val="32"/>
        </w:rPr>
        <w:t>万元，其中：基本支出</w:t>
      </w:r>
      <w:r>
        <w:rPr>
          <w:rFonts w:ascii="仿宋_GB2312" w:hAnsi="Times New Roman" w:eastAsia="仿宋_GB2312" w:cs="DengXian-Regular"/>
          <w:sz w:val="32"/>
          <w:szCs w:val="32"/>
        </w:rPr>
        <w:t>816.22</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60.18</w:t>
      </w:r>
      <w:r>
        <w:rPr>
          <w:rFonts w:hint="eastAsia" w:ascii="仿宋_GB2312" w:hAnsi="Times New Roman" w:eastAsia="仿宋_GB2312" w:cs="DengXian-Regular"/>
          <w:sz w:val="32"/>
          <w:szCs w:val="32"/>
        </w:rPr>
        <w:t>%；项目支出</w:t>
      </w:r>
      <w:r>
        <w:rPr>
          <w:rFonts w:ascii="仿宋_GB2312" w:hAnsi="Times New Roman" w:eastAsia="仿宋_GB2312" w:cs="DengXian-Regular"/>
          <w:sz w:val="32"/>
          <w:szCs w:val="32"/>
        </w:rPr>
        <w:t>540.06</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39.82</w:t>
      </w:r>
      <w:r>
        <w:rPr>
          <w:rFonts w:hint="eastAsia" w:ascii="仿宋_GB2312" w:hAnsi="Times New Roman" w:eastAsia="仿宋_GB2312" w:cs="DengXian-Regular"/>
          <w:sz w:val="32"/>
          <w:szCs w:val="32"/>
        </w:rPr>
        <w:t>%。如图所示：</w:t>
      </w:r>
    </w:p>
    <w:p>
      <w:pPr>
        <w:adjustRightInd w:val="0"/>
        <w:snapToGrid w:val="0"/>
        <w:spacing w:line="580" w:lineRule="exact"/>
        <w:rPr>
          <w:rFonts w:ascii="仿宋_GB2312" w:hAnsi="Times New Roman" w:eastAsia="仿宋_GB2312" w:cs="DengXian-Regular"/>
          <w:sz w:val="32"/>
          <w:szCs w:val="32"/>
        </w:rPr>
      </w:pPr>
    </w:p>
    <w:p>
      <w:pPr>
        <w:adjustRightInd w:val="0"/>
        <w:snapToGrid w:val="0"/>
        <w:rPr>
          <w:rFonts w:ascii="仿宋_GB2312" w:hAnsi="Times New Roman" w:eastAsia="仿宋_GB2312" w:cs="DengXian-Regular"/>
          <w:sz w:val="32"/>
          <w:szCs w:val="32"/>
        </w:rPr>
      </w:pPr>
      <w:r>
        <w:rPr>
          <w:rFonts w:hint="eastAsia" w:ascii="仿宋_GB2312" w:hAnsi="Times New Roman" w:eastAsia="仿宋_GB2312" w:cs="DengXian-Regular"/>
          <w:sz w:val="32"/>
          <w:szCs w:val="32"/>
        </w:rPr>
        <w:drawing>
          <wp:inline distT="0" distB="0" distL="114300" distR="114300">
            <wp:extent cx="4730750" cy="2974975"/>
            <wp:effectExtent l="0" t="0" r="12700" b="1587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31"/>
                    <a:stretch>
                      <a:fillRect/>
                    </a:stretch>
                  </pic:blipFill>
                  <pic:spPr>
                    <a:xfrm>
                      <a:off x="0" y="0"/>
                      <a:ext cx="4730750" cy="2974975"/>
                    </a:xfrm>
                    <a:prstGeom prst="rect">
                      <a:avLst/>
                    </a:prstGeom>
                  </pic:spPr>
                </pic:pic>
              </a:graphicData>
            </a:graphic>
          </wp:inline>
        </w:drawing>
      </w:r>
    </w:p>
    <w:p>
      <w:pPr>
        <w:adjustRightInd w:val="0"/>
        <w:snapToGrid w:val="0"/>
        <w:spacing w:line="580" w:lineRule="exact"/>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rPr>
          <w:rFonts w:ascii="仿宋_GB2312" w:hAnsi="Times New Roman" w:eastAsia="仿宋_GB2312" w:cs="DengXian-Regular"/>
          <w:sz w:val="32"/>
          <w:szCs w:val="32"/>
        </w:rPr>
      </w:pPr>
    </w:p>
    <w:p>
      <w:pPr>
        <w:adjustRightInd w:val="0"/>
        <w:snapToGrid w:val="0"/>
        <w:spacing w:line="580" w:lineRule="exact"/>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w:t>
      </w:r>
      <w:r>
        <w:rPr>
          <w:rFonts w:ascii="仿宋_GB2312" w:hAnsi="Times New Roman" w:eastAsia="仿宋_GB2312" w:cs="DengXian-Regular"/>
          <w:sz w:val="32"/>
          <w:szCs w:val="32"/>
        </w:rPr>
        <w:t>1633.27</w:t>
      </w:r>
      <w:r>
        <w:rPr>
          <w:rFonts w:hint="eastAsia" w:ascii="仿宋_GB2312" w:hAnsi="Times New Roman" w:eastAsia="仿宋_GB2312" w:cs="DengXian-Regular"/>
          <w:sz w:val="32"/>
          <w:szCs w:val="32"/>
        </w:rPr>
        <w:t>万元,比2018年度减少</w:t>
      </w:r>
      <w:r>
        <w:rPr>
          <w:rFonts w:ascii="仿宋_GB2312" w:hAnsi="Times New Roman" w:eastAsia="仿宋_GB2312" w:cs="DengXian-Regular"/>
          <w:sz w:val="32"/>
          <w:szCs w:val="32"/>
        </w:rPr>
        <w:t>148.82</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8.35</w:t>
      </w:r>
      <w:r>
        <w:rPr>
          <w:rFonts w:hint="eastAsia" w:ascii="仿宋_GB2312" w:hAnsi="Times New Roman" w:eastAsia="仿宋_GB2312" w:cs="DengXian-Regular"/>
          <w:sz w:val="32"/>
          <w:szCs w:val="32"/>
        </w:rPr>
        <w:t>%，主要是和2</w:t>
      </w:r>
      <w:r>
        <w:rPr>
          <w:rFonts w:ascii="仿宋_GB2312" w:hAnsi="Times New Roman" w:eastAsia="仿宋_GB2312" w:cs="DengXian-Regular"/>
          <w:sz w:val="32"/>
          <w:szCs w:val="32"/>
        </w:rPr>
        <w:t>018</w:t>
      </w:r>
      <w:r>
        <w:rPr>
          <w:rFonts w:hint="eastAsia" w:ascii="仿宋_GB2312" w:hAnsi="Times New Roman" w:eastAsia="仿宋_GB2312" w:cs="DengXian-Regular"/>
          <w:sz w:val="32"/>
          <w:szCs w:val="32"/>
        </w:rPr>
        <w:t>年相比减少了项目投入；本年支出</w:t>
      </w:r>
      <w:r>
        <w:rPr>
          <w:rFonts w:ascii="仿宋_GB2312" w:hAnsi="Times New Roman" w:eastAsia="仿宋_GB2312" w:cs="DengXian-Regular"/>
          <w:sz w:val="32"/>
          <w:szCs w:val="32"/>
        </w:rPr>
        <w:t>1356.28</w:t>
      </w:r>
      <w:r>
        <w:rPr>
          <w:rFonts w:hint="eastAsia" w:ascii="仿宋_GB2312" w:hAnsi="Times New Roman" w:eastAsia="仿宋_GB2312" w:cs="DengXian-Regular"/>
          <w:sz w:val="32"/>
          <w:szCs w:val="32"/>
        </w:rPr>
        <w:t>万元，比2</w:t>
      </w:r>
      <w:r>
        <w:rPr>
          <w:rFonts w:ascii="仿宋_GB2312" w:hAnsi="Times New Roman" w:eastAsia="仿宋_GB2312" w:cs="DengXian-Regular"/>
          <w:sz w:val="32"/>
          <w:szCs w:val="32"/>
        </w:rPr>
        <w:t>018</w:t>
      </w:r>
      <w:r>
        <w:rPr>
          <w:rFonts w:hint="eastAsia" w:ascii="仿宋_GB2312" w:hAnsi="Times New Roman" w:eastAsia="仿宋_GB2312" w:cs="DengXian-Regular"/>
          <w:sz w:val="32"/>
          <w:szCs w:val="32"/>
        </w:rPr>
        <w:t>年度减少</w:t>
      </w:r>
      <w:r>
        <w:rPr>
          <w:rFonts w:ascii="仿宋_GB2312" w:hAnsi="Times New Roman" w:eastAsia="仿宋_GB2312" w:cs="DengXian-Regular"/>
          <w:sz w:val="32"/>
          <w:szCs w:val="32"/>
        </w:rPr>
        <w:t>440.7</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24.52</w:t>
      </w:r>
      <w:r>
        <w:rPr>
          <w:rFonts w:hint="eastAsia" w:ascii="仿宋_GB2312" w:hAnsi="Times New Roman" w:eastAsia="仿宋_GB2312" w:cs="DengXian-Regular"/>
          <w:sz w:val="32"/>
          <w:szCs w:val="32"/>
        </w:rPr>
        <w:t>%，主要是减少了项目支出。</w:t>
      </w:r>
    </w:p>
    <w:p>
      <w:pPr>
        <w:snapToGrid w:val="0"/>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drawing>
          <wp:inline distT="0" distB="0" distL="114300" distR="114300">
            <wp:extent cx="4584065" cy="2755265"/>
            <wp:effectExtent l="0" t="0" r="6985" b="698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32"/>
                    <a:stretch>
                      <a:fillRect/>
                    </a:stretch>
                  </pic:blipFill>
                  <pic:spPr>
                    <a:xfrm>
                      <a:off x="0" y="0"/>
                      <a:ext cx="4584065" cy="2755265"/>
                    </a:xfrm>
                    <a:prstGeom prst="rect">
                      <a:avLst/>
                    </a:prstGeom>
                  </pic:spPr>
                </pic:pic>
              </a:graphicData>
            </a:graphic>
          </wp:inline>
        </w:drawing>
      </w: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color w:val="auto"/>
          <w:sz w:val="32"/>
          <w:szCs w:val="32"/>
        </w:rPr>
        <w:t>本部门2019年度一般公共预算财政拨款收入</w:t>
      </w:r>
      <w:r>
        <w:rPr>
          <w:rFonts w:ascii="仿宋_GB2312" w:hAnsi="Times New Roman" w:eastAsia="仿宋_GB2312" w:cs="DengXian-Regular"/>
          <w:color w:val="auto"/>
          <w:sz w:val="32"/>
          <w:szCs w:val="32"/>
        </w:rPr>
        <w:t>1633.27</w:t>
      </w:r>
      <w:r>
        <w:rPr>
          <w:rFonts w:hint="eastAsia" w:ascii="仿宋_GB2312" w:hAnsi="Times New Roman" w:eastAsia="仿宋_GB2312" w:cs="DengXian-Regular"/>
          <w:color w:val="auto"/>
          <w:sz w:val="32"/>
          <w:szCs w:val="32"/>
        </w:rPr>
        <w:t>万元，完成年初预算的</w:t>
      </w:r>
      <w:r>
        <w:rPr>
          <w:rFonts w:ascii="仿宋_GB2312" w:hAnsi="Times New Roman" w:eastAsia="仿宋_GB2312" w:cs="DengXian-Regular"/>
          <w:color w:val="auto"/>
          <w:sz w:val="32"/>
          <w:szCs w:val="32"/>
        </w:rPr>
        <w:t>112.73</w:t>
      </w:r>
      <w:r>
        <w:rPr>
          <w:rFonts w:hint="eastAsia" w:ascii="仿宋_GB2312" w:hAnsi="Times New Roman" w:eastAsia="仿宋_GB2312" w:cs="DengXian-Regular"/>
          <w:color w:val="auto"/>
          <w:sz w:val="32"/>
          <w:szCs w:val="32"/>
        </w:rPr>
        <w:t>%,比年初预算增加1</w:t>
      </w:r>
      <w:r>
        <w:rPr>
          <w:rFonts w:ascii="仿宋_GB2312" w:hAnsi="Times New Roman" w:eastAsia="仿宋_GB2312" w:cs="DengXian-Regular"/>
          <w:color w:val="auto"/>
          <w:sz w:val="32"/>
          <w:szCs w:val="32"/>
        </w:rPr>
        <w:t>84.4</w:t>
      </w:r>
      <w:r>
        <w:rPr>
          <w:rFonts w:hint="eastAsia" w:ascii="仿宋_GB2312" w:hAnsi="Times New Roman" w:eastAsia="仿宋_GB2312" w:cs="DengXian-Regular"/>
          <w:color w:val="auto"/>
          <w:sz w:val="32"/>
          <w:szCs w:val="32"/>
        </w:rPr>
        <w:t>万元，决算数大于预算数主要原因</w:t>
      </w:r>
      <w:r>
        <w:rPr>
          <w:rFonts w:hint="eastAsia" w:ascii="仿宋_GB2312" w:hAnsi="Times New Roman" w:eastAsia="仿宋_GB2312" w:cs="DengXian-Regular"/>
          <w:sz w:val="32"/>
          <w:szCs w:val="32"/>
        </w:rPr>
        <w:t>是人员经费和项目的正常增加；本年支出</w:t>
      </w:r>
      <w:r>
        <w:rPr>
          <w:rFonts w:ascii="仿宋_GB2312" w:hAnsi="Times New Roman" w:eastAsia="仿宋_GB2312" w:cs="DengXian-Regular"/>
          <w:sz w:val="32"/>
          <w:szCs w:val="32"/>
        </w:rPr>
        <w:t>1356.28</w:t>
      </w:r>
      <w:r>
        <w:rPr>
          <w:rFonts w:hint="eastAsia" w:ascii="仿宋_GB2312" w:hAnsi="Times New Roman" w:eastAsia="仿宋_GB2312" w:cs="DengXian-Regular"/>
          <w:sz w:val="32"/>
          <w:szCs w:val="32"/>
        </w:rPr>
        <w:t>万元，完成年初预算的93.61%,比年初预算减少92.59万元，决算数小于预算数主要原因是主要是部分项目年底前未支出。</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w:t>
      </w:r>
      <w:r>
        <w:rPr>
          <w:rFonts w:ascii="仿宋_GB2312" w:hAnsi="Times New Roman" w:eastAsia="仿宋_GB2312" w:cs="DengXian-Regular"/>
          <w:sz w:val="32"/>
          <w:szCs w:val="32"/>
        </w:rPr>
        <w:t>1356.28</w:t>
      </w:r>
      <w:r>
        <w:rPr>
          <w:rFonts w:hint="eastAsia" w:ascii="仿宋_GB2312" w:hAnsi="Times New Roman" w:eastAsia="仿宋_GB2312" w:cs="DengXian-Regular"/>
          <w:sz w:val="32"/>
          <w:szCs w:val="32"/>
        </w:rPr>
        <w:t>万元，主要用于以下方面一般公共服务（类）支出</w:t>
      </w:r>
      <w:r>
        <w:rPr>
          <w:rFonts w:ascii="仿宋_GB2312" w:hAnsi="Times New Roman" w:eastAsia="仿宋_GB2312" w:cs="DengXian-Regular"/>
          <w:sz w:val="32"/>
          <w:szCs w:val="32"/>
        </w:rPr>
        <w:t>310.31</w:t>
      </w:r>
      <w:r>
        <w:rPr>
          <w:rFonts w:hint="eastAsia" w:ascii="仿宋_GB2312" w:hAnsi="Times New Roman" w:eastAsia="仿宋_GB2312" w:cs="DengXian-Regular"/>
          <w:sz w:val="32"/>
          <w:szCs w:val="32"/>
        </w:rPr>
        <w:t>万元，占22.88</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 xml:space="preserve">%，；社会保障和就业（类）支出 </w:t>
      </w:r>
      <w:r>
        <w:rPr>
          <w:rFonts w:ascii="仿宋_GB2312" w:hAnsi="Times New Roman" w:eastAsia="仿宋_GB2312" w:cs="DengXian-Regular"/>
          <w:sz w:val="32"/>
          <w:szCs w:val="32"/>
        </w:rPr>
        <w:t>145.97</w:t>
      </w:r>
      <w:r>
        <w:rPr>
          <w:rFonts w:hint="eastAsia" w:ascii="仿宋_GB2312" w:hAnsi="Times New Roman" w:eastAsia="仿宋_GB2312" w:cs="DengXian-Regular"/>
          <w:sz w:val="32"/>
          <w:szCs w:val="32"/>
        </w:rPr>
        <w:t>万元，占10.76</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%；卫生健康（类）支出</w:t>
      </w:r>
      <w:r>
        <w:rPr>
          <w:rFonts w:ascii="仿宋_GB2312" w:hAnsi="Times New Roman" w:eastAsia="仿宋_GB2312" w:cs="DengXian-Regular"/>
          <w:sz w:val="32"/>
          <w:szCs w:val="32"/>
        </w:rPr>
        <w:t>77.86</w:t>
      </w:r>
      <w:r>
        <w:rPr>
          <w:rFonts w:hint="eastAsia" w:ascii="仿宋_GB2312" w:hAnsi="Times New Roman" w:eastAsia="仿宋_GB2312" w:cs="DengXian-Regular"/>
          <w:sz w:val="32"/>
          <w:szCs w:val="32"/>
        </w:rPr>
        <w:t>万元，占5.74%；节能环保支出6</w:t>
      </w:r>
      <w:r>
        <w:rPr>
          <w:rFonts w:ascii="仿宋_GB2312" w:hAnsi="Times New Roman" w:eastAsia="仿宋_GB2312" w:cs="DengXian-Regular"/>
          <w:sz w:val="32"/>
          <w:szCs w:val="32"/>
        </w:rPr>
        <w:t>0.22</w:t>
      </w:r>
      <w:r>
        <w:rPr>
          <w:rFonts w:hint="eastAsia" w:ascii="仿宋_GB2312" w:hAnsi="Times New Roman" w:eastAsia="仿宋_GB2312" w:cs="DengXian-Regular"/>
          <w:sz w:val="32"/>
          <w:szCs w:val="32"/>
        </w:rPr>
        <w:t>万元，占4</w:t>
      </w:r>
      <w:r>
        <w:rPr>
          <w:rFonts w:ascii="仿宋_GB2312" w:hAnsi="Times New Roman" w:eastAsia="仿宋_GB2312" w:cs="DengXian-Regular"/>
          <w:sz w:val="32"/>
          <w:szCs w:val="32"/>
        </w:rPr>
        <w:t>.44%</w:t>
      </w:r>
      <w:r>
        <w:rPr>
          <w:rFonts w:hint="eastAsia" w:ascii="仿宋_GB2312" w:hAnsi="Times New Roman" w:eastAsia="仿宋_GB2312" w:cs="DengXian-Regular"/>
          <w:sz w:val="32"/>
          <w:szCs w:val="32"/>
        </w:rPr>
        <w:t>；农林水支出5</w:t>
      </w:r>
      <w:r>
        <w:rPr>
          <w:rFonts w:ascii="仿宋_GB2312" w:hAnsi="Times New Roman" w:eastAsia="仿宋_GB2312" w:cs="DengXian-Regular"/>
          <w:sz w:val="32"/>
          <w:szCs w:val="32"/>
        </w:rPr>
        <w:t>26</w:t>
      </w:r>
      <w:r>
        <w:rPr>
          <w:rFonts w:hint="eastAsia" w:ascii="仿宋_GB2312" w:hAnsi="Times New Roman" w:eastAsia="仿宋_GB2312" w:cs="DengXian-Regular"/>
          <w:sz w:val="32"/>
          <w:szCs w:val="32"/>
        </w:rPr>
        <w:t>万元，占3</w:t>
      </w:r>
      <w:r>
        <w:rPr>
          <w:rFonts w:ascii="仿宋_GB2312" w:hAnsi="Times New Roman" w:eastAsia="仿宋_GB2312" w:cs="DengXian-Regular"/>
          <w:sz w:val="32"/>
          <w:szCs w:val="32"/>
        </w:rPr>
        <w:t xml:space="preserve">8.78%; </w:t>
      </w:r>
      <w:r>
        <w:rPr>
          <w:rFonts w:hint="eastAsia" w:ascii="仿宋_GB2312" w:hAnsi="Times New Roman" w:eastAsia="仿宋_GB2312" w:cs="DengXian-Regular"/>
          <w:sz w:val="32"/>
          <w:szCs w:val="32"/>
        </w:rPr>
        <w:t>灾害防治及应急管理支出4</w:t>
      </w:r>
      <w:r>
        <w:rPr>
          <w:rFonts w:ascii="仿宋_GB2312" w:hAnsi="Times New Roman" w:eastAsia="仿宋_GB2312" w:cs="DengXian-Regular"/>
          <w:sz w:val="32"/>
          <w:szCs w:val="32"/>
        </w:rPr>
        <w:t>.50</w:t>
      </w:r>
      <w:r>
        <w:rPr>
          <w:rFonts w:hint="eastAsia" w:ascii="仿宋_GB2312" w:hAnsi="Times New Roman" w:eastAsia="仿宋_GB2312" w:cs="DengXian-Regular"/>
          <w:sz w:val="32"/>
          <w:szCs w:val="32"/>
        </w:rPr>
        <w:t>万元，占0</w:t>
      </w:r>
      <w:r>
        <w:rPr>
          <w:rFonts w:ascii="仿宋_GB2312" w:hAnsi="Times New Roman" w:eastAsia="仿宋_GB2312" w:cs="DengXian-Regular"/>
          <w:sz w:val="32"/>
          <w:szCs w:val="32"/>
        </w:rPr>
        <w:t>.33%</w:t>
      </w:r>
      <w:r>
        <w:rPr>
          <w:rFonts w:hint="eastAsia" w:ascii="仿宋_GB2312" w:hAnsi="Times New Roman" w:eastAsia="仿宋_GB2312" w:cs="DengXian-Regular"/>
          <w:sz w:val="32"/>
          <w:szCs w:val="32"/>
        </w:rPr>
        <w:t>；住房保障（类）支出</w:t>
      </w:r>
      <w:r>
        <w:rPr>
          <w:rFonts w:ascii="仿宋_GB2312" w:hAnsi="Times New Roman" w:eastAsia="仿宋_GB2312" w:cs="DengXian-Regular"/>
          <w:sz w:val="32"/>
          <w:szCs w:val="32"/>
        </w:rPr>
        <w:t>31.43</w:t>
      </w:r>
      <w:r>
        <w:rPr>
          <w:rFonts w:hint="eastAsia" w:ascii="仿宋_GB2312" w:hAnsi="Times New Roman" w:eastAsia="仿宋_GB2312" w:cs="DengXian-Regular"/>
          <w:sz w:val="32"/>
          <w:szCs w:val="32"/>
        </w:rPr>
        <w:t>万元，占 2.</w:t>
      </w:r>
      <w:r>
        <w:rPr>
          <w:rFonts w:ascii="仿宋_GB2312" w:hAnsi="Times New Roman" w:eastAsia="仿宋_GB2312" w:cs="DengXian-Regular"/>
          <w:sz w:val="32"/>
          <w:szCs w:val="32"/>
        </w:rPr>
        <w:t>32</w:t>
      </w:r>
      <w:r>
        <w:rPr>
          <w:rFonts w:hint="eastAsia" w:ascii="仿宋_GB2312" w:hAnsi="Times New Roman" w:eastAsia="仿宋_GB2312" w:cs="DengXian-Regular"/>
          <w:sz w:val="32"/>
          <w:szCs w:val="32"/>
        </w:rPr>
        <w:t>%；其他支出2</w:t>
      </w:r>
      <w:r>
        <w:rPr>
          <w:rFonts w:ascii="仿宋_GB2312" w:hAnsi="Times New Roman" w:eastAsia="仿宋_GB2312" w:cs="DengXian-Regular"/>
          <w:sz w:val="32"/>
          <w:szCs w:val="32"/>
        </w:rPr>
        <w:t>00</w:t>
      </w:r>
      <w:r>
        <w:rPr>
          <w:rFonts w:hint="eastAsia" w:ascii="仿宋_GB2312" w:hAnsi="Times New Roman" w:eastAsia="仿宋_GB2312" w:cs="DengXian-Regular"/>
          <w:sz w:val="32"/>
          <w:szCs w:val="32"/>
        </w:rPr>
        <w:t>万元，占1</w:t>
      </w:r>
      <w:r>
        <w:rPr>
          <w:rFonts w:ascii="仿宋_GB2312" w:hAnsi="Times New Roman" w:eastAsia="仿宋_GB2312" w:cs="DengXian-Regular"/>
          <w:sz w:val="32"/>
          <w:szCs w:val="32"/>
        </w:rPr>
        <w:t>4.75%</w:t>
      </w:r>
      <w:r>
        <w:rPr>
          <w:rFonts w:hint="eastAsia" w:ascii="仿宋_GB2312" w:hAnsi="Times New Roman" w:eastAsia="仿宋_GB2312" w:cs="DengXian-Regular"/>
          <w:sz w:val="32"/>
          <w:szCs w:val="32"/>
        </w:rPr>
        <w:t>。</w:t>
      </w:r>
    </w:p>
    <w:p>
      <w:pPr>
        <w:adjustRightInd w:val="0"/>
        <w:snapToGrid w:val="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drawing>
          <wp:inline distT="0" distB="0" distL="114300" distR="114300">
            <wp:extent cx="4596130" cy="2706370"/>
            <wp:effectExtent l="0" t="0" r="13970" b="17780"/>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33"/>
                    <a:stretch>
                      <a:fillRect/>
                    </a:stretch>
                  </pic:blipFill>
                  <pic:spPr>
                    <a:xfrm>
                      <a:off x="0" y="0"/>
                      <a:ext cx="4596130" cy="2706370"/>
                    </a:xfrm>
                    <a:prstGeom prst="rect">
                      <a:avLst/>
                    </a:prstGeom>
                  </pic:spPr>
                </pic:pic>
              </a:graphicData>
            </a:graphic>
          </wp:inline>
        </w:drawing>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w:t>
      </w:r>
      <w:r>
        <w:rPr>
          <w:rFonts w:ascii="仿宋_GB2312" w:hAnsi="Times New Roman" w:eastAsia="仿宋_GB2312" w:cs="DengXian-Regular"/>
          <w:sz w:val="32"/>
          <w:szCs w:val="32"/>
        </w:rPr>
        <w:t>816.22</w:t>
      </w:r>
      <w:r>
        <w:rPr>
          <w:rFonts w:hint="eastAsia" w:ascii="仿宋_GB2312" w:hAnsi="Times New Roman" w:eastAsia="仿宋_GB2312" w:cs="DengXian-Regular"/>
          <w:sz w:val="32"/>
          <w:szCs w:val="32"/>
        </w:rPr>
        <w:t xml:space="preserve">万元，其中：人员经费 </w:t>
      </w:r>
      <w:r>
        <w:rPr>
          <w:rFonts w:ascii="仿宋_GB2312" w:hAnsi="Times New Roman" w:eastAsia="仿宋_GB2312" w:cs="DengXian-Regular"/>
          <w:sz w:val="32"/>
          <w:szCs w:val="32"/>
        </w:rPr>
        <w:t>767.58</w:t>
      </w:r>
      <w:r>
        <w:rPr>
          <w:rFonts w:hint="eastAsia" w:ascii="仿宋_GB2312" w:hAnsi="Times New Roman" w:eastAsia="仿宋_GB2312" w:cs="DengXian-Regular"/>
          <w:sz w:val="32"/>
          <w:szCs w:val="32"/>
        </w:rPr>
        <w:t>万元，主要包括基本工资4</w:t>
      </w:r>
      <w:r>
        <w:rPr>
          <w:rFonts w:ascii="仿宋_GB2312" w:hAnsi="Times New Roman" w:eastAsia="仿宋_GB2312" w:cs="DengXian-Regular"/>
          <w:sz w:val="32"/>
          <w:szCs w:val="32"/>
        </w:rPr>
        <w:t>09.33</w:t>
      </w:r>
      <w:r>
        <w:rPr>
          <w:rFonts w:hint="eastAsia" w:ascii="仿宋_GB2312" w:hAnsi="Times New Roman" w:eastAsia="仿宋_GB2312" w:cs="DengXian-Regular"/>
          <w:sz w:val="32"/>
          <w:szCs w:val="32"/>
        </w:rPr>
        <w:t>万元、津贴补贴5</w:t>
      </w:r>
      <w:r>
        <w:rPr>
          <w:rFonts w:ascii="仿宋_GB2312" w:hAnsi="Times New Roman" w:eastAsia="仿宋_GB2312" w:cs="DengXian-Regular"/>
          <w:sz w:val="32"/>
          <w:szCs w:val="32"/>
        </w:rPr>
        <w:t>5.44</w:t>
      </w:r>
      <w:r>
        <w:rPr>
          <w:rFonts w:hint="eastAsia" w:ascii="仿宋_GB2312" w:hAnsi="Times New Roman" w:eastAsia="仿宋_GB2312" w:cs="DengXian-Regular"/>
          <w:sz w:val="32"/>
          <w:szCs w:val="32"/>
        </w:rPr>
        <w:t>万元、奖金1</w:t>
      </w:r>
      <w:r>
        <w:rPr>
          <w:rFonts w:ascii="仿宋_GB2312" w:hAnsi="Times New Roman" w:eastAsia="仿宋_GB2312" w:cs="DengXian-Regular"/>
          <w:sz w:val="32"/>
          <w:szCs w:val="32"/>
        </w:rPr>
        <w:t>.58</w:t>
      </w:r>
      <w:r>
        <w:rPr>
          <w:rFonts w:hint="eastAsia" w:ascii="仿宋_GB2312" w:hAnsi="Times New Roman" w:eastAsia="仿宋_GB2312" w:cs="DengXian-Regular"/>
          <w:sz w:val="32"/>
          <w:szCs w:val="32"/>
        </w:rPr>
        <w:t>万元、绩效工资7</w:t>
      </w:r>
      <w:r>
        <w:rPr>
          <w:rFonts w:ascii="仿宋_GB2312" w:hAnsi="Times New Roman" w:eastAsia="仿宋_GB2312" w:cs="DengXian-Regular"/>
          <w:sz w:val="32"/>
          <w:szCs w:val="32"/>
        </w:rPr>
        <w:t>0.80</w:t>
      </w:r>
      <w:r>
        <w:rPr>
          <w:rFonts w:hint="eastAsia" w:ascii="仿宋_GB2312" w:hAnsi="Times New Roman" w:eastAsia="仿宋_GB2312" w:cs="DengXian-Regular"/>
          <w:sz w:val="32"/>
          <w:szCs w:val="32"/>
        </w:rPr>
        <w:t>万元、机关事业单位基本养老保险缴费1</w:t>
      </w:r>
      <w:r>
        <w:rPr>
          <w:rFonts w:ascii="仿宋_GB2312" w:hAnsi="Times New Roman" w:eastAsia="仿宋_GB2312" w:cs="DengXian-Regular"/>
          <w:sz w:val="32"/>
          <w:szCs w:val="32"/>
        </w:rPr>
        <w:t>05.57</w:t>
      </w:r>
      <w:r>
        <w:rPr>
          <w:rFonts w:hint="eastAsia" w:ascii="仿宋_GB2312" w:hAnsi="Times New Roman" w:eastAsia="仿宋_GB2312" w:cs="DengXian-Regular"/>
          <w:sz w:val="32"/>
          <w:szCs w:val="32"/>
        </w:rPr>
        <w:t>万元、职业年金缴费2</w:t>
      </w:r>
      <w:r>
        <w:rPr>
          <w:rFonts w:ascii="仿宋_GB2312" w:hAnsi="Times New Roman" w:eastAsia="仿宋_GB2312" w:cs="DengXian-Regular"/>
          <w:sz w:val="32"/>
          <w:szCs w:val="32"/>
        </w:rPr>
        <w:t>0.94</w:t>
      </w:r>
      <w:r>
        <w:rPr>
          <w:rFonts w:hint="eastAsia" w:ascii="仿宋_GB2312" w:hAnsi="Times New Roman" w:eastAsia="仿宋_GB2312" w:cs="DengXian-Regular"/>
          <w:sz w:val="32"/>
          <w:szCs w:val="32"/>
        </w:rPr>
        <w:t>万元、职工基本医疗保险缴费4</w:t>
      </w:r>
      <w:r>
        <w:rPr>
          <w:rFonts w:ascii="仿宋_GB2312" w:hAnsi="Times New Roman" w:eastAsia="仿宋_GB2312" w:cs="DengXian-Regular"/>
          <w:sz w:val="32"/>
          <w:szCs w:val="32"/>
        </w:rPr>
        <w:t>7.34</w:t>
      </w:r>
      <w:r>
        <w:rPr>
          <w:rFonts w:hint="eastAsia" w:ascii="仿宋_GB2312" w:hAnsi="Times New Roman" w:eastAsia="仿宋_GB2312" w:cs="DengXian-Regular"/>
          <w:sz w:val="32"/>
          <w:szCs w:val="32"/>
        </w:rPr>
        <w:t>万元、其他社会保障缴费6</w:t>
      </w:r>
      <w:r>
        <w:rPr>
          <w:rFonts w:ascii="仿宋_GB2312" w:hAnsi="Times New Roman" w:eastAsia="仿宋_GB2312" w:cs="DengXian-Regular"/>
          <w:sz w:val="32"/>
          <w:szCs w:val="32"/>
        </w:rPr>
        <w:t>.21</w:t>
      </w:r>
      <w:r>
        <w:rPr>
          <w:rFonts w:hint="eastAsia" w:ascii="仿宋_GB2312" w:hAnsi="Times New Roman" w:eastAsia="仿宋_GB2312" w:cs="DengXian-Regular"/>
          <w:sz w:val="32"/>
          <w:szCs w:val="32"/>
        </w:rPr>
        <w:t>万元、住房公积金3</w:t>
      </w:r>
      <w:r>
        <w:rPr>
          <w:rFonts w:ascii="仿宋_GB2312" w:hAnsi="Times New Roman" w:eastAsia="仿宋_GB2312" w:cs="DengXian-Regular"/>
          <w:sz w:val="32"/>
          <w:szCs w:val="32"/>
        </w:rPr>
        <w:t>1.43</w:t>
      </w:r>
      <w:r>
        <w:rPr>
          <w:rFonts w:hint="eastAsia" w:ascii="仿宋_GB2312" w:hAnsi="Times New Roman" w:eastAsia="仿宋_GB2312" w:cs="DengXian-Regular"/>
          <w:sz w:val="32"/>
          <w:szCs w:val="32"/>
        </w:rPr>
        <w:t>万元、退休费9</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万元、生活补助9</w:t>
      </w:r>
      <w:r>
        <w:rPr>
          <w:rFonts w:ascii="仿宋_GB2312" w:hAnsi="Times New Roman" w:eastAsia="仿宋_GB2312" w:cs="DengXian-Regular"/>
          <w:sz w:val="32"/>
          <w:szCs w:val="32"/>
        </w:rPr>
        <w:t>.83</w:t>
      </w:r>
      <w:r>
        <w:rPr>
          <w:rFonts w:hint="eastAsia" w:ascii="仿宋_GB2312" w:hAnsi="Times New Roman" w:eastAsia="仿宋_GB2312" w:cs="DengXian-Regular"/>
          <w:sz w:val="32"/>
          <w:szCs w:val="32"/>
        </w:rPr>
        <w:t xml:space="preserve">万元；公用经费 </w:t>
      </w:r>
      <w:r>
        <w:rPr>
          <w:rFonts w:ascii="仿宋_GB2312" w:hAnsi="Times New Roman" w:eastAsia="仿宋_GB2312" w:cs="DengXian-Regular"/>
          <w:sz w:val="32"/>
          <w:szCs w:val="32"/>
        </w:rPr>
        <w:t>48.64</w:t>
      </w:r>
      <w:r>
        <w:rPr>
          <w:rFonts w:hint="eastAsia" w:ascii="仿宋_GB2312" w:hAnsi="Times New Roman" w:eastAsia="仿宋_GB2312" w:cs="DengXian-Regular"/>
          <w:sz w:val="32"/>
          <w:szCs w:val="32"/>
        </w:rPr>
        <w:t>万元，主要包括办公费1</w:t>
      </w:r>
      <w:r>
        <w:rPr>
          <w:rFonts w:ascii="仿宋_GB2312" w:hAnsi="Times New Roman" w:eastAsia="仿宋_GB2312" w:cs="DengXian-Regular"/>
          <w:sz w:val="32"/>
          <w:szCs w:val="32"/>
        </w:rPr>
        <w:t>4.52</w:t>
      </w:r>
      <w:r>
        <w:rPr>
          <w:rFonts w:hint="eastAsia" w:ascii="仿宋_GB2312" w:hAnsi="Times New Roman" w:eastAsia="仿宋_GB2312" w:cs="DengXian-Regular"/>
          <w:sz w:val="32"/>
          <w:szCs w:val="32"/>
        </w:rPr>
        <w:t>万元、电费4</w:t>
      </w:r>
      <w:r>
        <w:rPr>
          <w:rFonts w:ascii="仿宋_GB2312" w:hAnsi="Times New Roman" w:eastAsia="仿宋_GB2312" w:cs="DengXian-Regular"/>
          <w:sz w:val="32"/>
          <w:szCs w:val="32"/>
        </w:rPr>
        <w:t>.6</w:t>
      </w:r>
      <w:r>
        <w:rPr>
          <w:rFonts w:hint="eastAsia" w:ascii="仿宋_GB2312" w:hAnsi="Times New Roman" w:eastAsia="仿宋_GB2312" w:cs="DengXian-Regular"/>
          <w:sz w:val="32"/>
          <w:szCs w:val="32"/>
        </w:rPr>
        <w:t>万元、邮电费1</w:t>
      </w:r>
      <w:r>
        <w:rPr>
          <w:rFonts w:ascii="仿宋_GB2312" w:hAnsi="Times New Roman" w:eastAsia="仿宋_GB2312" w:cs="DengXian-Regular"/>
          <w:sz w:val="32"/>
          <w:szCs w:val="32"/>
        </w:rPr>
        <w:t>.81</w:t>
      </w:r>
      <w:r>
        <w:rPr>
          <w:rFonts w:hint="eastAsia" w:ascii="仿宋_GB2312" w:hAnsi="Times New Roman" w:eastAsia="仿宋_GB2312" w:cs="DengXian-Regular"/>
          <w:sz w:val="32"/>
          <w:szCs w:val="32"/>
        </w:rPr>
        <w:t>万元、差旅费3</w:t>
      </w:r>
      <w:r>
        <w:rPr>
          <w:rFonts w:ascii="仿宋_GB2312" w:hAnsi="Times New Roman" w:eastAsia="仿宋_GB2312" w:cs="DengXian-Regular"/>
          <w:sz w:val="32"/>
          <w:szCs w:val="32"/>
        </w:rPr>
        <w:t>.54</w:t>
      </w:r>
      <w:r>
        <w:rPr>
          <w:rFonts w:hint="eastAsia" w:ascii="仿宋_GB2312" w:hAnsi="Times New Roman" w:eastAsia="仿宋_GB2312" w:cs="DengXian-Regular"/>
          <w:sz w:val="32"/>
          <w:szCs w:val="32"/>
        </w:rPr>
        <w:t>万元、公务接待费6</w:t>
      </w:r>
      <w:r>
        <w:rPr>
          <w:rFonts w:ascii="仿宋_GB2312" w:hAnsi="Times New Roman" w:eastAsia="仿宋_GB2312" w:cs="DengXian-Regular"/>
          <w:sz w:val="32"/>
          <w:szCs w:val="32"/>
        </w:rPr>
        <w:t>.42</w:t>
      </w:r>
      <w:r>
        <w:rPr>
          <w:rFonts w:hint="eastAsia" w:ascii="仿宋_GB2312" w:hAnsi="Times New Roman" w:eastAsia="仿宋_GB2312" w:cs="DengXian-Regular"/>
          <w:sz w:val="32"/>
          <w:szCs w:val="32"/>
        </w:rPr>
        <w:t>万元、劳务费6</w:t>
      </w:r>
      <w:r>
        <w:rPr>
          <w:rFonts w:ascii="仿宋_GB2312" w:hAnsi="Times New Roman" w:eastAsia="仿宋_GB2312" w:cs="DengXian-Regular"/>
          <w:sz w:val="32"/>
          <w:szCs w:val="32"/>
        </w:rPr>
        <w:t>.57</w:t>
      </w:r>
      <w:r>
        <w:rPr>
          <w:rFonts w:hint="eastAsia" w:ascii="仿宋_GB2312" w:hAnsi="Times New Roman" w:eastAsia="仿宋_GB2312" w:cs="DengXian-Regular"/>
          <w:sz w:val="32"/>
          <w:szCs w:val="32"/>
        </w:rPr>
        <w:t>万元、公务用车运行维护费3</w:t>
      </w:r>
      <w:r>
        <w:rPr>
          <w:rFonts w:ascii="仿宋_GB2312" w:hAnsi="Times New Roman" w:eastAsia="仿宋_GB2312" w:cs="DengXian-Regular"/>
          <w:sz w:val="32"/>
          <w:szCs w:val="32"/>
        </w:rPr>
        <w:t>.86</w:t>
      </w:r>
      <w:r>
        <w:rPr>
          <w:rFonts w:hint="eastAsia" w:ascii="仿宋_GB2312" w:hAnsi="Times New Roman" w:eastAsia="仿宋_GB2312" w:cs="DengXian-Regular"/>
          <w:sz w:val="32"/>
          <w:szCs w:val="32"/>
        </w:rPr>
        <w:t>万元、其他交通费用7</w:t>
      </w:r>
      <w:r>
        <w:rPr>
          <w:rFonts w:ascii="仿宋_GB2312" w:hAnsi="Times New Roman" w:eastAsia="仿宋_GB2312" w:cs="DengXian-Regular"/>
          <w:sz w:val="32"/>
          <w:szCs w:val="32"/>
        </w:rPr>
        <w:t>.33</w:t>
      </w:r>
      <w:r>
        <w:rPr>
          <w:rFonts w:hint="eastAsia" w:ascii="仿宋_GB2312" w:hAnsi="Times New Roman" w:eastAsia="仿宋_GB2312" w:cs="DengXian-Regular"/>
          <w:sz w:val="32"/>
          <w:szCs w:val="32"/>
        </w:rPr>
        <w:t>万元。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w:t>
      </w:r>
      <w:r>
        <w:rPr>
          <w:rFonts w:ascii="仿宋_GB2312" w:hAnsi="Times New Roman" w:eastAsia="仿宋_GB2312" w:cs="DengXian-Regular"/>
          <w:sz w:val="32"/>
          <w:szCs w:val="32"/>
        </w:rPr>
        <w:t>10.28</w:t>
      </w:r>
      <w:r>
        <w:rPr>
          <w:rFonts w:hint="eastAsia" w:ascii="仿宋_GB2312" w:hAnsi="Times New Roman" w:eastAsia="仿宋_GB2312" w:cs="DengXian-Regular"/>
          <w:sz w:val="32"/>
          <w:szCs w:val="32"/>
        </w:rPr>
        <w:t>万元，完成预算的</w:t>
      </w:r>
      <w:r>
        <w:rPr>
          <w:rFonts w:ascii="仿宋_GB2312" w:hAnsi="Times New Roman" w:eastAsia="仿宋_GB2312" w:cs="DengXian-Regular"/>
          <w:sz w:val="32"/>
          <w:szCs w:val="32"/>
        </w:rPr>
        <w:t>97.9</w:t>
      </w:r>
      <w:r>
        <w:rPr>
          <w:rFonts w:hint="eastAsia" w:ascii="仿宋_GB2312" w:hAnsi="Times New Roman" w:eastAsia="仿宋_GB2312" w:cs="DengXian-Regular"/>
          <w:sz w:val="32"/>
          <w:szCs w:val="32"/>
        </w:rPr>
        <w:t>%,较预算减少</w:t>
      </w:r>
      <w:r>
        <w:rPr>
          <w:rFonts w:ascii="仿宋_GB2312" w:hAnsi="Times New Roman" w:eastAsia="仿宋_GB2312" w:cs="DengXian-Regular"/>
          <w:sz w:val="32"/>
          <w:szCs w:val="32"/>
        </w:rPr>
        <w:t>0.22</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2.1</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认真贯彻落实中央八项规定精神和厉行节约要求，从严控制“三公”经费开支</w:t>
      </w:r>
      <w:r>
        <w:rPr>
          <w:rFonts w:hint="eastAsia" w:ascii="仿宋_GB2312" w:hAnsi="Times New Roman" w:eastAsia="仿宋_GB2312" w:cs="DengXian-Regular"/>
          <w:sz w:val="32"/>
          <w:szCs w:val="32"/>
        </w:rPr>
        <w:t>，具体情况如下：</w:t>
      </w:r>
    </w:p>
    <w:p>
      <w:pPr>
        <w:numPr>
          <w:ilvl w:val="0"/>
          <w:numId w:val="2"/>
        </w:num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w:t>
      </w:r>
      <w:r>
        <w:rPr>
          <w:rFonts w:hint="eastAsia" w:ascii="仿宋_GB2312" w:eastAsia="仿宋_GB2312" w:cs="DengXian-Regular"/>
          <w:sz w:val="32"/>
          <w:szCs w:val="32"/>
        </w:rPr>
        <w:t>因公出国（境）费支出较年初预算增加（减少）</w:t>
      </w:r>
      <w:r>
        <w:rPr>
          <w:rFonts w:ascii="仿宋_GB2312" w:eastAsia="仿宋_GB2312" w:cs="DengXian-Regular"/>
          <w:sz w:val="32"/>
          <w:szCs w:val="32"/>
        </w:rPr>
        <w:t>0</w:t>
      </w:r>
      <w:r>
        <w:rPr>
          <w:rFonts w:hint="eastAsia" w:ascii="仿宋_GB2312" w:eastAsia="仿宋_GB2312" w:cs="DengXian-Regular"/>
          <w:sz w:val="32"/>
          <w:szCs w:val="32"/>
        </w:rPr>
        <w:t>万元，增长（降低）</w:t>
      </w:r>
      <w:r>
        <w:rPr>
          <w:rFonts w:hint="eastAsia" w:ascii="仿宋_GB2312" w:eastAsia="仿宋_GB2312" w:cs="DengXian-Regular"/>
          <w:sz w:val="32"/>
          <w:szCs w:val="32"/>
          <w:lang w:val="en-US" w:eastAsia="zh-CN"/>
        </w:rPr>
        <w:t>0</w:t>
      </w:r>
      <w:r>
        <w:rPr>
          <w:rFonts w:ascii="仿宋_GB2312" w:eastAsia="仿宋_GB2312" w:cs="DengXian-Regular"/>
          <w:sz w:val="32"/>
          <w:szCs w:val="32"/>
        </w:rPr>
        <w:t>%,</w:t>
      </w:r>
      <w:r>
        <w:rPr>
          <w:rFonts w:hint="eastAsia" w:ascii="仿宋_GB2312" w:eastAsia="仿宋_GB2312" w:cs="DengXian-Regular"/>
          <w:sz w:val="32"/>
          <w:szCs w:val="32"/>
        </w:rPr>
        <w:t>主要是遵循厉行节约要求，从严控制“三公”经费开支。</w:t>
      </w:r>
      <w:r>
        <w:rPr>
          <w:rFonts w:hint="eastAsia" w:ascii="仿宋_GB2312" w:eastAsia="仿宋_GB2312" w:cs="DengXian-Regular"/>
          <w:sz w:val="32"/>
          <w:szCs w:val="32"/>
          <w:lang w:val="en-US" w:eastAsia="zh-CN"/>
        </w:rPr>
        <w:t xml:space="preserve">  </w:t>
      </w:r>
      <w:r>
        <w:rPr>
          <w:rFonts w:hint="eastAsia" w:ascii="仿宋_GB2312" w:eastAsia="仿宋_GB2312" w:cs="DengXian-Regular"/>
          <w:b/>
          <w:bCs/>
          <w:sz w:val="32"/>
          <w:szCs w:val="32"/>
          <w:lang w:eastAsia="zh-CN"/>
        </w:rPr>
        <w:t>（</w:t>
      </w:r>
      <w:r>
        <w:rPr>
          <w:rFonts w:hint="eastAsia" w:ascii="仿宋_GB2312" w:eastAsia="仿宋_GB2312" w:cs="DengXian-Regular"/>
          <w:b/>
          <w:bCs/>
          <w:sz w:val="32"/>
          <w:szCs w:val="32"/>
          <w:lang w:val="en-US" w:eastAsia="zh-CN"/>
        </w:rPr>
        <w:t>二</w:t>
      </w:r>
      <w:r>
        <w:rPr>
          <w:rFonts w:hint="eastAsia" w:ascii="仿宋_GB2312" w:eastAsia="仿宋_GB2312" w:cs="DengXian-Regular"/>
          <w:b/>
          <w:bCs/>
          <w:sz w:val="32"/>
          <w:szCs w:val="32"/>
          <w:lang w:eastAsia="zh-CN"/>
        </w:rPr>
        <w:t>）</w:t>
      </w:r>
      <w:r>
        <w:rPr>
          <w:rFonts w:hint="eastAsia" w:ascii="楷体_GB2312" w:hAnsi="Times New Roman" w:eastAsia="楷体_GB2312" w:cs="DengXian-Bold"/>
          <w:b/>
          <w:bCs/>
          <w:sz w:val="32"/>
          <w:szCs w:val="32"/>
        </w:rPr>
        <w:t>公务用车购置及运行维护费支出</w:t>
      </w:r>
      <w:r>
        <w:rPr>
          <w:rFonts w:ascii="楷体_GB2312" w:hAnsi="Times New Roman" w:eastAsia="楷体_GB2312" w:cs="DengXian-Bold"/>
          <w:b/>
          <w:bCs/>
          <w:sz w:val="32"/>
          <w:szCs w:val="32"/>
        </w:rPr>
        <w:t>3.86</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本部门2019年度公务用车购置及运行维护费较</w:t>
      </w:r>
      <w:r>
        <w:rPr>
          <w:rFonts w:hint="eastAsia" w:ascii="仿宋_GB2312" w:hAnsi="Times New Roman" w:eastAsia="仿宋_GB2312" w:cs="DengXian-Regular"/>
          <w:sz w:val="32"/>
          <w:szCs w:val="32"/>
          <w:lang w:val="en-US" w:eastAsia="zh-CN"/>
        </w:rPr>
        <w:t>年初</w:t>
      </w:r>
      <w:r>
        <w:rPr>
          <w:rFonts w:hint="eastAsia" w:ascii="仿宋_GB2312" w:hAnsi="Times New Roman" w:eastAsia="仿宋_GB2312" w:cs="DengXian-Regular"/>
          <w:sz w:val="32"/>
          <w:szCs w:val="32"/>
        </w:rPr>
        <w:t>预算减少</w:t>
      </w:r>
      <w:r>
        <w:rPr>
          <w:rFonts w:ascii="仿宋_GB2312" w:hAnsi="Times New Roman" w:eastAsia="仿宋_GB2312" w:cs="DengXian-Regular"/>
          <w:sz w:val="32"/>
          <w:szCs w:val="32"/>
        </w:rPr>
        <w:t>0.14</w:t>
      </w:r>
      <w:r>
        <w:rPr>
          <w:rFonts w:hint="eastAsia" w:ascii="仿宋_GB2312" w:hAnsi="Times New Roman" w:eastAsia="仿宋_GB2312" w:cs="DengXian-Regular"/>
          <w:sz w:val="32"/>
          <w:szCs w:val="32"/>
        </w:rPr>
        <w:t>万元,主要是本单位严格控制公务用车运行维护相关支出。</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本部门2019年度公务用车购置量0辆，未发生“公务用车购置”费用。</w:t>
      </w:r>
    </w:p>
    <w:p>
      <w:pPr>
        <w:adjustRightInd w:val="0"/>
        <w:snapToGrid w:val="0"/>
        <w:spacing w:line="580" w:lineRule="exact"/>
        <w:ind w:firstLine="643" w:firstLineChars="200"/>
        <w:rPr>
          <w:rFonts w:ascii="仿宋_GB2312"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辆。公车运行维护费支出</w:t>
      </w:r>
      <w:r>
        <w:rPr>
          <w:rFonts w:hint="eastAsia" w:ascii="仿宋_GB2312" w:hAnsi="Times New Roman" w:eastAsia="仿宋_GB2312" w:cs="DengXian-Regular"/>
          <w:sz w:val="32"/>
          <w:szCs w:val="32"/>
          <w:lang w:val="en-US" w:eastAsia="zh-CN"/>
        </w:rPr>
        <w:t>3.86万元，</w:t>
      </w:r>
      <w:r>
        <w:rPr>
          <w:rFonts w:hint="eastAsia" w:ascii="仿宋_GB2312" w:hAnsi="Times New Roman" w:eastAsia="仿宋_GB2312" w:cs="DengXian-Regular"/>
          <w:sz w:val="32"/>
          <w:szCs w:val="32"/>
        </w:rPr>
        <w:t>较预算减少</w:t>
      </w:r>
      <w:r>
        <w:rPr>
          <w:rFonts w:ascii="仿宋_GB2312" w:hAnsi="Times New Roman" w:eastAsia="仿宋_GB2312" w:cs="DengXian-Regular"/>
          <w:sz w:val="32"/>
          <w:szCs w:val="32"/>
        </w:rPr>
        <w:t>0.14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较2018年度决算数减少0.14万元，</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严格控制公务用车运行维护相关支出。</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hAnsi="Times New Roman" w:eastAsia="楷体_GB2312" w:cs="DengXian-Bold"/>
          <w:b/>
          <w:bCs/>
          <w:sz w:val="32"/>
          <w:szCs w:val="32"/>
        </w:rPr>
        <w:t>（三）公务接待费支出</w:t>
      </w:r>
      <w:r>
        <w:rPr>
          <w:rFonts w:ascii="楷体_GB2312" w:hAnsi="Times New Roman" w:eastAsia="楷体_GB2312" w:cs="DengXian-Bold"/>
          <w:b/>
          <w:bCs/>
          <w:sz w:val="32"/>
          <w:szCs w:val="32"/>
        </w:rPr>
        <w:t>6.42</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本部门2019年度公务接待共</w:t>
      </w:r>
      <w:r>
        <w:rPr>
          <w:rFonts w:ascii="仿宋_GB2312" w:hAnsi="Times New Roman" w:eastAsia="仿宋_GB2312" w:cs="DengXian-Regular"/>
          <w:sz w:val="32"/>
          <w:szCs w:val="32"/>
        </w:rPr>
        <w:t>377</w:t>
      </w:r>
      <w:r>
        <w:rPr>
          <w:rFonts w:hint="eastAsia" w:ascii="仿宋_GB2312" w:hAnsi="Times New Roman" w:eastAsia="仿宋_GB2312" w:cs="DengXian-Regular"/>
          <w:sz w:val="32"/>
          <w:szCs w:val="32"/>
        </w:rPr>
        <w:t>批次、</w:t>
      </w:r>
      <w:r>
        <w:rPr>
          <w:rFonts w:ascii="仿宋_GB2312" w:hAnsi="Times New Roman" w:eastAsia="仿宋_GB2312" w:cs="DengXian-Regular"/>
          <w:sz w:val="32"/>
          <w:szCs w:val="32"/>
        </w:rPr>
        <w:t>2045</w:t>
      </w:r>
      <w:r>
        <w:rPr>
          <w:rFonts w:hint="eastAsia" w:ascii="仿宋_GB2312" w:hAnsi="Times New Roman" w:eastAsia="仿宋_GB2312" w:cs="DengXian-Regular"/>
          <w:sz w:val="32"/>
          <w:szCs w:val="32"/>
        </w:rPr>
        <w:t>人次。公务接待费支出较</w:t>
      </w:r>
      <w:r>
        <w:rPr>
          <w:rFonts w:hint="eastAsia" w:ascii="仿宋_GB2312" w:hAnsi="Times New Roman" w:eastAsia="仿宋_GB2312" w:cs="DengXian-Regular"/>
          <w:sz w:val="32"/>
          <w:szCs w:val="32"/>
          <w:lang w:val="en-US" w:eastAsia="zh-CN"/>
        </w:rPr>
        <w:t>年初</w:t>
      </w:r>
      <w:r>
        <w:rPr>
          <w:rFonts w:hint="eastAsia" w:ascii="仿宋_GB2312" w:hAnsi="Times New Roman" w:eastAsia="仿宋_GB2312" w:cs="DengXian-Regular"/>
          <w:sz w:val="32"/>
          <w:szCs w:val="32"/>
        </w:rPr>
        <w:t>预算减少0</w:t>
      </w:r>
      <w:r>
        <w:rPr>
          <w:rFonts w:ascii="仿宋_GB2312" w:hAnsi="Times New Roman" w:eastAsia="仿宋_GB2312" w:cs="DengXian-Regular"/>
          <w:sz w:val="32"/>
          <w:szCs w:val="32"/>
        </w:rPr>
        <w:t>.08</w:t>
      </w:r>
      <w:r>
        <w:rPr>
          <w:rFonts w:hint="eastAsia" w:ascii="仿宋_GB2312" w:hAnsi="Times New Roman" w:eastAsia="仿宋_GB2312" w:cs="DengXian-Regular"/>
          <w:sz w:val="32"/>
          <w:szCs w:val="32"/>
        </w:rPr>
        <w:t>万元，减少1</w:t>
      </w:r>
      <w:r>
        <w:rPr>
          <w:rFonts w:ascii="仿宋_GB2312" w:hAnsi="Times New Roman" w:eastAsia="仿宋_GB2312" w:cs="DengXian-Regular"/>
          <w:sz w:val="32"/>
          <w:szCs w:val="32"/>
        </w:rPr>
        <w:t>.23</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较2018年决算减少0.08万元，减少1.23%，</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严格执行公务接待标准，缩减公务接待支出。</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w:t>
      </w:r>
      <w:r>
        <w:rPr>
          <w:rFonts w:hint="eastAsia" w:ascii="仿宋_GB2312" w:hAnsi="仿宋_GB2312" w:eastAsia="仿宋_GB2312" w:cs="仿宋_GB2312"/>
          <w:color w:val="auto"/>
          <w:sz w:val="32"/>
          <w:szCs w:val="32"/>
        </w:rPr>
        <w:t>共涉及项目18个，资金</w:t>
      </w:r>
      <w:r>
        <w:rPr>
          <w:rFonts w:ascii="仿宋_GB2312" w:hAnsi="仿宋_GB2312" w:eastAsia="仿宋_GB2312" w:cs="仿宋_GB2312"/>
          <w:color w:val="auto"/>
          <w:sz w:val="32"/>
          <w:szCs w:val="32"/>
        </w:rPr>
        <w:t>540.06</w:t>
      </w:r>
      <w:r>
        <w:rPr>
          <w:rFonts w:hint="eastAsia" w:ascii="仿宋_GB2312" w:hAnsi="仿宋_GB2312" w:eastAsia="仿宋_GB2312" w:cs="仿宋_GB2312"/>
          <w:color w:val="auto"/>
          <w:sz w:val="32"/>
          <w:szCs w:val="32"/>
        </w:rPr>
        <w:t>万元，占一般公共预算项目支出总额的100%。</w:t>
      </w:r>
    </w:p>
    <w:p>
      <w:pPr>
        <w:adjustRightInd w:val="0"/>
        <w:snapToGrid w:val="0"/>
        <w:spacing w:line="580" w:lineRule="exact"/>
        <w:ind w:left="420" w:leftChars="200" w:firstLine="321" w:firstLineChars="1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在今年部门决算公开中反映扶贫工作经费、纪委谈话室建设资金、党建工作经费、纪委保障机制经费、人大代表之家工作经费、团委工作经费、燃煤锅炉改造及清洁能源补贴、严重精神障碍患者监护人责任险、沈杖子六组粮食补助、矽肺病生活补助、特困群众救助（矽肺病）、革命老区项目（马圈子镇张杖子至蒲杖子公路改造项目）、安全生产监管工作经费、村级组织运转经费-村干部工资、村级组织运转经费-服务群众专项经费、村级组织运转经费-村级组织办公经费、环境治理工作经费、防火防汛工作经费等18个项目绩效自评结果。</w:t>
      </w:r>
    </w:p>
    <w:p>
      <w:pPr>
        <w:numPr>
          <w:ilvl w:val="0"/>
          <w:numId w:val="3"/>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扶贫工作经费项目自评综述：根据年初设定的绩效目标，扶贫工作经费项目绩效自评得分为100分（绩效自评表附后）。全年预算数为4.425万元，执行数为4.425万元，完成预算的100%。项目绩效目标完成情况：一是包村领导、干部入户一对一帮扶，通过生活帮助、政策帮扶、产业帮扶，实现脱贫；二是对十三五贫困村扶贫资金足额拨付到位，保证扶贫产业落实</w:t>
      </w:r>
      <w:r>
        <w:rPr>
          <w:rFonts w:hint="eastAsia" w:ascii="仿宋_GB2312" w:hAnsi="仿宋_GB2312" w:eastAsia="仿宋_GB2312" w:cs="仿宋_GB2312"/>
          <w:sz w:val="32"/>
          <w:szCs w:val="32"/>
        </w:rPr>
        <w:t>到位并充分发挥作用；三是建档立卡贫困户全部实现脱贫，圆满完成脱贫攻坚工作。发现的主要问题及原因：一是</w:t>
      </w:r>
      <w:r>
        <w:rPr>
          <w:rFonts w:hint="eastAsia" w:ascii="仿宋_GB2312" w:eastAsia="仿宋_GB2312"/>
          <w:sz w:val="32"/>
          <w:szCs w:val="32"/>
        </w:rPr>
        <w:t>预算编制工作有待细化</w:t>
      </w:r>
      <w:r>
        <w:rPr>
          <w:rFonts w:hint="eastAsia" w:ascii="仿宋_GB2312" w:hAnsi="仿宋_GB2312" w:eastAsia="仿宋_GB2312" w:cs="仿宋_GB2312"/>
          <w:sz w:val="32"/>
          <w:szCs w:val="32"/>
        </w:rPr>
        <w:t>；二是</w:t>
      </w:r>
      <w:r>
        <w:rPr>
          <w:rFonts w:hint="eastAsia" w:ascii="仿宋_GB2312" w:eastAsia="仿宋_GB2312"/>
          <w:sz w:val="32"/>
          <w:szCs w:val="32"/>
        </w:rPr>
        <w:t>绩效目标设立不够明确和量化；三：预算编制的合理性及资金使用效益需提高；</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40" w:type="dxa"/>
        <w:tblInd w:w="95" w:type="dxa"/>
        <w:tblLayout w:type="autofit"/>
        <w:tblCellMar>
          <w:top w:w="0" w:type="dxa"/>
          <w:left w:w="108" w:type="dxa"/>
          <w:bottom w:w="0" w:type="dxa"/>
          <w:right w:w="108" w:type="dxa"/>
        </w:tblCellMar>
      </w:tblPr>
      <w:tblGrid>
        <w:gridCol w:w="940"/>
        <w:gridCol w:w="1000"/>
        <w:gridCol w:w="1080"/>
        <w:gridCol w:w="1240"/>
        <w:gridCol w:w="1260"/>
        <w:gridCol w:w="1060"/>
        <w:gridCol w:w="1060"/>
        <w:gridCol w:w="1300"/>
      </w:tblGrid>
      <w:tr>
        <w:tblPrEx>
          <w:tblCellMar>
            <w:top w:w="0" w:type="dxa"/>
            <w:left w:w="108" w:type="dxa"/>
            <w:bottom w:w="0" w:type="dxa"/>
            <w:right w:w="108" w:type="dxa"/>
          </w:tblCellMar>
        </w:tblPrEx>
        <w:trPr>
          <w:trHeight w:val="510" w:hRule="atLeast"/>
        </w:trPr>
        <w:tc>
          <w:tcPr>
            <w:tcW w:w="8940" w:type="dxa"/>
            <w:gridSpan w:val="8"/>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894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2019年度）</w:t>
            </w:r>
          </w:p>
        </w:tc>
      </w:tr>
      <w:tr>
        <w:tblPrEx>
          <w:tblCellMar>
            <w:top w:w="0" w:type="dxa"/>
            <w:left w:w="108" w:type="dxa"/>
            <w:bottom w:w="0" w:type="dxa"/>
            <w:right w:w="108" w:type="dxa"/>
          </w:tblCellMar>
        </w:tblPrEx>
        <w:trPr>
          <w:trHeight w:val="435" w:hRule="atLeast"/>
        </w:trPr>
        <w:tc>
          <w:tcPr>
            <w:tcW w:w="4260"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填报单位（盖章）：青龙满族自治县马圈子镇人民政府</w:t>
            </w:r>
          </w:p>
        </w:tc>
        <w:tc>
          <w:tcPr>
            <w:tcW w:w="12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300" w:type="dxa"/>
            <w:tcBorders>
              <w:top w:val="nil"/>
              <w:left w:val="nil"/>
              <w:bottom w:val="nil"/>
              <w:right w:val="nil"/>
            </w:tcBorders>
            <w:shd w:val="clear" w:color="auto" w:fill="auto"/>
            <w:noWrap/>
            <w:vAlign w:val="center"/>
          </w:tcPr>
          <w:p>
            <w:pPr>
              <w:pStyle w:val="3"/>
              <w:bidi w:val="0"/>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金额单位：万元</w:t>
            </w:r>
          </w:p>
        </w:tc>
      </w:tr>
      <w:tr>
        <w:tblPrEx>
          <w:tblCellMar>
            <w:top w:w="0" w:type="dxa"/>
            <w:left w:w="108" w:type="dxa"/>
            <w:bottom w:w="0" w:type="dxa"/>
            <w:right w:w="108" w:type="dxa"/>
          </w:tblCellMar>
        </w:tblPrEx>
        <w:trPr>
          <w:trHeight w:val="495" w:hRule="atLeast"/>
        </w:trPr>
        <w:tc>
          <w:tcPr>
            <w:tcW w:w="94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扶贫工作经费</w:t>
            </w:r>
          </w:p>
        </w:tc>
        <w:tc>
          <w:tcPr>
            <w:tcW w:w="12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4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青龙满族自治县马圈子镇人民政府</w:t>
            </w: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0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4.425</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4.425</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4.425</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100.00%</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4.425</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4.425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4.425</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3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3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75" w:hRule="atLeast"/>
        </w:trPr>
        <w:tc>
          <w:tcPr>
            <w:tcW w:w="9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包村领导、干部入户一对一帮扶，通过生活帮助、政策帮扶、产业帮扶，实现脱贫；对十三五贫困村扶贫资金足额拨付到位，保证扶贫产业落实到位并充分发挥作用；建档立卡贫困户全部实现脱贫，圆满完成脱贫攻坚工作。</w:t>
            </w:r>
          </w:p>
        </w:tc>
        <w:tc>
          <w:tcPr>
            <w:tcW w:w="33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按照时间节点，完成目标任务</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75" w:hRule="atLeast"/>
        </w:trPr>
        <w:tc>
          <w:tcPr>
            <w:tcW w:w="9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3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525" w:hRule="atLeast"/>
        </w:trPr>
        <w:tc>
          <w:tcPr>
            <w:tcW w:w="9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3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94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85" w:hRule="atLeast"/>
        </w:trPr>
        <w:tc>
          <w:tcPr>
            <w:tcW w:w="94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贫困村脱贫</w:t>
            </w:r>
            <w:r>
              <w:rPr>
                <w:rFonts w:hint="eastAsia" w:ascii="宋体" w:hAnsi="宋体" w:eastAsia="宋体" w:cs="宋体"/>
                <w:color w:val="000000"/>
                <w:kern w:val="0"/>
                <w:sz w:val="16"/>
                <w:szCs w:val="16"/>
                <w:lang w:eastAsia="zh-CN"/>
              </w:rPr>
              <w:t>数量</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w:t>
            </w:r>
            <w:r>
              <w:rPr>
                <w:rFonts w:ascii="Calibri" w:hAnsi="Calibri" w:eastAsia="宋体" w:cs="宋体"/>
                <w:color w:val="000000"/>
                <w:kern w:val="0"/>
                <w:szCs w:val="21"/>
              </w:rPr>
              <w:t>5</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5</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25</w:t>
            </w:r>
          </w:p>
        </w:tc>
      </w:tr>
      <w:tr>
        <w:tblPrEx>
          <w:tblCellMar>
            <w:top w:w="0" w:type="dxa"/>
            <w:left w:w="108" w:type="dxa"/>
            <w:bottom w:w="0" w:type="dxa"/>
            <w:right w:w="108" w:type="dxa"/>
          </w:tblCellMar>
        </w:tblPrEx>
        <w:trPr>
          <w:trHeight w:val="285" w:hRule="atLeast"/>
        </w:trPr>
        <w:tc>
          <w:tcPr>
            <w:tcW w:w="94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印刷数量</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eastAsia="zh-CN"/>
              </w:rPr>
              <w:t>≥</w:t>
            </w:r>
            <w:r>
              <w:rPr>
                <w:rFonts w:hint="eastAsia" w:ascii="宋体" w:hAnsi="宋体" w:eastAsia="宋体" w:cs="宋体"/>
                <w:color w:val="000000"/>
                <w:kern w:val="0"/>
                <w:sz w:val="16"/>
                <w:szCs w:val="16"/>
                <w:lang w:val="en-US" w:eastAsia="zh-CN"/>
              </w:rPr>
              <w:t>5000张</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eastAsia="zh-CN"/>
              </w:rPr>
              <w:t>≥</w:t>
            </w:r>
            <w:r>
              <w:rPr>
                <w:rFonts w:hint="eastAsia" w:ascii="宋体" w:hAnsi="宋体" w:eastAsia="宋体" w:cs="宋体"/>
                <w:color w:val="000000"/>
                <w:kern w:val="0"/>
                <w:sz w:val="16"/>
                <w:szCs w:val="16"/>
                <w:lang w:val="en-US" w:eastAsia="zh-CN"/>
              </w:rPr>
              <w:t>5000张</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25</w:t>
            </w:r>
          </w:p>
        </w:tc>
      </w:tr>
      <w:tr>
        <w:tblPrEx>
          <w:tblCellMar>
            <w:top w:w="0" w:type="dxa"/>
            <w:left w:w="108" w:type="dxa"/>
            <w:bottom w:w="0" w:type="dxa"/>
            <w:right w:w="108" w:type="dxa"/>
          </w:tblCellMar>
        </w:tblPrEx>
        <w:trPr>
          <w:trHeight w:val="285" w:hRule="atLeast"/>
        </w:trPr>
        <w:tc>
          <w:tcPr>
            <w:tcW w:w="94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效益指标</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社会效益指标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保障脱贫工作的正常运行</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=5个</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=5个</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21"/>
                <w:szCs w:val="21"/>
                <w:lang w:val="en-US" w:eastAsia="zh-CN" w:bidi="ar-SA"/>
              </w:rPr>
            </w:pPr>
            <w:r>
              <w:rPr>
                <w:rFonts w:ascii="Calibri" w:hAnsi="Calibri" w:eastAsia="宋体" w:cs="宋体"/>
                <w:color w:val="000000"/>
                <w:kern w:val="0"/>
                <w:szCs w:val="21"/>
              </w:rPr>
              <w:t>30</w:t>
            </w:r>
          </w:p>
        </w:tc>
      </w:tr>
      <w:tr>
        <w:tblPrEx>
          <w:tblCellMar>
            <w:top w:w="0" w:type="dxa"/>
            <w:left w:w="108" w:type="dxa"/>
            <w:bottom w:w="0" w:type="dxa"/>
            <w:right w:w="108" w:type="dxa"/>
          </w:tblCellMar>
        </w:tblPrEx>
        <w:trPr>
          <w:trHeight w:val="420" w:hRule="atLeast"/>
        </w:trPr>
        <w:tc>
          <w:tcPr>
            <w:tcW w:w="94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村民调查满意率（%）</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Calibri" w:hAnsi="Calibri" w:eastAsia="宋体" w:cs="宋体"/>
                <w:color w:val="000000"/>
                <w:kern w:val="0"/>
                <w:szCs w:val="21"/>
              </w:rPr>
              <w:t>95%</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Calibri" w:hAnsi="Calibri" w:eastAsia="宋体" w:cs="宋体"/>
                <w:color w:val="000000"/>
                <w:kern w:val="0"/>
                <w:szCs w:val="21"/>
              </w:rPr>
              <w:t>95%</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495" w:hRule="atLeast"/>
        </w:trPr>
        <w:tc>
          <w:tcPr>
            <w:tcW w:w="94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94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915"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00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adjustRightInd w:val="0"/>
        <w:snapToGrid w:val="0"/>
        <w:spacing w:line="580" w:lineRule="exact"/>
        <w:ind w:firstLine="630"/>
        <w:rPr>
          <w:rFonts w:ascii="仿宋_GB2312" w:hAnsi="仿宋_GB2312" w:eastAsia="仿宋_GB2312" w:cs="仿宋_GB2312"/>
          <w:sz w:val="32"/>
          <w:szCs w:val="32"/>
        </w:rPr>
      </w:pPr>
      <w:r>
        <w:rPr>
          <w:rFonts w:hint="eastAsia" w:ascii="Times New Roman" w:hAnsi="Times New Roman" w:eastAsia="方正仿宋_GBK"/>
          <w:sz w:val="32"/>
          <w:szCs w:val="32"/>
        </w:rPr>
        <w:t>(2)</w:t>
      </w:r>
      <w:r>
        <w:rPr>
          <w:rFonts w:hint="eastAsia" w:ascii="仿宋_GB2312" w:hAnsi="仿宋_GB2312" w:eastAsia="仿宋_GB2312" w:cs="仿宋_GB2312"/>
          <w:sz w:val="32"/>
          <w:szCs w:val="32"/>
        </w:rPr>
        <w:t>纪委谈话室建设资金项目自评综述：根据年初设定的绩效目标，纪委谈话室建设资金项目绩效自评得分为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分（绩效自评表附后）。全年预算数为4万元，执行数为4万元，完成预算的100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一是监督党委责任主体，发挥监督主体作用；二是微腐败工作取得较大成效，辖区内政治清明，纪律严明，风清气正。发现的主要问题及原因：一是预算编制工作有待细化；二是绩效目标设立不够明确和量</w:t>
      </w:r>
      <w:r>
        <w:rPr>
          <w:rFonts w:hint="eastAsia" w:ascii="仿宋_GB2312" w:eastAsia="仿宋_GB2312"/>
          <w:sz w:val="32"/>
          <w:szCs w:val="32"/>
        </w:rPr>
        <w:t>化；三：预算编制的合理性及资金使用效益需提高；</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40" w:type="dxa"/>
        <w:tblInd w:w="95" w:type="dxa"/>
        <w:tblLayout w:type="autofit"/>
        <w:tblCellMar>
          <w:top w:w="0" w:type="dxa"/>
          <w:left w:w="108" w:type="dxa"/>
          <w:bottom w:w="0" w:type="dxa"/>
          <w:right w:w="108" w:type="dxa"/>
        </w:tblCellMar>
      </w:tblPr>
      <w:tblGrid>
        <w:gridCol w:w="940"/>
        <w:gridCol w:w="1000"/>
        <w:gridCol w:w="1080"/>
        <w:gridCol w:w="1240"/>
        <w:gridCol w:w="1260"/>
        <w:gridCol w:w="1060"/>
        <w:gridCol w:w="1060"/>
        <w:gridCol w:w="1300"/>
      </w:tblGrid>
      <w:tr>
        <w:tblPrEx>
          <w:tblCellMar>
            <w:top w:w="0" w:type="dxa"/>
            <w:left w:w="108" w:type="dxa"/>
            <w:bottom w:w="0" w:type="dxa"/>
            <w:right w:w="108" w:type="dxa"/>
          </w:tblCellMar>
        </w:tblPrEx>
        <w:trPr>
          <w:trHeight w:val="510" w:hRule="atLeast"/>
        </w:trPr>
        <w:tc>
          <w:tcPr>
            <w:tcW w:w="8940" w:type="dxa"/>
            <w:gridSpan w:val="8"/>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894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2019年度）</w:t>
            </w:r>
          </w:p>
        </w:tc>
      </w:tr>
      <w:tr>
        <w:tblPrEx>
          <w:tblCellMar>
            <w:top w:w="0" w:type="dxa"/>
            <w:left w:w="108" w:type="dxa"/>
            <w:bottom w:w="0" w:type="dxa"/>
            <w:right w:w="108" w:type="dxa"/>
          </w:tblCellMar>
        </w:tblPrEx>
        <w:trPr>
          <w:trHeight w:val="435" w:hRule="atLeast"/>
        </w:trPr>
        <w:tc>
          <w:tcPr>
            <w:tcW w:w="4260"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填报单位（盖章）：青龙满族自治县马圈子镇人民政府</w:t>
            </w:r>
          </w:p>
        </w:tc>
        <w:tc>
          <w:tcPr>
            <w:tcW w:w="12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3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94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纪委谈话室建设资金</w:t>
            </w:r>
          </w:p>
        </w:tc>
        <w:tc>
          <w:tcPr>
            <w:tcW w:w="12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4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青龙满族自治县马圈子镇人民政府</w:t>
            </w: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0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100.00%</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3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3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75" w:hRule="atLeast"/>
        </w:trPr>
        <w:tc>
          <w:tcPr>
            <w:tcW w:w="9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监督党委责任主体，发挥监督主体作用；微腐败工作取得较大成效，辖区内政治清明，纪律严明，风清气正。</w:t>
            </w:r>
          </w:p>
        </w:tc>
        <w:tc>
          <w:tcPr>
            <w:tcW w:w="33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按照时间节点，完成目标任务</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9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3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9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3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94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85" w:hRule="atLeast"/>
        </w:trPr>
        <w:tc>
          <w:tcPr>
            <w:tcW w:w="94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质</w:t>
            </w:r>
            <w:r>
              <w:rPr>
                <w:rFonts w:hint="eastAsia" w:ascii="宋体" w:hAnsi="宋体" w:eastAsia="宋体" w:cs="宋体"/>
                <w:color w:val="000000"/>
                <w:kern w:val="0"/>
                <w:sz w:val="16"/>
                <w:szCs w:val="16"/>
              </w:rPr>
              <w:t>量指标</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工程验收合格率（%）</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≥95%</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95%</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w:t>
            </w:r>
          </w:p>
        </w:tc>
      </w:tr>
      <w:tr>
        <w:tblPrEx>
          <w:tblCellMar>
            <w:top w:w="0" w:type="dxa"/>
            <w:left w:w="108" w:type="dxa"/>
            <w:bottom w:w="0" w:type="dxa"/>
            <w:right w:w="108" w:type="dxa"/>
          </w:tblCellMar>
        </w:tblPrEx>
        <w:trPr>
          <w:trHeight w:val="285" w:hRule="atLeast"/>
        </w:trPr>
        <w:tc>
          <w:tcPr>
            <w:tcW w:w="94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工作完成率</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≥95%</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95%</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w:t>
            </w:r>
          </w:p>
        </w:tc>
      </w:tr>
      <w:tr>
        <w:tblPrEx>
          <w:tblCellMar>
            <w:top w:w="0" w:type="dxa"/>
            <w:left w:w="108" w:type="dxa"/>
            <w:bottom w:w="0" w:type="dxa"/>
            <w:right w:w="108" w:type="dxa"/>
          </w:tblCellMar>
        </w:tblPrEx>
        <w:trPr>
          <w:trHeight w:val="90" w:hRule="atLeast"/>
        </w:trPr>
        <w:tc>
          <w:tcPr>
            <w:tcW w:w="94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业务保障能力</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hint="eastAsia" w:ascii="宋体" w:hAnsi="宋体" w:eastAsia="宋体" w:cs="宋体"/>
                <w:color w:val="000000"/>
                <w:kern w:val="0"/>
                <w:sz w:val="16"/>
                <w:szCs w:val="16"/>
              </w:rPr>
              <w:t>≥</w:t>
            </w:r>
            <w:r>
              <w:rPr>
                <w:rFonts w:ascii="Calibri" w:hAnsi="Calibri" w:eastAsia="宋体" w:cs="宋体"/>
                <w:color w:val="000000"/>
                <w:kern w:val="0"/>
                <w:sz w:val="16"/>
                <w:szCs w:val="16"/>
              </w:rPr>
              <w:t>95%</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 w:val="16"/>
                <w:szCs w:val="16"/>
              </w:rPr>
              <w:t>95%</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30</w:t>
            </w:r>
          </w:p>
        </w:tc>
      </w:tr>
      <w:tr>
        <w:tblPrEx>
          <w:tblCellMar>
            <w:top w:w="0" w:type="dxa"/>
            <w:left w:w="108" w:type="dxa"/>
            <w:bottom w:w="0" w:type="dxa"/>
            <w:right w:w="108" w:type="dxa"/>
          </w:tblCellMar>
        </w:tblPrEx>
        <w:trPr>
          <w:trHeight w:val="420" w:hRule="atLeast"/>
        </w:trPr>
        <w:tc>
          <w:tcPr>
            <w:tcW w:w="94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受益群体满意度（%）</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r>
              <w:rPr>
                <w:rFonts w:ascii="Calibri" w:hAnsi="Calibri" w:eastAsia="宋体" w:cs="宋体"/>
                <w:color w:val="000000"/>
                <w:kern w:val="0"/>
                <w:sz w:val="16"/>
                <w:szCs w:val="16"/>
              </w:rPr>
              <w:t>95%</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6"/>
                <w:szCs w:val="16"/>
              </w:rPr>
            </w:pPr>
            <w:r>
              <w:rPr>
                <w:rFonts w:ascii="Calibri" w:hAnsi="Calibri" w:eastAsia="宋体" w:cs="宋体"/>
                <w:color w:val="000000"/>
                <w:kern w:val="0"/>
                <w:sz w:val="16"/>
                <w:szCs w:val="16"/>
              </w:rPr>
              <w:t>95%</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495" w:hRule="atLeast"/>
        </w:trPr>
        <w:tc>
          <w:tcPr>
            <w:tcW w:w="94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100.00%</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94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915"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00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adjustRightInd w:val="0"/>
        <w:snapToGrid w:val="0"/>
        <w:spacing w:line="580" w:lineRule="exact"/>
        <w:ind w:firstLine="630"/>
        <w:rPr>
          <w:rFonts w:ascii="仿宋_GB2312" w:hAnsi="仿宋_GB2312" w:eastAsia="仿宋_GB2312" w:cs="仿宋_GB2312"/>
          <w:sz w:val="32"/>
          <w:szCs w:val="32"/>
        </w:rPr>
      </w:pPr>
      <w:r>
        <w:rPr>
          <w:rFonts w:hint="eastAsia" w:ascii="Times New Roman" w:hAnsi="Times New Roman" w:eastAsia="方正仿宋_GBK"/>
          <w:sz w:val="32"/>
          <w:szCs w:val="32"/>
        </w:rPr>
        <w:t>(3)</w:t>
      </w:r>
      <w:r>
        <w:rPr>
          <w:rFonts w:hint="eastAsia" w:ascii="仿宋_GB2312" w:hAnsi="仿宋_GB2312" w:eastAsia="仿宋_GB2312" w:cs="仿宋_GB2312"/>
          <w:sz w:val="32"/>
          <w:szCs w:val="32"/>
        </w:rPr>
        <w:t>党建工作经费项目自评综述：根据年初设定的绩效目标，党建工作经费项目绩效自评得分为100分（绩效自评表附后）。全年预算数为1万元，执行数为1万元，完成预算的100%。项目绩效目标完成情况：监督党委责任主体，发挥监督主体作用；微腐败工作取得较大成效，辖区内政治清明，纪律严明，风清气正。发现的主要问题及原因：一是预算编制工作有待细化；二是绩效目标设立不够明确和量</w:t>
      </w:r>
      <w:r>
        <w:rPr>
          <w:rFonts w:hint="eastAsia" w:ascii="仿宋_GB2312" w:eastAsia="仿宋_GB2312"/>
          <w:sz w:val="32"/>
          <w:szCs w:val="32"/>
        </w:rPr>
        <w:t>化；三：预算编制的合理性及资金使用效益需提高；</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p>
      <w:pPr>
        <w:adjustRightInd w:val="0"/>
        <w:snapToGrid w:val="0"/>
        <w:spacing w:line="580" w:lineRule="exact"/>
        <w:ind w:firstLine="630"/>
        <w:jc w:val="center"/>
        <w:rPr>
          <w:rFonts w:ascii="仿宋_GB2312" w:hAnsi="仿宋_GB2312" w:eastAsia="仿宋_GB2312" w:cs="仿宋_GB2312"/>
          <w:sz w:val="32"/>
          <w:szCs w:val="32"/>
        </w:rPr>
      </w:pPr>
      <w:r>
        <w:rPr>
          <w:rFonts w:hint="eastAsia" w:ascii="方正小标宋_GBK" w:hAnsi="宋体" w:eastAsia="方正小标宋_GBK" w:cs="宋体"/>
          <w:color w:val="000000"/>
          <w:kern w:val="0"/>
          <w:sz w:val="40"/>
          <w:szCs w:val="40"/>
        </w:rPr>
        <w:t>县级部门预算项目绩效自评表</w:t>
      </w:r>
    </w:p>
    <w:tbl>
      <w:tblPr>
        <w:tblStyle w:val="7"/>
        <w:tblW w:w="8940" w:type="dxa"/>
        <w:tblInd w:w="95" w:type="dxa"/>
        <w:tblLayout w:type="autofit"/>
        <w:tblCellMar>
          <w:top w:w="0" w:type="dxa"/>
          <w:left w:w="108" w:type="dxa"/>
          <w:bottom w:w="0" w:type="dxa"/>
          <w:right w:w="108" w:type="dxa"/>
        </w:tblCellMar>
      </w:tblPr>
      <w:tblGrid>
        <w:gridCol w:w="940"/>
        <w:gridCol w:w="1000"/>
        <w:gridCol w:w="1080"/>
        <w:gridCol w:w="1240"/>
        <w:gridCol w:w="1260"/>
        <w:gridCol w:w="1060"/>
        <w:gridCol w:w="1060"/>
        <w:gridCol w:w="1300"/>
      </w:tblGrid>
      <w:tr>
        <w:tblPrEx>
          <w:tblCellMar>
            <w:top w:w="0" w:type="dxa"/>
            <w:left w:w="108" w:type="dxa"/>
            <w:bottom w:w="0" w:type="dxa"/>
            <w:right w:w="108" w:type="dxa"/>
          </w:tblCellMar>
        </w:tblPrEx>
        <w:trPr>
          <w:trHeight w:val="435" w:hRule="atLeast"/>
        </w:trPr>
        <w:tc>
          <w:tcPr>
            <w:tcW w:w="4260"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填报单位（盖章）：青龙满族自治县马圈子镇人民政府</w:t>
            </w:r>
          </w:p>
        </w:tc>
        <w:tc>
          <w:tcPr>
            <w:tcW w:w="12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3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94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党建工作经费</w:t>
            </w:r>
          </w:p>
        </w:tc>
        <w:tc>
          <w:tcPr>
            <w:tcW w:w="12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4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青龙满族自治县马圈子镇人民政府</w:t>
            </w: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0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ascii="宋体" w:hAnsi="宋体" w:eastAsia="宋体" w:cs="宋体"/>
                <w:color w:val="000000"/>
                <w:kern w:val="0"/>
                <w:sz w:val="16"/>
                <w:szCs w:val="16"/>
              </w:rPr>
              <w:t>1</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100.00%</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3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3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75" w:hRule="atLeast"/>
        </w:trPr>
        <w:tc>
          <w:tcPr>
            <w:tcW w:w="9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监督党委责任主体，发挥监督主体作用；微腐败工作取得较大成效，辖区内政治清明，纪律严明，风清气正。</w:t>
            </w:r>
          </w:p>
        </w:tc>
        <w:tc>
          <w:tcPr>
            <w:tcW w:w="33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按照时间节点，完成目标任务</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9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3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9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3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94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85" w:hRule="atLeast"/>
        </w:trPr>
        <w:tc>
          <w:tcPr>
            <w:tcW w:w="94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组织宣传活动次数（次）</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rPr>
              <w:t>≥</w:t>
            </w:r>
            <w:r>
              <w:rPr>
                <w:rFonts w:hint="eastAsia" w:ascii="宋体" w:hAnsi="宋体" w:eastAsia="宋体" w:cs="宋体"/>
                <w:kern w:val="0"/>
                <w:sz w:val="16"/>
                <w:szCs w:val="16"/>
                <w:lang w:val="en-US" w:eastAsia="zh-CN"/>
              </w:rPr>
              <w:t>10次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kern w:val="0"/>
                <w:sz w:val="16"/>
                <w:szCs w:val="16"/>
              </w:rPr>
              <w:t>≥</w:t>
            </w:r>
            <w:r>
              <w:rPr>
                <w:rFonts w:hint="eastAsia" w:ascii="宋体" w:hAnsi="宋体" w:eastAsia="宋体" w:cs="宋体"/>
                <w:kern w:val="0"/>
                <w:sz w:val="16"/>
                <w:szCs w:val="16"/>
                <w:lang w:val="en-US" w:eastAsia="zh-CN"/>
              </w:rPr>
              <w:t>10次</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16</w:t>
            </w:r>
          </w:p>
        </w:tc>
      </w:tr>
      <w:tr>
        <w:tblPrEx>
          <w:tblCellMar>
            <w:top w:w="0" w:type="dxa"/>
            <w:left w:w="108" w:type="dxa"/>
            <w:bottom w:w="0" w:type="dxa"/>
            <w:right w:w="108" w:type="dxa"/>
          </w:tblCellMar>
        </w:tblPrEx>
        <w:trPr>
          <w:trHeight w:val="405" w:hRule="atLeast"/>
        </w:trPr>
        <w:tc>
          <w:tcPr>
            <w:tcW w:w="94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党报党刊征订</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lang w:val="en-US" w:eastAsia="zh-CN"/>
              </w:rPr>
              <w:t>=10</w:t>
            </w:r>
            <w:r>
              <w:rPr>
                <w:rFonts w:hint="eastAsia" w:ascii="宋体" w:hAnsi="宋体" w:eastAsia="宋体" w:cs="宋体"/>
                <w:kern w:val="0"/>
                <w:sz w:val="16"/>
                <w:szCs w:val="16"/>
              </w:rPr>
              <w:t>0%</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=100</w:t>
            </w:r>
            <w:r>
              <w:rPr>
                <w:rFonts w:hint="eastAsia" w:ascii="宋体" w:hAnsi="宋体" w:eastAsia="宋体" w:cs="宋体"/>
                <w:color w:val="000000"/>
                <w:kern w:val="0"/>
                <w:sz w:val="16"/>
                <w:szCs w:val="16"/>
              </w:rPr>
              <w:t>%</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16</w:t>
            </w:r>
          </w:p>
        </w:tc>
      </w:tr>
      <w:tr>
        <w:tblPrEx>
          <w:tblCellMar>
            <w:top w:w="0" w:type="dxa"/>
            <w:left w:w="108" w:type="dxa"/>
            <w:bottom w:w="0" w:type="dxa"/>
            <w:right w:w="108" w:type="dxa"/>
          </w:tblCellMar>
        </w:tblPrEx>
        <w:trPr>
          <w:trHeight w:val="495" w:hRule="atLeast"/>
        </w:trPr>
        <w:tc>
          <w:tcPr>
            <w:tcW w:w="94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效益指标</w:t>
            </w:r>
            <w:r>
              <w:rPr>
                <w:rFonts w:hint="eastAsia" w:ascii="宋体" w:hAnsi="宋体" w:eastAsia="宋体" w:cs="宋体"/>
                <w:color w:val="000000"/>
                <w:kern w:val="0"/>
                <w:sz w:val="16"/>
                <w:szCs w:val="16"/>
                <w:lang w:val="en-US" w:eastAsia="zh-CN"/>
              </w:rPr>
              <w:t>(30)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社会效益指标</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16"/>
                <w:szCs w:val="16"/>
                <w:lang w:val="en-US" w:eastAsia="zh-CN" w:bidi="ar-SA"/>
              </w:rPr>
            </w:pPr>
            <w:r>
              <w:rPr>
                <w:rFonts w:hint="eastAsia" w:ascii="宋体" w:hAnsi="宋体" w:eastAsia="宋体" w:cs="宋体"/>
                <w:color w:val="000000"/>
                <w:kern w:val="0"/>
                <w:sz w:val="16"/>
                <w:szCs w:val="16"/>
              </w:rPr>
              <w:t>提高党员业务能力</w:t>
            </w:r>
            <w:r>
              <w:rPr>
                <w:rFonts w:hint="eastAsia" w:ascii="宋体" w:hAnsi="宋体" w:eastAsia="宋体" w:cs="宋体"/>
                <w:color w:val="000000"/>
                <w:kern w:val="0"/>
                <w:sz w:val="16"/>
                <w:szCs w:val="16"/>
                <w:lang w:eastAsia="zh-CN"/>
              </w:rPr>
              <w:t>、组织培训次数</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宋体"/>
                <w:color w:val="000000"/>
                <w:kern w:val="0"/>
                <w:sz w:val="16"/>
                <w:szCs w:val="16"/>
                <w:lang w:val="en-US" w:eastAsia="zh-CN" w:bidi="ar-SA"/>
              </w:rPr>
            </w:pPr>
            <w:r>
              <w:rPr>
                <w:rFonts w:hint="eastAsia" w:ascii="宋体" w:hAnsi="宋体" w:eastAsia="宋体" w:cs="宋体"/>
                <w:color w:val="000000"/>
                <w:kern w:val="0"/>
                <w:sz w:val="16"/>
                <w:szCs w:val="16"/>
              </w:rPr>
              <w:t>≥</w:t>
            </w:r>
            <w:r>
              <w:rPr>
                <w:rFonts w:hint="eastAsia" w:ascii="宋体" w:hAnsi="宋体" w:eastAsia="宋体" w:cs="宋体"/>
                <w:color w:val="000000"/>
                <w:kern w:val="0"/>
                <w:sz w:val="16"/>
                <w:szCs w:val="16"/>
                <w:lang w:val="en-US" w:eastAsia="zh-CN"/>
              </w:rPr>
              <w:t>2次</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1"/>
                <w:szCs w:val="21"/>
                <w:lang w:val="en-US" w:eastAsia="zh-CN" w:bidi="ar-SA"/>
              </w:rPr>
            </w:pPr>
            <w:r>
              <w:rPr>
                <w:rFonts w:hint="eastAsia" w:ascii="宋体" w:hAnsi="宋体" w:eastAsia="宋体" w:cs="宋体"/>
                <w:color w:val="000000"/>
                <w:kern w:val="0"/>
                <w:sz w:val="16"/>
                <w:szCs w:val="16"/>
              </w:rPr>
              <w:t>≥</w:t>
            </w:r>
            <w:r>
              <w:rPr>
                <w:rFonts w:hint="eastAsia" w:ascii="宋体" w:hAnsi="宋体" w:eastAsia="宋体" w:cs="宋体"/>
                <w:color w:val="000000"/>
                <w:kern w:val="0"/>
                <w:sz w:val="16"/>
                <w:szCs w:val="16"/>
                <w:lang w:val="en-US" w:eastAsia="zh-CN"/>
              </w:rPr>
              <w:t>2次</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Calibri" w:hAnsi="Calibri" w:eastAsia="宋体" w:cs="宋体"/>
                <w:color w:val="000000"/>
                <w:kern w:val="0"/>
                <w:szCs w:val="21"/>
                <w:lang w:val="en-US" w:eastAsia="zh-CN"/>
              </w:rPr>
            </w:pPr>
            <w:r>
              <w:rPr>
                <w:rFonts w:hint="eastAsia" w:ascii="Calibri" w:hAnsi="Calibri" w:eastAsia="宋体" w:cs="宋体"/>
                <w:color w:val="000000"/>
                <w:kern w:val="0"/>
                <w:szCs w:val="21"/>
                <w:lang w:val="en-US" w:eastAsia="zh-CN"/>
              </w:rPr>
              <w:t>30</w:t>
            </w:r>
          </w:p>
        </w:tc>
      </w:tr>
      <w:tr>
        <w:tblPrEx>
          <w:tblCellMar>
            <w:top w:w="0" w:type="dxa"/>
            <w:left w:w="108" w:type="dxa"/>
            <w:bottom w:w="0" w:type="dxa"/>
            <w:right w:w="108" w:type="dxa"/>
          </w:tblCellMar>
        </w:tblPrEx>
        <w:trPr>
          <w:trHeight w:val="495" w:hRule="atLeast"/>
        </w:trPr>
        <w:tc>
          <w:tcPr>
            <w:tcW w:w="94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满意度指标（10）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满意度指标</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群众满意及比较满意人数占参加调查总人数的比率</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w:t>
            </w:r>
            <w:r>
              <w:rPr>
                <w:rFonts w:ascii="Calibri" w:hAnsi="Calibri" w:eastAsia="宋体" w:cs="宋体"/>
                <w:color w:val="000000"/>
                <w:kern w:val="0"/>
                <w:sz w:val="16"/>
                <w:szCs w:val="16"/>
              </w:rPr>
              <w:t>95%</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16"/>
                <w:szCs w:val="16"/>
                <w:lang w:val="en-US" w:eastAsia="zh-CN" w:bidi="ar-SA"/>
              </w:rPr>
            </w:pPr>
            <w:r>
              <w:rPr>
                <w:rFonts w:ascii="Calibri" w:hAnsi="Calibri" w:eastAsia="宋体" w:cs="宋体"/>
                <w:color w:val="000000"/>
                <w:kern w:val="0"/>
                <w:sz w:val="16"/>
                <w:szCs w:val="16"/>
              </w:rPr>
              <w:t>95%</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1"/>
                <w:szCs w:val="21"/>
                <w:lang w:val="en-US" w:eastAsia="zh-CN" w:bidi="ar-SA"/>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495" w:hRule="atLeast"/>
        </w:trPr>
        <w:tc>
          <w:tcPr>
            <w:tcW w:w="94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100.00%</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94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915"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00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keepNext/>
        <w:keepLines/>
        <w:snapToGrid w:val="0"/>
        <w:spacing w:line="580" w:lineRule="exact"/>
        <w:ind w:firstLine="640" w:firstLineChars="200"/>
        <w:jc w:val="right"/>
        <w:outlineLvl w:val="1"/>
        <w:rPr>
          <w:rFonts w:ascii="黑体" w:hAnsi="Calibri" w:eastAsia="黑体" w:cs="Times New Roman"/>
          <w:sz w:val="32"/>
          <w:szCs w:val="32"/>
        </w:rPr>
      </w:pPr>
    </w:p>
    <w:p>
      <w:pPr>
        <w:adjustRightInd w:val="0"/>
        <w:snapToGrid w:val="0"/>
        <w:spacing w:line="580" w:lineRule="exact"/>
        <w:ind w:firstLine="630"/>
        <w:rPr>
          <w:rFonts w:ascii="仿宋_GB2312" w:hAnsi="仿宋_GB2312" w:eastAsia="仿宋_GB2312" w:cs="仿宋_GB2312"/>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 xml:space="preserve">) </w:t>
      </w:r>
      <w:r>
        <w:rPr>
          <w:rFonts w:hint="eastAsia" w:ascii="仿宋_GB2312" w:hAnsi="仿宋_GB2312" w:eastAsia="仿宋_GB2312" w:cs="仿宋_GB2312"/>
          <w:sz w:val="32"/>
          <w:szCs w:val="32"/>
        </w:rPr>
        <w:t>人大代表之家工作经费项目自评综述：根据年初设定的绩效目标，人大代表之家工作经费项目绩效自评得分为100分（绩效自评表附后）。全年预算数为1万元，执行数为1万元，完成预算的100%。项目绩效目标完成情况：学习宣传培训，开展代表活动，密切联系群众，定期开展人大代表接访、走访、约访、回访等工作，接受群众监督，提出议案建议。发现的主要问题及原因：一是预算编制工作有待细化；二是绩效目标设立不够明确和量</w:t>
      </w:r>
      <w:r>
        <w:rPr>
          <w:rFonts w:hint="eastAsia" w:ascii="仿宋_GB2312" w:eastAsia="仿宋_GB2312"/>
          <w:sz w:val="32"/>
          <w:szCs w:val="32"/>
        </w:rPr>
        <w:t>化；三：预算编制的合理性及资金使用效益需提高；</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40" w:type="dxa"/>
        <w:tblInd w:w="95" w:type="dxa"/>
        <w:tblLayout w:type="autofit"/>
        <w:tblCellMar>
          <w:top w:w="0" w:type="dxa"/>
          <w:left w:w="108" w:type="dxa"/>
          <w:bottom w:w="0" w:type="dxa"/>
          <w:right w:w="108" w:type="dxa"/>
        </w:tblCellMar>
      </w:tblPr>
      <w:tblGrid>
        <w:gridCol w:w="940"/>
        <w:gridCol w:w="1000"/>
        <w:gridCol w:w="1080"/>
        <w:gridCol w:w="1240"/>
        <w:gridCol w:w="1260"/>
        <w:gridCol w:w="1060"/>
        <w:gridCol w:w="1060"/>
        <w:gridCol w:w="1300"/>
      </w:tblGrid>
      <w:tr>
        <w:tblPrEx>
          <w:tblCellMar>
            <w:top w:w="0" w:type="dxa"/>
            <w:left w:w="108" w:type="dxa"/>
            <w:bottom w:w="0" w:type="dxa"/>
            <w:right w:w="108" w:type="dxa"/>
          </w:tblCellMar>
        </w:tblPrEx>
        <w:trPr>
          <w:trHeight w:val="510" w:hRule="atLeast"/>
        </w:trPr>
        <w:tc>
          <w:tcPr>
            <w:tcW w:w="8940" w:type="dxa"/>
            <w:gridSpan w:val="8"/>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894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2019年度）</w:t>
            </w:r>
          </w:p>
        </w:tc>
      </w:tr>
      <w:tr>
        <w:tblPrEx>
          <w:tblCellMar>
            <w:top w:w="0" w:type="dxa"/>
            <w:left w:w="108" w:type="dxa"/>
            <w:bottom w:w="0" w:type="dxa"/>
            <w:right w:w="108" w:type="dxa"/>
          </w:tblCellMar>
        </w:tblPrEx>
        <w:trPr>
          <w:trHeight w:val="435" w:hRule="atLeast"/>
        </w:trPr>
        <w:tc>
          <w:tcPr>
            <w:tcW w:w="4260"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填报单位（盖章）：青龙满族自治县马圈子镇人民政府</w:t>
            </w:r>
          </w:p>
        </w:tc>
        <w:tc>
          <w:tcPr>
            <w:tcW w:w="12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3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94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人大代表之家工作经费</w:t>
            </w:r>
          </w:p>
        </w:tc>
        <w:tc>
          <w:tcPr>
            <w:tcW w:w="12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4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青龙满族自治县马圈子镇人民政府</w:t>
            </w: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0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100.00%</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94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3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3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75"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after="24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学习宣传培训，开展代表活动，密切联系群众，定期开展人大代表接访、走访、约访、回访等工作，接受群众监督，提出议案建议。</w:t>
            </w:r>
          </w:p>
        </w:tc>
        <w:tc>
          <w:tcPr>
            <w:tcW w:w="338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按照时间节点，完成目标任务</w:t>
            </w:r>
          </w:p>
        </w:tc>
        <w:tc>
          <w:tcPr>
            <w:tcW w:w="130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5"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8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30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组织代表参加活动次数</w:t>
            </w:r>
          </w:p>
        </w:tc>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rPr>
              <w:t>≥</w:t>
            </w:r>
            <w:r>
              <w:rPr>
                <w:rFonts w:hint="eastAsia" w:ascii="宋体" w:hAnsi="宋体" w:eastAsia="宋体" w:cs="宋体"/>
                <w:kern w:val="0"/>
                <w:sz w:val="16"/>
                <w:szCs w:val="16"/>
                <w:lang w:val="en-US" w:eastAsia="zh-CN"/>
              </w:rPr>
              <w:t>2次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kern w:val="0"/>
                <w:sz w:val="16"/>
                <w:szCs w:val="16"/>
              </w:rPr>
              <w:t>≥</w:t>
            </w:r>
            <w:r>
              <w:rPr>
                <w:rFonts w:hint="eastAsia" w:ascii="宋体" w:hAnsi="宋体" w:eastAsia="宋体" w:cs="宋体"/>
                <w:kern w:val="0"/>
                <w:sz w:val="16"/>
                <w:szCs w:val="16"/>
                <w:lang w:val="en-US" w:eastAsia="zh-CN"/>
              </w:rPr>
              <w:t>2次</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w:t>
            </w:r>
          </w:p>
        </w:tc>
      </w:tr>
      <w:tr>
        <w:tblPrEx>
          <w:tblCellMar>
            <w:top w:w="0" w:type="dxa"/>
            <w:left w:w="108" w:type="dxa"/>
            <w:bottom w:w="0" w:type="dxa"/>
            <w:right w:w="108" w:type="dxa"/>
          </w:tblCellMar>
        </w:tblPrEx>
        <w:trPr>
          <w:trHeight w:val="40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开展调研的次数</w:t>
            </w:r>
          </w:p>
        </w:tc>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w:t>
            </w:r>
            <w:r>
              <w:rPr>
                <w:rFonts w:hint="eastAsia" w:ascii="宋体" w:hAnsi="宋体" w:eastAsia="宋体" w:cs="宋体"/>
                <w:kern w:val="0"/>
                <w:sz w:val="16"/>
                <w:szCs w:val="16"/>
                <w:lang w:val="en-US" w:eastAsia="zh-CN"/>
              </w:rPr>
              <w:t>2次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kern w:val="0"/>
                <w:sz w:val="16"/>
                <w:szCs w:val="16"/>
              </w:rPr>
              <w:t>≥</w:t>
            </w:r>
            <w:r>
              <w:rPr>
                <w:rFonts w:hint="eastAsia" w:ascii="宋体" w:hAnsi="宋体" w:eastAsia="宋体" w:cs="宋体"/>
                <w:kern w:val="0"/>
                <w:sz w:val="16"/>
                <w:szCs w:val="16"/>
                <w:lang w:val="en-US" w:eastAsia="zh-CN"/>
              </w:rPr>
              <w:t>2次</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社会效益指标</w:t>
            </w:r>
          </w:p>
          <w:p>
            <w:pPr>
              <w:widowControl/>
              <w:jc w:val="center"/>
              <w:rPr>
                <w:rFonts w:ascii="宋体" w:hAnsi="宋体" w:eastAsia="宋体" w:cs="宋体"/>
                <w:color w:val="000000"/>
                <w:kern w:val="0"/>
                <w:sz w:val="16"/>
                <w:szCs w:val="16"/>
              </w:rPr>
            </w:pP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意见建议采纳率</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kern w:val="0"/>
                <w:sz w:val="16"/>
                <w:szCs w:val="16"/>
                <w:lang w:val="en-US" w:eastAsia="zh-CN" w:bidi="ar-SA"/>
              </w:rPr>
            </w:pPr>
            <w:r>
              <w:rPr>
                <w:rFonts w:hint="eastAsia" w:ascii="宋体" w:hAnsi="宋体" w:eastAsia="宋体" w:cs="宋体"/>
                <w:color w:val="000000"/>
                <w:kern w:val="0"/>
                <w:sz w:val="16"/>
                <w:szCs w:val="16"/>
              </w:rPr>
              <w:t>≥</w:t>
            </w:r>
            <w:r>
              <w:rPr>
                <w:rFonts w:hint="eastAsia" w:ascii="宋体" w:hAnsi="宋体" w:eastAsia="宋体" w:cs="宋体"/>
                <w:color w:val="000000"/>
                <w:kern w:val="0"/>
                <w:sz w:val="16"/>
                <w:szCs w:val="16"/>
                <w:lang w:val="en-US" w:eastAsia="zh-CN"/>
              </w:rPr>
              <w:t>50%</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6"/>
                <w:szCs w:val="16"/>
                <w:lang w:val="en-US" w:eastAsia="zh-CN" w:bidi="ar-SA"/>
              </w:rPr>
            </w:pPr>
            <w:r>
              <w:rPr>
                <w:rFonts w:hint="eastAsia" w:ascii="宋体" w:hAnsi="宋体" w:eastAsia="宋体" w:cs="宋体"/>
                <w:color w:val="000000"/>
                <w:kern w:val="0"/>
                <w:sz w:val="16"/>
                <w:szCs w:val="16"/>
              </w:rPr>
              <w:t>≥</w:t>
            </w:r>
            <w:r>
              <w:rPr>
                <w:rFonts w:hint="eastAsia" w:ascii="宋体" w:hAnsi="宋体" w:eastAsia="宋体" w:cs="宋体"/>
                <w:color w:val="000000"/>
                <w:kern w:val="0"/>
                <w:sz w:val="16"/>
                <w:szCs w:val="16"/>
                <w:lang w:val="en-US" w:eastAsia="zh-CN"/>
              </w:rPr>
              <w:t>50%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21"/>
                <w:szCs w:val="21"/>
                <w:lang w:val="en-US" w:eastAsia="zh-CN" w:bidi="ar-SA"/>
              </w:rPr>
            </w:pPr>
            <w:r>
              <w:rPr>
                <w:rFonts w:ascii="Calibri" w:hAnsi="Calibri" w:eastAsia="宋体" w:cs="宋体"/>
                <w:color w:val="000000"/>
                <w:kern w:val="0"/>
                <w:szCs w:val="21"/>
              </w:rPr>
              <w:t>30</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群众满意度</w:t>
            </w:r>
          </w:p>
        </w:tc>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≥95%</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16"/>
                <w:szCs w:val="16"/>
              </w:rPr>
            </w:pPr>
            <w:r>
              <w:rPr>
                <w:rFonts w:ascii="Calibri" w:hAnsi="Calibri" w:eastAsia="宋体" w:cs="宋体"/>
                <w:color w:val="000000"/>
                <w:kern w:val="0"/>
                <w:sz w:val="16"/>
                <w:szCs w:val="16"/>
              </w:rPr>
              <w:t>95%</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49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100.00%</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915"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00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adjustRightInd w:val="0"/>
        <w:snapToGrid w:val="0"/>
        <w:spacing w:line="580" w:lineRule="exact"/>
        <w:ind w:firstLine="630"/>
        <w:rPr>
          <w:rFonts w:ascii="仿宋_GB2312" w:hAnsi="仿宋_GB2312" w:eastAsia="仿宋_GB2312" w:cs="仿宋_GB2312"/>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 xml:space="preserve">) </w:t>
      </w:r>
      <w:r>
        <w:rPr>
          <w:rFonts w:hint="eastAsia" w:ascii="仿宋_GB2312" w:hAnsi="仿宋_GB2312" w:eastAsia="仿宋_GB2312" w:cs="仿宋_GB2312"/>
          <w:sz w:val="32"/>
          <w:szCs w:val="32"/>
        </w:rPr>
        <w:t>团委工作经费项目自评综述：根据年初设定的绩效目标，团委工作经费项目绩效自评得分为100分（绩效自评表附后）。全年预算数为2万元，执行数为2万元，完成预算的100%。项目绩效目标完成情况：一是加强青年社团组织以及青少年活动阵地的指导和管理;二是构建团的网络新媒体工作阵地，运用新媒体全方位推进团的工作；三是利用重要节点节日、各类阵地、各种形式进行思想引导，培养青年骨干，打造适应青少年特点的文化产品。发现的主要问题及原因：一是预算编制工作有待细化；二是绩效目标设立不够明确和量</w:t>
      </w:r>
      <w:r>
        <w:rPr>
          <w:rFonts w:hint="eastAsia" w:ascii="仿宋_GB2312" w:eastAsia="仿宋_GB2312"/>
          <w:sz w:val="32"/>
          <w:szCs w:val="32"/>
        </w:rPr>
        <w:t>化；三：预算编制的合理性及资金使用效益需提高；</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40" w:type="dxa"/>
        <w:tblInd w:w="95" w:type="dxa"/>
        <w:tblLayout w:type="autofit"/>
        <w:tblCellMar>
          <w:top w:w="0" w:type="dxa"/>
          <w:left w:w="108" w:type="dxa"/>
          <w:bottom w:w="0" w:type="dxa"/>
          <w:right w:w="108" w:type="dxa"/>
        </w:tblCellMar>
      </w:tblPr>
      <w:tblGrid>
        <w:gridCol w:w="940"/>
        <w:gridCol w:w="1000"/>
        <w:gridCol w:w="1080"/>
        <w:gridCol w:w="1240"/>
        <w:gridCol w:w="1260"/>
        <w:gridCol w:w="1060"/>
        <w:gridCol w:w="1060"/>
        <w:gridCol w:w="1300"/>
      </w:tblGrid>
      <w:tr>
        <w:tblPrEx>
          <w:tblCellMar>
            <w:top w:w="0" w:type="dxa"/>
            <w:left w:w="108" w:type="dxa"/>
            <w:bottom w:w="0" w:type="dxa"/>
            <w:right w:w="108" w:type="dxa"/>
          </w:tblCellMar>
        </w:tblPrEx>
        <w:trPr>
          <w:trHeight w:val="510" w:hRule="atLeast"/>
        </w:trPr>
        <w:tc>
          <w:tcPr>
            <w:tcW w:w="8940" w:type="dxa"/>
            <w:gridSpan w:val="8"/>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894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2019年度）</w:t>
            </w:r>
          </w:p>
        </w:tc>
      </w:tr>
      <w:tr>
        <w:tblPrEx>
          <w:tblCellMar>
            <w:top w:w="0" w:type="dxa"/>
            <w:left w:w="108" w:type="dxa"/>
            <w:bottom w:w="0" w:type="dxa"/>
            <w:right w:w="108" w:type="dxa"/>
          </w:tblCellMar>
        </w:tblPrEx>
        <w:trPr>
          <w:trHeight w:val="435" w:hRule="atLeast"/>
        </w:trPr>
        <w:tc>
          <w:tcPr>
            <w:tcW w:w="4260"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填报单位（盖章）：青龙满族自治县马圈子镇人民政府</w:t>
            </w:r>
          </w:p>
        </w:tc>
        <w:tc>
          <w:tcPr>
            <w:tcW w:w="12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3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94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团委工作经费</w:t>
            </w:r>
          </w:p>
        </w:tc>
        <w:tc>
          <w:tcPr>
            <w:tcW w:w="12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4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青龙满族自治县马圈子镇人民政府</w:t>
            </w: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0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100.00%</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45" w:hRule="atLeast"/>
        </w:trPr>
        <w:tc>
          <w:tcPr>
            <w:tcW w:w="94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3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3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75"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after="24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加强青年社团组织以及青少年活动阵地的指导和管理。构建团的网络新媒体工作阵地，运用新媒体全方位推进团的工作；利用重要节点节日、各类阵地、各种形式进行思想引导，培养青年骨干，打造适应青少年特点的文化产品。</w:t>
            </w:r>
          </w:p>
        </w:tc>
        <w:tc>
          <w:tcPr>
            <w:tcW w:w="338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按照时间节点，完成目标任务</w:t>
            </w:r>
          </w:p>
        </w:tc>
        <w:tc>
          <w:tcPr>
            <w:tcW w:w="130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885"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8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30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组织镇青年慰问留守儿童活动的次数</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lang w:val="en-US" w:eastAsia="zh-CN"/>
              </w:rPr>
            </w:pPr>
            <w:r>
              <w:rPr>
                <w:rFonts w:hint="eastAsia" w:ascii="宋体" w:hAnsi="宋体" w:eastAsia="宋体" w:cs="宋体"/>
                <w:color w:val="000000"/>
                <w:kern w:val="0"/>
                <w:sz w:val="16"/>
                <w:szCs w:val="16"/>
              </w:rPr>
              <w:t>≥</w:t>
            </w:r>
            <w:r>
              <w:rPr>
                <w:rFonts w:hint="eastAsia" w:ascii="宋体" w:hAnsi="宋体" w:eastAsia="宋体" w:cs="宋体"/>
                <w:color w:val="000000"/>
                <w:kern w:val="0"/>
                <w:sz w:val="16"/>
                <w:szCs w:val="16"/>
                <w:lang w:val="en-US" w:eastAsia="zh-CN"/>
              </w:rPr>
              <w:t>5次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w:t>
            </w:r>
            <w:r>
              <w:rPr>
                <w:rFonts w:hint="eastAsia" w:ascii="宋体" w:hAnsi="宋体" w:eastAsia="宋体" w:cs="宋体"/>
                <w:color w:val="000000"/>
                <w:kern w:val="0"/>
                <w:sz w:val="16"/>
                <w:szCs w:val="16"/>
                <w:lang w:val="en-US" w:eastAsia="zh-CN"/>
              </w:rPr>
              <w:t>5次</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w:t>
            </w:r>
          </w:p>
        </w:tc>
      </w:tr>
      <w:tr>
        <w:tblPrEx>
          <w:tblCellMar>
            <w:top w:w="0" w:type="dxa"/>
            <w:left w:w="108" w:type="dxa"/>
            <w:bottom w:w="0" w:type="dxa"/>
            <w:right w:w="108" w:type="dxa"/>
          </w:tblCellMar>
        </w:tblPrEx>
        <w:trPr>
          <w:trHeight w:val="30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50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反映全乡未成年人思想道德建设宣传覆盖率</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r>
              <w:rPr>
                <w:rFonts w:ascii="Calibri" w:hAnsi="Calibri" w:eastAsia="宋体" w:cs="宋体"/>
                <w:color w:val="000000"/>
                <w:kern w:val="0"/>
                <w:sz w:val="16"/>
                <w:szCs w:val="16"/>
              </w:rPr>
              <w:t>9</w:t>
            </w:r>
            <w:r>
              <w:rPr>
                <w:rFonts w:hint="eastAsia" w:ascii="Calibri" w:hAnsi="Calibri" w:eastAsia="宋体" w:cs="宋体"/>
                <w:color w:val="000000"/>
                <w:kern w:val="0"/>
                <w:sz w:val="16"/>
                <w:szCs w:val="16"/>
                <w:lang w:val="en-US" w:eastAsia="zh-CN"/>
              </w:rPr>
              <w:t>0</w:t>
            </w:r>
            <w:r>
              <w:rPr>
                <w:rFonts w:ascii="Calibri" w:hAnsi="Calibri" w:eastAsia="宋体" w:cs="宋体"/>
                <w:color w:val="000000"/>
                <w:kern w:val="0"/>
                <w:sz w:val="16"/>
                <w:szCs w:val="16"/>
              </w:rPr>
              <w:t>%</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w:t>
            </w:r>
            <w:r>
              <w:rPr>
                <w:rFonts w:hint="eastAsia" w:ascii="宋体" w:hAnsi="宋体" w:eastAsia="宋体" w:cs="宋体"/>
                <w:color w:val="000000"/>
                <w:kern w:val="0"/>
                <w:sz w:val="16"/>
                <w:szCs w:val="16"/>
                <w:lang w:val="en-US" w:eastAsia="zh-CN"/>
              </w:rPr>
              <w:t>0</w:t>
            </w:r>
            <w:r>
              <w:rPr>
                <w:rFonts w:hint="eastAsia" w:ascii="宋体" w:hAnsi="宋体" w:eastAsia="宋体" w:cs="宋体"/>
                <w:color w:val="000000"/>
                <w:kern w:val="0"/>
                <w:sz w:val="16"/>
                <w:szCs w:val="16"/>
              </w:rPr>
              <w:t>%</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25</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社会效益指标</w:t>
            </w:r>
          </w:p>
          <w:p>
            <w:pPr>
              <w:widowControl/>
              <w:jc w:val="center"/>
              <w:rPr>
                <w:rFonts w:ascii="宋体" w:hAnsi="宋体" w:eastAsia="宋体" w:cs="宋体"/>
                <w:color w:val="000000"/>
                <w:kern w:val="0"/>
                <w:sz w:val="16"/>
                <w:szCs w:val="16"/>
              </w:rPr>
            </w:pP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用于团委日常办公及相关团委活动经费，保证团委工作的正常进行</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16"/>
                <w:szCs w:val="16"/>
                <w:lang w:val="en-US" w:eastAsia="zh-CN" w:bidi="ar-SA"/>
              </w:rPr>
            </w:pPr>
            <w:r>
              <w:rPr>
                <w:rFonts w:hint="eastAsia" w:ascii="宋体" w:hAnsi="宋体" w:eastAsia="宋体" w:cs="宋体"/>
                <w:kern w:val="0"/>
                <w:sz w:val="16"/>
                <w:szCs w:val="16"/>
              </w:rPr>
              <w:t>≥</w:t>
            </w:r>
            <w:r>
              <w:rPr>
                <w:rFonts w:hint="eastAsia" w:ascii="宋体" w:hAnsi="宋体" w:eastAsia="宋体" w:cs="宋体"/>
                <w:kern w:val="0"/>
                <w:sz w:val="16"/>
                <w:szCs w:val="16"/>
                <w:lang w:val="en-US" w:eastAsia="zh-CN"/>
              </w:rPr>
              <w:t>98</w:t>
            </w:r>
            <w:r>
              <w:rPr>
                <w:rFonts w:hint="eastAsia" w:ascii="宋体" w:hAnsi="宋体" w:eastAsia="宋体" w:cs="宋体"/>
                <w:kern w:val="0"/>
                <w:sz w:val="16"/>
                <w:szCs w:val="16"/>
              </w:rPr>
              <w:t>%</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6"/>
                <w:szCs w:val="16"/>
                <w:lang w:val="en-US" w:eastAsia="zh-CN" w:bidi="ar-SA"/>
              </w:rPr>
            </w:pPr>
            <w:r>
              <w:rPr>
                <w:rFonts w:hint="eastAsia" w:ascii="Calibri" w:hAnsi="Calibri" w:eastAsia="宋体" w:cs="宋体"/>
                <w:color w:val="000000"/>
                <w:kern w:val="0"/>
                <w:sz w:val="16"/>
                <w:szCs w:val="16"/>
                <w:lang w:val="en-US" w:eastAsia="zh-CN"/>
              </w:rPr>
              <w:t>98</w:t>
            </w:r>
            <w:r>
              <w:rPr>
                <w:rFonts w:ascii="Calibri" w:hAnsi="Calibri" w:eastAsia="宋体" w:cs="宋体"/>
                <w:color w:val="000000"/>
                <w:kern w:val="0"/>
                <w:sz w:val="16"/>
                <w:szCs w:val="16"/>
              </w:rPr>
              <w:t>%</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21"/>
                <w:szCs w:val="21"/>
                <w:lang w:val="en-US" w:eastAsia="zh-CN" w:bidi="ar-SA"/>
              </w:rPr>
            </w:pPr>
            <w:r>
              <w:rPr>
                <w:rFonts w:ascii="Calibri" w:hAnsi="Calibri" w:eastAsia="宋体" w:cs="宋体"/>
                <w:color w:val="000000"/>
                <w:kern w:val="0"/>
                <w:szCs w:val="21"/>
              </w:rPr>
              <w:t>30</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相关人员调查中，满意和较满意的人数占全部调查人数的比率（%）</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≥90%</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6"/>
                <w:szCs w:val="16"/>
              </w:rPr>
            </w:pPr>
            <w:r>
              <w:rPr>
                <w:rFonts w:ascii="Calibri" w:hAnsi="Calibri" w:eastAsia="宋体" w:cs="宋体"/>
                <w:color w:val="000000"/>
                <w:kern w:val="0"/>
                <w:sz w:val="16"/>
                <w:szCs w:val="16"/>
              </w:rPr>
              <w:t>90%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49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100.00%</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915"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00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adjustRightInd w:val="0"/>
        <w:snapToGrid w:val="0"/>
        <w:spacing w:line="580" w:lineRule="exact"/>
        <w:ind w:firstLine="630"/>
        <w:rPr>
          <w:rFonts w:ascii="仿宋_GB2312" w:hAnsi="仿宋_GB2312" w:eastAsia="仿宋_GB2312" w:cs="仿宋_GB2312"/>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 xml:space="preserve">) </w:t>
      </w:r>
      <w:r>
        <w:rPr>
          <w:rFonts w:hint="eastAsia" w:ascii="仿宋_GB2312" w:hAnsi="仿宋_GB2312" w:eastAsia="仿宋_GB2312" w:cs="仿宋_GB2312"/>
          <w:sz w:val="32"/>
          <w:szCs w:val="32"/>
        </w:rPr>
        <w:t>燃煤锅炉改造及清洁能源补贴目自评综述：根据年初设定的绩效目标，燃煤锅炉改造及清洁能源补贴项目绩效自评得分为</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分（绩效自评表附后）。全年预算数为</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21.13</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84.5%</w:t>
      </w:r>
      <w:r>
        <w:rPr>
          <w:rFonts w:hint="eastAsia" w:ascii="仿宋_GB2312" w:hAnsi="仿宋_GB2312" w:eastAsia="仿宋_GB2312" w:cs="仿宋_GB2312"/>
          <w:sz w:val="32"/>
          <w:szCs w:val="32"/>
        </w:rPr>
        <w:t>。项目绩效目标完成情况：加快推进煤改电煤改新能源，取缔燃煤锅炉供暖，使用清洁能源，改善、治理大气污染。发现的主要问题及原因：一是预算编制工作有待细化；二是绩效目标设立不够明确和量</w:t>
      </w:r>
      <w:r>
        <w:rPr>
          <w:rFonts w:hint="eastAsia" w:ascii="仿宋_GB2312" w:eastAsia="仿宋_GB2312"/>
          <w:sz w:val="32"/>
          <w:szCs w:val="32"/>
        </w:rPr>
        <w:t>化；三：预算编制的合理性及资金使用效益需提高；</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40" w:type="dxa"/>
        <w:tblInd w:w="95" w:type="dxa"/>
        <w:tblLayout w:type="autofit"/>
        <w:tblCellMar>
          <w:top w:w="0" w:type="dxa"/>
          <w:left w:w="108" w:type="dxa"/>
          <w:bottom w:w="0" w:type="dxa"/>
          <w:right w:w="108" w:type="dxa"/>
        </w:tblCellMar>
      </w:tblPr>
      <w:tblGrid>
        <w:gridCol w:w="940"/>
        <w:gridCol w:w="1000"/>
        <w:gridCol w:w="1080"/>
        <w:gridCol w:w="1240"/>
        <w:gridCol w:w="1260"/>
        <w:gridCol w:w="1060"/>
        <w:gridCol w:w="1060"/>
        <w:gridCol w:w="1300"/>
      </w:tblGrid>
      <w:tr>
        <w:tblPrEx>
          <w:tblCellMar>
            <w:top w:w="0" w:type="dxa"/>
            <w:left w:w="108" w:type="dxa"/>
            <w:bottom w:w="0" w:type="dxa"/>
            <w:right w:w="108" w:type="dxa"/>
          </w:tblCellMar>
        </w:tblPrEx>
        <w:trPr>
          <w:trHeight w:val="510" w:hRule="atLeast"/>
        </w:trPr>
        <w:tc>
          <w:tcPr>
            <w:tcW w:w="8940" w:type="dxa"/>
            <w:gridSpan w:val="8"/>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0"/>
                <w:szCs w:val="40"/>
              </w:rPr>
            </w:pP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894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2019年度）</w:t>
            </w:r>
          </w:p>
        </w:tc>
      </w:tr>
      <w:tr>
        <w:tblPrEx>
          <w:tblCellMar>
            <w:top w:w="0" w:type="dxa"/>
            <w:left w:w="108" w:type="dxa"/>
            <w:bottom w:w="0" w:type="dxa"/>
            <w:right w:w="108" w:type="dxa"/>
          </w:tblCellMar>
        </w:tblPrEx>
        <w:trPr>
          <w:trHeight w:val="435" w:hRule="atLeast"/>
        </w:trPr>
        <w:tc>
          <w:tcPr>
            <w:tcW w:w="4260"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填报单位（盖章）：青龙满族自治县马圈子镇人民政府</w:t>
            </w:r>
          </w:p>
        </w:tc>
        <w:tc>
          <w:tcPr>
            <w:tcW w:w="12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3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94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燃煤锅炉改造及清洁能源补贴</w:t>
            </w:r>
          </w:p>
        </w:tc>
        <w:tc>
          <w:tcPr>
            <w:tcW w:w="12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4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青龙满族自治县马圈子镇人民政府</w:t>
            </w: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0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ascii="宋体" w:hAnsi="宋体" w:eastAsia="宋体" w:cs="宋体"/>
                <w:color w:val="000000"/>
                <w:kern w:val="0"/>
                <w:sz w:val="16"/>
                <w:szCs w:val="16"/>
              </w:rPr>
              <w:t>25</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ascii="宋体" w:hAnsi="宋体" w:eastAsia="宋体" w:cs="宋体"/>
                <w:color w:val="000000"/>
                <w:kern w:val="0"/>
                <w:sz w:val="16"/>
                <w:szCs w:val="16"/>
              </w:rPr>
              <w:t>25</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ascii="宋体" w:hAnsi="宋体" w:eastAsia="宋体" w:cs="宋体"/>
                <w:color w:val="000000"/>
                <w:kern w:val="0"/>
                <w:sz w:val="16"/>
                <w:szCs w:val="16"/>
              </w:rPr>
              <w:t>21.13</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84.5</w:t>
            </w:r>
            <w:r>
              <w:rPr>
                <w:rFonts w:hint="eastAsia" w:ascii="宋体" w:hAnsi="宋体" w:eastAsia="宋体" w:cs="宋体"/>
                <w:color w:val="000000"/>
                <w:kern w:val="0"/>
                <w:sz w:val="16"/>
                <w:szCs w:val="16"/>
              </w:rPr>
              <w:t>%</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ascii="宋体" w:hAnsi="宋体" w:eastAsia="宋体" w:cs="宋体"/>
                <w:color w:val="000000"/>
                <w:kern w:val="0"/>
                <w:sz w:val="16"/>
                <w:szCs w:val="16"/>
              </w:rPr>
              <w:t>25</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ascii="宋体" w:hAnsi="宋体" w:eastAsia="宋体" w:cs="宋体"/>
                <w:color w:val="000000"/>
                <w:kern w:val="0"/>
                <w:sz w:val="16"/>
                <w:szCs w:val="16"/>
              </w:rPr>
              <w:t>25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ascii="宋体" w:hAnsi="宋体" w:eastAsia="宋体" w:cs="宋体"/>
                <w:color w:val="000000"/>
                <w:kern w:val="0"/>
                <w:sz w:val="16"/>
                <w:szCs w:val="16"/>
              </w:rPr>
              <w:t>21.13</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45" w:hRule="atLeast"/>
        </w:trPr>
        <w:tc>
          <w:tcPr>
            <w:tcW w:w="94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3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3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75"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after="24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加快推进煤改电煤改新能源，取缔燃煤锅炉供暖，使用清洁能源，改善、治理大气污染。</w:t>
            </w:r>
          </w:p>
        </w:tc>
        <w:tc>
          <w:tcPr>
            <w:tcW w:w="338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按照时间节点，完成目标任务</w:t>
            </w:r>
          </w:p>
        </w:tc>
        <w:tc>
          <w:tcPr>
            <w:tcW w:w="130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8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30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生物质锅炉运维数量</w:t>
            </w:r>
          </w:p>
        </w:tc>
        <w:tc>
          <w:tcPr>
            <w:tcW w:w="1060"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1台</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lang w:eastAsia="zh-CN"/>
              </w:rPr>
            </w:pPr>
            <w:r>
              <w:rPr>
                <w:rFonts w:hint="eastAsia" w:ascii="宋体" w:hAnsi="宋体" w:eastAsia="宋体" w:cs="宋体"/>
                <w:kern w:val="0"/>
                <w:sz w:val="16"/>
                <w:szCs w:val="16"/>
                <w:lang w:val="en-US" w:eastAsia="zh-CN"/>
              </w:rPr>
              <w:t>1台</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r>
      <w:tr>
        <w:tblPrEx>
          <w:tblCellMar>
            <w:top w:w="0" w:type="dxa"/>
            <w:left w:w="108" w:type="dxa"/>
            <w:bottom w:w="0" w:type="dxa"/>
            <w:right w:w="108" w:type="dxa"/>
          </w:tblCellMar>
        </w:tblPrEx>
        <w:trPr>
          <w:trHeight w:val="40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机关办公楼及机关食堂的取暖面积</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rPr>
              <w:t>≥</w:t>
            </w:r>
            <w:r>
              <w:rPr>
                <w:rFonts w:hint="eastAsia" w:ascii="宋体" w:hAnsi="宋体" w:eastAsia="宋体" w:cs="宋体"/>
                <w:kern w:val="0"/>
                <w:sz w:val="16"/>
                <w:szCs w:val="16"/>
                <w:lang w:val="en-US" w:eastAsia="zh-CN"/>
              </w:rPr>
              <w:t>3000平米</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kern w:val="0"/>
                <w:sz w:val="16"/>
                <w:szCs w:val="16"/>
              </w:rPr>
              <w:t>≥</w:t>
            </w:r>
            <w:r>
              <w:rPr>
                <w:rFonts w:hint="eastAsia" w:ascii="宋体" w:hAnsi="宋体" w:eastAsia="宋体" w:cs="宋体"/>
                <w:kern w:val="0"/>
                <w:sz w:val="16"/>
                <w:szCs w:val="16"/>
                <w:lang w:val="en-US" w:eastAsia="zh-CN"/>
              </w:rPr>
              <w:t>3000平米</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16</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生态效益指标</w:t>
            </w:r>
          </w:p>
          <w:p>
            <w:pPr>
              <w:widowControl/>
              <w:jc w:val="center"/>
              <w:rPr>
                <w:rFonts w:ascii="宋体" w:hAnsi="宋体" w:eastAsia="宋体" w:cs="宋体"/>
                <w:color w:val="000000"/>
                <w:kern w:val="0"/>
                <w:sz w:val="16"/>
                <w:szCs w:val="16"/>
              </w:rPr>
            </w:pP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全年空气优良天数增长率（%）</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21"/>
                <w:szCs w:val="21"/>
                <w:lang w:val="en-US" w:eastAsia="zh-CN" w:bidi="ar-SA"/>
              </w:rPr>
            </w:pPr>
            <w:r>
              <w:rPr>
                <w:rFonts w:hint="eastAsia" w:ascii="宋体" w:hAnsi="宋体" w:eastAsia="宋体" w:cs="宋体"/>
                <w:kern w:val="0"/>
                <w:sz w:val="16"/>
                <w:szCs w:val="16"/>
              </w:rPr>
              <w:t>≥</w:t>
            </w:r>
            <w:r>
              <w:rPr>
                <w:rFonts w:hint="eastAsia" w:ascii="Calibri" w:hAnsi="Calibri" w:eastAsia="宋体" w:cs="宋体"/>
                <w:color w:val="000000"/>
                <w:kern w:val="0"/>
                <w:szCs w:val="21"/>
                <w:lang w:val="en-US" w:eastAsia="zh-CN"/>
              </w:rPr>
              <w:t>50</w:t>
            </w:r>
            <w:r>
              <w:rPr>
                <w:rFonts w:ascii="Calibri" w:hAnsi="Calibri" w:eastAsia="宋体" w:cs="宋体"/>
                <w:color w:val="000000"/>
                <w:kern w:val="0"/>
                <w:szCs w:val="21"/>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21"/>
                <w:szCs w:val="21"/>
                <w:lang w:val="en-US" w:eastAsia="zh-CN" w:bidi="ar-SA"/>
              </w:rPr>
            </w:pPr>
            <w:r>
              <w:rPr>
                <w:rFonts w:hint="eastAsia" w:ascii="宋体" w:hAnsi="宋体" w:eastAsia="宋体" w:cs="宋体"/>
                <w:kern w:val="0"/>
                <w:sz w:val="16"/>
                <w:szCs w:val="16"/>
              </w:rPr>
              <w:t>≥</w:t>
            </w:r>
            <w:r>
              <w:rPr>
                <w:rFonts w:hint="eastAsia" w:ascii="Calibri" w:hAnsi="Calibri" w:eastAsia="宋体" w:cs="宋体"/>
                <w:color w:val="000000"/>
                <w:kern w:val="0"/>
                <w:szCs w:val="21"/>
                <w:lang w:val="en-US" w:eastAsia="zh-CN"/>
              </w:rPr>
              <w:t>50</w:t>
            </w:r>
            <w:r>
              <w:rPr>
                <w:rFonts w:ascii="Calibri" w:hAnsi="Calibri" w:eastAsia="宋体" w:cs="宋体"/>
                <w:color w:val="000000"/>
                <w:kern w:val="0"/>
                <w:szCs w:val="21"/>
              </w:rPr>
              <w:t>%</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21"/>
                <w:szCs w:val="21"/>
                <w:lang w:val="en-US" w:eastAsia="zh-CN" w:bidi="ar-SA"/>
              </w:rPr>
            </w:pPr>
            <w:r>
              <w:rPr>
                <w:rFonts w:hint="eastAsia" w:ascii="Calibri" w:hAnsi="Calibri" w:eastAsia="宋体" w:cs="宋体"/>
                <w:color w:val="000000"/>
                <w:kern w:val="0"/>
                <w:szCs w:val="21"/>
              </w:rPr>
              <w:t>3</w:t>
            </w:r>
            <w:r>
              <w:rPr>
                <w:rFonts w:ascii="Calibri" w:hAnsi="Calibri" w:eastAsia="宋体" w:cs="宋体"/>
                <w:color w:val="000000"/>
                <w:kern w:val="0"/>
                <w:szCs w:val="21"/>
              </w:rPr>
              <w:t>0　</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500" w:type="dxa"/>
            <w:gridSpan w:val="2"/>
            <w:tcBorders>
              <w:top w:val="single" w:color="000000" w:sz="4" w:space="0"/>
              <w:left w:val="nil"/>
              <w:bottom w:val="single" w:color="000000" w:sz="4" w:space="0"/>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调查中受益人满意和较满意的受益人数占全部调查人数的比率</w:t>
            </w:r>
          </w:p>
        </w:tc>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49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84.5.00%</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8</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9</w:t>
            </w:r>
            <w:r>
              <w:rPr>
                <w:rFonts w:ascii="Calibri" w:hAnsi="Calibri" w:eastAsia="宋体" w:cs="宋体"/>
                <w:color w:val="000000"/>
                <w:kern w:val="0"/>
                <w:szCs w:val="21"/>
              </w:rPr>
              <w:t>8</w:t>
            </w:r>
          </w:p>
        </w:tc>
      </w:tr>
      <w:tr>
        <w:tblPrEx>
          <w:tblCellMar>
            <w:top w:w="0" w:type="dxa"/>
            <w:left w:w="108" w:type="dxa"/>
            <w:bottom w:w="0" w:type="dxa"/>
            <w:right w:w="108" w:type="dxa"/>
          </w:tblCellMar>
        </w:tblPrEx>
        <w:trPr>
          <w:trHeight w:val="915"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00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adjustRightInd w:val="0"/>
        <w:snapToGrid w:val="0"/>
        <w:spacing w:line="580" w:lineRule="exact"/>
        <w:ind w:firstLine="630"/>
        <w:rPr>
          <w:rFonts w:ascii="仿宋_GB2312" w:hAnsi="仿宋_GB2312" w:eastAsia="仿宋_GB2312" w:cs="仿宋_GB2312"/>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 xml:space="preserve">) </w:t>
      </w:r>
      <w:r>
        <w:rPr>
          <w:rFonts w:hint="eastAsia" w:ascii="仿宋_GB2312" w:hAnsi="仿宋_GB2312" w:eastAsia="仿宋_GB2312" w:cs="仿宋_GB2312"/>
          <w:sz w:val="32"/>
          <w:szCs w:val="32"/>
        </w:rPr>
        <w:t>严重精神障碍患者监护人责任险项目自评综述：根据年初设定的绩效目标，严重精神障碍患者监护人责任险项目绩效自评得分为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分（绩效自评表附后）。全年预算数为1.36万元，执行数为1.</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项目绩效目标完成情况：做好严重精神障碍患者管控工作，为严重精神障碍患者监护人办理相关保险业，预防一旦发生严重精神障碍患者伤及人身、损坏财物事件发生。发现的主要问题及原因：一是预算编制工作有待细化；二是绩效目标设立不够明确和量</w:t>
      </w:r>
      <w:r>
        <w:rPr>
          <w:rFonts w:hint="eastAsia" w:ascii="仿宋_GB2312" w:eastAsia="仿宋_GB2312"/>
          <w:sz w:val="32"/>
          <w:szCs w:val="32"/>
        </w:rPr>
        <w:t>化；三：预算编制的合理性及资金使用效益需提高；</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40" w:type="dxa"/>
        <w:tblInd w:w="95" w:type="dxa"/>
        <w:tblLayout w:type="autofit"/>
        <w:tblCellMar>
          <w:top w:w="0" w:type="dxa"/>
          <w:left w:w="108" w:type="dxa"/>
          <w:bottom w:w="0" w:type="dxa"/>
          <w:right w:w="108" w:type="dxa"/>
        </w:tblCellMar>
      </w:tblPr>
      <w:tblGrid>
        <w:gridCol w:w="940"/>
        <w:gridCol w:w="1000"/>
        <w:gridCol w:w="1080"/>
        <w:gridCol w:w="1240"/>
        <w:gridCol w:w="1260"/>
        <w:gridCol w:w="1060"/>
        <w:gridCol w:w="1060"/>
        <w:gridCol w:w="1300"/>
      </w:tblGrid>
      <w:tr>
        <w:trPr>
          <w:trHeight w:val="510" w:hRule="atLeast"/>
        </w:trPr>
        <w:tc>
          <w:tcPr>
            <w:tcW w:w="8940" w:type="dxa"/>
            <w:gridSpan w:val="8"/>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894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2019年度）</w:t>
            </w:r>
          </w:p>
        </w:tc>
      </w:tr>
      <w:tr>
        <w:tblPrEx>
          <w:tblCellMar>
            <w:top w:w="0" w:type="dxa"/>
            <w:left w:w="108" w:type="dxa"/>
            <w:bottom w:w="0" w:type="dxa"/>
            <w:right w:w="108" w:type="dxa"/>
          </w:tblCellMar>
        </w:tblPrEx>
        <w:trPr>
          <w:trHeight w:val="435" w:hRule="atLeast"/>
        </w:trPr>
        <w:tc>
          <w:tcPr>
            <w:tcW w:w="4260"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填报单位（盖章）：青龙满族自治县马圈子镇人民政府</w:t>
            </w:r>
          </w:p>
        </w:tc>
        <w:tc>
          <w:tcPr>
            <w:tcW w:w="12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3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94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严重精神障碍患者监护人责任险</w:t>
            </w:r>
          </w:p>
        </w:tc>
        <w:tc>
          <w:tcPr>
            <w:tcW w:w="12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4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青龙满族自治县马圈子镇人民政府</w:t>
            </w: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0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1.36</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r>
              <w:rPr>
                <w:rFonts w:ascii="宋体" w:hAnsi="宋体" w:eastAsia="宋体" w:cs="宋体"/>
                <w:color w:val="000000"/>
                <w:kern w:val="0"/>
                <w:sz w:val="16"/>
                <w:szCs w:val="16"/>
              </w:rPr>
              <w:t>36</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r>
              <w:rPr>
                <w:rFonts w:ascii="宋体" w:hAnsi="宋体" w:eastAsia="宋体" w:cs="宋体"/>
                <w:color w:val="000000"/>
                <w:kern w:val="0"/>
                <w:sz w:val="16"/>
                <w:szCs w:val="16"/>
              </w:rPr>
              <w:t>36</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100</w:t>
            </w:r>
            <w:r>
              <w:rPr>
                <w:rFonts w:hint="eastAsia" w:ascii="宋体" w:hAnsi="宋体" w:eastAsia="宋体" w:cs="宋体"/>
                <w:color w:val="000000"/>
                <w:kern w:val="0"/>
                <w:sz w:val="16"/>
                <w:szCs w:val="16"/>
              </w:rPr>
              <w:t>%</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1.36</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r>
              <w:rPr>
                <w:rFonts w:ascii="宋体" w:hAnsi="宋体" w:eastAsia="宋体" w:cs="宋体"/>
                <w:color w:val="000000"/>
                <w:kern w:val="0"/>
                <w:sz w:val="16"/>
                <w:szCs w:val="16"/>
              </w:rPr>
              <w:t>36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r>
              <w:rPr>
                <w:rFonts w:ascii="宋体" w:hAnsi="宋体" w:eastAsia="宋体" w:cs="宋体"/>
                <w:color w:val="000000"/>
                <w:kern w:val="0"/>
                <w:sz w:val="16"/>
                <w:szCs w:val="16"/>
              </w:rPr>
              <w:t>36</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45" w:hRule="atLeast"/>
        </w:trPr>
        <w:tc>
          <w:tcPr>
            <w:tcW w:w="94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3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3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75"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after="240"/>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做好严重精神障碍患者管控工作，为严重精神障碍患者监护人办理相关保险业，预防一旦发生严重精神障碍患者伤及人身、损坏财物事件发生。</w:t>
            </w:r>
          </w:p>
        </w:tc>
        <w:tc>
          <w:tcPr>
            <w:tcW w:w="338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按照时间节点，完成目标任务</w:t>
            </w:r>
          </w:p>
        </w:tc>
        <w:tc>
          <w:tcPr>
            <w:tcW w:w="130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35"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8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30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享受保险人数(人)</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w:t>
            </w:r>
            <w:r>
              <w:rPr>
                <w:rFonts w:hint="eastAsia" w:ascii="宋体" w:hAnsi="宋体" w:eastAsia="宋体" w:cs="宋体"/>
                <w:kern w:val="0"/>
                <w:sz w:val="16"/>
                <w:szCs w:val="16"/>
              </w:rPr>
              <w:t>1</w:t>
            </w:r>
            <w:r>
              <w:rPr>
                <w:rFonts w:hint="eastAsia" w:ascii="宋体" w:hAnsi="宋体" w:eastAsia="宋体" w:cs="宋体"/>
                <w:kern w:val="0"/>
                <w:sz w:val="16"/>
                <w:szCs w:val="16"/>
                <w:lang w:val="en-US" w:eastAsia="zh-CN"/>
              </w:rPr>
              <w:t>36人</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 xml:space="preserve">136人 </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质量指标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已参保人数占应参保人数的比率</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6"/>
                <w:szCs w:val="16"/>
                <w:lang w:val="en-US" w:eastAsia="zh-CN" w:bidi="ar-SA"/>
              </w:rPr>
            </w:pPr>
            <w:r>
              <w:rPr>
                <w:rFonts w:hint="eastAsia" w:ascii="宋体" w:hAnsi="宋体" w:eastAsia="宋体" w:cs="宋体"/>
                <w:kern w:val="0"/>
                <w:sz w:val="16"/>
                <w:szCs w:val="16"/>
              </w:rPr>
              <w:t>100%</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6"/>
                <w:szCs w:val="16"/>
                <w:lang w:val="en-US" w:eastAsia="zh-CN" w:bidi="ar-SA"/>
              </w:rPr>
            </w:pPr>
            <w:r>
              <w:rPr>
                <w:rFonts w:hint="eastAsia" w:ascii="宋体" w:hAnsi="宋体" w:eastAsia="宋体" w:cs="宋体"/>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25</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社会效益指标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lang w:val="en-US" w:eastAsia="zh-CN" w:bidi="ar-SA"/>
              </w:rPr>
            </w:pPr>
            <w:r>
              <w:rPr>
                <w:rFonts w:hint="eastAsia" w:ascii="方正书宋_GBK" w:eastAsia="方正书宋_GBK"/>
              </w:rPr>
              <w:t>提高监护人保障</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kern w:val="0"/>
                <w:sz w:val="16"/>
                <w:szCs w:val="16"/>
                <w:lang w:val="en-US" w:eastAsia="zh-CN" w:bidi="ar-SA"/>
              </w:rPr>
            </w:pPr>
            <w:r>
              <w:rPr>
                <w:rFonts w:hint="eastAsia" w:ascii="宋体" w:hAnsi="宋体" w:eastAsia="宋体" w:cs="宋体"/>
                <w:kern w:val="0"/>
                <w:sz w:val="16"/>
                <w:szCs w:val="16"/>
                <w:lang w:val="en-US" w:eastAsia="zh-CN"/>
              </w:rPr>
              <w:t>100%</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6"/>
                <w:szCs w:val="16"/>
                <w:lang w:val="en-US" w:eastAsia="zh-CN" w:bidi="ar-SA"/>
              </w:rPr>
            </w:pPr>
            <w:r>
              <w:rPr>
                <w:rFonts w:hint="eastAsia" w:ascii="Calibri" w:hAnsi="Calibri" w:eastAsia="宋体" w:cs="宋体"/>
                <w:color w:val="000000"/>
                <w:kern w:val="0"/>
                <w:sz w:val="16"/>
                <w:szCs w:val="16"/>
                <w:lang w:val="en-US" w:eastAsia="zh-CN"/>
              </w:rPr>
              <w:t>100%</w:t>
            </w:r>
            <w:r>
              <w:rPr>
                <w:rFonts w:ascii="Calibri" w:hAnsi="Calibri" w:eastAsia="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21"/>
                <w:szCs w:val="21"/>
                <w:lang w:val="en-US" w:eastAsia="zh-CN" w:bidi="ar-SA"/>
              </w:rPr>
            </w:pPr>
            <w:r>
              <w:rPr>
                <w:rFonts w:hint="eastAsia" w:ascii="Calibri" w:hAnsi="Calibri" w:eastAsia="宋体" w:cs="宋体"/>
                <w:color w:val="000000"/>
                <w:kern w:val="0"/>
                <w:szCs w:val="21"/>
                <w:lang w:val="en-US" w:eastAsia="zh-CN"/>
              </w:rPr>
              <w:t>30</w:t>
            </w: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被保险监护人对保险服务的满意程度</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≥90%</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16"/>
                <w:szCs w:val="16"/>
              </w:rPr>
            </w:pPr>
            <w:r>
              <w:rPr>
                <w:rFonts w:hint="eastAsia" w:ascii="宋体" w:hAnsi="宋体" w:eastAsia="宋体" w:cs="宋体"/>
                <w:color w:val="000000"/>
                <w:kern w:val="0"/>
                <w:sz w:val="16"/>
                <w:szCs w:val="16"/>
              </w:rPr>
              <w:t>≥</w:t>
            </w:r>
            <w:r>
              <w:rPr>
                <w:rFonts w:ascii="Calibri" w:hAnsi="Calibri" w:eastAsia="宋体" w:cs="宋体"/>
                <w:color w:val="000000"/>
                <w:kern w:val="0"/>
                <w:sz w:val="16"/>
                <w:szCs w:val="16"/>
              </w:rPr>
              <w:t>90%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49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915"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00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adjustRightInd w:val="0"/>
        <w:snapToGrid w:val="0"/>
        <w:spacing w:line="580" w:lineRule="exact"/>
        <w:ind w:firstLine="630"/>
        <w:rPr>
          <w:rFonts w:ascii="仿宋_GB2312" w:hAnsi="仿宋_GB2312" w:eastAsia="仿宋_GB2312" w:cs="仿宋_GB2312"/>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rPr>
        <w:t xml:space="preserve">) </w:t>
      </w:r>
      <w:r>
        <w:rPr>
          <w:rFonts w:hint="eastAsia" w:ascii="仿宋_GB2312" w:hAnsi="仿宋_GB2312" w:eastAsia="仿宋_GB2312" w:cs="仿宋_GB2312"/>
          <w:sz w:val="32"/>
          <w:szCs w:val="32"/>
        </w:rPr>
        <w:t>安全生产工作经费项目自评综述：根据年初设定的绩效目标，安全生产工作经费项目绩效自评得分为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分（绩效自评表附后）。全年预算数为</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一是承担安全生产综合监督管理责任，依法行使综合监督管理职权；二是依法开展执法检查工作，对发现的安全生产违法行为依法进行行政处罚，遏制重特大事故发生，确保安全生产形势稳定。发现的主要问题及原因：一是预算编制工作有待细化；二是绩效目标设立不够明确和量化；三：预算编制的</w:t>
      </w:r>
      <w:r>
        <w:rPr>
          <w:rFonts w:hint="eastAsia" w:ascii="仿宋_GB2312" w:eastAsia="仿宋_GB2312"/>
          <w:sz w:val="32"/>
          <w:szCs w:val="32"/>
        </w:rPr>
        <w:t>合理性及资金使用效益需提高；</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40" w:type="dxa"/>
        <w:tblInd w:w="95" w:type="dxa"/>
        <w:tblLayout w:type="autofit"/>
        <w:tblCellMar>
          <w:top w:w="0" w:type="dxa"/>
          <w:left w:w="108" w:type="dxa"/>
          <w:bottom w:w="0" w:type="dxa"/>
          <w:right w:w="108" w:type="dxa"/>
        </w:tblCellMar>
      </w:tblPr>
      <w:tblGrid>
        <w:gridCol w:w="940"/>
        <w:gridCol w:w="1000"/>
        <w:gridCol w:w="1080"/>
        <w:gridCol w:w="1240"/>
        <w:gridCol w:w="1260"/>
        <w:gridCol w:w="1060"/>
        <w:gridCol w:w="1060"/>
        <w:gridCol w:w="1300"/>
      </w:tblGrid>
      <w:tr>
        <w:tblPrEx>
          <w:tblCellMar>
            <w:top w:w="0" w:type="dxa"/>
            <w:left w:w="108" w:type="dxa"/>
            <w:bottom w:w="0" w:type="dxa"/>
            <w:right w:w="108" w:type="dxa"/>
          </w:tblCellMar>
        </w:tblPrEx>
        <w:trPr>
          <w:trHeight w:val="510" w:hRule="atLeast"/>
        </w:trPr>
        <w:tc>
          <w:tcPr>
            <w:tcW w:w="8940" w:type="dxa"/>
            <w:gridSpan w:val="8"/>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894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2019年度）</w:t>
            </w:r>
          </w:p>
        </w:tc>
      </w:tr>
      <w:tr>
        <w:tblPrEx>
          <w:tblCellMar>
            <w:top w:w="0" w:type="dxa"/>
            <w:left w:w="108" w:type="dxa"/>
            <w:bottom w:w="0" w:type="dxa"/>
            <w:right w:w="108" w:type="dxa"/>
          </w:tblCellMar>
        </w:tblPrEx>
        <w:trPr>
          <w:trHeight w:val="435" w:hRule="atLeast"/>
        </w:trPr>
        <w:tc>
          <w:tcPr>
            <w:tcW w:w="4260"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填报单位（盖章）：青龙满族自治县马圈子镇人民政府</w:t>
            </w:r>
          </w:p>
        </w:tc>
        <w:tc>
          <w:tcPr>
            <w:tcW w:w="12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3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94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安全生产监管工作经费</w:t>
            </w:r>
          </w:p>
        </w:tc>
        <w:tc>
          <w:tcPr>
            <w:tcW w:w="12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4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青龙满族自治县马圈子镇人民政府</w:t>
            </w: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0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ascii="宋体" w:hAnsi="宋体" w:eastAsia="宋体" w:cs="宋体"/>
                <w:color w:val="000000"/>
                <w:kern w:val="0"/>
                <w:sz w:val="16"/>
                <w:szCs w:val="16"/>
              </w:rPr>
              <w:t>4.5</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ascii="宋体" w:hAnsi="宋体" w:eastAsia="宋体" w:cs="宋体"/>
                <w:color w:val="000000"/>
                <w:kern w:val="0"/>
                <w:sz w:val="16"/>
                <w:szCs w:val="16"/>
              </w:rPr>
              <w:t>4.5</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r>
              <w:rPr>
                <w:rFonts w:ascii="宋体" w:hAnsi="宋体" w:eastAsia="宋体" w:cs="宋体"/>
                <w:color w:val="000000"/>
                <w:kern w:val="0"/>
                <w:sz w:val="16"/>
                <w:szCs w:val="16"/>
              </w:rPr>
              <w:t>.5</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100.00%</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ascii="宋体" w:hAnsi="宋体" w:eastAsia="宋体" w:cs="宋体"/>
                <w:color w:val="000000"/>
                <w:kern w:val="0"/>
                <w:sz w:val="16"/>
                <w:szCs w:val="16"/>
              </w:rPr>
              <w:t>4.5</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ascii="宋体" w:hAnsi="宋体" w:eastAsia="宋体" w:cs="宋体"/>
                <w:color w:val="000000"/>
                <w:kern w:val="0"/>
                <w:sz w:val="16"/>
                <w:szCs w:val="16"/>
              </w:rPr>
              <w:t>4.5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r>
              <w:rPr>
                <w:rFonts w:ascii="宋体" w:hAnsi="宋体" w:eastAsia="宋体" w:cs="宋体"/>
                <w:color w:val="000000"/>
                <w:kern w:val="0"/>
                <w:sz w:val="16"/>
                <w:szCs w:val="16"/>
              </w:rPr>
              <w:t>.5</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45" w:hRule="atLeast"/>
        </w:trPr>
        <w:tc>
          <w:tcPr>
            <w:tcW w:w="94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3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3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75"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承担安全生产综合监督管理责任，依法行使综合监督管理职权；依法开展执法检查工作，对发现的安全生产违法行为依法进行行政处罚，遏制重特大事故发生，确保</w:t>
            </w:r>
            <w:bookmarkStart w:id="0" w:name="_GoBack"/>
            <w:bookmarkEnd w:id="0"/>
            <w:r>
              <w:rPr>
                <w:rFonts w:hint="eastAsia" w:ascii="宋体" w:hAnsi="宋体" w:eastAsia="宋体" w:cs="宋体"/>
                <w:color w:val="000000"/>
                <w:kern w:val="0"/>
                <w:sz w:val="16"/>
                <w:szCs w:val="16"/>
              </w:rPr>
              <w:t>安全生产形势稳定。</w:t>
            </w:r>
          </w:p>
        </w:tc>
        <w:tc>
          <w:tcPr>
            <w:tcW w:w="338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按照时间节点，完成目标任务</w:t>
            </w:r>
          </w:p>
        </w:tc>
        <w:tc>
          <w:tcPr>
            <w:tcW w:w="130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735"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8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30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重点污染治理工程数量</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lang w:eastAsia="zh-CN"/>
              </w:rPr>
            </w:pPr>
            <w:r>
              <w:rPr>
                <w:rFonts w:hint="eastAsia" w:ascii="宋体" w:hAnsi="宋体" w:eastAsia="宋体" w:cs="宋体"/>
                <w:color w:val="000000"/>
                <w:kern w:val="0"/>
                <w:sz w:val="16"/>
                <w:szCs w:val="16"/>
              </w:rPr>
              <w:t>≥</w:t>
            </w:r>
            <w:r>
              <w:rPr>
                <w:rFonts w:hint="eastAsia" w:ascii="宋体" w:hAnsi="宋体" w:eastAsia="宋体" w:cs="宋体"/>
                <w:kern w:val="0"/>
                <w:sz w:val="16"/>
                <w:szCs w:val="16"/>
                <w:lang w:val="en-US" w:eastAsia="zh-CN"/>
              </w:rPr>
              <w:t>5件</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color w:val="000000"/>
                <w:kern w:val="0"/>
                <w:sz w:val="16"/>
                <w:szCs w:val="16"/>
              </w:rPr>
              <w:t>≥</w:t>
            </w:r>
            <w:r>
              <w:rPr>
                <w:rFonts w:hint="eastAsia" w:ascii="宋体" w:hAnsi="宋体" w:eastAsia="宋体" w:cs="宋体"/>
                <w:kern w:val="0"/>
                <w:sz w:val="16"/>
                <w:szCs w:val="16"/>
                <w:lang w:val="en-US" w:eastAsia="zh-CN"/>
              </w:rPr>
              <w:t>5件</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16</w:t>
            </w:r>
          </w:p>
        </w:tc>
      </w:tr>
      <w:tr>
        <w:tblPrEx>
          <w:tblCellMar>
            <w:top w:w="0" w:type="dxa"/>
            <w:left w:w="108" w:type="dxa"/>
            <w:bottom w:w="0" w:type="dxa"/>
            <w:right w:w="108" w:type="dxa"/>
          </w:tblCellMar>
        </w:tblPrEx>
        <w:trPr>
          <w:trHeight w:val="40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continue"/>
            <w:tcBorders>
              <w:left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每年下乡检查工作的次数</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6"/>
                <w:szCs w:val="16"/>
                <w:lang w:val="en-US"/>
              </w:rPr>
            </w:pPr>
            <w:r>
              <w:rPr>
                <w:rFonts w:hint="eastAsia" w:ascii="宋体" w:hAnsi="宋体" w:eastAsia="宋体" w:cs="宋体"/>
                <w:color w:val="000000"/>
                <w:kern w:val="0"/>
                <w:sz w:val="16"/>
                <w:szCs w:val="16"/>
              </w:rPr>
              <w:t>≥</w:t>
            </w:r>
            <w:r>
              <w:rPr>
                <w:rFonts w:hint="eastAsia" w:ascii="宋体" w:hAnsi="宋体" w:eastAsia="宋体" w:cs="宋体"/>
                <w:kern w:val="0"/>
                <w:sz w:val="16"/>
                <w:szCs w:val="16"/>
                <w:lang w:val="en-US" w:eastAsia="zh-CN"/>
              </w:rPr>
              <w:t>50次</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color w:val="000000"/>
                <w:kern w:val="0"/>
                <w:sz w:val="16"/>
                <w:szCs w:val="16"/>
              </w:rPr>
              <w:t>≥</w:t>
            </w:r>
            <w:r>
              <w:rPr>
                <w:rFonts w:hint="eastAsia" w:ascii="宋体" w:hAnsi="宋体" w:eastAsia="宋体" w:cs="宋体"/>
                <w:kern w:val="0"/>
                <w:sz w:val="16"/>
                <w:szCs w:val="16"/>
                <w:lang w:val="en-US" w:eastAsia="zh-CN"/>
              </w:rPr>
              <w:t>50次</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16</w:t>
            </w:r>
          </w:p>
        </w:tc>
      </w:tr>
      <w:tr>
        <w:tblPrEx>
          <w:tblCellMar>
            <w:top w:w="0" w:type="dxa"/>
            <w:left w:w="108" w:type="dxa"/>
            <w:bottom w:w="0" w:type="dxa"/>
            <w:right w:w="108" w:type="dxa"/>
          </w:tblCellMar>
        </w:tblPrEx>
        <w:trPr>
          <w:trHeight w:val="49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eastAsia="zh-CN"/>
              </w:rPr>
              <w:t>质量指标</w:t>
            </w:r>
            <w:r>
              <w:rPr>
                <w:rFonts w:hint="eastAsia" w:ascii="宋体" w:hAnsi="宋体" w:eastAsia="宋体" w:cs="宋体"/>
                <w:color w:val="000000"/>
                <w:kern w:val="0"/>
                <w:sz w:val="16"/>
                <w:szCs w:val="16"/>
                <w:lang w:val="en-US" w:eastAsia="zh-CN"/>
              </w:rPr>
              <w:t xml:space="preserve"> </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6"/>
                <w:szCs w:val="16"/>
              </w:rPr>
            </w:pPr>
            <w:r>
              <w:rPr>
                <w:rFonts w:hint="eastAsia" w:ascii="宋体" w:hAnsi="宋体" w:eastAsia="宋体" w:cs="宋体"/>
                <w:kern w:val="0"/>
                <w:sz w:val="16"/>
                <w:szCs w:val="16"/>
              </w:rPr>
              <w:t>发现重大环保事件数量比率（%）</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color w:val="000000"/>
                <w:kern w:val="0"/>
                <w:sz w:val="16"/>
                <w:szCs w:val="16"/>
              </w:rPr>
              <w:t>≥</w:t>
            </w:r>
            <w:r>
              <w:rPr>
                <w:rFonts w:hint="eastAsia" w:ascii="宋体" w:hAnsi="宋体" w:eastAsia="宋体" w:cs="宋体"/>
                <w:color w:val="000000"/>
                <w:kern w:val="0"/>
                <w:sz w:val="16"/>
                <w:szCs w:val="16"/>
                <w:lang w:val="en-US" w:eastAsia="zh-CN"/>
              </w:rPr>
              <w:t>90%</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rPr>
            </w:pPr>
            <w:r>
              <w:rPr>
                <w:rFonts w:hint="eastAsia" w:ascii="宋体" w:hAnsi="宋体" w:eastAsia="宋体" w:cs="宋体"/>
                <w:color w:val="000000"/>
                <w:kern w:val="0"/>
                <w:sz w:val="16"/>
                <w:szCs w:val="16"/>
              </w:rPr>
              <w:t>≥</w:t>
            </w:r>
            <w:r>
              <w:rPr>
                <w:rFonts w:hint="eastAsia" w:ascii="宋体" w:hAnsi="宋体" w:eastAsia="宋体" w:cs="宋体"/>
                <w:color w:val="000000"/>
                <w:kern w:val="0"/>
                <w:sz w:val="16"/>
                <w:szCs w:val="16"/>
                <w:lang w:val="en-US" w:eastAsia="zh-CN"/>
              </w:rPr>
              <w:t>90%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hint="default" w:ascii="Calibri" w:hAnsi="Calibri" w:eastAsia="宋体" w:cs="宋体"/>
                <w:color w:val="000000"/>
                <w:kern w:val="0"/>
                <w:szCs w:val="21"/>
                <w:lang w:val="en-US" w:eastAsia="zh-CN"/>
              </w:rPr>
            </w:pPr>
            <w:r>
              <w:rPr>
                <w:rFonts w:hint="eastAsia" w:ascii="Calibri" w:hAnsi="Calibri" w:eastAsia="宋体" w:cs="宋体"/>
                <w:color w:val="000000"/>
                <w:kern w:val="0"/>
                <w:szCs w:val="21"/>
                <w:lang w:val="en-US" w:eastAsia="zh-CN"/>
              </w:rPr>
              <w:t>18</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生态</w:t>
            </w:r>
            <w:r>
              <w:rPr>
                <w:rFonts w:hint="eastAsia" w:ascii="宋体" w:hAnsi="宋体" w:eastAsia="宋体" w:cs="宋体"/>
                <w:color w:val="000000"/>
                <w:kern w:val="0"/>
                <w:sz w:val="16"/>
                <w:szCs w:val="16"/>
              </w:rPr>
              <w:t>效益指标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进一步改善农村生态环境，实现村容村貌干净整洁有序,改善生态环境村数量</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kern w:val="0"/>
                <w:sz w:val="16"/>
                <w:szCs w:val="16"/>
                <w:lang w:val="en-US" w:eastAsia="zh-CN" w:bidi="ar-SA"/>
              </w:rPr>
            </w:pPr>
            <w:r>
              <w:rPr>
                <w:rFonts w:hint="eastAsia" w:ascii="宋体" w:hAnsi="宋体" w:eastAsia="宋体" w:cs="宋体"/>
                <w:kern w:val="0"/>
                <w:sz w:val="16"/>
                <w:szCs w:val="16"/>
                <w:lang w:val="en-US" w:eastAsia="zh-CN"/>
              </w:rPr>
              <w:t>17个村</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kern w:val="0"/>
                <w:sz w:val="16"/>
                <w:szCs w:val="16"/>
                <w:lang w:val="en-US" w:eastAsia="zh-CN" w:bidi="ar-SA"/>
              </w:rPr>
            </w:pPr>
            <w:r>
              <w:rPr>
                <w:rFonts w:hint="eastAsia" w:ascii="宋体" w:hAnsi="宋体" w:eastAsia="宋体" w:cs="宋体"/>
                <w:kern w:val="0"/>
                <w:sz w:val="16"/>
                <w:szCs w:val="16"/>
                <w:lang w:val="en-US" w:eastAsia="zh-CN"/>
              </w:rPr>
              <w:t>17个村</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21"/>
                <w:szCs w:val="21"/>
                <w:lang w:val="en-US" w:eastAsia="zh-CN" w:bidi="ar-SA"/>
              </w:rPr>
            </w:pPr>
            <w:r>
              <w:rPr>
                <w:rFonts w:ascii="Calibri" w:hAnsi="Calibri" w:eastAsia="宋体" w:cs="宋体"/>
                <w:color w:val="000000"/>
                <w:kern w:val="0"/>
                <w:szCs w:val="21"/>
              </w:rPr>
              <w:t>30</w:t>
            </w:r>
          </w:p>
        </w:tc>
      </w:tr>
      <w:tr>
        <w:tblPrEx>
          <w:tblCellMar>
            <w:top w:w="0" w:type="dxa"/>
            <w:left w:w="108" w:type="dxa"/>
            <w:bottom w:w="0" w:type="dxa"/>
            <w:right w:w="108" w:type="dxa"/>
          </w:tblCellMar>
        </w:tblPrEx>
        <w:trPr>
          <w:trHeight w:val="49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满意度指标（10）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满意度指标</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受益群体满意度（%）</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w:t>
            </w:r>
            <w:r>
              <w:rPr>
                <w:rFonts w:ascii="Calibri" w:hAnsi="Calibri" w:eastAsia="宋体" w:cs="宋体"/>
                <w:color w:val="000000"/>
                <w:kern w:val="0"/>
                <w:sz w:val="16"/>
                <w:szCs w:val="16"/>
              </w:rPr>
              <w:t>95%</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16"/>
                <w:szCs w:val="16"/>
                <w:lang w:val="en-US" w:eastAsia="zh-CN" w:bidi="ar-SA"/>
              </w:rPr>
            </w:pPr>
            <w:r>
              <w:rPr>
                <w:rFonts w:ascii="Calibri" w:hAnsi="Calibri" w:eastAsia="宋体" w:cs="宋体"/>
                <w:color w:val="000000"/>
                <w:kern w:val="0"/>
                <w:sz w:val="16"/>
                <w:szCs w:val="16"/>
              </w:rPr>
              <w:t>95%</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1"/>
                <w:szCs w:val="21"/>
                <w:lang w:val="en-US" w:eastAsia="zh-CN" w:bidi="ar-SA"/>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49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100.00%</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915"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00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adjustRightInd w:val="0"/>
        <w:snapToGrid w:val="0"/>
        <w:spacing w:line="580" w:lineRule="exact"/>
        <w:ind w:firstLine="630"/>
        <w:rPr>
          <w:rFonts w:ascii="仿宋_GB2312" w:hAnsi="仿宋_GB2312" w:eastAsia="仿宋_GB2312" w:cs="仿宋_GB2312"/>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rPr>
        <w:t xml:space="preserve">) </w:t>
      </w:r>
      <w:r>
        <w:rPr>
          <w:rFonts w:hint="eastAsia" w:ascii="仿宋_GB2312" w:hAnsi="仿宋_GB2312" w:eastAsia="仿宋_GB2312" w:cs="仿宋_GB2312"/>
          <w:sz w:val="32"/>
          <w:szCs w:val="32"/>
        </w:rPr>
        <w:t>村级组织运转经费-村干部工资项目自评综述：根据年初设定的绩效目标，村级组织运转经费-村干部工资项目绩效自评得分为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分（绩效自评表附后）。全年预算数为1</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110.65</w:t>
      </w:r>
      <w:r>
        <w:rPr>
          <w:rFonts w:hint="eastAsia" w:ascii="仿宋_GB2312" w:hAnsi="仿宋_GB2312" w:eastAsia="仿宋_GB2312" w:cs="仿宋_GB2312"/>
          <w:sz w:val="32"/>
          <w:szCs w:val="32"/>
        </w:rPr>
        <w:t>万元，完成预算的8</w:t>
      </w:r>
      <w:r>
        <w:rPr>
          <w:rFonts w:ascii="仿宋_GB2312" w:hAnsi="仿宋_GB2312" w:eastAsia="仿宋_GB2312" w:cs="仿宋_GB2312"/>
          <w:sz w:val="32"/>
          <w:szCs w:val="32"/>
        </w:rPr>
        <w:t>2.57%</w:t>
      </w:r>
      <w:r>
        <w:rPr>
          <w:rFonts w:hint="eastAsia" w:ascii="仿宋_GB2312" w:hAnsi="仿宋_GB2312" w:eastAsia="仿宋_GB2312" w:cs="仿宋_GB2312"/>
          <w:sz w:val="32"/>
          <w:szCs w:val="32"/>
        </w:rPr>
        <w:t>。项目绩效目标完成情况：村级积极认真落实镇政府各项工作安排和部署，保证党的政策落实到位。提高村干部工作积极性，推进科学民主决策、确保村级工作正常运转，壮大村级经济实力。严格按照法律法规规定开展村财管工作。发现的主要问题及原因：一是预算编制工作有待细化；二是绩效目标设立不够明确和量化；三是预算编制的合理性及资金使用效</w:t>
      </w:r>
      <w:r>
        <w:rPr>
          <w:rFonts w:hint="eastAsia" w:ascii="仿宋_GB2312" w:eastAsia="仿宋_GB2312"/>
          <w:sz w:val="32"/>
          <w:szCs w:val="32"/>
        </w:rPr>
        <w:t>益需提高；四是财政资金不足，导致年度内部分项目预算不能及时支付。</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40" w:type="dxa"/>
        <w:tblInd w:w="95" w:type="dxa"/>
        <w:tblLayout w:type="autofit"/>
        <w:tblCellMar>
          <w:top w:w="0" w:type="dxa"/>
          <w:left w:w="108" w:type="dxa"/>
          <w:bottom w:w="0" w:type="dxa"/>
          <w:right w:w="108" w:type="dxa"/>
        </w:tblCellMar>
      </w:tblPr>
      <w:tblGrid>
        <w:gridCol w:w="940"/>
        <w:gridCol w:w="1000"/>
        <w:gridCol w:w="1080"/>
        <w:gridCol w:w="1240"/>
        <w:gridCol w:w="1260"/>
        <w:gridCol w:w="1060"/>
        <w:gridCol w:w="1060"/>
        <w:gridCol w:w="1300"/>
      </w:tblGrid>
      <w:tr>
        <w:tblPrEx>
          <w:tblCellMar>
            <w:top w:w="0" w:type="dxa"/>
            <w:left w:w="108" w:type="dxa"/>
            <w:bottom w:w="0" w:type="dxa"/>
            <w:right w:w="108" w:type="dxa"/>
          </w:tblCellMar>
        </w:tblPrEx>
        <w:trPr>
          <w:trHeight w:val="510" w:hRule="atLeast"/>
        </w:trPr>
        <w:tc>
          <w:tcPr>
            <w:tcW w:w="8940" w:type="dxa"/>
            <w:gridSpan w:val="8"/>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894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2019年度）</w:t>
            </w:r>
          </w:p>
        </w:tc>
      </w:tr>
      <w:tr>
        <w:tblPrEx>
          <w:tblCellMar>
            <w:top w:w="0" w:type="dxa"/>
            <w:left w:w="108" w:type="dxa"/>
            <w:bottom w:w="0" w:type="dxa"/>
            <w:right w:w="108" w:type="dxa"/>
          </w:tblCellMar>
        </w:tblPrEx>
        <w:trPr>
          <w:trHeight w:val="435" w:hRule="atLeast"/>
        </w:trPr>
        <w:tc>
          <w:tcPr>
            <w:tcW w:w="4260"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填报单位（盖章）：青龙满族自治县马圈子镇人民政府</w:t>
            </w:r>
          </w:p>
        </w:tc>
        <w:tc>
          <w:tcPr>
            <w:tcW w:w="12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3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94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村级组织运转经费—村干部基础职务补贴</w:t>
            </w:r>
          </w:p>
        </w:tc>
        <w:tc>
          <w:tcPr>
            <w:tcW w:w="12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4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青龙满族自治县马圈子镇人民政府</w:t>
            </w: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0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r>
              <w:rPr>
                <w:rFonts w:ascii="宋体" w:hAnsi="宋体" w:eastAsia="宋体" w:cs="宋体"/>
                <w:color w:val="000000"/>
                <w:kern w:val="0"/>
                <w:sz w:val="16"/>
                <w:szCs w:val="16"/>
              </w:rPr>
              <w:t>34</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r>
              <w:rPr>
                <w:rFonts w:ascii="宋体" w:hAnsi="宋体" w:eastAsia="宋体" w:cs="宋体"/>
                <w:color w:val="000000"/>
                <w:kern w:val="0"/>
                <w:sz w:val="16"/>
                <w:szCs w:val="16"/>
              </w:rPr>
              <w:t>10.65</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ascii="宋体" w:hAnsi="宋体" w:eastAsia="宋体" w:cs="宋体"/>
                <w:color w:val="000000"/>
                <w:kern w:val="0"/>
                <w:sz w:val="16"/>
                <w:szCs w:val="16"/>
              </w:rPr>
              <w:t>110.65</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w:t>
            </w:r>
            <w:r>
              <w:rPr>
                <w:rFonts w:ascii="宋体" w:hAnsi="宋体" w:eastAsia="宋体" w:cs="宋体"/>
                <w:color w:val="000000"/>
                <w:kern w:val="0"/>
                <w:sz w:val="16"/>
                <w:szCs w:val="16"/>
              </w:rPr>
              <w:t>2.57</w:t>
            </w:r>
            <w:r>
              <w:rPr>
                <w:rFonts w:hint="eastAsia" w:ascii="宋体" w:hAnsi="宋体" w:eastAsia="宋体" w:cs="宋体"/>
                <w:color w:val="000000"/>
                <w:kern w:val="0"/>
                <w:sz w:val="16"/>
                <w:szCs w:val="16"/>
              </w:rPr>
              <w:t>%</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r>
              <w:rPr>
                <w:rFonts w:ascii="宋体" w:hAnsi="宋体" w:eastAsia="宋体" w:cs="宋体"/>
                <w:color w:val="000000"/>
                <w:kern w:val="0"/>
                <w:sz w:val="16"/>
                <w:szCs w:val="16"/>
              </w:rPr>
              <w:t>34</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r>
              <w:rPr>
                <w:rFonts w:ascii="宋体" w:hAnsi="宋体" w:eastAsia="宋体" w:cs="宋体"/>
                <w:color w:val="000000"/>
                <w:kern w:val="0"/>
                <w:sz w:val="16"/>
                <w:szCs w:val="16"/>
              </w:rPr>
              <w:t>10.65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ascii="宋体" w:hAnsi="宋体" w:eastAsia="宋体" w:cs="宋体"/>
                <w:color w:val="000000"/>
                <w:kern w:val="0"/>
                <w:sz w:val="16"/>
                <w:szCs w:val="16"/>
              </w:rPr>
              <w:t>110.65</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45" w:hRule="atLeast"/>
        </w:trPr>
        <w:tc>
          <w:tcPr>
            <w:tcW w:w="94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3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3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75"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村级积极认真落实镇政府各项工作安排和部署，保证党的政策落实到位。提高村干部工作积极性，推进科学民主决策、确保村级工作正常运转，壮大村级经济实力。严格按照法律法规规定开展村财管工作</w:t>
            </w:r>
          </w:p>
        </w:tc>
        <w:tc>
          <w:tcPr>
            <w:tcW w:w="338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按照时间节点，完成目标任务</w:t>
            </w:r>
          </w:p>
        </w:tc>
        <w:tc>
          <w:tcPr>
            <w:tcW w:w="130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705"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8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30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村干部基础职务补贴的村数</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=17</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=17</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25</w:t>
            </w:r>
          </w:p>
        </w:tc>
      </w:tr>
      <w:tr>
        <w:tblPrEx>
          <w:tblCellMar>
            <w:top w:w="0" w:type="dxa"/>
            <w:left w:w="108" w:type="dxa"/>
            <w:bottom w:w="0" w:type="dxa"/>
            <w:right w:w="108" w:type="dxa"/>
          </w:tblCellMar>
        </w:tblPrEx>
        <w:trPr>
          <w:trHeight w:val="49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continue"/>
            <w:tcBorders>
              <w:left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质量指标</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年终镇政府对村级工作考核</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Calibri" w:hAnsi="Calibri" w:eastAsia="宋体" w:cs="宋体"/>
                <w:color w:val="000000"/>
                <w:kern w:val="0"/>
                <w:sz w:val="16"/>
                <w:szCs w:val="16"/>
                <w:lang w:val="en-US" w:eastAsia="zh-CN"/>
              </w:rPr>
            </w:pPr>
            <w:r>
              <w:rPr>
                <w:rFonts w:hint="eastAsia" w:ascii="Calibri" w:hAnsi="Calibri" w:eastAsia="宋体" w:cs="宋体"/>
                <w:color w:val="000000"/>
                <w:kern w:val="0"/>
                <w:sz w:val="16"/>
                <w:szCs w:val="16"/>
                <w:lang w:val="en-US" w:eastAsia="zh-CN"/>
              </w:rPr>
              <w:t>100%</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16"/>
                <w:szCs w:val="16"/>
              </w:rPr>
            </w:pPr>
            <w:r>
              <w:rPr>
                <w:rFonts w:hint="eastAsia" w:ascii="Calibri" w:hAnsi="Calibri" w:eastAsia="宋体" w:cs="宋体"/>
                <w:color w:val="000000"/>
                <w:kern w:val="0"/>
                <w:sz w:val="16"/>
                <w:szCs w:val="16"/>
                <w:lang w:val="en-US" w:eastAsia="zh-CN"/>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hint="default" w:ascii="Calibri" w:hAnsi="Calibri" w:eastAsia="宋体" w:cs="宋体"/>
                <w:color w:val="000000"/>
                <w:kern w:val="0"/>
                <w:szCs w:val="21"/>
                <w:lang w:val="en-US" w:eastAsia="zh-CN"/>
              </w:rPr>
            </w:pPr>
            <w:r>
              <w:rPr>
                <w:rFonts w:hint="eastAsia" w:ascii="Calibri" w:hAnsi="Calibri" w:eastAsia="宋体" w:cs="宋体"/>
                <w:color w:val="000000"/>
                <w:kern w:val="0"/>
                <w:szCs w:val="21"/>
                <w:lang w:val="en-US" w:eastAsia="zh-CN"/>
              </w:rPr>
              <w:t>25</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资金到位率</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16"/>
                <w:szCs w:val="16"/>
              </w:rPr>
            </w:pPr>
            <w:r>
              <w:rPr>
                <w:rFonts w:ascii="Calibri" w:hAnsi="Calibri" w:eastAsia="宋体" w:cs="宋体"/>
                <w:color w:val="000000"/>
                <w:kern w:val="0"/>
                <w:sz w:val="16"/>
                <w:szCs w:val="16"/>
              </w:rPr>
              <w:t>100%</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6"/>
                <w:szCs w:val="16"/>
              </w:rPr>
            </w:pPr>
            <w:r>
              <w:rPr>
                <w:rFonts w:ascii="Calibri" w:hAnsi="Calibri" w:eastAsia="宋体" w:cs="宋体"/>
                <w:color w:val="000000"/>
                <w:kern w:val="0"/>
                <w:sz w:val="16"/>
                <w:szCs w:val="16"/>
              </w:rPr>
              <w:t>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30</w:t>
            </w:r>
          </w:p>
        </w:tc>
      </w:tr>
      <w:tr>
        <w:tblPrEx>
          <w:tblCellMar>
            <w:top w:w="0" w:type="dxa"/>
            <w:left w:w="108" w:type="dxa"/>
            <w:bottom w:w="0" w:type="dxa"/>
            <w:right w:w="108" w:type="dxa"/>
          </w:tblCellMar>
        </w:tblPrEx>
        <w:trPr>
          <w:trHeight w:val="49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满意度指标（10）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满意度指标</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受益群体满意度（%）</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w:t>
            </w:r>
            <w:r>
              <w:rPr>
                <w:rFonts w:ascii="Calibri" w:hAnsi="Calibri" w:eastAsia="宋体" w:cs="宋体"/>
                <w:color w:val="000000"/>
                <w:kern w:val="0"/>
                <w:sz w:val="16"/>
                <w:szCs w:val="16"/>
              </w:rPr>
              <w:t>95%</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16"/>
                <w:szCs w:val="16"/>
                <w:lang w:val="en-US" w:eastAsia="zh-CN" w:bidi="ar-SA"/>
              </w:rPr>
            </w:pPr>
            <w:r>
              <w:rPr>
                <w:rFonts w:ascii="Calibri" w:hAnsi="Calibri" w:eastAsia="宋体" w:cs="宋体"/>
                <w:color w:val="000000"/>
                <w:kern w:val="0"/>
                <w:sz w:val="16"/>
                <w:szCs w:val="16"/>
              </w:rPr>
              <w:t>95%</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1"/>
                <w:szCs w:val="21"/>
                <w:lang w:val="en-US" w:eastAsia="zh-CN" w:bidi="ar-SA"/>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49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83.50%</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83.50%</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915"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00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四是财政资金不足，导致年度内部分项目预算不能及时支付下一步改进措施：一是细化预算编制工作，认真做好预算绩效目标的编制；二是加强单位财务管理，健全单位财务管理制度体系</w:t>
            </w:r>
          </w:p>
        </w:tc>
      </w:tr>
    </w:tbl>
    <w:p>
      <w:pPr>
        <w:numPr>
          <w:ilvl w:val="0"/>
          <w:numId w:val="0"/>
        </w:numPr>
        <w:adjustRightInd w:val="0"/>
        <w:snapToGrid w:val="0"/>
        <w:spacing w:line="580" w:lineRule="exact"/>
        <w:rPr>
          <w:rFonts w:hint="eastAsia" w:ascii="仿宋_GB2312" w:hAnsi="仿宋_GB2312" w:eastAsia="仿宋_GB2312" w:cs="仿宋_GB2312"/>
          <w:sz w:val="32"/>
          <w:szCs w:val="32"/>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lang w:eastAsia="zh-CN"/>
        </w:rPr>
        <w:t>）</w:t>
      </w:r>
      <w:r>
        <w:rPr>
          <w:rFonts w:hint="eastAsia" w:ascii="仿宋_GB2312" w:hAnsi="仿宋_GB2312" w:eastAsia="仿宋_GB2312" w:cs="仿宋_GB2312"/>
          <w:sz w:val="32"/>
          <w:szCs w:val="32"/>
        </w:rPr>
        <w:t>村级组织运转经费-村级组织办公经费项目自评综述：根据年初设定的绩效目标，村级组织运转经费-村级组织办公经费项目绩效自评得分为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万元，执行数为17万元，完成预算的</w:t>
      </w:r>
      <w:r>
        <w:rPr>
          <w:rFonts w:hint="eastAsia" w:ascii="仿宋_GB2312" w:hAnsi="仿宋_GB2312" w:eastAsia="仿宋_GB2312" w:cs="仿宋_GB2312"/>
          <w:sz w:val="32"/>
          <w:szCs w:val="32"/>
          <w:lang w:val="en-US" w:eastAsia="zh-CN"/>
        </w:rPr>
        <w:t>89.47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村级积极认真落实镇政府各项工作安排和部署，保证党的政策落实到位。提高村干部工作积极性，推进科学民主决策、确保村级工作正常运转，壮大村级经济实力。严格按照法律法规规定开展村财管工作。发现的主要问题及原因：一是预算编制工作有待细化；二是绩效目标设立不够明确和量化；三是预算编制的合理性及资金使用效</w:t>
      </w:r>
      <w:r>
        <w:rPr>
          <w:rFonts w:hint="eastAsia" w:ascii="仿宋_GB2312" w:eastAsia="仿宋_GB2312"/>
          <w:sz w:val="32"/>
          <w:szCs w:val="32"/>
        </w:rPr>
        <w:t>益需提高；四是财政资金不足，导致年度内部分项目预算不能及时支付。</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40" w:type="dxa"/>
        <w:tblInd w:w="95" w:type="dxa"/>
        <w:tblLayout w:type="autofit"/>
        <w:tblCellMar>
          <w:top w:w="0" w:type="dxa"/>
          <w:left w:w="108" w:type="dxa"/>
          <w:bottom w:w="0" w:type="dxa"/>
          <w:right w:w="108" w:type="dxa"/>
        </w:tblCellMar>
      </w:tblPr>
      <w:tblGrid>
        <w:gridCol w:w="940"/>
        <w:gridCol w:w="1000"/>
        <w:gridCol w:w="1080"/>
        <w:gridCol w:w="1240"/>
        <w:gridCol w:w="1260"/>
        <w:gridCol w:w="1060"/>
        <w:gridCol w:w="1060"/>
        <w:gridCol w:w="1300"/>
      </w:tblGrid>
      <w:tr>
        <w:tblPrEx>
          <w:tblCellMar>
            <w:top w:w="0" w:type="dxa"/>
            <w:left w:w="108" w:type="dxa"/>
            <w:bottom w:w="0" w:type="dxa"/>
            <w:right w:w="108" w:type="dxa"/>
          </w:tblCellMar>
        </w:tblPrEx>
        <w:trPr>
          <w:trHeight w:val="510" w:hRule="atLeast"/>
        </w:trPr>
        <w:tc>
          <w:tcPr>
            <w:tcW w:w="8940" w:type="dxa"/>
            <w:gridSpan w:val="8"/>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894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2019年度）</w:t>
            </w:r>
          </w:p>
        </w:tc>
      </w:tr>
      <w:tr>
        <w:tblPrEx>
          <w:tblCellMar>
            <w:top w:w="0" w:type="dxa"/>
            <w:left w:w="108" w:type="dxa"/>
            <w:bottom w:w="0" w:type="dxa"/>
            <w:right w:w="108" w:type="dxa"/>
          </w:tblCellMar>
        </w:tblPrEx>
        <w:trPr>
          <w:trHeight w:val="435" w:hRule="atLeast"/>
        </w:trPr>
        <w:tc>
          <w:tcPr>
            <w:tcW w:w="4260"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w:t>
            </w:r>
            <w:r>
              <w:rPr>
                <w:rFonts w:hint="eastAsia" w:ascii="宋体" w:hAnsi="宋体" w:eastAsia="宋体" w:cs="宋体"/>
                <w:color w:val="000000"/>
                <w:kern w:val="0"/>
                <w:sz w:val="16"/>
                <w:szCs w:val="16"/>
                <w:lang w:val="en-US" w:eastAsia="zh-CN"/>
              </w:rPr>
              <w:t>马圈</w:t>
            </w:r>
            <w:r>
              <w:rPr>
                <w:rFonts w:hint="eastAsia" w:ascii="宋体" w:hAnsi="宋体" w:eastAsia="宋体" w:cs="宋体"/>
                <w:color w:val="000000"/>
                <w:kern w:val="0"/>
                <w:sz w:val="16"/>
                <w:szCs w:val="16"/>
              </w:rPr>
              <w:t>子镇人民政府</w:t>
            </w:r>
          </w:p>
        </w:tc>
        <w:tc>
          <w:tcPr>
            <w:tcW w:w="12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3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94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村级组织运转经费—村级组织办公经费</w:t>
            </w:r>
          </w:p>
        </w:tc>
        <w:tc>
          <w:tcPr>
            <w:tcW w:w="12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4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w:t>
            </w:r>
            <w:r>
              <w:rPr>
                <w:rFonts w:hint="eastAsia" w:ascii="宋体" w:hAnsi="宋体" w:eastAsia="宋体" w:cs="宋体"/>
                <w:color w:val="000000"/>
                <w:kern w:val="0"/>
                <w:sz w:val="16"/>
                <w:szCs w:val="16"/>
                <w:lang w:val="en-US" w:eastAsia="zh-CN"/>
              </w:rPr>
              <w:t>马圈</w:t>
            </w:r>
            <w:r>
              <w:rPr>
                <w:rFonts w:hint="eastAsia" w:ascii="宋体" w:hAnsi="宋体" w:eastAsia="宋体" w:cs="宋体"/>
                <w:color w:val="000000"/>
                <w:kern w:val="0"/>
                <w:sz w:val="16"/>
                <w:szCs w:val="16"/>
              </w:rPr>
              <w:t>子镇人民政府</w:t>
            </w: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0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19</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17</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17</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89.47</w:t>
            </w:r>
            <w:r>
              <w:rPr>
                <w:rFonts w:hint="eastAsia" w:ascii="宋体" w:hAnsi="宋体" w:eastAsia="宋体" w:cs="宋体"/>
                <w:color w:val="000000"/>
                <w:kern w:val="0"/>
                <w:sz w:val="16"/>
                <w:szCs w:val="16"/>
              </w:rPr>
              <w:t>%</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19</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17</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45" w:hRule="atLeast"/>
        </w:trPr>
        <w:tc>
          <w:tcPr>
            <w:tcW w:w="94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3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3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75"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村级积极认真落实镇政府各项工作安排和部署，保证党的政策落实到位。提高村干部工作积极性，推进科学民主决策、确保村级工作正常运转，壮大村级经济实力。严格按照法律法规规定开展村财管工作</w:t>
            </w:r>
          </w:p>
        </w:tc>
        <w:tc>
          <w:tcPr>
            <w:tcW w:w="338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按照时间节点，完成目标任务</w:t>
            </w:r>
          </w:p>
        </w:tc>
        <w:tc>
          <w:tcPr>
            <w:tcW w:w="130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705"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8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30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color w:val="000000"/>
                <w:kern w:val="0"/>
                <w:sz w:val="16"/>
                <w:szCs w:val="16"/>
              </w:rPr>
              <w:t>拨付办公费涉及村级组织数量</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17</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17</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25</w:t>
            </w:r>
          </w:p>
        </w:tc>
      </w:tr>
      <w:tr>
        <w:tblPrEx>
          <w:tblCellMar>
            <w:top w:w="0" w:type="dxa"/>
            <w:left w:w="108" w:type="dxa"/>
            <w:bottom w:w="0" w:type="dxa"/>
            <w:right w:w="108" w:type="dxa"/>
          </w:tblCellMar>
        </w:tblPrEx>
        <w:trPr>
          <w:trHeight w:val="49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质量指标</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村级组织办公经费拨付率</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Calibri" w:hAnsi="Calibri" w:eastAsia="宋体" w:cs="宋体"/>
                <w:color w:val="000000"/>
                <w:kern w:val="0"/>
                <w:sz w:val="16"/>
                <w:szCs w:val="16"/>
                <w:lang w:val="en-US" w:eastAsia="zh-CN"/>
              </w:rPr>
            </w:pPr>
            <w:r>
              <w:rPr>
                <w:rFonts w:hint="eastAsia" w:ascii="Calibri" w:hAnsi="Calibri" w:eastAsia="宋体" w:cs="宋体"/>
                <w:color w:val="000000"/>
                <w:kern w:val="0"/>
                <w:sz w:val="16"/>
                <w:szCs w:val="16"/>
                <w:lang w:val="en-US" w:eastAsia="zh-CN"/>
              </w:rPr>
              <w:t>100%</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Calibri" w:hAnsi="Calibri" w:eastAsia="宋体" w:cs="宋体"/>
                <w:color w:val="000000"/>
                <w:kern w:val="0"/>
                <w:sz w:val="16"/>
                <w:szCs w:val="16"/>
                <w:lang w:val="en-US" w:eastAsia="zh-CN"/>
              </w:rPr>
            </w:pPr>
            <w:r>
              <w:rPr>
                <w:rFonts w:hint="eastAsia" w:ascii="Calibri" w:hAnsi="Calibri" w:eastAsia="宋体" w:cs="宋体"/>
                <w:color w:val="000000"/>
                <w:kern w:val="0"/>
                <w:sz w:val="16"/>
                <w:szCs w:val="16"/>
                <w:lang w:val="en-US" w:eastAsia="zh-CN"/>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hint="default" w:ascii="Calibri" w:hAnsi="Calibri" w:eastAsia="宋体" w:cs="宋体"/>
                <w:color w:val="000000"/>
                <w:kern w:val="0"/>
                <w:szCs w:val="21"/>
                <w:lang w:val="en-US" w:eastAsia="zh-CN"/>
              </w:rPr>
            </w:pPr>
            <w:r>
              <w:rPr>
                <w:rFonts w:hint="eastAsia" w:ascii="Calibri" w:hAnsi="Calibri" w:eastAsia="宋体" w:cs="宋体"/>
                <w:color w:val="000000"/>
                <w:kern w:val="0"/>
                <w:szCs w:val="21"/>
                <w:lang w:val="en-US" w:eastAsia="zh-CN"/>
              </w:rPr>
              <w:t>25</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资金到位率</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16"/>
                <w:szCs w:val="16"/>
              </w:rPr>
            </w:pPr>
            <w:r>
              <w:rPr>
                <w:rFonts w:ascii="Calibri" w:hAnsi="Calibri" w:eastAsia="宋体" w:cs="宋体"/>
                <w:color w:val="000000"/>
                <w:kern w:val="0"/>
                <w:sz w:val="16"/>
                <w:szCs w:val="16"/>
              </w:rPr>
              <w:t>100%</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6"/>
                <w:szCs w:val="16"/>
              </w:rPr>
            </w:pPr>
            <w:r>
              <w:rPr>
                <w:rFonts w:ascii="Calibri" w:hAnsi="Calibri" w:eastAsia="宋体" w:cs="宋体"/>
                <w:color w:val="000000"/>
                <w:kern w:val="0"/>
                <w:sz w:val="16"/>
                <w:szCs w:val="16"/>
              </w:rPr>
              <w:t>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30</w:t>
            </w:r>
          </w:p>
        </w:tc>
      </w:tr>
      <w:tr>
        <w:tblPrEx>
          <w:tblCellMar>
            <w:top w:w="0" w:type="dxa"/>
            <w:left w:w="108" w:type="dxa"/>
            <w:bottom w:w="0" w:type="dxa"/>
            <w:right w:w="108" w:type="dxa"/>
          </w:tblCellMar>
        </w:tblPrEx>
        <w:trPr>
          <w:trHeight w:val="49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满意度指标（10）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满意度指标</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受益群体满意度（%）</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w:t>
            </w:r>
            <w:r>
              <w:rPr>
                <w:rFonts w:ascii="Calibri" w:hAnsi="Calibri" w:eastAsia="宋体" w:cs="宋体"/>
                <w:color w:val="000000"/>
                <w:kern w:val="0"/>
                <w:sz w:val="16"/>
                <w:szCs w:val="16"/>
              </w:rPr>
              <w:t>95%</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宋体"/>
                <w:color w:val="000000"/>
                <w:kern w:val="0"/>
                <w:sz w:val="16"/>
                <w:szCs w:val="16"/>
                <w:lang w:val="en-US" w:eastAsia="zh-CN" w:bidi="ar-SA"/>
              </w:rPr>
            </w:pPr>
            <w:r>
              <w:rPr>
                <w:rFonts w:ascii="Calibri" w:hAnsi="Calibri" w:eastAsia="宋体" w:cs="宋体"/>
                <w:color w:val="000000"/>
                <w:kern w:val="0"/>
                <w:sz w:val="16"/>
                <w:szCs w:val="16"/>
              </w:rPr>
              <w:t>95%</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1"/>
                <w:szCs w:val="21"/>
                <w:lang w:val="en-US" w:eastAsia="zh-CN" w:bidi="ar-SA"/>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49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89.47</w:t>
            </w:r>
            <w:r>
              <w:rPr>
                <w:rFonts w:ascii="Calibri" w:hAnsi="Calibri" w:eastAsia="宋体" w:cs="宋体"/>
                <w:color w:val="000000"/>
                <w:kern w:val="0"/>
                <w:szCs w:val="21"/>
              </w:rPr>
              <w:t>%</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89.47</w:t>
            </w:r>
            <w:r>
              <w:rPr>
                <w:rFonts w:ascii="Calibri" w:hAnsi="Calibri" w:eastAsia="宋体" w:cs="宋体"/>
                <w:color w:val="000000"/>
                <w:kern w:val="0"/>
                <w:szCs w:val="21"/>
              </w:rPr>
              <w:t>%</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915"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00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四是财政资金不足，导致年度内部分项目预算不能及时支付下一步改进措施：一是细化预算编制工作，认真做好预算绩效目标的编制；二是加强单位财务管理，健全单位财务管理制度体系</w:t>
            </w:r>
          </w:p>
        </w:tc>
      </w:tr>
    </w:tbl>
    <w:p>
      <w:pPr>
        <w:numPr>
          <w:ilvl w:val="0"/>
          <w:numId w:val="0"/>
        </w:num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（11）农村</w:t>
      </w:r>
      <w:r>
        <w:rPr>
          <w:rFonts w:hint="eastAsia" w:ascii="仿宋_GB2312" w:hAnsi="仿宋_GB2312" w:eastAsia="仿宋_GB2312" w:cs="仿宋_GB2312"/>
          <w:sz w:val="32"/>
          <w:szCs w:val="32"/>
        </w:rPr>
        <w:t>环境</w:t>
      </w:r>
      <w:r>
        <w:rPr>
          <w:rFonts w:hint="eastAsia" w:ascii="仿宋_GB2312" w:hAnsi="仿宋_GB2312" w:eastAsia="仿宋_GB2312" w:cs="仿宋_GB2312"/>
          <w:sz w:val="32"/>
          <w:szCs w:val="32"/>
          <w:lang w:val="en-US" w:eastAsia="zh-CN"/>
        </w:rPr>
        <w:t>综合整治项目</w:t>
      </w:r>
      <w:r>
        <w:rPr>
          <w:rFonts w:hint="eastAsia" w:ascii="仿宋_GB2312" w:hAnsi="仿宋_GB2312" w:eastAsia="仿宋_GB2312" w:cs="仿宋_GB2312"/>
          <w:sz w:val="32"/>
          <w:szCs w:val="32"/>
        </w:rPr>
        <w:t>经费项目自评综述：根据年初设定的绩效目标，</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rPr>
        <w:t>环境</w:t>
      </w:r>
      <w:r>
        <w:rPr>
          <w:rFonts w:hint="eastAsia" w:ascii="仿宋_GB2312" w:hAnsi="仿宋_GB2312" w:eastAsia="仿宋_GB2312" w:cs="仿宋_GB2312"/>
          <w:sz w:val="32"/>
          <w:szCs w:val="32"/>
          <w:lang w:val="en-US" w:eastAsia="zh-CN"/>
        </w:rPr>
        <w:t>综合整治项目</w:t>
      </w:r>
      <w:r>
        <w:rPr>
          <w:rFonts w:hint="eastAsia" w:ascii="仿宋_GB2312" w:hAnsi="仿宋_GB2312" w:eastAsia="仿宋_GB2312" w:cs="仿宋_GB2312"/>
          <w:sz w:val="32"/>
          <w:szCs w:val="32"/>
        </w:rPr>
        <w:t>经费项目绩效自评得分为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一是加强河道清理，达到河道通畅，河岸无杂物垃圾，底清面净；二是组织开展清洁家园为主题的环境整治活动，大力营造舒适宜居的生产生活生态环境，积极治理三废污染，净化绿化美化自然环境；三是严打散乱污，高控大气污染。发现的主要问题及原因：一是预算编制工作有待细化；二是绩效目标设立不够明确和量化；三：预算编制的合理性及资金使用效益需提高；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p>
      <w:pPr>
        <w:numPr>
          <w:ilvl w:val="0"/>
          <w:numId w:val="0"/>
        </w:numPr>
        <w:adjustRightInd w:val="0"/>
        <w:snapToGrid w:val="0"/>
        <w:spacing w:line="580" w:lineRule="exact"/>
        <w:rPr>
          <w:rFonts w:hint="eastAsia" w:ascii="仿宋_GB2312" w:hAnsi="仿宋_GB2312" w:eastAsia="仿宋_GB2312" w:cs="仿宋_GB2312"/>
          <w:sz w:val="32"/>
          <w:szCs w:val="32"/>
          <w:lang w:eastAsia="zh-CN"/>
        </w:rPr>
      </w:pPr>
    </w:p>
    <w:tbl>
      <w:tblPr>
        <w:tblStyle w:val="7"/>
        <w:tblW w:w="8940" w:type="dxa"/>
        <w:tblInd w:w="95" w:type="dxa"/>
        <w:tblLayout w:type="autofit"/>
        <w:tblCellMar>
          <w:top w:w="0" w:type="dxa"/>
          <w:left w:w="108" w:type="dxa"/>
          <w:bottom w:w="0" w:type="dxa"/>
          <w:right w:w="108" w:type="dxa"/>
        </w:tblCellMar>
      </w:tblPr>
      <w:tblGrid>
        <w:gridCol w:w="940"/>
        <w:gridCol w:w="1000"/>
        <w:gridCol w:w="1080"/>
        <w:gridCol w:w="1240"/>
        <w:gridCol w:w="1260"/>
        <w:gridCol w:w="1060"/>
        <w:gridCol w:w="1060"/>
        <w:gridCol w:w="1300"/>
      </w:tblGrid>
      <w:tr>
        <w:tblPrEx>
          <w:tblCellMar>
            <w:top w:w="0" w:type="dxa"/>
            <w:left w:w="108" w:type="dxa"/>
            <w:bottom w:w="0" w:type="dxa"/>
            <w:right w:w="108" w:type="dxa"/>
          </w:tblCellMar>
        </w:tblPrEx>
        <w:trPr>
          <w:trHeight w:val="510" w:hRule="atLeast"/>
        </w:trPr>
        <w:tc>
          <w:tcPr>
            <w:tcW w:w="8940" w:type="dxa"/>
            <w:gridSpan w:val="8"/>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894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2019年度）</w:t>
            </w:r>
          </w:p>
        </w:tc>
      </w:tr>
      <w:tr>
        <w:tblPrEx>
          <w:tblCellMar>
            <w:top w:w="0" w:type="dxa"/>
            <w:left w:w="108" w:type="dxa"/>
            <w:bottom w:w="0" w:type="dxa"/>
            <w:right w:w="108" w:type="dxa"/>
          </w:tblCellMar>
        </w:tblPrEx>
        <w:trPr>
          <w:trHeight w:val="435" w:hRule="atLeast"/>
        </w:trPr>
        <w:tc>
          <w:tcPr>
            <w:tcW w:w="4260"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w:t>
            </w:r>
            <w:r>
              <w:rPr>
                <w:rFonts w:hint="eastAsia" w:ascii="宋体" w:hAnsi="宋体" w:eastAsia="宋体" w:cs="宋体"/>
                <w:color w:val="000000"/>
                <w:kern w:val="0"/>
                <w:sz w:val="16"/>
                <w:szCs w:val="16"/>
                <w:lang w:val="en-US" w:eastAsia="zh-CN"/>
              </w:rPr>
              <w:t>马圈</w:t>
            </w:r>
            <w:r>
              <w:rPr>
                <w:rFonts w:hint="eastAsia" w:ascii="宋体" w:hAnsi="宋体" w:eastAsia="宋体" w:cs="宋体"/>
                <w:color w:val="000000"/>
                <w:kern w:val="0"/>
                <w:sz w:val="16"/>
                <w:szCs w:val="16"/>
              </w:rPr>
              <w:t>子镇人民政府</w:t>
            </w:r>
          </w:p>
        </w:tc>
        <w:tc>
          <w:tcPr>
            <w:tcW w:w="12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3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94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环境治理工作经费</w:t>
            </w:r>
          </w:p>
        </w:tc>
        <w:tc>
          <w:tcPr>
            <w:tcW w:w="12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4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w:t>
            </w:r>
            <w:r>
              <w:rPr>
                <w:rFonts w:hint="eastAsia" w:ascii="宋体" w:hAnsi="宋体" w:eastAsia="宋体" w:cs="宋体"/>
                <w:color w:val="000000"/>
                <w:kern w:val="0"/>
                <w:sz w:val="16"/>
                <w:szCs w:val="16"/>
                <w:lang w:val="en-US" w:eastAsia="zh-CN"/>
              </w:rPr>
              <w:t>马圈</w:t>
            </w:r>
            <w:r>
              <w:rPr>
                <w:rFonts w:hint="eastAsia" w:ascii="宋体" w:hAnsi="宋体" w:eastAsia="宋体" w:cs="宋体"/>
                <w:color w:val="000000"/>
                <w:kern w:val="0"/>
                <w:sz w:val="16"/>
                <w:szCs w:val="16"/>
              </w:rPr>
              <w:t>子镇人民政府</w:t>
            </w: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0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100.00%</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45" w:hRule="atLeast"/>
        </w:trPr>
        <w:tc>
          <w:tcPr>
            <w:tcW w:w="94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3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3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75"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加强河道清理，达到河道通畅，河岸无杂物垃圾，底清面净；组织开展清洁家园为主题的环境整治活动，大力营造舒适宜居的生产生活生态环境，积极治理三废污染，净化绿化美化自然环境；严打散乱污，高控大气污染</w:t>
            </w:r>
          </w:p>
        </w:tc>
        <w:tc>
          <w:tcPr>
            <w:tcW w:w="338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按照时间节点，完成目标任务</w:t>
            </w:r>
          </w:p>
        </w:tc>
        <w:tc>
          <w:tcPr>
            <w:tcW w:w="130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930"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8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30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下乡宣传次数</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lang w:val="en-US" w:eastAsia="zh-CN"/>
              </w:rPr>
              <w:t>5</w:t>
            </w:r>
            <w:r>
              <w:rPr>
                <w:rFonts w:hint="eastAsia" w:ascii="宋体" w:hAnsi="宋体" w:eastAsia="宋体" w:cs="宋体"/>
                <w:kern w:val="0"/>
                <w:sz w:val="16"/>
                <w:szCs w:val="16"/>
              </w:rPr>
              <w:t>0</w:t>
            </w:r>
            <w:r>
              <w:rPr>
                <w:rFonts w:hint="eastAsia" w:ascii="宋体" w:hAnsi="宋体" w:eastAsia="宋体" w:cs="宋体"/>
                <w:kern w:val="0"/>
                <w:sz w:val="16"/>
                <w:szCs w:val="16"/>
                <w:lang w:eastAsia="zh-CN"/>
              </w:rPr>
              <w:t>次</w:t>
            </w:r>
            <w:r>
              <w:rPr>
                <w:rFonts w:hint="eastAsia" w:ascii="宋体" w:hAnsi="宋体" w:eastAsia="宋体" w:cs="宋体"/>
                <w:kern w:val="0"/>
                <w:sz w:val="16"/>
                <w:szCs w:val="16"/>
              </w:rPr>
              <w:t>及以上</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kern w:val="0"/>
                <w:sz w:val="16"/>
                <w:szCs w:val="16"/>
                <w:lang w:val="en-US" w:eastAsia="zh-CN"/>
              </w:rPr>
              <w:t>5</w:t>
            </w:r>
            <w:r>
              <w:rPr>
                <w:rFonts w:hint="eastAsia" w:ascii="宋体" w:hAnsi="宋体" w:eastAsia="宋体" w:cs="宋体"/>
                <w:kern w:val="0"/>
                <w:sz w:val="16"/>
                <w:szCs w:val="16"/>
              </w:rPr>
              <w:t>0</w:t>
            </w:r>
            <w:r>
              <w:rPr>
                <w:rFonts w:hint="eastAsia" w:ascii="宋体" w:hAnsi="宋体" w:eastAsia="宋体" w:cs="宋体"/>
                <w:kern w:val="0"/>
                <w:sz w:val="16"/>
                <w:szCs w:val="16"/>
                <w:lang w:eastAsia="zh-CN"/>
              </w:rPr>
              <w:t>次</w:t>
            </w:r>
            <w:r>
              <w:rPr>
                <w:rFonts w:hint="eastAsia" w:ascii="宋体" w:hAnsi="宋体" w:eastAsia="宋体" w:cs="宋体"/>
                <w:kern w:val="0"/>
                <w:sz w:val="16"/>
                <w:szCs w:val="16"/>
              </w:rPr>
              <w:t>及以上</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w:t>
            </w:r>
          </w:p>
        </w:tc>
      </w:tr>
      <w:tr>
        <w:tblPrEx>
          <w:tblCellMar>
            <w:top w:w="0" w:type="dxa"/>
            <w:left w:w="108" w:type="dxa"/>
            <w:bottom w:w="0" w:type="dxa"/>
            <w:right w:w="108" w:type="dxa"/>
          </w:tblCellMar>
        </w:tblPrEx>
        <w:trPr>
          <w:trHeight w:val="40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完成的重点污染治理工程数量</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rPr>
              <w:t>≥</w:t>
            </w:r>
            <w:r>
              <w:rPr>
                <w:rFonts w:hint="eastAsia" w:ascii="宋体" w:hAnsi="宋体" w:eastAsia="宋体" w:cs="宋体"/>
                <w:kern w:val="0"/>
                <w:sz w:val="16"/>
                <w:szCs w:val="16"/>
                <w:lang w:val="en-US" w:eastAsia="zh-CN"/>
              </w:rPr>
              <w:t>5件</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w:t>
            </w:r>
            <w:r>
              <w:rPr>
                <w:rFonts w:hint="eastAsia" w:ascii="宋体" w:hAnsi="宋体" w:eastAsia="宋体" w:cs="宋体"/>
                <w:kern w:val="0"/>
                <w:sz w:val="16"/>
                <w:szCs w:val="16"/>
                <w:lang w:val="en-US" w:eastAsia="zh-CN"/>
              </w:rPr>
              <w:t>5件</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restart"/>
            <w:tcBorders>
              <w:top w:val="nil"/>
              <w:left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效益指标（30）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社会</w:t>
            </w:r>
            <w:r>
              <w:rPr>
                <w:rFonts w:hint="eastAsia" w:ascii="宋体" w:hAnsi="宋体" w:eastAsia="宋体" w:cs="宋体"/>
                <w:color w:val="000000"/>
                <w:kern w:val="0"/>
                <w:sz w:val="16"/>
                <w:szCs w:val="16"/>
              </w:rPr>
              <w:t>效益指标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通过大力推进清垃圾、改厕等工作，进一步改善农村生态环境、提高人民生活质量,重点污染治理工程数量</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宋体" w:cs="宋体"/>
                <w:color w:val="000000"/>
                <w:kern w:val="0"/>
                <w:sz w:val="16"/>
                <w:szCs w:val="16"/>
                <w:lang w:val="en-US" w:eastAsia="zh-CN" w:bidi="ar-SA"/>
              </w:rPr>
            </w:pPr>
            <w:r>
              <w:rPr>
                <w:rFonts w:hint="eastAsia" w:ascii="Calibri" w:hAnsi="Calibri" w:eastAsia="宋体" w:cs="宋体"/>
                <w:color w:val="000000"/>
                <w:kern w:val="0"/>
                <w:sz w:val="16"/>
                <w:szCs w:val="16"/>
                <w:lang w:val="en-US" w:eastAsia="zh-CN"/>
              </w:rPr>
              <w:t>5件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宋体" w:cs="宋体"/>
                <w:color w:val="000000"/>
                <w:kern w:val="0"/>
                <w:sz w:val="16"/>
                <w:szCs w:val="16"/>
                <w:lang w:val="en-US" w:eastAsia="zh-CN" w:bidi="ar-SA"/>
              </w:rPr>
            </w:pPr>
            <w:r>
              <w:rPr>
                <w:rFonts w:hint="eastAsia" w:ascii="Calibri" w:hAnsi="Calibri" w:eastAsia="宋体" w:cs="宋体"/>
                <w:color w:val="000000"/>
                <w:kern w:val="0"/>
                <w:sz w:val="16"/>
                <w:szCs w:val="16"/>
                <w:lang w:val="en-US" w:eastAsia="zh-CN"/>
              </w:rPr>
              <w:t>5件</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hint="default" w:ascii="Calibri" w:hAnsi="Calibri" w:eastAsia="宋体" w:cs="宋体"/>
                <w:color w:val="000000"/>
                <w:kern w:val="0"/>
                <w:sz w:val="21"/>
                <w:szCs w:val="21"/>
                <w:lang w:val="en-US" w:eastAsia="zh-CN" w:bidi="ar-SA"/>
              </w:rPr>
            </w:pPr>
            <w:r>
              <w:rPr>
                <w:rFonts w:hint="eastAsia" w:ascii="Calibri" w:hAnsi="Calibri" w:eastAsia="宋体" w:cs="宋体"/>
                <w:color w:val="000000"/>
                <w:kern w:val="0"/>
                <w:szCs w:val="21"/>
                <w:lang w:val="en-US" w:eastAsia="zh-CN"/>
              </w:rPr>
              <w:t>15</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生态效益指标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进一步改善农村生态环境，实现村容村貌干净整洁有序,改善生态环境村数</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Calibri" w:hAnsi="Calibri" w:eastAsia="宋体" w:cs="宋体"/>
                <w:color w:val="000000"/>
                <w:kern w:val="0"/>
                <w:sz w:val="16"/>
                <w:szCs w:val="16"/>
                <w:lang w:val="en-US" w:eastAsia="zh-CN"/>
              </w:rPr>
            </w:pPr>
            <w:r>
              <w:rPr>
                <w:rFonts w:hint="eastAsia" w:ascii="Calibri" w:hAnsi="Calibri" w:eastAsia="宋体" w:cs="宋体"/>
                <w:color w:val="000000"/>
                <w:kern w:val="0"/>
                <w:sz w:val="16"/>
                <w:szCs w:val="16"/>
                <w:lang w:val="en-US" w:eastAsia="zh-CN"/>
              </w:rPr>
              <w:t>17</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Calibri" w:hAnsi="Calibri" w:eastAsia="宋体" w:cs="宋体"/>
                <w:color w:val="000000"/>
                <w:kern w:val="0"/>
                <w:sz w:val="16"/>
                <w:szCs w:val="16"/>
                <w:lang w:val="en-US" w:eastAsia="zh-CN"/>
              </w:rPr>
            </w:pPr>
            <w:r>
              <w:rPr>
                <w:rFonts w:hint="eastAsia" w:ascii="Calibri" w:hAnsi="Calibri" w:eastAsia="宋体" w:cs="宋体"/>
                <w:color w:val="000000"/>
                <w:kern w:val="0"/>
                <w:sz w:val="16"/>
                <w:szCs w:val="16"/>
                <w:lang w:val="en-US" w:eastAsia="zh-CN"/>
              </w:rPr>
              <w:t>17</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hint="default" w:ascii="Calibri" w:hAnsi="Calibri" w:eastAsia="宋体" w:cs="宋体"/>
                <w:color w:val="000000"/>
                <w:kern w:val="0"/>
                <w:szCs w:val="21"/>
                <w:lang w:val="en-US" w:eastAsia="zh-CN"/>
              </w:rPr>
            </w:pPr>
            <w:r>
              <w:rPr>
                <w:rFonts w:hint="eastAsia" w:ascii="Calibri" w:hAnsi="Calibri" w:eastAsia="宋体" w:cs="宋体"/>
                <w:color w:val="000000"/>
                <w:kern w:val="0"/>
                <w:szCs w:val="21"/>
                <w:lang w:val="en-US" w:eastAsia="zh-CN"/>
              </w:rPr>
              <w:t>15</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公众满意度</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6"/>
                <w:szCs w:val="16"/>
              </w:rPr>
            </w:pPr>
            <w:r>
              <w:rPr>
                <w:rFonts w:ascii="Calibri" w:hAnsi="Calibri" w:eastAsia="宋体" w:cs="宋体"/>
                <w:color w:val="000000"/>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49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100.00%</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915"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00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adjustRightInd w:val="0"/>
        <w:snapToGrid w:val="0"/>
        <w:spacing w:line="580" w:lineRule="exact"/>
        <w:ind w:firstLine="630"/>
        <w:rPr>
          <w:rFonts w:ascii="仿宋_GB2312" w:hAnsi="仿宋_GB2312" w:eastAsia="仿宋_GB2312" w:cs="仿宋_GB2312"/>
          <w:sz w:val="32"/>
          <w:szCs w:val="32"/>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 xml:space="preserve">) </w:t>
      </w:r>
      <w:r>
        <w:rPr>
          <w:rFonts w:hint="eastAsia" w:ascii="仿宋_GB2312" w:hAnsi="仿宋_GB2312" w:eastAsia="仿宋_GB2312" w:cs="仿宋_GB2312"/>
          <w:sz w:val="32"/>
          <w:szCs w:val="32"/>
        </w:rPr>
        <w:t>防火防汛工作经费项目自评综述：根据年初设定的绩效目标，防火防汛工作经费项目绩效自评得分为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分（绩效自评表附后）。全年预算数为45万元，执行数为</w:t>
      </w:r>
      <w:r>
        <w:rPr>
          <w:rFonts w:ascii="仿宋_GB2312" w:hAnsi="仿宋_GB2312" w:eastAsia="仿宋_GB2312" w:cs="仿宋_GB2312"/>
          <w:sz w:val="32"/>
          <w:szCs w:val="32"/>
        </w:rPr>
        <w:t>37.09</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一是组织护林防火、生态公益林管护及野生动植物、森林、湿地资源及农业环境的保护；二是组织协调水资源管理、监测、保护、节约和防汛抗旱技术服务工作，维护农村饮水安全，组织协调农业水利基本建设和水土保持。发现的主要问题及原因：一是预算编制工作有待细化；二是绩效目标设立不够明确和量化；三：预算编制的合理性及资金使用效益需提高；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40" w:type="dxa"/>
        <w:tblInd w:w="95" w:type="dxa"/>
        <w:tblLayout w:type="autofit"/>
        <w:tblCellMar>
          <w:top w:w="0" w:type="dxa"/>
          <w:left w:w="108" w:type="dxa"/>
          <w:bottom w:w="0" w:type="dxa"/>
          <w:right w:w="108" w:type="dxa"/>
        </w:tblCellMar>
      </w:tblPr>
      <w:tblGrid>
        <w:gridCol w:w="940"/>
        <w:gridCol w:w="1000"/>
        <w:gridCol w:w="1080"/>
        <w:gridCol w:w="1240"/>
        <w:gridCol w:w="1260"/>
        <w:gridCol w:w="1060"/>
        <w:gridCol w:w="1060"/>
        <w:gridCol w:w="1300"/>
      </w:tblGrid>
      <w:tr>
        <w:tblPrEx>
          <w:tblCellMar>
            <w:top w:w="0" w:type="dxa"/>
            <w:left w:w="108" w:type="dxa"/>
            <w:bottom w:w="0" w:type="dxa"/>
            <w:right w:w="108" w:type="dxa"/>
          </w:tblCellMar>
        </w:tblPrEx>
        <w:trPr>
          <w:trHeight w:val="510" w:hRule="atLeast"/>
        </w:trPr>
        <w:tc>
          <w:tcPr>
            <w:tcW w:w="8940" w:type="dxa"/>
            <w:gridSpan w:val="8"/>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894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2019年度）</w:t>
            </w:r>
          </w:p>
        </w:tc>
      </w:tr>
      <w:tr>
        <w:tblPrEx>
          <w:tblCellMar>
            <w:top w:w="0" w:type="dxa"/>
            <w:left w:w="108" w:type="dxa"/>
            <w:bottom w:w="0" w:type="dxa"/>
            <w:right w:w="108" w:type="dxa"/>
          </w:tblCellMar>
        </w:tblPrEx>
        <w:trPr>
          <w:trHeight w:val="435" w:hRule="atLeast"/>
        </w:trPr>
        <w:tc>
          <w:tcPr>
            <w:tcW w:w="4260"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w:t>
            </w:r>
            <w:r>
              <w:rPr>
                <w:rFonts w:hint="eastAsia" w:ascii="宋体" w:hAnsi="宋体" w:eastAsia="宋体" w:cs="宋体"/>
                <w:color w:val="000000"/>
                <w:kern w:val="0"/>
                <w:sz w:val="16"/>
                <w:szCs w:val="16"/>
                <w:lang w:val="en-US" w:eastAsia="zh-CN"/>
              </w:rPr>
              <w:t>马圈</w:t>
            </w:r>
            <w:r>
              <w:rPr>
                <w:rFonts w:hint="eastAsia" w:ascii="宋体" w:hAnsi="宋体" w:eastAsia="宋体" w:cs="宋体"/>
                <w:color w:val="000000"/>
                <w:kern w:val="0"/>
                <w:sz w:val="16"/>
                <w:szCs w:val="16"/>
              </w:rPr>
              <w:t>子镇人民政府</w:t>
            </w:r>
          </w:p>
        </w:tc>
        <w:tc>
          <w:tcPr>
            <w:tcW w:w="12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3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94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防火防汛工作经费</w:t>
            </w:r>
          </w:p>
        </w:tc>
        <w:tc>
          <w:tcPr>
            <w:tcW w:w="12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4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w:t>
            </w:r>
            <w:r>
              <w:rPr>
                <w:rFonts w:hint="eastAsia" w:ascii="宋体" w:hAnsi="宋体" w:eastAsia="宋体" w:cs="宋体"/>
                <w:color w:val="000000"/>
                <w:kern w:val="0"/>
                <w:sz w:val="16"/>
                <w:szCs w:val="16"/>
                <w:lang w:val="en-US" w:eastAsia="zh-CN"/>
              </w:rPr>
              <w:t>马圈</w:t>
            </w:r>
            <w:r>
              <w:rPr>
                <w:rFonts w:hint="eastAsia" w:ascii="宋体" w:hAnsi="宋体" w:eastAsia="宋体" w:cs="宋体"/>
                <w:color w:val="000000"/>
                <w:kern w:val="0"/>
                <w:sz w:val="16"/>
                <w:szCs w:val="16"/>
              </w:rPr>
              <w:t>子镇人民政府</w:t>
            </w: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0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45</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4</w:t>
            </w:r>
            <w:r>
              <w:rPr>
                <w:rFonts w:hint="eastAsia" w:ascii="宋体" w:hAnsi="宋体" w:eastAsia="宋体" w:cs="宋体"/>
                <w:color w:val="000000"/>
                <w:kern w:val="0"/>
                <w:sz w:val="16"/>
                <w:szCs w:val="16"/>
              </w:rPr>
              <w:t>5</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37.09</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82.42</w:t>
            </w:r>
            <w:r>
              <w:rPr>
                <w:rFonts w:hint="eastAsia" w:ascii="宋体" w:hAnsi="宋体" w:eastAsia="宋体" w:cs="宋体"/>
                <w:color w:val="000000"/>
                <w:kern w:val="0"/>
                <w:sz w:val="16"/>
                <w:szCs w:val="16"/>
              </w:rPr>
              <w:t>%</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4</w:t>
            </w:r>
            <w:r>
              <w:rPr>
                <w:rFonts w:hint="eastAsia" w:ascii="宋体" w:hAnsi="宋体" w:eastAsia="宋体" w:cs="宋体"/>
                <w:color w:val="000000"/>
                <w:kern w:val="0"/>
                <w:sz w:val="16"/>
                <w:szCs w:val="16"/>
              </w:rPr>
              <w:t>5</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4</w:t>
            </w:r>
            <w:r>
              <w:rPr>
                <w:rFonts w:hint="eastAsia" w:ascii="宋体" w:hAnsi="宋体" w:eastAsia="宋体" w:cs="宋体"/>
                <w:color w:val="000000"/>
                <w:kern w:val="0"/>
                <w:sz w:val="16"/>
                <w:szCs w:val="16"/>
              </w:rPr>
              <w:t>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37.09</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45" w:hRule="atLeast"/>
        </w:trPr>
        <w:tc>
          <w:tcPr>
            <w:tcW w:w="94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3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3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75"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组织护林防火、生态公益林管护及野生动植物、森林、湿地资源及农业环境的保护；组织协调水资源管理、监测、保护、节约和防汛抗旱技术服务工作，维护农村饮水安全，组织协调农业水利基本建设和水土保持。</w:t>
            </w:r>
          </w:p>
        </w:tc>
        <w:tc>
          <w:tcPr>
            <w:tcW w:w="338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按照时间节点，完成目标任务</w:t>
            </w:r>
          </w:p>
        </w:tc>
        <w:tc>
          <w:tcPr>
            <w:tcW w:w="130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705"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8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30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当年实际日常巡查次数</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rPr>
              <w:t>≥</w:t>
            </w:r>
            <w:r>
              <w:rPr>
                <w:rFonts w:hint="eastAsia" w:ascii="宋体" w:hAnsi="宋体" w:eastAsia="宋体" w:cs="宋体"/>
                <w:kern w:val="0"/>
                <w:sz w:val="16"/>
                <w:szCs w:val="16"/>
                <w:lang w:val="en-US" w:eastAsia="zh-CN"/>
              </w:rPr>
              <w:t>200</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kern w:val="0"/>
                <w:sz w:val="16"/>
                <w:szCs w:val="16"/>
              </w:rPr>
              <w:t>≥</w:t>
            </w:r>
            <w:r>
              <w:rPr>
                <w:rFonts w:hint="eastAsia" w:ascii="宋体" w:hAnsi="宋体" w:eastAsia="宋体" w:cs="宋体"/>
                <w:color w:val="000000"/>
                <w:kern w:val="0"/>
                <w:sz w:val="16"/>
                <w:szCs w:val="16"/>
              </w:rPr>
              <w:t>200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16</w:t>
            </w:r>
          </w:p>
        </w:tc>
      </w:tr>
      <w:tr>
        <w:tblPrEx>
          <w:tblCellMar>
            <w:top w:w="0" w:type="dxa"/>
            <w:left w:w="108" w:type="dxa"/>
            <w:bottom w:w="0" w:type="dxa"/>
            <w:right w:w="108" w:type="dxa"/>
          </w:tblCellMar>
        </w:tblPrEx>
        <w:trPr>
          <w:trHeight w:val="49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continue"/>
            <w:tcBorders>
              <w:left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质量指标</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6"/>
                <w:szCs w:val="16"/>
                <w:lang w:val="en-US" w:eastAsia="zh-CN" w:bidi="ar-SA"/>
              </w:rPr>
            </w:pPr>
            <w:r>
              <w:rPr>
                <w:rFonts w:hint="eastAsia" w:ascii="宋体" w:hAnsi="宋体" w:eastAsia="宋体" w:cs="宋体"/>
                <w:kern w:val="0"/>
                <w:sz w:val="16"/>
                <w:szCs w:val="16"/>
              </w:rPr>
              <w:t>反映汛期河道通畅率</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lang w:val="en-US" w:eastAsia="zh-CN" w:bidi="ar-SA"/>
              </w:rPr>
            </w:pPr>
            <w:r>
              <w:rPr>
                <w:rFonts w:hint="eastAsia" w:ascii="宋体" w:hAnsi="宋体" w:eastAsia="宋体" w:cs="宋体"/>
                <w:kern w:val="0"/>
                <w:sz w:val="16"/>
                <w:szCs w:val="16"/>
              </w:rPr>
              <w:t>100%</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lang w:val="en-US" w:eastAsia="zh-CN" w:bidi="ar-SA"/>
              </w:rPr>
            </w:pPr>
            <w:r>
              <w:rPr>
                <w:rFonts w:hint="eastAsia" w:ascii="宋体" w:hAnsi="宋体" w:eastAsia="宋体" w:cs="宋体"/>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16</w:t>
            </w:r>
          </w:p>
        </w:tc>
      </w:tr>
      <w:tr>
        <w:tblPrEx>
          <w:tblCellMar>
            <w:top w:w="0" w:type="dxa"/>
            <w:left w:w="108" w:type="dxa"/>
            <w:bottom w:w="0" w:type="dxa"/>
            <w:right w:w="108" w:type="dxa"/>
          </w:tblCellMar>
        </w:tblPrEx>
        <w:trPr>
          <w:trHeight w:val="49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质量指标</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防火期及汛期宣传条幅制做合格率</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lang w:val="en-US" w:eastAsia="zh-CN" w:bidi="ar-SA"/>
              </w:rPr>
            </w:pPr>
            <w:r>
              <w:rPr>
                <w:rFonts w:hint="eastAsia" w:ascii="宋体" w:hAnsi="宋体" w:eastAsia="宋体" w:cs="宋体"/>
                <w:kern w:val="0"/>
                <w:sz w:val="16"/>
                <w:szCs w:val="16"/>
              </w:rPr>
              <w:t>100%</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lang w:val="en-US" w:eastAsia="zh-CN" w:bidi="ar-SA"/>
              </w:rPr>
            </w:pPr>
            <w:r>
              <w:rPr>
                <w:rFonts w:hint="eastAsia" w:ascii="宋体" w:hAnsi="宋体" w:eastAsia="宋体" w:cs="宋体"/>
                <w:kern w:val="0"/>
                <w:sz w:val="16"/>
                <w:szCs w:val="16"/>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hint="default" w:ascii="Calibri" w:hAnsi="Calibri" w:eastAsia="宋体" w:cs="宋体"/>
                <w:color w:val="000000"/>
                <w:kern w:val="0"/>
                <w:szCs w:val="21"/>
                <w:lang w:val="en-US" w:eastAsia="zh-CN"/>
              </w:rPr>
            </w:pPr>
            <w:r>
              <w:rPr>
                <w:rFonts w:hint="eastAsia" w:ascii="Calibri" w:hAnsi="Calibri" w:eastAsia="宋体" w:cs="宋体"/>
                <w:color w:val="000000"/>
                <w:kern w:val="0"/>
                <w:szCs w:val="21"/>
                <w:lang w:val="en-US" w:eastAsia="zh-CN"/>
              </w:rPr>
              <w:t>18</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效益指标（30）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eastAsia="zh-CN"/>
              </w:rPr>
              <w:t>社会</w:t>
            </w:r>
            <w:r>
              <w:rPr>
                <w:rFonts w:hint="eastAsia" w:ascii="宋体" w:hAnsi="宋体" w:eastAsia="宋体" w:cs="宋体"/>
                <w:color w:val="000000"/>
                <w:kern w:val="0"/>
                <w:sz w:val="16"/>
                <w:szCs w:val="16"/>
              </w:rPr>
              <w:t>效益指标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日常巡查覆盖率</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宋体" w:cs="宋体"/>
                <w:color w:val="000000"/>
                <w:kern w:val="0"/>
                <w:sz w:val="16"/>
                <w:szCs w:val="16"/>
                <w:lang w:val="en-US" w:eastAsia="zh-CN" w:bidi="ar-SA"/>
              </w:rPr>
            </w:pPr>
            <w:r>
              <w:rPr>
                <w:rFonts w:ascii="Calibri" w:hAnsi="Calibri" w:eastAsia="宋体" w:cs="宋体"/>
                <w:color w:val="000000"/>
                <w:kern w:val="0"/>
                <w:sz w:val="16"/>
                <w:szCs w:val="16"/>
              </w:rPr>
              <w:t>100%</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Calibri" w:hAnsi="Calibri" w:eastAsia="宋体" w:cs="宋体"/>
                <w:color w:val="000000"/>
                <w:kern w:val="0"/>
                <w:sz w:val="16"/>
                <w:szCs w:val="16"/>
                <w:lang w:val="en-US" w:eastAsia="zh-CN" w:bidi="ar-SA"/>
              </w:rPr>
            </w:pPr>
            <w:r>
              <w:rPr>
                <w:rFonts w:hint="eastAsia" w:ascii="Calibri" w:hAnsi="Calibri" w:eastAsia="宋体" w:cs="宋体"/>
                <w:color w:val="000000"/>
                <w:kern w:val="0"/>
                <w:sz w:val="16"/>
                <w:szCs w:val="16"/>
                <w:lang w:val="en-US" w:eastAsia="zh-CN"/>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21"/>
                <w:szCs w:val="21"/>
                <w:lang w:val="en-US" w:eastAsia="zh-CN" w:bidi="ar-SA"/>
              </w:rPr>
            </w:pPr>
            <w:r>
              <w:rPr>
                <w:rFonts w:ascii="Calibri" w:hAnsi="Calibri" w:eastAsia="宋体" w:cs="宋体"/>
                <w:color w:val="000000"/>
                <w:kern w:val="0"/>
                <w:szCs w:val="21"/>
              </w:rPr>
              <w:t>30</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公众满意度</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≥90%</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6"/>
                <w:szCs w:val="16"/>
              </w:rPr>
            </w:pPr>
            <w:r>
              <w:rPr>
                <w:rFonts w:ascii="Calibri" w:hAnsi="Calibri" w:eastAsia="宋体" w:cs="宋体"/>
                <w:color w:val="000000"/>
                <w:kern w:val="0"/>
                <w:sz w:val="16"/>
                <w:szCs w:val="16"/>
              </w:rPr>
              <w:t>90%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49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82.42</w:t>
            </w:r>
            <w:r>
              <w:rPr>
                <w:rFonts w:ascii="Calibri" w:hAnsi="Calibri" w:eastAsia="宋体" w:cs="宋体"/>
                <w:color w:val="000000"/>
                <w:kern w:val="0"/>
                <w:szCs w:val="21"/>
              </w:rPr>
              <w:t>%</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82.42</w:t>
            </w:r>
            <w:r>
              <w:rPr>
                <w:rFonts w:ascii="Calibri" w:hAnsi="Calibri" w:eastAsia="宋体" w:cs="宋体"/>
                <w:color w:val="000000"/>
                <w:kern w:val="0"/>
                <w:szCs w:val="21"/>
              </w:rPr>
              <w:t>%</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915"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00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adjustRightInd w:val="0"/>
        <w:snapToGrid w:val="0"/>
        <w:spacing w:line="58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（13）沈杖子六组粮食补助项目自评综述：</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lang w:val="en-US" w:eastAsia="zh-CN"/>
        </w:rPr>
        <w:t>沈杖子六组粮食补助</w:t>
      </w:r>
      <w:r>
        <w:rPr>
          <w:rFonts w:hint="eastAsia" w:ascii="仿宋_GB2312" w:hAnsi="仿宋_GB2312" w:eastAsia="仿宋_GB2312" w:cs="仿宋_GB2312"/>
          <w:sz w:val="32"/>
          <w:szCs w:val="32"/>
        </w:rPr>
        <w:t>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一是由政府牵头（农牧局、财政局具体实施），按本村人数，每人每年给予补助粮食420斤，并实行台账管理，保证年底补助款到位；二是确保及时足额发放补助款，消除信访隐患。</w:t>
      </w:r>
      <w:r>
        <w:rPr>
          <w:rFonts w:hint="eastAsia" w:ascii="仿宋_GB2312" w:hAnsi="仿宋_GB2312" w:eastAsia="仿宋_GB2312" w:cs="仿宋_GB2312"/>
          <w:sz w:val="32"/>
          <w:szCs w:val="32"/>
        </w:rPr>
        <w:t>发现的主要问题及原因：一是预算编制工作有待细化；二是绩效目标设立不够明确和量化；三：预算编制的合理性及资金使用效益需提高；下一步改进措施：一是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40" w:type="dxa"/>
        <w:tblInd w:w="95" w:type="dxa"/>
        <w:tblLayout w:type="autofit"/>
        <w:tblCellMar>
          <w:top w:w="0" w:type="dxa"/>
          <w:left w:w="108" w:type="dxa"/>
          <w:bottom w:w="0" w:type="dxa"/>
          <w:right w:w="108" w:type="dxa"/>
        </w:tblCellMar>
      </w:tblPr>
      <w:tblGrid>
        <w:gridCol w:w="940"/>
        <w:gridCol w:w="1000"/>
        <w:gridCol w:w="1080"/>
        <w:gridCol w:w="1240"/>
        <w:gridCol w:w="1260"/>
        <w:gridCol w:w="1060"/>
        <w:gridCol w:w="1060"/>
        <w:gridCol w:w="1300"/>
      </w:tblGrid>
      <w:tr>
        <w:tblPrEx>
          <w:tblCellMar>
            <w:top w:w="0" w:type="dxa"/>
            <w:left w:w="108" w:type="dxa"/>
            <w:bottom w:w="0" w:type="dxa"/>
            <w:right w:w="108" w:type="dxa"/>
          </w:tblCellMar>
        </w:tblPrEx>
        <w:trPr>
          <w:trHeight w:val="510" w:hRule="atLeast"/>
        </w:trPr>
        <w:tc>
          <w:tcPr>
            <w:tcW w:w="8940" w:type="dxa"/>
            <w:gridSpan w:val="8"/>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rPr>
          <w:trHeight w:val="345" w:hRule="atLeast"/>
        </w:trPr>
        <w:tc>
          <w:tcPr>
            <w:tcW w:w="894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2019年度）</w:t>
            </w:r>
          </w:p>
        </w:tc>
      </w:tr>
      <w:tr>
        <w:tblPrEx>
          <w:tblCellMar>
            <w:top w:w="0" w:type="dxa"/>
            <w:left w:w="108" w:type="dxa"/>
            <w:bottom w:w="0" w:type="dxa"/>
            <w:right w:w="108" w:type="dxa"/>
          </w:tblCellMar>
        </w:tblPrEx>
        <w:trPr>
          <w:trHeight w:val="435" w:hRule="atLeast"/>
        </w:trPr>
        <w:tc>
          <w:tcPr>
            <w:tcW w:w="4260"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w:t>
            </w:r>
            <w:r>
              <w:rPr>
                <w:rFonts w:hint="eastAsia" w:ascii="宋体" w:hAnsi="宋体" w:eastAsia="宋体" w:cs="宋体"/>
                <w:color w:val="000000"/>
                <w:kern w:val="0"/>
                <w:sz w:val="16"/>
                <w:szCs w:val="16"/>
                <w:lang w:val="en-US" w:eastAsia="zh-CN"/>
              </w:rPr>
              <w:t>马圈</w:t>
            </w:r>
            <w:r>
              <w:rPr>
                <w:rFonts w:hint="eastAsia" w:ascii="宋体" w:hAnsi="宋体" w:eastAsia="宋体" w:cs="宋体"/>
                <w:color w:val="000000"/>
                <w:kern w:val="0"/>
                <w:sz w:val="16"/>
                <w:szCs w:val="16"/>
              </w:rPr>
              <w:t>子镇人民政府</w:t>
            </w:r>
          </w:p>
        </w:tc>
        <w:tc>
          <w:tcPr>
            <w:tcW w:w="12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3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94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沈杖子六组粮食补助</w:t>
            </w:r>
          </w:p>
        </w:tc>
        <w:tc>
          <w:tcPr>
            <w:tcW w:w="12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4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w:t>
            </w:r>
            <w:r>
              <w:rPr>
                <w:rFonts w:hint="eastAsia" w:ascii="宋体" w:hAnsi="宋体" w:eastAsia="宋体" w:cs="宋体"/>
                <w:color w:val="000000"/>
                <w:kern w:val="0"/>
                <w:sz w:val="16"/>
                <w:szCs w:val="16"/>
                <w:lang w:val="en-US" w:eastAsia="zh-CN"/>
              </w:rPr>
              <w:t>马圈</w:t>
            </w:r>
            <w:r>
              <w:rPr>
                <w:rFonts w:hint="eastAsia" w:ascii="宋体" w:hAnsi="宋体" w:eastAsia="宋体" w:cs="宋体"/>
                <w:color w:val="000000"/>
                <w:kern w:val="0"/>
                <w:sz w:val="16"/>
                <w:szCs w:val="16"/>
              </w:rPr>
              <w:t>子镇人民政府</w:t>
            </w: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0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9.5</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9.5</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9.5</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100</w:t>
            </w:r>
            <w:r>
              <w:rPr>
                <w:rFonts w:hint="eastAsia" w:ascii="宋体" w:hAnsi="宋体" w:eastAsia="宋体" w:cs="宋体"/>
                <w:color w:val="000000"/>
                <w:kern w:val="0"/>
                <w:sz w:val="16"/>
                <w:szCs w:val="16"/>
              </w:rPr>
              <w:t>%</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9.5</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9.5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9.5</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45" w:hRule="atLeast"/>
        </w:trPr>
        <w:tc>
          <w:tcPr>
            <w:tcW w:w="94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3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3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75"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一是由政府牵头（农牧局、财政局具体实施），按本村人数，每人每年给予补助粮食420斤，并实行台账管理，保证年底补助款到位；二是确保及时足额发放补助款，消除信访隐患</w:t>
            </w:r>
          </w:p>
        </w:tc>
        <w:tc>
          <w:tcPr>
            <w:tcW w:w="338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按照时间节点，完成目标任务</w:t>
            </w:r>
          </w:p>
        </w:tc>
        <w:tc>
          <w:tcPr>
            <w:tcW w:w="130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705"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8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30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本村六组实际人数</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color w:val="000000"/>
                <w:kern w:val="0"/>
                <w:sz w:val="16"/>
                <w:szCs w:val="16"/>
              </w:rPr>
              <w:t>≥</w:t>
            </w:r>
            <w:r>
              <w:rPr>
                <w:rFonts w:hint="eastAsia" w:ascii="宋体" w:hAnsi="宋体" w:eastAsia="宋体" w:cs="宋体"/>
                <w:kern w:val="0"/>
                <w:sz w:val="16"/>
                <w:szCs w:val="16"/>
                <w:lang w:val="en-US" w:eastAsia="zh-CN"/>
              </w:rPr>
              <w:t>100</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w:t>
            </w:r>
            <w:r>
              <w:rPr>
                <w:rFonts w:hint="eastAsia" w:ascii="宋体" w:hAnsi="宋体" w:eastAsia="宋体" w:cs="宋体"/>
                <w:color w:val="000000"/>
                <w:kern w:val="0"/>
                <w:sz w:val="16"/>
                <w:szCs w:val="16"/>
                <w:lang w:val="en-US" w:eastAsia="zh-CN"/>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16</w:t>
            </w:r>
          </w:p>
        </w:tc>
      </w:tr>
      <w:tr>
        <w:tblPrEx>
          <w:tblCellMar>
            <w:top w:w="0" w:type="dxa"/>
            <w:left w:w="108" w:type="dxa"/>
            <w:bottom w:w="0" w:type="dxa"/>
            <w:right w:w="108" w:type="dxa"/>
          </w:tblCellMar>
        </w:tblPrEx>
        <w:trPr>
          <w:trHeight w:val="40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每人每年应发放的粮食数量</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=420斤</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=420斤</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16</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收到专项资金后拨付到救助对象手中的时效</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&lt;=15天　</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　&lt;=15天</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18</w:t>
            </w: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效益指标（30）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经济效益指标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资金到位率</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宋体" w:cs="宋体"/>
                <w:color w:val="000000"/>
                <w:kern w:val="0"/>
                <w:sz w:val="16"/>
                <w:szCs w:val="16"/>
                <w:lang w:val="en-US" w:eastAsia="zh-CN" w:bidi="ar-SA"/>
              </w:rPr>
            </w:pPr>
            <w:r>
              <w:rPr>
                <w:rFonts w:ascii="Calibri" w:hAnsi="Calibri" w:eastAsia="宋体" w:cs="宋体"/>
                <w:color w:val="000000"/>
                <w:kern w:val="0"/>
                <w:sz w:val="16"/>
                <w:szCs w:val="16"/>
              </w:rPr>
              <w:t>100%</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6"/>
                <w:szCs w:val="16"/>
                <w:lang w:val="en-US" w:eastAsia="zh-CN" w:bidi="ar-SA"/>
              </w:rPr>
            </w:pPr>
            <w:r>
              <w:rPr>
                <w:rFonts w:ascii="Calibri" w:hAnsi="Calibri" w:eastAsia="宋体" w:cs="宋体"/>
                <w:color w:val="000000"/>
                <w:kern w:val="0"/>
                <w:sz w:val="16"/>
                <w:szCs w:val="16"/>
              </w:rPr>
              <w:t>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21"/>
                <w:szCs w:val="21"/>
                <w:lang w:val="en-US" w:eastAsia="zh-CN" w:bidi="ar-SA"/>
              </w:rPr>
            </w:pPr>
            <w:r>
              <w:rPr>
                <w:rFonts w:ascii="Calibri" w:hAnsi="Calibri" w:eastAsia="宋体" w:cs="宋体"/>
                <w:color w:val="000000"/>
                <w:kern w:val="0"/>
                <w:szCs w:val="21"/>
              </w:rPr>
              <w:t>30</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公众满意度</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≥90%</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6"/>
                <w:szCs w:val="16"/>
              </w:rPr>
            </w:pPr>
            <w:r>
              <w:rPr>
                <w:rFonts w:ascii="Calibri" w:hAnsi="Calibri" w:eastAsia="宋体" w:cs="宋体"/>
                <w:color w:val="000000"/>
                <w:kern w:val="0"/>
                <w:sz w:val="16"/>
                <w:szCs w:val="16"/>
              </w:rPr>
              <w:t>90%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49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100</w:t>
            </w:r>
            <w:r>
              <w:rPr>
                <w:rFonts w:ascii="Calibri" w:hAnsi="Calibri" w:eastAsia="宋体" w:cs="宋体"/>
                <w:color w:val="000000"/>
                <w:kern w:val="0"/>
                <w:szCs w:val="21"/>
              </w:rPr>
              <w:t>%</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100</w:t>
            </w:r>
            <w:r>
              <w:rPr>
                <w:rFonts w:ascii="Calibri" w:hAnsi="Calibri" w:eastAsia="宋体" w:cs="宋体"/>
                <w:color w:val="000000"/>
                <w:kern w:val="0"/>
                <w:szCs w:val="21"/>
              </w:rPr>
              <w:t>%</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915"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00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adjustRightInd w:val="0"/>
        <w:snapToGrid w:val="0"/>
        <w:spacing w:line="580" w:lineRule="exact"/>
        <w:ind w:firstLine="630"/>
        <w:rPr>
          <w:rFonts w:hint="default" w:ascii="仿宋_GB2312" w:hAnsi="仿宋_GB2312" w:eastAsia="仿宋_GB2312" w:cs="仿宋_GB2312"/>
          <w:sz w:val="32"/>
          <w:szCs w:val="32"/>
          <w:lang w:val="en-US" w:eastAsia="zh-CN"/>
        </w:rPr>
      </w:pPr>
    </w:p>
    <w:p>
      <w:pPr>
        <w:adjustRightInd w:val="0"/>
        <w:snapToGrid w:val="0"/>
        <w:spacing w:line="58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（14）特困群众救助金（矽肺病）项目自评综述：</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lang w:val="en-US" w:eastAsia="zh-CN"/>
        </w:rPr>
        <w:t>特困群众救助金（矽肺病）</w:t>
      </w:r>
      <w:r>
        <w:rPr>
          <w:rFonts w:hint="eastAsia" w:ascii="仿宋_GB2312" w:hAnsi="仿宋_GB2312" w:eastAsia="仿宋_GB2312" w:cs="仿宋_GB2312"/>
          <w:sz w:val="32"/>
          <w:szCs w:val="32"/>
        </w:rPr>
        <w:t>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26.1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26.1</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一是根据《青龙满族自治县原黄金系统企业矽肺病人员社会救助试行办法》，对经职业病鉴定的矽肺病人员进行救助赔偿金的足额及时发放；二是通过对矽肺病人员救助赔偿金的及时足额发放，消除信访隐患。</w:t>
      </w:r>
      <w:r>
        <w:rPr>
          <w:rFonts w:hint="eastAsia" w:ascii="仿宋_GB2312" w:hAnsi="仿宋_GB2312" w:eastAsia="仿宋_GB2312" w:cs="仿宋_GB2312"/>
          <w:sz w:val="32"/>
          <w:szCs w:val="32"/>
        </w:rPr>
        <w:t>发现的主要问题及原因：一是预算编制工作有待细化；二是绩效目标设立不够明确和量化；三：预算编制的合理性及资金使用效益需提高；下一步改进措施：一是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7"/>
        <w:tblW w:w="8940" w:type="dxa"/>
        <w:tblInd w:w="95" w:type="dxa"/>
        <w:tblLayout w:type="autofit"/>
        <w:tblCellMar>
          <w:top w:w="0" w:type="dxa"/>
          <w:left w:w="108" w:type="dxa"/>
          <w:bottom w:w="0" w:type="dxa"/>
          <w:right w:w="108" w:type="dxa"/>
        </w:tblCellMar>
      </w:tblPr>
      <w:tblGrid>
        <w:gridCol w:w="940"/>
        <w:gridCol w:w="1000"/>
        <w:gridCol w:w="1080"/>
        <w:gridCol w:w="1240"/>
        <w:gridCol w:w="1260"/>
        <w:gridCol w:w="1060"/>
        <w:gridCol w:w="1060"/>
        <w:gridCol w:w="1300"/>
      </w:tblGrid>
      <w:tr>
        <w:tblPrEx>
          <w:tblCellMar>
            <w:top w:w="0" w:type="dxa"/>
            <w:left w:w="108" w:type="dxa"/>
            <w:bottom w:w="0" w:type="dxa"/>
            <w:right w:w="108" w:type="dxa"/>
          </w:tblCellMar>
        </w:tblPrEx>
        <w:trPr>
          <w:trHeight w:val="510" w:hRule="atLeast"/>
        </w:trPr>
        <w:tc>
          <w:tcPr>
            <w:tcW w:w="8940" w:type="dxa"/>
            <w:gridSpan w:val="8"/>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345" w:hRule="atLeast"/>
        </w:trPr>
        <w:tc>
          <w:tcPr>
            <w:tcW w:w="894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2019年度）</w:t>
            </w:r>
          </w:p>
        </w:tc>
      </w:tr>
      <w:tr>
        <w:tblPrEx>
          <w:tblCellMar>
            <w:top w:w="0" w:type="dxa"/>
            <w:left w:w="108" w:type="dxa"/>
            <w:bottom w:w="0" w:type="dxa"/>
            <w:right w:w="108" w:type="dxa"/>
          </w:tblCellMar>
        </w:tblPrEx>
        <w:trPr>
          <w:trHeight w:val="435" w:hRule="atLeast"/>
        </w:trPr>
        <w:tc>
          <w:tcPr>
            <w:tcW w:w="4260"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填报单位（盖章）：青龙满族自治县</w:t>
            </w:r>
            <w:r>
              <w:rPr>
                <w:rFonts w:hint="eastAsia" w:ascii="宋体" w:hAnsi="宋体" w:eastAsia="宋体" w:cs="宋体"/>
                <w:color w:val="000000"/>
                <w:kern w:val="0"/>
                <w:sz w:val="16"/>
                <w:szCs w:val="16"/>
                <w:lang w:val="en-US" w:eastAsia="zh-CN"/>
              </w:rPr>
              <w:t>马圈</w:t>
            </w:r>
            <w:r>
              <w:rPr>
                <w:rFonts w:hint="eastAsia" w:ascii="宋体" w:hAnsi="宋体" w:eastAsia="宋体" w:cs="宋体"/>
                <w:color w:val="000000"/>
                <w:kern w:val="0"/>
                <w:sz w:val="16"/>
                <w:szCs w:val="16"/>
              </w:rPr>
              <w:t>子镇人民政府</w:t>
            </w:r>
          </w:p>
        </w:tc>
        <w:tc>
          <w:tcPr>
            <w:tcW w:w="12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3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94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3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特困群众救助金（矽肺病）</w:t>
            </w:r>
          </w:p>
        </w:tc>
        <w:tc>
          <w:tcPr>
            <w:tcW w:w="12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4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青龙满族自治县</w:t>
            </w:r>
            <w:r>
              <w:rPr>
                <w:rFonts w:hint="eastAsia" w:ascii="宋体" w:hAnsi="宋体" w:eastAsia="宋体" w:cs="宋体"/>
                <w:color w:val="000000"/>
                <w:kern w:val="0"/>
                <w:sz w:val="16"/>
                <w:szCs w:val="16"/>
                <w:lang w:val="en-US" w:eastAsia="zh-CN"/>
              </w:rPr>
              <w:t>马圈</w:t>
            </w:r>
            <w:r>
              <w:rPr>
                <w:rFonts w:hint="eastAsia" w:ascii="宋体" w:hAnsi="宋体" w:eastAsia="宋体" w:cs="宋体"/>
                <w:color w:val="000000"/>
                <w:kern w:val="0"/>
                <w:sz w:val="16"/>
                <w:szCs w:val="16"/>
              </w:rPr>
              <w:t>子镇人民政府</w:t>
            </w: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0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26.1</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26.1</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26.1</w:t>
            </w:r>
          </w:p>
        </w:tc>
        <w:tc>
          <w:tcPr>
            <w:tcW w:w="13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100</w:t>
            </w:r>
            <w:r>
              <w:rPr>
                <w:rFonts w:hint="eastAsia" w:ascii="宋体" w:hAnsi="宋体" w:eastAsia="宋体" w:cs="宋体"/>
                <w:color w:val="000000"/>
                <w:kern w:val="0"/>
                <w:sz w:val="16"/>
                <w:szCs w:val="16"/>
              </w:rPr>
              <w:t>%</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26.1</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26.1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26.1</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2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2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45" w:hRule="atLeast"/>
        </w:trPr>
        <w:tc>
          <w:tcPr>
            <w:tcW w:w="94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32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3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75"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一是根据《青龙满族自治县原黄金系统企业矽肺病人员社会救助试行办法》，对经职业病鉴定的矽肺病人员进行救助赔偿金的足额及时发放；二是通过对矽肺病人员救助赔偿金的及时足额发放，消除信访隐患。</w:t>
            </w:r>
          </w:p>
        </w:tc>
        <w:tc>
          <w:tcPr>
            <w:tcW w:w="338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按照时间节点，完成目标任务</w:t>
            </w:r>
          </w:p>
        </w:tc>
        <w:tc>
          <w:tcPr>
            <w:tcW w:w="1300" w:type="dxa"/>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705" w:hRule="atLeast"/>
        </w:trPr>
        <w:tc>
          <w:tcPr>
            <w:tcW w:w="94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2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3380" w:type="dxa"/>
            <w:gridSpan w:val="3"/>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300"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940" w:type="dxa"/>
            <w:vMerge w:val="restart"/>
            <w:tcBorders>
              <w:top w:val="single" w:color="000000" w:sz="4" w:space="0"/>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已认定伤残等级待遇矽肺病人数核实</w:t>
            </w:r>
            <w:r>
              <w:rPr>
                <w:rFonts w:hint="eastAsia" w:ascii="宋体" w:hAnsi="宋体" w:eastAsia="宋体" w:cs="宋体"/>
                <w:kern w:val="0"/>
                <w:sz w:val="16"/>
                <w:szCs w:val="16"/>
                <w:lang w:eastAsia="zh-CN"/>
              </w:rPr>
              <w:t>的</w:t>
            </w:r>
            <w:r>
              <w:rPr>
                <w:rFonts w:hint="eastAsia" w:ascii="宋体" w:hAnsi="宋体" w:eastAsia="宋体" w:cs="宋体"/>
                <w:kern w:val="0"/>
                <w:sz w:val="16"/>
                <w:szCs w:val="16"/>
              </w:rPr>
              <w:t>次数</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lang w:val="en-US" w:eastAsia="zh-CN"/>
              </w:rPr>
            </w:pPr>
            <w:r>
              <w:rPr>
                <w:rFonts w:hint="eastAsia" w:ascii="宋体" w:hAnsi="宋体" w:eastAsia="宋体" w:cs="宋体"/>
                <w:color w:val="000000"/>
                <w:kern w:val="0"/>
                <w:sz w:val="16"/>
                <w:szCs w:val="16"/>
              </w:rPr>
              <w:t>≥</w:t>
            </w:r>
            <w:r>
              <w:rPr>
                <w:rFonts w:hint="eastAsia" w:ascii="宋体" w:hAnsi="宋体" w:eastAsia="宋体" w:cs="宋体"/>
                <w:color w:val="000000"/>
                <w:kern w:val="0"/>
                <w:sz w:val="16"/>
                <w:szCs w:val="16"/>
                <w:lang w:val="en-US" w:eastAsia="zh-CN"/>
              </w:rPr>
              <w:t>1次/每年</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w:t>
            </w:r>
            <w:r>
              <w:rPr>
                <w:rFonts w:hint="eastAsia" w:ascii="宋体" w:hAnsi="宋体" w:eastAsia="宋体" w:cs="宋体"/>
                <w:color w:val="000000"/>
                <w:kern w:val="0"/>
                <w:sz w:val="16"/>
                <w:szCs w:val="16"/>
                <w:lang w:val="en-US" w:eastAsia="zh-CN"/>
              </w:rPr>
              <w:t>1次/每年</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16</w:t>
            </w:r>
          </w:p>
        </w:tc>
      </w:tr>
      <w:tr>
        <w:tblPrEx>
          <w:tblCellMar>
            <w:top w:w="0" w:type="dxa"/>
            <w:left w:w="108" w:type="dxa"/>
            <w:bottom w:w="0" w:type="dxa"/>
            <w:right w:w="108" w:type="dxa"/>
          </w:tblCellMar>
        </w:tblPrEx>
        <w:trPr>
          <w:trHeight w:val="40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已认定伤残等级待遇矽肺病</w:t>
            </w:r>
            <w:r>
              <w:rPr>
                <w:rFonts w:hint="eastAsia" w:ascii="宋体" w:hAnsi="宋体" w:eastAsia="宋体" w:cs="宋体"/>
                <w:kern w:val="0"/>
                <w:sz w:val="16"/>
                <w:szCs w:val="16"/>
                <w:lang w:eastAsia="zh-CN"/>
              </w:rPr>
              <w:t>领取补助</w:t>
            </w:r>
            <w:r>
              <w:rPr>
                <w:rFonts w:hint="eastAsia" w:ascii="宋体" w:hAnsi="宋体" w:eastAsia="宋体" w:cs="宋体"/>
                <w:kern w:val="0"/>
                <w:sz w:val="16"/>
                <w:szCs w:val="16"/>
              </w:rPr>
              <w:t>人数</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color w:val="000000"/>
                <w:kern w:val="0"/>
                <w:sz w:val="16"/>
                <w:szCs w:val="16"/>
              </w:rPr>
              <w:t>≥</w:t>
            </w:r>
            <w:r>
              <w:rPr>
                <w:rFonts w:hint="eastAsia" w:ascii="宋体" w:hAnsi="宋体" w:eastAsia="宋体" w:cs="宋体"/>
                <w:color w:val="000000"/>
                <w:kern w:val="0"/>
                <w:sz w:val="16"/>
                <w:szCs w:val="16"/>
                <w:lang w:val="en-US" w:eastAsia="zh-CN"/>
              </w:rPr>
              <w:t>42人</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6"/>
                <w:szCs w:val="16"/>
                <w:lang w:val="en-US" w:eastAsia="zh-CN"/>
              </w:rPr>
            </w:pPr>
            <w:r>
              <w:rPr>
                <w:rFonts w:hint="eastAsia" w:ascii="宋体" w:hAnsi="宋体" w:eastAsia="宋体" w:cs="宋体"/>
                <w:color w:val="000000"/>
                <w:kern w:val="0"/>
                <w:sz w:val="16"/>
                <w:szCs w:val="16"/>
              </w:rPr>
              <w:t>≥</w:t>
            </w:r>
            <w:r>
              <w:rPr>
                <w:rFonts w:hint="eastAsia" w:ascii="宋体" w:hAnsi="宋体" w:eastAsia="宋体" w:cs="宋体"/>
                <w:color w:val="000000"/>
                <w:kern w:val="0"/>
                <w:sz w:val="16"/>
                <w:szCs w:val="16"/>
                <w:lang w:val="en-US" w:eastAsia="zh-CN"/>
              </w:rPr>
              <w:t>42人</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16</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资金及时拨付率</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100</w:t>
            </w:r>
            <w:r>
              <w:rPr>
                <w:rFonts w:ascii="Calibri" w:hAnsi="Calibri" w:eastAsia="宋体" w:cs="宋体"/>
                <w:color w:val="000000"/>
                <w:kern w:val="0"/>
                <w:szCs w:val="21"/>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Calibri" w:hAnsi="Calibri" w:eastAsia="宋体" w:cs="宋体"/>
                <w:color w:val="000000"/>
                <w:kern w:val="0"/>
                <w:szCs w:val="21"/>
                <w:lang w:val="en-US" w:eastAsia="zh-CN"/>
              </w:rPr>
            </w:pPr>
            <w:r>
              <w:rPr>
                <w:rFonts w:ascii="Calibri" w:hAnsi="Calibri" w:eastAsia="宋体" w:cs="宋体"/>
                <w:color w:val="000000"/>
                <w:kern w:val="0"/>
                <w:szCs w:val="21"/>
              </w:rPr>
              <w:t>　</w:t>
            </w:r>
            <w:r>
              <w:rPr>
                <w:rFonts w:hint="eastAsia" w:ascii="Calibri" w:hAnsi="Calibri" w:eastAsia="宋体" w:cs="宋体"/>
                <w:color w:val="000000"/>
                <w:kern w:val="0"/>
                <w:szCs w:val="21"/>
                <w:lang w:val="en-US" w:eastAsia="zh-CN"/>
              </w:rPr>
              <w:t>100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18</w:t>
            </w: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效益指标（30）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经济效益指标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资金到位率</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宋体" w:cs="宋体"/>
                <w:color w:val="000000"/>
                <w:kern w:val="0"/>
                <w:sz w:val="16"/>
                <w:szCs w:val="16"/>
                <w:lang w:val="en-US" w:eastAsia="zh-CN" w:bidi="ar-SA"/>
              </w:rPr>
            </w:pPr>
            <w:r>
              <w:rPr>
                <w:rFonts w:ascii="Calibri" w:hAnsi="Calibri" w:eastAsia="宋体" w:cs="宋体"/>
                <w:color w:val="000000"/>
                <w:kern w:val="0"/>
                <w:sz w:val="16"/>
                <w:szCs w:val="16"/>
              </w:rPr>
              <w:t>100%</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6"/>
                <w:szCs w:val="16"/>
                <w:lang w:val="en-US" w:eastAsia="zh-CN" w:bidi="ar-SA"/>
              </w:rPr>
            </w:pPr>
            <w:r>
              <w:rPr>
                <w:rFonts w:ascii="Calibri" w:hAnsi="Calibri" w:eastAsia="宋体" w:cs="宋体"/>
                <w:color w:val="000000"/>
                <w:kern w:val="0"/>
                <w:sz w:val="16"/>
                <w:szCs w:val="16"/>
              </w:rPr>
              <w:t>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21"/>
                <w:szCs w:val="21"/>
                <w:lang w:val="en-US" w:eastAsia="zh-CN" w:bidi="ar-SA"/>
              </w:rPr>
            </w:pPr>
            <w:r>
              <w:rPr>
                <w:rFonts w:ascii="Calibri" w:hAnsi="Calibri" w:eastAsia="宋体" w:cs="宋体"/>
                <w:color w:val="000000"/>
                <w:kern w:val="0"/>
                <w:szCs w:val="21"/>
              </w:rPr>
              <w:t>30</w:t>
            </w:r>
          </w:p>
        </w:tc>
      </w:tr>
      <w:tr>
        <w:tblPrEx>
          <w:tblCellMar>
            <w:top w:w="0" w:type="dxa"/>
            <w:left w:w="108" w:type="dxa"/>
            <w:bottom w:w="0" w:type="dxa"/>
            <w:right w:w="108" w:type="dxa"/>
          </w:tblCellMar>
        </w:tblPrEx>
        <w:trPr>
          <w:trHeight w:val="420"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公众满意度</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≥90%</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 w:val="16"/>
                <w:szCs w:val="16"/>
              </w:rPr>
            </w:pPr>
            <w:r>
              <w:rPr>
                <w:rFonts w:ascii="Calibri" w:hAnsi="Calibri" w:eastAsia="宋体" w:cs="宋体"/>
                <w:color w:val="000000"/>
                <w:kern w:val="0"/>
                <w:sz w:val="16"/>
                <w:szCs w:val="16"/>
              </w:rPr>
              <w:t>90%</w:t>
            </w:r>
          </w:p>
        </w:tc>
        <w:tc>
          <w:tcPr>
            <w:tcW w:w="130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49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100</w:t>
            </w:r>
            <w:r>
              <w:rPr>
                <w:rFonts w:ascii="Calibri" w:hAnsi="Calibri" w:eastAsia="宋体" w:cs="宋体"/>
                <w:color w:val="000000"/>
                <w:kern w:val="0"/>
                <w:szCs w:val="21"/>
              </w:rPr>
              <w:t>%</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lang w:val="en-US" w:eastAsia="zh-CN"/>
              </w:rPr>
              <w:t>100</w:t>
            </w:r>
            <w:r>
              <w:rPr>
                <w:rFonts w:ascii="Calibri" w:hAnsi="Calibri" w:eastAsia="宋体" w:cs="宋体"/>
                <w:color w:val="000000"/>
                <w:kern w:val="0"/>
                <w:szCs w:val="21"/>
              </w:rPr>
              <w:t>%</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p>
        </w:tc>
      </w:tr>
      <w:tr>
        <w:tblPrEx>
          <w:tblCellMar>
            <w:top w:w="0" w:type="dxa"/>
            <w:left w:w="108" w:type="dxa"/>
            <w:bottom w:w="0" w:type="dxa"/>
            <w:right w:w="108" w:type="dxa"/>
          </w:tblCellMar>
        </w:tblPrEx>
        <w:trPr>
          <w:trHeight w:val="285" w:hRule="atLeast"/>
        </w:trPr>
        <w:tc>
          <w:tcPr>
            <w:tcW w:w="940" w:type="dxa"/>
            <w:vMerge w:val="continue"/>
            <w:tcBorders>
              <w:top w:val="single" w:color="000000" w:sz="4" w:space="0"/>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7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915"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800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发现的主要问题及原因：一是预算编制工作有待细化；二是绩效目标设立不够明确和量化；三：预算编制的合理性及资金使用效益需提高；下一步改进措施：一是细化预算编制工作，认真做好预算绩效目标的编制；二是加强单位财务管理，健全单位财务管理制度体系</w:t>
            </w:r>
          </w:p>
        </w:tc>
      </w:tr>
    </w:tbl>
    <w:p>
      <w:pPr>
        <w:keepNext/>
        <w:keepLines/>
        <w:snapToGrid w:val="0"/>
        <w:spacing w:line="580" w:lineRule="exact"/>
        <w:outlineLvl w:val="1"/>
        <w:rPr>
          <w:rFonts w:hint="default" w:ascii="黑体" w:hAnsi="Calibri" w:eastAsia="黑体" w:cs="Times New Roman"/>
          <w:sz w:val="32"/>
          <w:szCs w:val="32"/>
          <w:lang w:val="en-US" w:eastAsia="zh-CN"/>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w:t>
      </w:r>
      <w:r>
        <w:rPr>
          <w:rFonts w:ascii="仿宋_GB2312" w:hAnsi="Times New Roman" w:eastAsia="仿宋_GB2312" w:cs="DengXian-Regular"/>
          <w:sz w:val="32"/>
          <w:szCs w:val="32"/>
        </w:rPr>
        <w:t>48.64</w:t>
      </w:r>
      <w:r>
        <w:rPr>
          <w:rFonts w:hint="eastAsia" w:ascii="仿宋_GB2312" w:hAnsi="Times New Roman" w:eastAsia="仿宋_GB2312" w:cs="DengXian-Regular"/>
          <w:sz w:val="32"/>
          <w:szCs w:val="32"/>
        </w:rPr>
        <w:t>万元，比2018年度减少5</w:t>
      </w:r>
      <w:r>
        <w:rPr>
          <w:rFonts w:ascii="仿宋_GB2312" w:hAnsi="Times New Roman" w:eastAsia="仿宋_GB2312" w:cs="DengXian-Regular"/>
          <w:sz w:val="32"/>
          <w:szCs w:val="32"/>
        </w:rPr>
        <w:t>.86</w:t>
      </w:r>
      <w:r>
        <w:rPr>
          <w:rFonts w:hint="eastAsia" w:ascii="仿宋_GB2312" w:hAnsi="Times New Roman" w:eastAsia="仿宋_GB2312" w:cs="DengXian-Regular"/>
          <w:sz w:val="32"/>
          <w:szCs w:val="32"/>
        </w:rPr>
        <w:t>万元，减少1</w:t>
      </w:r>
      <w:r>
        <w:rPr>
          <w:rFonts w:ascii="仿宋_GB2312" w:hAnsi="Times New Roman" w:eastAsia="仿宋_GB2312" w:cs="DengXian-Regular"/>
          <w:sz w:val="32"/>
          <w:szCs w:val="32"/>
        </w:rPr>
        <w:t>0.75</w:t>
      </w:r>
      <w:r>
        <w:rPr>
          <w:rFonts w:hint="eastAsia" w:ascii="仿宋_GB2312" w:hAnsi="Times New Roman" w:eastAsia="仿宋_GB2312" w:cs="DengXian-Regular"/>
          <w:sz w:val="32"/>
          <w:szCs w:val="32"/>
        </w:rPr>
        <w:t>%。主要原因是在圆满完成各项繁重工作的前提下缩减开支。</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辆，比上年增加0辆。其中，副部（省）级及以上领导用车0辆，主要领导干部用车0辆，机要通信用车0辆，应急保障用车0辆，执法执勤用车</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辆，特种专业技术用车0辆，离退休干部用车0辆，其他用车0辆。</w:t>
      </w:r>
      <w:r>
        <w:rPr>
          <w:rFonts w:ascii="仿宋_GB2312" w:hAnsi="Times New Roman" w:eastAsia="仿宋_GB2312" w:cs="DengXian-Regular"/>
          <w:sz w:val="32"/>
          <w:szCs w:val="32"/>
        </w:rPr>
        <w:t xml:space="preserve"> </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万元以上通用设备0台（套），与上年持平，单位价值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万元以上专用设备0台（套），与上年持平。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2019年度政府性基金预算财政拨款收入支出决算表、国有资本经营预算财政拨款支出决算表无收支及结转结余情况，故政府性基金预算财政拨款收入支出决算表、国有资本经营预算财政拨款支出决算表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7052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o:title="image1" focussize="0,0" r:id="rId30"/>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详见:青龙满族自治县马圈子镇人民政府2019年度部门决算公开相关报表(共9张)</w:t>
      </w:r>
    </w:p>
    <w:p>
      <w:pPr>
        <w:widowControl/>
        <w:jc w:val="left"/>
        <w:rPr>
          <w:rFonts w:ascii="仿宋_GB2312" w:hAnsi="宋体" w:eastAsia="仿宋_GB2312" w:cs="Times New Roman"/>
          <w:color w:val="000000"/>
          <w:kern w:val="0"/>
          <w:sz w:val="32"/>
          <w:szCs w:val="32"/>
        </w:rPr>
      </w:pPr>
      <w:r>
        <w:rPr>
          <w:rFonts w:ascii="仿宋_GB2312" w:hAnsi="宋体" w:eastAsia="仿宋_GB2312" w:cs="Times New Roman"/>
          <w:color w:val="000000"/>
          <w:kern w:val="0"/>
          <w:sz w:val="32"/>
          <w:szCs w:val="32"/>
        </w:rPr>
        <w:br w:type="page"/>
      </w:r>
    </w:p>
    <w:p>
      <w:pPr>
        <w:widowControl/>
        <w:spacing w:line="560" w:lineRule="exact"/>
        <w:ind w:firstLine="640" w:firstLineChars="200"/>
        <w:rPr>
          <w:rFonts w:ascii="仿宋_GB2312" w:hAnsi="宋体" w:eastAsia="仿宋_GB2312" w:cs="Times New Roman"/>
          <w:color w:val="000000"/>
          <w:kern w:val="0"/>
          <w:sz w:val="32"/>
          <w:szCs w:val="32"/>
        </w:rPr>
      </w:pPr>
    </w:p>
    <w:p>
      <w:r>
        <w:pict>
          <v:rect id="_x0000_s1027" o:spid="_x0000_s1027" o:spt="1" style="position:absolute;left:0pt;margin-left:-70.5pt;margin-top:-85.25pt;height:841.15pt;width:595.1pt;z-index:2516715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ACF3C50"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72" o:spid="_x0000_s2072" o:spt="202" type="#_x0000_t202" style="position:absolute;left:0pt;margin-left:205.45pt;margin-top:-18.75pt;height:31.45pt;width:30.15pt;mso-position-horizontal-relative:margin;z-index:251683840;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- 12 -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left:209.15pt;margin-top:-6pt;height:18.7pt;width:144pt;mso-position-horizontal-relative:margin;mso-wrap-style:none;z-index:251686912;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- 17 -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87" o:spid="_x0000_s2087" o:spt="202" type="#_x0000_t202" style="position:absolute;left:0pt;margin-left:209.65pt;margin-top:-12.95pt;height:14.3pt;width:30.6pt;mso-position-horizontal-relative:margin;z-index:251680768;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95" o:spid="_x0000_s2095" o:spt="202" type="#_x0000_t202" style="position:absolute;left:0pt;margin-left:206.55pt;margin-top:-22.45pt;height:35.15pt;width:34pt;mso-position-horizontal-relative:margin;z-index:251681792;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64" o:spid="_x0000_s2064" o:spt="202" type="#_x0000_t202" style="position:absolute;left:0pt;margin-left:209.15pt;margin-top:-6pt;height:18.7pt;width:144pt;mso-position-horizontal-relative:margin;mso-wrap-style:none;z-index:251682816;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100" o:spid="_x0000_s2100" o:spt="203" style="position:absolute;left:0pt;margin-top:29.75pt;height:32pt;width:157.5pt;mso-position-horizontal:left;mso-position-horizontal-relative:page;mso-position-vertical-relative:page;z-index:251668480;mso-width-relative:page;mso-height-relative:page;" coordorigin="13,8" coordsize="31,6402"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top:8;height:7;width:30;"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top:10;height:3;width:1;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7456;mso-width-relative:page;mso-height-relative:page;mso-width-percent:1000;" coordorigin="8,5" coordsize="119,11792"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top:15;height:1;width:120;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top:6;height:9;width:26;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top:5;height:11;width:24;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8" o:spid="_x0000_s2068" o:spt="203" style="position:absolute;left:0pt;margin-left:0pt;margin-top:0pt;height:37.85pt;width:594.8pt;mso-position-horizontal-relative:page;mso-position-vertical-relative:page;z-index:251674624;mso-width-relative:page;mso-height-relative:page;" coordorigin="8,5" coordsize="119,11792"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top:15;height:1;width:120;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top:6;height:9;width:26;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top:5;height:11;width:24;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675648;mso-width-relative:page;mso-height-relative:page;" coordorigin="13,8" coordsize="31,6402"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top:8;height:7;width:30;"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top:10;height:3;width:1;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77" o:spid="_x0000_s2077" o:spt="203" style="position:absolute;left:0pt;margin-top:29.75pt;height:32pt;width:157.5pt;mso-position-horizontal:left;mso-position-horizontal-relative:page;mso-position-vertical-relative:page;z-index:251677696;mso-width-relative:page;mso-height-relative:page;" coordorigin="13,8" coordsize="31,6402"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top:8;height:7;width:30;"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top:10;height:3;width:1;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676672;mso-width-relative:page;mso-height-relative:page;mso-width-percent:1000;" coordorigin="8,5" coordsize="119,11792"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top:15;height:1;width:120;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top:6;height:9;width:26;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top:5;height:11;width:24;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53" o:spid="_x0000_s2053" o:spt="203" style="position:absolute;left:0pt;margin-left:2.5pt;margin-top:28.75pt;height:35.25pt;width:594.8pt;mso-position-horizontal-relative:page;mso-position-vertical-relative:page;z-index:251687936;mso-width-relative:page;mso-height-relative:page;" coordorigin="8,5" coordsize="119,11792"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top:15;height:1;width:120;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top:6;height:9;width:26;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top:5;height:11;width:24;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88960;mso-width-relative:page;mso-height-relative:page;" coordorigin="13,8" coordsize="31,6402"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top:8;height:7;width:30;"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top:10;height:3;width:1;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0" o:spid="_x0000_s2060" o:spt="203" style="position:absolute;left:0pt;margin-left:0pt;margin-top:0pt;height:38.05pt;width:596.5pt;mso-position-horizontal-relative:page;mso-position-vertical-relative:page;z-index:251684864;mso-width-relative:page;mso-height-relative:page;mso-width-percent:1000;" coordorigin="8,5" coordsize="119,11792"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top:15;height:1;width:120;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top:6;height:9;width:26;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top:5;height:11;width:24;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85888;mso-width-relative:page;mso-height-relative:page;" coordorigin="13,8" coordsize="31,6402"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top:8;height:7;width:30;"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top:10;height:3;width:1;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91" o:spid="_x0000_s2091" o:spt="203" style="position:absolute;left:0pt;margin-left:0pt;margin-top:53.75pt;height:31.5pt;width:594.8pt;mso-position-horizontal-relative:page;mso-position-vertical-relative:page;z-index:251678720;mso-width-relative:page;mso-height-relative:page;" coordorigin="8,5" coordsize="119,11792"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top:15;height:1;width:120;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top:6;height:9;width:26;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top:5;height:11;width:24;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679744;mso-width-relative:page;mso-height-relative:page;" coordorigin="13,8" coordsize="31,6402"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90" o:spt="202" type="#_x0000_t202" style="position:absolute;left:14;top:8;height:7;width:30;"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top:10;height:3;width:1;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83" o:spid="_x0000_s2083" o:spt="203" style="position:absolute;left:0pt;margin-left:2.75pt;margin-top:46.95pt;height:32.8pt;width:596.85pt;mso-position-horizontal-relative:page;mso-position-vertical-relative:page;z-index:251672576;mso-width-relative:page;mso-height-relative:page;" coordorigin="8,5" coordsize="119,11792"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top:15;height:1;width:120;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top:6;height:9;width:26;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top:5;height:11;width:24;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673600;mso-width-relative:page;mso-height-relative:page;" coordorigin="13,8" coordsize="31,6402"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top:8;height:7;width:30;"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top:10;height:3;width:1;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6AD6F"/>
    <w:multiLevelType w:val="singleLevel"/>
    <w:tmpl w:val="1446AD6F"/>
    <w:lvl w:ilvl="0" w:tentative="0">
      <w:start w:val="1"/>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5F222FFA"/>
    <w:multiLevelType w:val="singleLevel"/>
    <w:tmpl w:val="5F222FF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mZWY2YzZmMTRiOTBhYTA0YmQxMjAyNGJjYTk4YTMifQ=="/>
  </w:docVars>
  <w:rsids>
    <w:rsidRoot w:val="6AAF1C96"/>
    <w:rsid w:val="00000746"/>
    <w:rsid w:val="00014557"/>
    <w:rsid w:val="000155D0"/>
    <w:rsid w:val="0004262D"/>
    <w:rsid w:val="0007063E"/>
    <w:rsid w:val="00073392"/>
    <w:rsid w:val="00073F4E"/>
    <w:rsid w:val="00086C89"/>
    <w:rsid w:val="000A39FB"/>
    <w:rsid w:val="000E0A27"/>
    <w:rsid w:val="00117746"/>
    <w:rsid w:val="00135C58"/>
    <w:rsid w:val="00163F95"/>
    <w:rsid w:val="00166E2F"/>
    <w:rsid w:val="00180A9A"/>
    <w:rsid w:val="001829C0"/>
    <w:rsid w:val="00182E1A"/>
    <w:rsid w:val="00184809"/>
    <w:rsid w:val="00192112"/>
    <w:rsid w:val="001926C7"/>
    <w:rsid w:val="001B0127"/>
    <w:rsid w:val="001C12D5"/>
    <w:rsid w:val="001C5E36"/>
    <w:rsid w:val="001C69F7"/>
    <w:rsid w:val="00217AB1"/>
    <w:rsid w:val="002650EC"/>
    <w:rsid w:val="002A6C46"/>
    <w:rsid w:val="002C19B5"/>
    <w:rsid w:val="002D4F29"/>
    <w:rsid w:val="002E4A1F"/>
    <w:rsid w:val="002F74C1"/>
    <w:rsid w:val="00314FD8"/>
    <w:rsid w:val="00315A08"/>
    <w:rsid w:val="00365A53"/>
    <w:rsid w:val="00382F8F"/>
    <w:rsid w:val="003A4EE8"/>
    <w:rsid w:val="003B191B"/>
    <w:rsid w:val="003B6005"/>
    <w:rsid w:val="003B6B5F"/>
    <w:rsid w:val="00412A1E"/>
    <w:rsid w:val="00442CC2"/>
    <w:rsid w:val="00446244"/>
    <w:rsid w:val="00473C20"/>
    <w:rsid w:val="004B1D52"/>
    <w:rsid w:val="004B498E"/>
    <w:rsid w:val="004D61CB"/>
    <w:rsid w:val="005011D6"/>
    <w:rsid w:val="00503F2E"/>
    <w:rsid w:val="00511D94"/>
    <w:rsid w:val="0052456A"/>
    <w:rsid w:val="00552226"/>
    <w:rsid w:val="00562CA3"/>
    <w:rsid w:val="00566120"/>
    <w:rsid w:val="00582E6D"/>
    <w:rsid w:val="005954D5"/>
    <w:rsid w:val="005A53FA"/>
    <w:rsid w:val="005D1293"/>
    <w:rsid w:val="00644D5F"/>
    <w:rsid w:val="006514CA"/>
    <w:rsid w:val="006727AD"/>
    <w:rsid w:val="00691425"/>
    <w:rsid w:val="006A516E"/>
    <w:rsid w:val="006B0830"/>
    <w:rsid w:val="006B2368"/>
    <w:rsid w:val="006B5D62"/>
    <w:rsid w:val="006C0131"/>
    <w:rsid w:val="006C15DC"/>
    <w:rsid w:val="006D1B85"/>
    <w:rsid w:val="006E3630"/>
    <w:rsid w:val="00716E2B"/>
    <w:rsid w:val="00750C18"/>
    <w:rsid w:val="00770F18"/>
    <w:rsid w:val="00773B74"/>
    <w:rsid w:val="0078290C"/>
    <w:rsid w:val="007A559E"/>
    <w:rsid w:val="007B44DE"/>
    <w:rsid w:val="007C06CA"/>
    <w:rsid w:val="007F62CE"/>
    <w:rsid w:val="008163FB"/>
    <w:rsid w:val="0082605B"/>
    <w:rsid w:val="00855C36"/>
    <w:rsid w:val="00857DBE"/>
    <w:rsid w:val="008701BC"/>
    <w:rsid w:val="00883D92"/>
    <w:rsid w:val="008A5362"/>
    <w:rsid w:val="008B213F"/>
    <w:rsid w:val="008F21F1"/>
    <w:rsid w:val="008F221B"/>
    <w:rsid w:val="008F5A2D"/>
    <w:rsid w:val="00903E01"/>
    <w:rsid w:val="00921602"/>
    <w:rsid w:val="00930520"/>
    <w:rsid w:val="00952B98"/>
    <w:rsid w:val="00957EA1"/>
    <w:rsid w:val="00966E5B"/>
    <w:rsid w:val="00996143"/>
    <w:rsid w:val="009B4EF0"/>
    <w:rsid w:val="009D271F"/>
    <w:rsid w:val="00A23C4E"/>
    <w:rsid w:val="00A668CB"/>
    <w:rsid w:val="00A85CB6"/>
    <w:rsid w:val="00A929C2"/>
    <w:rsid w:val="00AD0892"/>
    <w:rsid w:val="00AD097F"/>
    <w:rsid w:val="00B1279B"/>
    <w:rsid w:val="00B25767"/>
    <w:rsid w:val="00B844F4"/>
    <w:rsid w:val="00BA06A1"/>
    <w:rsid w:val="00BA770A"/>
    <w:rsid w:val="00BB1579"/>
    <w:rsid w:val="00BF0E6E"/>
    <w:rsid w:val="00BF1210"/>
    <w:rsid w:val="00C054DE"/>
    <w:rsid w:val="00C679A9"/>
    <w:rsid w:val="00C7541C"/>
    <w:rsid w:val="00CC0FAA"/>
    <w:rsid w:val="00CD0736"/>
    <w:rsid w:val="00CE0EFF"/>
    <w:rsid w:val="00D1570F"/>
    <w:rsid w:val="00D32830"/>
    <w:rsid w:val="00DA2327"/>
    <w:rsid w:val="00DB7153"/>
    <w:rsid w:val="00DB7F05"/>
    <w:rsid w:val="00DF6F1A"/>
    <w:rsid w:val="00E028C3"/>
    <w:rsid w:val="00E14F77"/>
    <w:rsid w:val="00E26B73"/>
    <w:rsid w:val="00E3076B"/>
    <w:rsid w:val="00E3217C"/>
    <w:rsid w:val="00E36978"/>
    <w:rsid w:val="00E636AA"/>
    <w:rsid w:val="00E82A1E"/>
    <w:rsid w:val="00EC06F4"/>
    <w:rsid w:val="00EE098A"/>
    <w:rsid w:val="00EE3716"/>
    <w:rsid w:val="00EE4E36"/>
    <w:rsid w:val="00F665F4"/>
    <w:rsid w:val="00FD225F"/>
    <w:rsid w:val="00FE2A7A"/>
    <w:rsid w:val="02B6369F"/>
    <w:rsid w:val="02FB23DC"/>
    <w:rsid w:val="13084F73"/>
    <w:rsid w:val="13F9285F"/>
    <w:rsid w:val="171E7ED8"/>
    <w:rsid w:val="180A2088"/>
    <w:rsid w:val="18DA2F45"/>
    <w:rsid w:val="1981032A"/>
    <w:rsid w:val="19F64A40"/>
    <w:rsid w:val="1EF971CC"/>
    <w:rsid w:val="219D30F3"/>
    <w:rsid w:val="2BDB1F18"/>
    <w:rsid w:val="31C2036A"/>
    <w:rsid w:val="320D02A5"/>
    <w:rsid w:val="348E566F"/>
    <w:rsid w:val="37116CE9"/>
    <w:rsid w:val="3A226944"/>
    <w:rsid w:val="3AD908E9"/>
    <w:rsid w:val="3AEE6A48"/>
    <w:rsid w:val="3C1620AA"/>
    <w:rsid w:val="3D8F080F"/>
    <w:rsid w:val="41654110"/>
    <w:rsid w:val="41AE729B"/>
    <w:rsid w:val="44CE1FA4"/>
    <w:rsid w:val="487F73ED"/>
    <w:rsid w:val="4A347EAE"/>
    <w:rsid w:val="52600405"/>
    <w:rsid w:val="529B4319"/>
    <w:rsid w:val="52F7153A"/>
    <w:rsid w:val="541B4F35"/>
    <w:rsid w:val="57773DD6"/>
    <w:rsid w:val="578B79AB"/>
    <w:rsid w:val="5866733A"/>
    <w:rsid w:val="5A26384F"/>
    <w:rsid w:val="5CCD3FD5"/>
    <w:rsid w:val="5D1E412D"/>
    <w:rsid w:val="5EBC2ACB"/>
    <w:rsid w:val="61FA5F9D"/>
    <w:rsid w:val="62BE501A"/>
    <w:rsid w:val="64CD6910"/>
    <w:rsid w:val="66F911A2"/>
    <w:rsid w:val="6789158D"/>
    <w:rsid w:val="67D81BA4"/>
    <w:rsid w:val="6AAF1C96"/>
    <w:rsid w:val="6B197D7D"/>
    <w:rsid w:val="734734DB"/>
    <w:rsid w:val="75681757"/>
    <w:rsid w:val="75A346A8"/>
    <w:rsid w:val="79B9382C"/>
    <w:rsid w:val="7A173628"/>
    <w:rsid w:val="7B043B76"/>
    <w:rsid w:val="7B4F098B"/>
    <w:rsid w:val="7C041A6A"/>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autoRedefine/>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autoRedefine/>
    <w:qFormat/>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字符"/>
    <w:basedOn w:val="9"/>
    <w:link w:val="6"/>
    <w:autoRedefine/>
    <w:qFormat/>
    <w:uiPriority w:val="99"/>
    <w:rPr>
      <w:rFonts w:asciiTheme="minorHAnsi" w:hAnsiTheme="minorHAnsi" w:eastAsiaTheme="minorEastAsia"/>
      <w:sz w:val="18"/>
      <w:szCs w:val="18"/>
    </w:rPr>
  </w:style>
  <w:style w:type="character" w:customStyle="1" w:styleId="11">
    <w:name w:val="页脚 字符"/>
    <w:basedOn w:val="9"/>
    <w:link w:val="5"/>
    <w:autoRedefine/>
    <w:qFormat/>
    <w:uiPriority w:val="99"/>
    <w:rPr>
      <w:sz w:val="18"/>
      <w:szCs w:val="18"/>
    </w:rPr>
  </w:style>
  <w:style w:type="paragraph" w:customStyle="1" w:styleId="12">
    <w:name w:val="列出段落1"/>
    <w:basedOn w:val="1"/>
    <w:autoRedefine/>
    <w:qFormat/>
    <w:uiPriority w:val="99"/>
    <w:pPr>
      <w:spacing w:before="2"/>
      <w:ind w:left="119" w:right="434" w:firstLine="643"/>
    </w:pPr>
    <w:rPr>
      <w:rFonts w:ascii="仿宋_GB2312" w:hAnsi="仿宋_GB2312" w:eastAsia="仿宋_GB2312" w:cs="仿宋_GB2312"/>
      <w:lang w:val="zh-CN" w:bidi="zh-CN"/>
    </w:rPr>
  </w:style>
  <w:style w:type="character" w:customStyle="1" w:styleId="13">
    <w:name w:val="批注框文本 字符"/>
    <w:basedOn w:val="9"/>
    <w:link w:val="4"/>
    <w:semiHidden/>
    <w:qFormat/>
    <w:uiPriority w:val="99"/>
    <w:rPr>
      <w:rFonts w:asciiTheme="minorHAnsi" w:hAnsiTheme="minorHAnsi" w:eastAsiaTheme="minorEastAsia" w:cstheme="minorBidi"/>
      <w:kern w:val="2"/>
      <w:sz w:val="18"/>
      <w:szCs w:val="18"/>
    </w:rPr>
  </w:style>
  <w:style w:type="character" w:customStyle="1" w:styleId="14">
    <w:name w:val="标题 1 字符"/>
    <w:basedOn w:val="9"/>
    <w:link w:val="2"/>
    <w:qFormat/>
    <w:locked/>
    <w:uiPriority w:val="99"/>
    <w:rPr>
      <w:rFonts w:asciiTheme="minorHAnsi" w:hAnsiTheme="minorHAnsi" w:eastAsiaTheme="minorEastAsia" w:cstheme="minorBidi"/>
      <w:b/>
      <w:bCs/>
      <w:kern w:val="44"/>
      <w:sz w:val="44"/>
      <w:szCs w:val="44"/>
    </w:rPr>
  </w:style>
  <w:style w:type="character" w:customStyle="1" w:styleId="15">
    <w:name w:val="正文文本 字符"/>
    <w:basedOn w:val="9"/>
    <w:link w:val="3"/>
    <w:autoRedefine/>
    <w:qFormat/>
    <w:locked/>
    <w:uiPriority w:val="99"/>
    <w:rPr>
      <w:rFonts w:ascii="仿宋_GB2312" w:hAnsi="仿宋_GB2312" w:eastAsia="仿宋_GB2312" w:cs="仿宋_GB2312"/>
      <w:kern w:val="2"/>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GIF"/><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26"/>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3CCC1-1967-4D04-9C3F-F918BD289457}">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50</Pages>
  <Words>3814</Words>
  <Characters>21746</Characters>
  <Lines>181</Lines>
  <Paragraphs>51</Paragraphs>
  <TotalTime>6</TotalTime>
  <ScaleCrop>false</ScaleCrop>
  <LinksUpToDate>false</LinksUpToDate>
  <CharactersWithSpaces>25509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2020-09-08T00:16:00Z</cp:lastPrinted>
  <dcterms:modified xsi:type="dcterms:W3CDTF">2024-04-15T02:36:50Z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0ED5F1347DE14E73BCC78FCF54EE708A</vt:lpwstr>
  </property>
</Properties>
</file>