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pict>
          <v:shape id="图片 7" o:spid="_x0000_s1026" o:spt="75" alt="wc ga" type="#_x0000_t75" style="position:absolute;left:0pt;margin-left:-78.75pt;margin-top:-106.7pt;height:850.15pt;width:596.6pt;z-index:-251657216;mso-width-relative:page;mso-height-relative:page;" filled="f" o:preferrelative="t" stroked="f" coordsize="21600,21600">
            <v:path/>
            <v:fill on="f" focussize="0,0"/>
            <v:stroke on="f" joinstyle="miter"/>
            <v:imagedata r:id="rId7"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马圈子镇政府</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sectPr>
          <w:headerReference r:id="rId5" w:type="default"/>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二〇一九年十月</w:t>
      </w:r>
    </w:p>
    <w:p>
      <w:pPr>
        <w:widowControl/>
        <w:spacing w:after="0" w:line="600" w:lineRule="exact"/>
        <w:ind w:firstLine="880" w:firstLineChars="200"/>
        <w:jc w:val="left"/>
        <w:rPr>
          <w:rFonts w:ascii="楷体" w:hAnsi="楷体" w:eastAsia="楷体" w:cs="楷体"/>
          <w:sz w:val="32"/>
          <w:szCs w:val="32"/>
          <w:highlight w:val="yellow"/>
        </w:rPr>
      </w:pPr>
      <w:r>
        <w:rPr>
          <w:rFonts w:ascii="黑体" w:hAnsi="黑体" w:eastAsia="黑体" w:cs="黑体"/>
          <w:sz w:val="44"/>
          <w:szCs w:val="44"/>
        </w:rPr>
        <w:br w:type="page"/>
      </w: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马圈子镇</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8"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ind w:firstLine="280" w:firstLineChars="100"/>
        <w:rPr>
          <w:rFonts w:ascii="方正仿宋_GBK" w:eastAsia="方正仿宋_GBK"/>
          <w:sz w:val="28"/>
        </w:rPr>
      </w:pPr>
      <w:r>
        <w:rPr>
          <w:rFonts w:hint="eastAsia" w:ascii="方正仿宋_GBK" w:eastAsia="方正仿宋_GBK"/>
          <w:sz w:val="28"/>
        </w:rPr>
        <w:t>根据《马圈子镇人民政府职能配置、内设机构和人员编制方案》规定，马圈子镇人民政府的主要职责是：</w:t>
      </w:r>
    </w:p>
    <w:p>
      <w:pPr>
        <w:ind w:firstLine="280" w:firstLineChars="100"/>
        <w:rPr>
          <w:rFonts w:ascii="方正仿宋_GBK" w:eastAsia="方正仿宋_GBK"/>
          <w:sz w:val="28"/>
        </w:rPr>
      </w:pPr>
      <w:r>
        <w:rPr>
          <w:rFonts w:ascii="方正仿宋_GBK" w:eastAsia="方正仿宋_GBK"/>
          <w:sz w:val="28"/>
        </w:rPr>
        <w:t>(</w:t>
      </w:r>
      <w:r>
        <w:rPr>
          <w:rFonts w:hint="eastAsia" w:ascii="方正仿宋_GBK" w:eastAsia="方正仿宋_GBK"/>
          <w:sz w:val="28"/>
        </w:rPr>
        <w:t>一</w:t>
      </w:r>
      <w:r>
        <w:rPr>
          <w:rFonts w:ascii="方正仿宋_GBK" w:eastAsia="方正仿宋_GBK"/>
          <w:sz w:val="28"/>
        </w:rPr>
        <w:t>)</w:t>
      </w:r>
      <w:r>
        <w:rPr>
          <w:rFonts w:hint="eastAsia" w:ascii="方正仿宋_GBK" w:eastAsia="方正仿宋_GBK"/>
          <w:sz w:val="28"/>
        </w:rPr>
        <w:t>乡镇党政机构主要工作职责</w:t>
      </w:r>
    </w:p>
    <w:p>
      <w:pPr>
        <w:ind w:firstLine="640"/>
        <w:rPr>
          <w:rFonts w:ascii="方正仿宋_GBK" w:eastAsia="方正仿宋_GBK"/>
          <w:sz w:val="28"/>
        </w:rPr>
      </w:pPr>
      <w:r>
        <w:rPr>
          <w:rFonts w:hint="eastAsia" w:ascii="方正仿宋_GBK" w:eastAsia="方正仿宋_GBK"/>
          <w:sz w:val="28"/>
        </w:rPr>
        <w:t>党政办公室：承担民主政治、精神文明建设及党政日常事务职责。</w:t>
      </w:r>
    </w:p>
    <w:p>
      <w:pPr>
        <w:ind w:firstLine="640"/>
        <w:rPr>
          <w:rFonts w:ascii="方正仿宋_GBK" w:eastAsia="方正仿宋_GBK"/>
          <w:sz w:val="28"/>
        </w:rPr>
      </w:pPr>
      <w:r>
        <w:rPr>
          <w:rFonts w:hint="eastAsia" w:ascii="方正仿宋_GBK" w:eastAsia="方正仿宋_GBK"/>
          <w:sz w:val="28"/>
        </w:rPr>
        <w:t>社会事务办公室：承担发展社会事业和加强社会管理职责。</w:t>
      </w:r>
    </w:p>
    <w:p>
      <w:pPr>
        <w:ind w:firstLine="640"/>
        <w:rPr>
          <w:rFonts w:ascii="方正仿宋_GBK" w:eastAsia="方正仿宋_GBK"/>
          <w:sz w:val="28"/>
        </w:rPr>
      </w:pPr>
      <w:r>
        <w:rPr>
          <w:rFonts w:hint="eastAsia" w:ascii="方正仿宋_GBK" w:eastAsia="方正仿宋_GBK"/>
          <w:sz w:val="28"/>
        </w:rPr>
        <w:t>经济发展办公室：承担组织制定产业发展规划、指导农村产业结构调整和农业产业化职责；营造良好投资环境，负责招商引资和项目建设工作；发展旅游业、服务业、壮大第二、第三产业。负责编制年度财政预（决）算草案并组织实施，管理预算内外资金的收支活动；负责管理和监督乡镇各单位行政事业经费和上级拨付的各项专项资金，负责乡镇统计工作。</w:t>
      </w:r>
    </w:p>
    <w:p>
      <w:pPr>
        <w:ind w:firstLine="640"/>
        <w:rPr>
          <w:rFonts w:ascii="方正仿宋_GBK" w:eastAsia="方正仿宋_GBK"/>
          <w:sz w:val="28"/>
        </w:rPr>
      </w:pPr>
      <w:r>
        <w:rPr>
          <w:rFonts w:hint="eastAsia" w:ascii="方正仿宋_GBK" w:eastAsia="方正仿宋_GBK"/>
          <w:sz w:val="28"/>
        </w:rPr>
        <w:t>综合治理办公室：承担社会治安综合治理和司法行政工作职责。</w:t>
      </w:r>
    </w:p>
    <w:p>
      <w:pPr>
        <w:ind w:firstLine="640"/>
        <w:rPr>
          <w:rFonts w:ascii="方正仿宋_GBK" w:eastAsia="方正仿宋_GBK"/>
          <w:sz w:val="28"/>
        </w:rPr>
      </w:pPr>
      <w:r>
        <w:rPr>
          <w:rFonts w:hint="eastAsia" w:ascii="方正仿宋_GBK" w:eastAsia="方正仿宋_GBK"/>
          <w:sz w:val="28"/>
        </w:rPr>
        <w:t>人口和计划生育办公室：承担人口和计划生育政策法规、行政管理和计生协会工作职责。</w:t>
      </w:r>
    </w:p>
    <w:p>
      <w:pPr>
        <w:ind w:firstLine="640"/>
        <w:rPr>
          <w:rFonts w:ascii="方正仿宋_GBK" w:eastAsia="方正仿宋_GBK"/>
          <w:sz w:val="28"/>
        </w:rPr>
      </w:pPr>
      <w:r>
        <w:rPr>
          <w:rFonts w:hint="eastAsia" w:ascii="方正仿宋_GBK" w:eastAsia="方正仿宋_GBK"/>
          <w:sz w:val="28"/>
        </w:rPr>
        <w:t>城镇规划建设办公室：负责村镇规划、建设、管理工作，加强基础设施建设，推进城乡一体化进程，搞好社会主义新农村建设工作；负责村镇容貌、环境卫生管理等工作。</w:t>
      </w:r>
    </w:p>
    <w:p>
      <w:pPr>
        <w:ind w:firstLine="338" w:firstLineChars="121"/>
        <w:rPr>
          <w:rFonts w:ascii="方正仿宋_GBK" w:eastAsia="方正仿宋_GBK"/>
          <w:sz w:val="28"/>
        </w:rPr>
      </w:pPr>
      <w:r>
        <w:rPr>
          <w:rFonts w:ascii="方正仿宋_GBK" w:eastAsia="方正仿宋_GBK"/>
          <w:sz w:val="28"/>
        </w:rPr>
        <w:t>(</w:t>
      </w:r>
      <w:r>
        <w:rPr>
          <w:rFonts w:hint="eastAsia" w:ascii="方正仿宋_GBK" w:eastAsia="方正仿宋_GBK"/>
          <w:sz w:val="28"/>
        </w:rPr>
        <w:t>二）乡镇事业单位主要工作职能</w:t>
      </w:r>
    </w:p>
    <w:p>
      <w:pPr>
        <w:ind w:firstLine="640"/>
        <w:rPr>
          <w:rFonts w:ascii="方正仿宋_GBK" w:eastAsia="方正仿宋_GBK"/>
          <w:sz w:val="28"/>
        </w:rPr>
      </w:pPr>
      <w:r>
        <w:rPr>
          <w:rFonts w:hint="eastAsia" w:ascii="方正仿宋_GBK" w:eastAsia="方正仿宋_GBK"/>
          <w:sz w:val="28"/>
        </w:rPr>
        <w:t>农村经济管理站：负责村级财务管理工作，实行资金、账目双代管；负责调解农村土地承包合同纠纷；负责推动和引导农村经济合作组织的发展，提高农村生产组织化程度；增强农村集体组织经济实力，大力发展民营经济，培育和发展农民专业合作组织和中介组织。</w:t>
      </w:r>
    </w:p>
    <w:p>
      <w:pPr>
        <w:ind w:firstLine="420" w:firstLineChars="150"/>
        <w:rPr>
          <w:rFonts w:ascii="方正仿宋_GBK" w:eastAsia="方正仿宋_GBK"/>
          <w:sz w:val="28"/>
        </w:rPr>
      </w:pPr>
      <w:r>
        <w:rPr>
          <w:rFonts w:hint="eastAsia" w:ascii="方正仿宋_GBK" w:eastAsia="方正仿宋_GBK"/>
          <w:sz w:val="28"/>
        </w:rPr>
        <w:t>公共事务服务站：负责辖区内农民工求职登记、职业介绍、职业培训等就业服务工作；负责新型农村养老保险、农村合作医疗、文化广播和体育等服务工作；负责安全生产监督管理工作。</w:t>
      </w:r>
    </w:p>
    <w:p>
      <w:pPr>
        <w:ind w:firstLine="420" w:firstLineChars="150"/>
        <w:rPr>
          <w:rFonts w:ascii="方正仿宋_GBK" w:eastAsia="方正仿宋_GBK"/>
          <w:sz w:val="28"/>
        </w:rPr>
      </w:pPr>
      <w:r>
        <w:rPr>
          <w:rFonts w:hint="eastAsia" w:ascii="方正仿宋_GBK" w:eastAsia="方正仿宋_GBK"/>
          <w:sz w:val="28"/>
        </w:rPr>
        <w:t>农业综合服务站：负责种植业、畜牧业、林果业、农业机械、水利等技术推广服务工作。组织农业公共信息及培训教育、技术咨询等服务；组织农业病虫害、农业灾害的监测、预报、防治和处理；组织实施农作物、畜牧养殖、森林植物、果品、花卉、种苗及水生植物检疫防疫；组织护林防火、生态公益林管护及野生动植物、森林、湿地资源及农业环境的保护；负责农机安全生产监督管理和农业机械管理；组织协调水资源管理、监测、保护、节约和防汛抗旱技术服务工作，维护农村饮水安全，组织协调农业水利基本建设和水土保持。</w:t>
      </w:r>
    </w:p>
    <w:p>
      <w:pPr>
        <w:ind w:firstLine="280" w:firstLineChars="100"/>
        <w:jc w:val="left"/>
        <w:outlineLvl w:val="1"/>
        <w:rPr>
          <w:rFonts w:ascii="仿宋" w:hAnsi="仿宋" w:eastAsia="仿宋"/>
          <w:szCs w:val="32"/>
        </w:rPr>
      </w:pPr>
      <w:r>
        <w:rPr>
          <w:rFonts w:hint="eastAsia" w:ascii="方正仿宋_GBK" w:eastAsia="方正仿宋_GBK"/>
          <w:sz w:val="28"/>
        </w:rPr>
        <w:t>人口和计划生育服务站：负责计划生育宣传、统计工作；负责计划生育</w:t>
      </w:r>
      <w:r>
        <w:rPr>
          <w:rFonts w:ascii="方正仿宋_GBK" w:eastAsia="方正仿宋_GBK"/>
          <w:sz w:val="28"/>
        </w:rPr>
        <w:t>“</w:t>
      </w:r>
      <w:r>
        <w:rPr>
          <w:rFonts w:hint="eastAsia" w:ascii="方正仿宋_GBK" w:eastAsia="方正仿宋_GBK"/>
          <w:sz w:val="28"/>
        </w:rPr>
        <w:t>四术</w:t>
      </w:r>
      <w:r>
        <w:rPr>
          <w:rFonts w:ascii="方正仿宋_GBK" w:eastAsia="方正仿宋_GBK"/>
          <w:sz w:val="28"/>
        </w:rPr>
        <w:t>”</w:t>
      </w:r>
      <w:r>
        <w:rPr>
          <w:rFonts w:hint="eastAsia" w:ascii="方正仿宋_GBK" w:eastAsia="方正仿宋_GBK"/>
          <w:sz w:val="28"/>
        </w:rPr>
        <w:t>及生殖健康服务工作；负责计生药具管理工作。</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 w:hAnsi="仿宋" w:eastAsia="仿宋" w:cs="ArialUnicodeMS"/>
          <w:kern w:val="0"/>
          <w:sz w:val="32"/>
          <w:szCs w:val="32"/>
        </w:rPr>
        <w:t>从决算编报单位构成看，纳入</w:t>
      </w:r>
      <w:r>
        <w:rPr>
          <w:rFonts w:ascii="仿宋" w:hAnsi="仿宋" w:eastAsia="仿宋" w:cs="ArialUnicodeMS"/>
          <w:kern w:val="0"/>
          <w:sz w:val="32"/>
          <w:szCs w:val="32"/>
        </w:rPr>
        <w:t xml:space="preserve">2018 </w:t>
      </w:r>
      <w:r>
        <w:rPr>
          <w:rFonts w:hint="eastAsia" w:ascii="仿宋" w:hAnsi="仿宋" w:eastAsia="仿宋" w:cs="ArialUnicodeMS"/>
          <w:kern w:val="0"/>
          <w:sz w:val="32"/>
          <w:szCs w:val="32"/>
        </w:rPr>
        <w:t>年度本部门决算汇编范围的独立核算单位（以下简称“单位”）共</w:t>
      </w:r>
      <w:r>
        <w:rPr>
          <w:rFonts w:ascii="仿宋" w:hAnsi="仿宋" w:eastAsia="仿宋" w:cs="ArialUnicodeMS"/>
          <w:kern w:val="0"/>
          <w:sz w:val="32"/>
          <w:szCs w:val="32"/>
        </w:rPr>
        <w:t xml:space="preserve"> 1</w:t>
      </w:r>
      <w:r>
        <w:rPr>
          <w:rFonts w:hint="eastAsia" w:ascii="仿宋" w:hAnsi="仿宋" w:eastAsia="仿宋" w:cs="ArialUnicodeMS"/>
          <w:kern w:val="0"/>
          <w:sz w:val="32"/>
          <w:szCs w:val="32"/>
        </w:rPr>
        <w:t>个，无下属独立核算单位，具体情况如下：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马圈子镇人民政府</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4"/>
              </w:rPr>
            </w:pPr>
            <w:r>
              <w:rPr>
                <w:rFonts w:hint="eastAsia" w:ascii="仿宋_GB2312" w:hAnsi="Cambria" w:eastAsia="仿宋_GB2312" w:cs="ArialUnicodeMS"/>
                <w:kern w:val="0"/>
                <w:sz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w:t>
            </w: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8"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p>
      <w:pPr>
        <w:autoSpaceDE w:val="0"/>
        <w:autoSpaceDN w:val="0"/>
        <w:adjustRightInd w:val="0"/>
        <w:spacing w:after="0" w:line="240" w:lineRule="auto"/>
        <w:jc w:val="left"/>
        <w:rPr>
          <w:rFonts w:ascii="仿宋" w:hAnsi="仿宋" w:eastAsia="仿宋" w:cs="仿宋_GB2312"/>
          <w:color w:val="000000"/>
          <w:kern w:val="0"/>
          <w:sz w:val="32"/>
          <w:szCs w:val="32"/>
        </w:rPr>
      </w:pPr>
      <w:r>
        <w:rPr>
          <w:rFonts w:hint="eastAsia" w:ascii="仿宋" w:hAnsi="仿宋" w:eastAsia="仿宋" w:cs="宋体"/>
          <w:color w:val="000000"/>
          <w:kern w:val="0"/>
          <w:sz w:val="32"/>
          <w:szCs w:val="32"/>
        </w:rPr>
        <w:t>详见附件</w:t>
      </w:r>
      <w:r>
        <w:rPr>
          <w:rFonts w:hint="eastAsia" w:ascii="仿宋" w:hAnsi="仿宋" w:eastAsia="仿宋" w:cs="___WRD_EMBED_SUB_39"/>
          <w:color w:val="000000"/>
          <w:kern w:val="0"/>
          <w:sz w:val="32"/>
          <w:szCs w:val="32"/>
        </w:rPr>
        <w:t>：</w:t>
      </w:r>
      <w:r>
        <w:rPr>
          <w:rFonts w:hint="eastAsia" w:ascii="仿宋" w:hAnsi="仿宋" w:eastAsia="仿宋" w:cs="ArialUnicodeMS"/>
          <w:kern w:val="0"/>
          <w:sz w:val="32"/>
          <w:szCs w:val="32"/>
        </w:rPr>
        <w:t>青龙满族自治县</w:t>
      </w:r>
      <w:r>
        <w:rPr>
          <w:rFonts w:hint="eastAsia" w:ascii="华文仿宋" w:hAnsi="华文仿宋" w:eastAsia="华文仿宋" w:cs="ArialUnicodeMS"/>
          <w:kern w:val="0"/>
          <w:sz w:val="32"/>
          <w:szCs w:val="32"/>
        </w:rPr>
        <w:t>马圈子镇人民政府</w:t>
      </w:r>
      <w:r>
        <w:rPr>
          <w:rFonts w:ascii="仿宋" w:hAnsi="仿宋" w:eastAsia="仿宋" w:cs="仿宋_GB2312"/>
          <w:color w:val="000000"/>
          <w:kern w:val="0"/>
          <w:sz w:val="32"/>
          <w:szCs w:val="32"/>
        </w:rPr>
        <w:t xml:space="preserve">2018 </w:t>
      </w:r>
      <w:r>
        <w:rPr>
          <w:rFonts w:hint="eastAsia" w:ascii="仿宋" w:hAnsi="仿宋" w:eastAsia="仿宋" w:cs="仿宋_GB2312"/>
          <w:color w:val="000000"/>
          <w:kern w:val="0"/>
          <w:sz w:val="32"/>
          <w:szCs w:val="32"/>
        </w:rPr>
        <w:t>年度部门决算公开报表（</w:t>
      </w:r>
      <w:r>
        <w:rPr>
          <w:rFonts w:ascii="仿宋" w:hAnsi="仿宋" w:eastAsia="仿宋" w:cs="仿宋_GB2312"/>
          <w:color w:val="000000"/>
          <w:kern w:val="0"/>
          <w:sz w:val="32"/>
          <w:szCs w:val="32"/>
        </w:rPr>
        <w:t xml:space="preserve">10 </w:t>
      </w:r>
      <w:r>
        <w:rPr>
          <w:rFonts w:hint="eastAsia" w:ascii="仿宋" w:hAnsi="仿宋" w:eastAsia="仿宋" w:cs="宋体"/>
          <w:color w:val="000000"/>
          <w:kern w:val="0"/>
          <w:sz w:val="32"/>
          <w:szCs w:val="32"/>
        </w:rPr>
        <w:t>张</w:t>
      </w:r>
      <w:r>
        <w:rPr>
          <w:rFonts w:hint="eastAsia" w:ascii="仿宋" w:hAnsi="仿宋" w:eastAsia="仿宋" w:cs="___WRD_EMBED_SUB_39"/>
          <w:color w:val="000000"/>
          <w:kern w:val="0"/>
          <w:sz w:val="32"/>
          <w:szCs w:val="32"/>
        </w:rPr>
        <w:t>）</w:t>
      </w:r>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4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8" o:title=""/>
            <o:lock v:ext="edit" aspectratio="t"/>
          </v:shape>
        </w:pict>
      </w:r>
      <w:r>
        <w:pict>
          <v:shape id="文本框 5" o:spid="_x0000_s104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43" o:spt="203" style="position:absolute;left:0pt;margin-left:-79.65pt;margin-top:29.35pt;height:43.95pt;width:301.85pt;mso-position-vertical-relative:page;z-index:251681792;mso-width-relative:page;mso-height-relative:page;" coordorigin="4551,52615" coordsize="8546,1398">
            <o:lock v:ext="edit"/>
            <v:rect id="矩形 13" o:spid="_x0000_s1044" o:spt="1" style="position:absolute;left:4551;top:52615;height:1175;width:8546;v-text-anchor:middle;" fillcolor="#96DA9D" filled="t" stroked="f" coordsize="21600,21600">
              <v:path/>
              <v:fill on="t" focussize="0,0"/>
              <v:stroke on="f" weight="2pt"/>
              <v:imagedata o:title=""/>
              <o:lock v:ext="edit"/>
            </v:rect>
            <v:rect id="矩形 14" o:spid="_x0000_s104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年度决算收入总计</w:t>
      </w:r>
      <w:r>
        <w:rPr>
          <w:rFonts w:ascii="仿宋_GB2312" w:eastAsia="仿宋_GB2312" w:cs="DengXian-Regular"/>
          <w:sz w:val="32"/>
          <w:szCs w:val="32"/>
        </w:rPr>
        <w:t>1782.09</w:t>
      </w:r>
      <w:r>
        <w:rPr>
          <w:rFonts w:hint="eastAsia" w:ascii="仿宋_GB2312" w:eastAsia="仿宋_GB2312" w:cs="DengXian-Regular"/>
          <w:sz w:val="32"/>
          <w:szCs w:val="32"/>
        </w:rPr>
        <w:t>万元，决算支出总计</w:t>
      </w:r>
      <w:r>
        <w:rPr>
          <w:rFonts w:ascii="仿宋_GB2312" w:eastAsia="仿宋_GB2312" w:cs="DengXian-Regular"/>
          <w:sz w:val="32"/>
          <w:szCs w:val="32"/>
        </w:rPr>
        <w:t>1796.98</w:t>
      </w:r>
      <w:r>
        <w:rPr>
          <w:rFonts w:hint="eastAsia" w:ascii="仿宋_GB2312" w:eastAsia="仿宋_GB2312" w:cs="DengXian-Regular"/>
          <w:sz w:val="32"/>
          <w:szCs w:val="32"/>
        </w:rPr>
        <w:t>万元，年初结转和结余</w:t>
      </w:r>
      <w:r>
        <w:rPr>
          <w:rFonts w:ascii="仿宋_GB2312" w:eastAsia="仿宋_GB2312" w:cs="DengXian-Regular"/>
          <w:sz w:val="32"/>
          <w:szCs w:val="32"/>
        </w:rPr>
        <w:t>130.37</w:t>
      </w:r>
      <w:r>
        <w:rPr>
          <w:rFonts w:hint="eastAsia" w:ascii="仿宋_GB2312" w:eastAsia="仿宋_GB2312" w:cs="DengXian-Regular"/>
          <w:sz w:val="32"/>
          <w:szCs w:val="32"/>
        </w:rPr>
        <w:t>万元，年末结转和结余</w:t>
      </w:r>
      <w:r>
        <w:rPr>
          <w:rFonts w:ascii="仿宋_GB2312" w:eastAsia="仿宋_GB2312" w:cs="DengXian-Regular"/>
          <w:sz w:val="32"/>
          <w:szCs w:val="32"/>
        </w:rPr>
        <w:t>115.49</w:t>
      </w:r>
      <w:r>
        <w:rPr>
          <w:rFonts w:hint="eastAsia" w:ascii="仿宋_GB2312" w:eastAsia="仿宋_GB2312" w:cs="DengXian-Regular"/>
          <w:sz w:val="32"/>
          <w:szCs w:val="32"/>
        </w:rPr>
        <w:t>万元。</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与</w:t>
      </w:r>
      <w:r>
        <w:rPr>
          <w:rFonts w:ascii="仿宋_GB2312" w:eastAsia="仿宋_GB2312" w:cs="DengXian-Regular"/>
          <w:sz w:val="32"/>
          <w:szCs w:val="32"/>
        </w:rPr>
        <w:t>2017</w:t>
      </w:r>
      <w:r>
        <w:rPr>
          <w:rFonts w:hint="eastAsia" w:ascii="仿宋_GB2312" w:eastAsia="仿宋_GB2312" w:cs="DengXian-Regular"/>
          <w:sz w:val="32"/>
          <w:szCs w:val="32"/>
        </w:rPr>
        <w:t>年度决算相比，</w:t>
      </w:r>
      <w:r>
        <w:rPr>
          <w:rFonts w:ascii="仿宋_GB2312" w:eastAsia="仿宋_GB2312" w:cs="DengXian-Regular"/>
          <w:sz w:val="32"/>
          <w:szCs w:val="32"/>
        </w:rPr>
        <w:t>2018</w:t>
      </w:r>
      <w:r>
        <w:rPr>
          <w:rFonts w:hint="eastAsia" w:ascii="仿宋_GB2312" w:eastAsia="仿宋_GB2312" w:cs="DengXian-Regular"/>
          <w:sz w:val="32"/>
          <w:szCs w:val="32"/>
        </w:rPr>
        <w:t>年收入增加</w:t>
      </w:r>
      <w:r>
        <w:rPr>
          <w:rFonts w:ascii="仿宋_GB2312" w:eastAsia="仿宋_GB2312" w:cs="DengXian-Regular"/>
          <w:sz w:val="32"/>
          <w:szCs w:val="32"/>
        </w:rPr>
        <w:t>1084.99</w:t>
      </w:r>
      <w:r>
        <w:rPr>
          <w:rFonts w:hint="eastAsia" w:ascii="仿宋_GB2312" w:eastAsia="仿宋_GB2312" w:cs="DengXian-Regular"/>
          <w:sz w:val="32"/>
          <w:szCs w:val="32"/>
        </w:rPr>
        <w:t>万元，同比增长</w:t>
      </w:r>
      <w:r>
        <w:rPr>
          <w:rFonts w:ascii="仿宋_GB2312" w:eastAsia="仿宋_GB2312" w:cs="DengXian-Regular"/>
          <w:sz w:val="32"/>
          <w:szCs w:val="32"/>
        </w:rPr>
        <w:t>155.64%</w:t>
      </w:r>
      <w:r>
        <w:rPr>
          <w:rFonts w:hint="eastAsia" w:ascii="仿宋_GB2312" w:eastAsia="仿宋_GB2312" w:cs="DengXian-Regular"/>
          <w:sz w:val="32"/>
          <w:szCs w:val="32"/>
        </w:rPr>
        <w:t>，主要原因是：增加了扶贫基础设施建设项目的资金投入；支出增加</w:t>
      </w:r>
      <w:r>
        <w:rPr>
          <w:rFonts w:ascii="仿宋_GB2312" w:eastAsia="仿宋_GB2312" w:cs="DengXian-Regular"/>
          <w:sz w:val="32"/>
          <w:szCs w:val="32"/>
        </w:rPr>
        <w:t>1230.25</w:t>
      </w:r>
      <w:r>
        <w:rPr>
          <w:rFonts w:hint="eastAsia" w:ascii="仿宋_GB2312" w:eastAsia="仿宋_GB2312" w:cs="DengXian-Regular"/>
          <w:sz w:val="32"/>
          <w:szCs w:val="32"/>
        </w:rPr>
        <w:t>万元，同比增长</w:t>
      </w:r>
      <w:r>
        <w:rPr>
          <w:rFonts w:ascii="仿宋_GB2312" w:eastAsia="仿宋_GB2312" w:cs="DengXian-Regular"/>
          <w:sz w:val="32"/>
          <w:szCs w:val="32"/>
        </w:rPr>
        <w:t>217.07%</w:t>
      </w:r>
      <w:r>
        <w:rPr>
          <w:rFonts w:hint="eastAsia" w:ascii="仿宋_GB2312" w:eastAsia="仿宋_GB2312" w:cs="DengXian-Regular"/>
          <w:sz w:val="32"/>
          <w:szCs w:val="32"/>
        </w:rPr>
        <w:t>，主要原因是增加了扶贫基础设施建设项目的资金支出。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ascii="仿宋_GB2312" w:eastAsia="仿宋_GB2312" w:cs="DengXian-Regular"/>
          <w:sz w:val="32"/>
          <w:szCs w:val="32"/>
        </w:rPr>
        <w:t>1782.09</w:t>
      </w:r>
      <w:r>
        <w:rPr>
          <w:rFonts w:hint="eastAsia" w:ascii="仿宋_GB2312" w:eastAsia="仿宋_GB2312" w:cs="DengXian-Regular"/>
          <w:sz w:val="32"/>
          <w:szCs w:val="32"/>
        </w:rPr>
        <w:t>万元，其中：财政拨款收入</w:t>
      </w:r>
      <w:r>
        <w:rPr>
          <w:rFonts w:ascii="仿宋_GB2312" w:eastAsia="仿宋_GB2312" w:cs="DengXian-Regular"/>
          <w:sz w:val="32"/>
          <w:szCs w:val="32"/>
        </w:rPr>
        <w:t>1782.09</w:t>
      </w:r>
      <w:r>
        <w:rPr>
          <w:rFonts w:hint="eastAsia" w:ascii="仿宋_GB2312" w:eastAsia="仿宋_GB2312" w:cs="DengXian-Regular"/>
          <w:sz w:val="32"/>
          <w:szCs w:val="32"/>
        </w:rPr>
        <w:t>万元，占</w:t>
      </w:r>
      <w:r>
        <w:rPr>
          <w:rFonts w:ascii="仿宋_GB2312" w:eastAsia="仿宋_GB2312" w:cs="DengXian-Regular"/>
          <w:sz w:val="32"/>
          <w:szCs w:val="32"/>
        </w:rPr>
        <w:t>100%</w:t>
      </w:r>
      <w:r>
        <w:rPr>
          <w:rFonts w:hint="eastAsia" w:ascii="仿宋_GB2312" w:eastAsia="仿宋_GB2312" w:cs="DengXian-Regular"/>
          <w:sz w:val="32"/>
          <w:szCs w:val="32"/>
        </w:rPr>
        <w:t>；事业收入</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；经营收入</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；其他收入</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w: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ascii="仿宋_GB2312" w:eastAsia="仿宋_GB2312" w:cs="DengXian-Regular"/>
          <w:sz w:val="32"/>
          <w:szCs w:val="32"/>
        </w:rPr>
        <w:t>1796.98</w:t>
      </w:r>
      <w:r>
        <w:rPr>
          <w:rFonts w:hint="eastAsia" w:ascii="仿宋_GB2312" w:eastAsia="仿宋_GB2312" w:cs="DengXian-Regular"/>
          <w:sz w:val="32"/>
          <w:szCs w:val="32"/>
        </w:rPr>
        <w:t>万元，其中：基本支出</w:t>
      </w:r>
      <w:r>
        <w:rPr>
          <w:rFonts w:ascii="仿宋_GB2312" w:eastAsia="仿宋_GB2312" w:cs="DengXian-Regular"/>
          <w:sz w:val="32"/>
          <w:szCs w:val="32"/>
        </w:rPr>
        <w:t>1072.87</w:t>
      </w:r>
      <w:r>
        <w:rPr>
          <w:rFonts w:hint="eastAsia" w:ascii="仿宋_GB2312" w:eastAsia="仿宋_GB2312" w:cs="DengXian-Regular"/>
          <w:sz w:val="32"/>
          <w:szCs w:val="32"/>
        </w:rPr>
        <w:t>万元，占</w:t>
      </w:r>
      <w:r>
        <w:rPr>
          <w:rFonts w:ascii="仿宋_GB2312" w:eastAsia="仿宋_GB2312" w:cs="DengXian-Regular"/>
          <w:sz w:val="32"/>
          <w:szCs w:val="32"/>
        </w:rPr>
        <w:t>59.71%</w:t>
      </w:r>
      <w:r>
        <w:rPr>
          <w:rFonts w:hint="eastAsia" w:ascii="仿宋_GB2312" w:eastAsia="仿宋_GB2312" w:cs="DengXian-Regular"/>
          <w:sz w:val="32"/>
          <w:szCs w:val="32"/>
        </w:rPr>
        <w:t>；项目支出</w:t>
      </w:r>
      <w:r>
        <w:rPr>
          <w:rFonts w:ascii="仿宋_GB2312" w:eastAsia="仿宋_GB2312" w:cs="DengXian-Regular"/>
          <w:sz w:val="32"/>
          <w:szCs w:val="32"/>
        </w:rPr>
        <w:t>724.11</w:t>
      </w:r>
      <w:r>
        <w:rPr>
          <w:rFonts w:hint="eastAsia" w:ascii="仿宋_GB2312" w:eastAsia="仿宋_GB2312" w:cs="DengXian-Regular"/>
          <w:sz w:val="32"/>
          <w:szCs w:val="32"/>
        </w:rPr>
        <w:t>万元，占</w:t>
      </w:r>
      <w:r>
        <w:rPr>
          <w:rFonts w:ascii="仿宋_GB2312" w:eastAsia="仿宋_GB2312" w:cs="DengXian-Regular"/>
          <w:sz w:val="32"/>
          <w:szCs w:val="32"/>
        </w:rPr>
        <w:t>40.29%</w:t>
      </w:r>
      <w:r>
        <w:rPr>
          <w:rFonts w:hint="eastAsia" w:ascii="仿宋_GB2312" w:eastAsia="仿宋_GB2312" w:cs="DengXian-Regular"/>
          <w:sz w:val="32"/>
          <w:szCs w:val="32"/>
        </w:rPr>
        <w:t>；经营支出</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ascii="仿宋_GB2312" w:eastAsia="仿宋_GB2312" w:cs="DengXian-Regular"/>
          <w:sz w:val="32"/>
          <w:szCs w:val="32"/>
        </w:rPr>
        <w:t>1782.09</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ascii="仿宋_GB2312" w:eastAsia="仿宋_GB2312" w:cs="DengXian-Regular"/>
          <w:sz w:val="32"/>
          <w:szCs w:val="32"/>
        </w:rPr>
        <w:t>1084.99</w:t>
      </w:r>
      <w:r>
        <w:rPr>
          <w:rFonts w:hint="eastAsia" w:ascii="仿宋_GB2312" w:eastAsia="仿宋_GB2312" w:cs="DengXian-Regular"/>
          <w:sz w:val="32"/>
          <w:szCs w:val="32"/>
        </w:rPr>
        <w:t>万元，增长</w:t>
      </w:r>
      <w:r>
        <w:rPr>
          <w:rFonts w:ascii="仿宋_GB2312" w:eastAsia="仿宋_GB2312" w:cs="DengXian-Regular"/>
          <w:sz w:val="32"/>
          <w:szCs w:val="32"/>
        </w:rPr>
        <w:t>155.64%</w:t>
      </w:r>
      <w:r>
        <w:rPr>
          <w:rFonts w:hint="eastAsia" w:ascii="仿宋_GB2312" w:eastAsia="仿宋_GB2312" w:cs="DengXian-Regular"/>
          <w:sz w:val="32"/>
          <w:szCs w:val="32"/>
        </w:rPr>
        <w:t>，主要是增加了扶贫基础设施建设项目的资金投入；支出增加</w:t>
      </w:r>
      <w:r>
        <w:rPr>
          <w:rFonts w:ascii="仿宋_GB2312" w:eastAsia="仿宋_GB2312" w:cs="DengXian-Regular"/>
          <w:sz w:val="32"/>
          <w:szCs w:val="32"/>
        </w:rPr>
        <w:t>1230.25</w:t>
      </w:r>
      <w:r>
        <w:rPr>
          <w:rFonts w:hint="eastAsia" w:ascii="仿宋_GB2312" w:eastAsia="仿宋_GB2312" w:cs="DengXian-Regular"/>
          <w:sz w:val="32"/>
          <w:szCs w:val="32"/>
        </w:rPr>
        <w:t>万元，同比增长</w:t>
      </w:r>
      <w:r>
        <w:rPr>
          <w:rFonts w:ascii="仿宋_GB2312" w:eastAsia="仿宋_GB2312" w:cs="DengXian-Regular"/>
          <w:sz w:val="32"/>
          <w:szCs w:val="32"/>
        </w:rPr>
        <w:t>217.07%</w:t>
      </w:r>
      <w:r>
        <w:rPr>
          <w:rFonts w:hint="eastAsia" w:ascii="仿宋_GB2312" w:eastAsia="仿宋_GB2312" w:cs="DengXian-Regular"/>
          <w:sz w:val="32"/>
          <w:szCs w:val="32"/>
        </w:rPr>
        <w:t>，主要原因是增加了扶贫基础设施建设项目的资金支出。</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ascii="仿宋_GB2312" w:eastAsia="仿宋_GB2312" w:cs="DengXian-Regular"/>
          <w:sz w:val="32"/>
          <w:szCs w:val="32"/>
        </w:rPr>
        <w:t>1782.09</w:t>
      </w:r>
      <w:r>
        <w:rPr>
          <w:rFonts w:hint="eastAsia" w:ascii="仿宋_GB2312" w:eastAsia="仿宋_GB2312" w:cs="DengXian-Regular"/>
          <w:sz w:val="32"/>
          <w:szCs w:val="32"/>
        </w:rPr>
        <w:t>万元，完成年初预算的</w:t>
      </w:r>
      <w:r>
        <w:rPr>
          <w:rFonts w:ascii="仿宋_GB2312" w:eastAsia="仿宋_GB2312" w:cs="DengXian-Regular"/>
          <w:sz w:val="32"/>
          <w:szCs w:val="32"/>
        </w:rPr>
        <w:t>214.54%,</w:t>
      </w:r>
      <w:r>
        <w:rPr>
          <w:rFonts w:hint="eastAsia" w:ascii="仿宋_GB2312" w:eastAsia="仿宋_GB2312" w:cs="DengXian-Regular"/>
          <w:sz w:val="32"/>
          <w:szCs w:val="32"/>
        </w:rPr>
        <w:t>比年初预算增加</w:t>
      </w:r>
      <w:r>
        <w:rPr>
          <w:rFonts w:ascii="仿宋_GB2312" w:eastAsia="仿宋_GB2312" w:cs="DengXian-Regular"/>
          <w:sz w:val="32"/>
          <w:szCs w:val="32"/>
        </w:rPr>
        <w:t>951.43</w:t>
      </w:r>
      <w:r>
        <w:rPr>
          <w:rFonts w:hint="eastAsia" w:ascii="仿宋_GB2312" w:eastAsia="仿宋_GB2312" w:cs="DengXian-Regular"/>
          <w:sz w:val="32"/>
          <w:szCs w:val="32"/>
        </w:rPr>
        <w:t>万元，决算数大于预算数主要原因是项目支出增加较多，特别是扶贫基础设施建设项目资金的投入；本年支出</w:t>
      </w:r>
      <w:r>
        <w:rPr>
          <w:rFonts w:ascii="仿宋_GB2312" w:eastAsia="仿宋_GB2312" w:cs="DengXian-Regular"/>
          <w:sz w:val="32"/>
          <w:szCs w:val="32"/>
        </w:rPr>
        <w:t>1796.98</w:t>
      </w:r>
      <w:r>
        <w:rPr>
          <w:rFonts w:hint="eastAsia" w:ascii="仿宋_GB2312" w:eastAsia="仿宋_GB2312" w:cs="DengXian-Regular"/>
          <w:sz w:val="32"/>
          <w:szCs w:val="32"/>
        </w:rPr>
        <w:t>万元，完成年初预算的</w:t>
      </w:r>
      <w:r>
        <w:rPr>
          <w:rFonts w:ascii="仿宋_GB2312" w:eastAsia="仿宋_GB2312" w:cs="DengXian-Regular"/>
          <w:sz w:val="32"/>
          <w:szCs w:val="32"/>
        </w:rPr>
        <w:t>216.33%,</w:t>
      </w:r>
      <w:r>
        <w:rPr>
          <w:rFonts w:hint="eastAsia" w:ascii="仿宋_GB2312" w:eastAsia="仿宋_GB2312" w:cs="DengXian-Regular"/>
          <w:sz w:val="32"/>
          <w:szCs w:val="32"/>
        </w:rPr>
        <w:t>比年初预算增加</w:t>
      </w:r>
      <w:r>
        <w:rPr>
          <w:rFonts w:ascii="仿宋_GB2312" w:eastAsia="仿宋_GB2312" w:cs="DengXian-Regular"/>
          <w:sz w:val="32"/>
          <w:szCs w:val="32"/>
        </w:rPr>
        <w:t>966.32</w:t>
      </w:r>
      <w:r>
        <w:rPr>
          <w:rFonts w:hint="eastAsia" w:ascii="仿宋_GB2312" w:eastAsia="仿宋_GB2312" w:cs="DengXian-Regular"/>
          <w:sz w:val="32"/>
          <w:szCs w:val="32"/>
        </w:rPr>
        <w:t>万元，决算数大于</w:t>
      </w:r>
      <w:r>
        <w:pict>
          <v:group id="组合 76" o:spid="_x0000_s1046" o:spt="203" style="position:absolute;left:0pt;margin-left:-79.65pt;margin-top:29.35pt;height:43.95pt;width:301.85pt;mso-position-vertical-relative:page;z-index:251674624;mso-width-relative:page;mso-height-relative:page;" coordorigin="4551,52615" coordsize="8546,1398">
            <o:lock v:ext="edit"/>
            <v:rect id="矩形 13" o:spid="_x0000_s1047" o:spt="1" style="position:absolute;left:4551;top:52615;height:1175;width:8546;v-text-anchor:middle;" fillcolor="#96DA9D" filled="t" stroked="f" coordsize="21600,21600">
              <v:path/>
              <v:fill on="t" focussize="0,0"/>
              <v:stroke on="f" weight="2pt"/>
              <v:imagedata o:title=""/>
              <o:lock v:ext="edit"/>
            </v:rect>
            <v:rect id="矩形 14" o:spid="_x0000_s104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预算数主要原因是扶贫基础设施建设项目的支出增加。</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ascii="仿宋_GB2312" w:eastAsia="仿宋_GB2312" w:cs="DengXian-Regular"/>
          <w:sz w:val="32"/>
          <w:szCs w:val="32"/>
        </w:rPr>
        <w:t>1796.98</w:t>
      </w:r>
      <w:r>
        <w:rPr>
          <w:rFonts w:hint="eastAsia" w:ascii="仿宋_GB2312" w:eastAsia="仿宋_GB2312" w:cs="DengXian-Regular"/>
          <w:sz w:val="32"/>
          <w:szCs w:val="32"/>
        </w:rPr>
        <w:t>万元，主要用于以下方面：一般公共服务支出</w:t>
      </w:r>
      <w:r>
        <w:rPr>
          <w:rFonts w:ascii="仿宋_GB2312" w:eastAsia="仿宋_GB2312" w:cs="DengXian-Regular"/>
          <w:sz w:val="32"/>
          <w:szCs w:val="32"/>
        </w:rPr>
        <w:t>422.58</w:t>
      </w:r>
      <w:r>
        <w:rPr>
          <w:rFonts w:hint="eastAsia" w:ascii="仿宋_GB2312" w:eastAsia="仿宋_GB2312" w:cs="DengXian-Regular"/>
          <w:sz w:val="32"/>
          <w:szCs w:val="32"/>
        </w:rPr>
        <w:t>万元，占</w:t>
      </w:r>
      <w:r>
        <w:rPr>
          <w:rFonts w:ascii="仿宋_GB2312" w:eastAsia="仿宋_GB2312" w:cs="DengXian-Regular"/>
          <w:sz w:val="32"/>
          <w:szCs w:val="32"/>
        </w:rPr>
        <w:t>23.52%</w:t>
      </w:r>
      <w:r>
        <w:rPr>
          <w:rFonts w:hint="eastAsia" w:ascii="仿宋_GB2312" w:eastAsia="仿宋_GB2312" w:cs="DengXian-Regular"/>
          <w:sz w:val="32"/>
          <w:szCs w:val="32"/>
        </w:rPr>
        <w:t>；社会保障和就业支出</w:t>
      </w:r>
      <w:r>
        <w:rPr>
          <w:rFonts w:ascii="仿宋_GB2312" w:eastAsia="仿宋_GB2312" w:cs="DengXian-Regular"/>
          <w:sz w:val="32"/>
          <w:szCs w:val="32"/>
        </w:rPr>
        <w:t xml:space="preserve"> 231.48</w:t>
      </w:r>
      <w:r>
        <w:rPr>
          <w:rFonts w:hint="eastAsia" w:ascii="仿宋_GB2312" w:eastAsia="仿宋_GB2312" w:cs="DengXian-Regular"/>
          <w:sz w:val="32"/>
          <w:szCs w:val="32"/>
        </w:rPr>
        <w:t>万元，占</w:t>
      </w:r>
      <w:r>
        <w:rPr>
          <w:rFonts w:ascii="仿宋_GB2312" w:eastAsia="仿宋_GB2312" w:cs="DengXian-Regular"/>
          <w:sz w:val="32"/>
          <w:szCs w:val="32"/>
        </w:rPr>
        <w:t>12.88%</w:t>
      </w:r>
      <w:r>
        <w:rPr>
          <w:rFonts w:hint="eastAsia" w:ascii="仿宋_GB2312" w:eastAsia="仿宋_GB2312" w:cs="DengXian-Regular"/>
          <w:sz w:val="32"/>
          <w:szCs w:val="32"/>
        </w:rPr>
        <w:t>；医疗卫生和计划生育支出</w:t>
      </w:r>
      <w:r>
        <w:rPr>
          <w:rFonts w:ascii="仿宋_GB2312" w:eastAsia="仿宋_GB2312" w:cs="DengXian-Regular"/>
          <w:sz w:val="32"/>
          <w:szCs w:val="32"/>
        </w:rPr>
        <w:t>44.34</w:t>
      </w:r>
      <w:r>
        <w:rPr>
          <w:rFonts w:hint="eastAsia" w:ascii="仿宋_GB2312" w:eastAsia="仿宋_GB2312" w:cs="DengXian-Regular"/>
          <w:sz w:val="32"/>
          <w:szCs w:val="32"/>
        </w:rPr>
        <w:t>万元，占</w:t>
      </w:r>
      <w:r>
        <w:rPr>
          <w:rFonts w:ascii="仿宋_GB2312" w:eastAsia="仿宋_GB2312" w:cs="DengXian-Regular"/>
          <w:sz w:val="32"/>
          <w:szCs w:val="32"/>
        </w:rPr>
        <w:t xml:space="preserve"> 2.47%;</w:t>
      </w:r>
      <w:r>
        <w:rPr>
          <w:rFonts w:hint="eastAsia" w:ascii="仿宋_GB2312" w:eastAsia="仿宋_GB2312" w:cs="DengXian-Regular"/>
          <w:sz w:val="32"/>
          <w:szCs w:val="32"/>
        </w:rPr>
        <w:t>节能环保支出</w:t>
      </w:r>
      <w:r>
        <w:rPr>
          <w:rFonts w:ascii="仿宋_GB2312" w:eastAsia="仿宋_GB2312" w:cs="DengXian-Regular"/>
          <w:sz w:val="32"/>
          <w:szCs w:val="32"/>
        </w:rPr>
        <w:t>49</w:t>
      </w:r>
      <w:r>
        <w:rPr>
          <w:rFonts w:hint="eastAsia" w:ascii="仿宋_GB2312" w:eastAsia="仿宋_GB2312" w:cs="DengXian-Regular"/>
          <w:sz w:val="32"/>
          <w:szCs w:val="32"/>
        </w:rPr>
        <w:t>万元，占</w:t>
      </w:r>
      <w:r>
        <w:rPr>
          <w:rFonts w:ascii="仿宋_GB2312" w:eastAsia="仿宋_GB2312" w:cs="DengXian-Regular"/>
          <w:sz w:val="32"/>
          <w:szCs w:val="32"/>
        </w:rPr>
        <w:t>2.73%</w:t>
      </w:r>
      <w:r>
        <w:rPr>
          <w:rFonts w:hint="eastAsia" w:ascii="仿宋_GB2312" w:eastAsia="仿宋_GB2312" w:cs="DengXian-Regular"/>
          <w:sz w:val="32"/>
          <w:szCs w:val="32"/>
        </w:rPr>
        <w:t>；城乡社区支出</w:t>
      </w:r>
      <w:r>
        <w:rPr>
          <w:rFonts w:ascii="仿宋_GB2312" w:eastAsia="仿宋_GB2312" w:cs="DengXian-Regular"/>
          <w:sz w:val="32"/>
          <w:szCs w:val="32"/>
        </w:rPr>
        <w:t>45</w:t>
      </w:r>
      <w:r>
        <w:rPr>
          <w:rFonts w:hint="eastAsia" w:ascii="仿宋_GB2312" w:eastAsia="仿宋_GB2312" w:cs="DengXian-Regular"/>
          <w:sz w:val="32"/>
          <w:szCs w:val="32"/>
        </w:rPr>
        <w:t>万元，占</w:t>
      </w:r>
      <w:r>
        <w:rPr>
          <w:rFonts w:ascii="仿宋_GB2312" w:eastAsia="仿宋_GB2312" w:cs="DengXian-Regular"/>
          <w:sz w:val="32"/>
          <w:szCs w:val="32"/>
        </w:rPr>
        <w:t>2.5%</w:t>
      </w:r>
      <w:r>
        <w:rPr>
          <w:rFonts w:hint="eastAsia" w:ascii="仿宋_GB2312" w:eastAsia="仿宋_GB2312" w:cs="DengXian-Regular"/>
          <w:sz w:val="32"/>
          <w:szCs w:val="32"/>
        </w:rPr>
        <w:t>；农林水支出</w:t>
      </w:r>
      <w:r>
        <w:rPr>
          <w:rFonts w:ascii="仿宋_GB2312" w:eastAsia="仿宋_GB2312" w:cs="DengXian-Regular"/>
          <w:sz w:val="32"/>
          <w:szCs w:val="32"/>
        </w:rPr>
        <w:t>989.57</w:t>
      </w:r>
      <w:r>
        <w:rPr>
          <w:rFonts w:hint="eastAsia" w:ascii="仿宋_GB2312" w:eastAsia="仿宋_GB2312" w:cs="DengXian-Regular"/>
          <w:sz w:val="32"/>
          <w:szCs w:val="32"/>
        </w:rPr>
        <w:t>万元，占</w:t>
      </w:r>
      <w:r>
        <w:rPr>
          <w:rFonts w:ascii="仿宋_GB2312" w:eastAsia="仿宋_GB2312" w:cs="DengXian-Regular"/>
          <w:sz w:val="32"/>
          <w:szCs w:val="32"/>
        </w:rPr>
        <w:t>55.07%</w:t>
      </w:r>
      <w:r>
        <w:rPr>
          <w:rFonts w:hint="eastAsia" w:ascii="仿宋_GB2312" w:eastAsia="仿宋_GB2312" w:cs="DengXian-Regular"/>
          <w:sz w:val="32"/>
          <w:szCs w:val="32"/>
        </w:rPr>
        <w:t>；资源勘探信息等支出</w:t>
      </w:r>
      <w:r>
        <w:rPr>
          <w:rFonts w:ascii="仿宋_GB2312" w:eastAsia="仿宋_GB2312" w:cs="DengXian-Regular"/>
          <w:sz w:val="32"/>
          <w:szCs w:val="32"/>
        </w:rPr>
        <w:t>15</w:t>
      </w:r>
      <w:r>
        <w:rPr>
          <w:rFonts w:hint="eastAsia" w:ascii="仿宋_GB2312" w:eastAsia="仿宋_GB2312" w:cs="DengXian-Regular"/>
          <w:sz w:val="32"/>
          <w:szCs w:val="32"/>
        </w:rPr>
        <w:t>万元，占</w:t>
      </w:r>
      <w:r>
        <w:rPr>
          <w:rFonts w:ascii="仿宋_GB2312" w:eastAsia="仿宋_GB2312" w:cs="DengXian-Regular"/>
          <w:sz w:val="32"/>
          <w:szCs w:val="32"/>
        </w:rPr>
        <w:t>0.83%</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049" o:spt="203" style="position:absolute;left:0pt;margin-left:-79.65pt;margin-top:29.35pt;height:43.95pt;width:301.85pt;mso-position-vertical-relative:page;z-index:251675648;mso-width-relative:page;mso-height-relative:page;" coordorigin="4551,52615" coordsize="8546,1398">
            <o:lock v:ext="edit"/>
            <v:rect id="矩形 13" o:spid="_x0000_s1050" o:spt="1" style="position:absolute;left:4551;top:52615;height:1175;width:8546;v-text-anchor:middle;" fillcolor="#96DA9D" filled="t" stroked="f" coordsize="21600,21600">
              <v:path/>
              <v:fill on="t" focussize="0,0"/>
              <v:stroke on="f" weight="2pt"/>
              <v:imagedata o:title=""/>
              <o:lock v:ext="edit"/>
            </v:rect>
            <v:rect id="矩形 14" o:spid="_x0000_s105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ascii="仿宋_GB2312" w:eastAsia="仿宋_GB2312" w:cs="DengXian-Regular"/>
          <w:sz w:val="32"/>
          <w:szCs w:val="32"/>
        </w:rPr>
        <w:t>1072.87</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1018.36</w:t>
      </w:r>
      <w:r>
        <w:rPr>
          <w:rFonts w:hint="eastAsia" w:ascii="仿宋_GB2312" w:eastAsia="仿宋_GB2312" w:cs="DengXian-Regular"/>
          <w:sz w:val="32"/>
          <w:szCs w:val="32"/>
        </w:rPr>
        <w:t>万元，主要包括基本工资</w:t>
      </w:r>
      <w:r>
        <w:rPr>
          <w:rFonts w:ascii="仿宋_GB2312" w:eastAsia="仿宋_GB2312" w:cs="DengXian-Regular"/>
          <w:sz w:val="32"/>
          <w:szCs w:val="32"/>
        </w:rPr>
        <w:t>436.7</w:t>
      </w:r>
      <w:r>
        <w:rPr>
          <w:rFonts w:hint="eastAsia" w:ascii="仿宋_GB2312" w:eastAsia="仿宋_GB2312" w:cs="DengXian-Regular"/>
          <w:sz w:val="32"/>
          <w:szCs w:val="32"/>
        </w:rPr>
        <w:t>万元、津贴补贴</w:t>
      </w:r>
      <w:r>
        <w:rPr>
          <w:rFonts w:ascii="仿宋_GB2312" w:eastAsia="仿宋_GB2312" w:cs="DengXian-Regular"/>
          <w:sz w:val="32"/>
          <w:szCs w:val="32"/>
        </w:rPr>
        <w:t>98.97</w:t>
      </w:r>
      <w:r>
        <w:rPr>
          <w:rFonts w:hint="eastAsia" w:ascii="仿宋_GB2312" w:eastAsia="仿宋_GB2312" w:cs="DengXian-Regular"/>
          <w:sz w:val="32"/>
          <w:szCs w:val="32"/>
        </w:rPr>
        <w:t>万元、奖金</w:t>
      </w:r>
      <w:r>
        <w:rPr>
          <w:rFonts w:ascii="仿宋_GB2312" w:eastAsia="仿宋_GB2312" w:cs="DengXian-Regular"/>
          <w:sz w:val="32"/>
          <w:szCs w:val="32"/>
        </w:rPr>
        <w:t>8.2</w:t>
      </w:r>
      <w:r>
        <w:rPr>
          <w:rFonts w:hint="eastAsia" w:ascii="仿宋_GB2312" w:eastAsia="仿宋_GB2312" w:cs="DengXian-Regular"/>
          <w:sz w:val="32"/>
          <w:szCs w:val="32"/>
        </w:rPr>
        <w:t>万元、机关事业单位基本养老保险缴费</w:t>
      </w:r>
      <w:r>
        <w:rPr>
          <w:rFonts w:ascii="仿宋_GB2312" w:eastAsia="仿宋_GB2312" w:cs="DengXian-Regular"/>
          <w:sz w:val="32"/>
          <w:szCs w:val="32"/>
        </w:rPr>
        <w:t>99.10</w:t>
      </w:r>
      <w:r>
        <w:rPr>
          <w:rFonts w:hint="eastAsia" w:ascii="仿宋_GB2312" w:eastAsia="仿宋_GB2312" w:cs="DengXian-Regular"/>
          <w:sz w:val="32"/>
          <w:szCs w:val="32"/>
        </w:rPr>
        <w:t>万元、职业年金缴费</w:t>
      </w:r>
      <w:r>
        <w:rPr>
          <w:rFonts w:ascii="仿宋_GB2312" w:eastAsia="仿宋_GB2312" w:cs="DengXian-Regular"/>
          <w:sz w:val="32"/>
          <w:szCs w:val="32"/>
        </w:rPr>
        <w:t>20.25</w:t>
      </w:r>
      <w:r>
        <w:rPr>
          <w:rFonts w:hint="eastAsia" w:ascii="仿宋_GB2312" w:eastAsia="仿宋_GB2312" w:cs="DengXian-Regular"/>
          <w:sz w:val="32"/>
          <w:szCs w:val="32"/>
        </w:rPr>
        <w:t>万元、职工基本医疗保险缴费</w:t>
      </w:r>
      <w:r>
        <w:rPr>
          <w:rFonts w:ascii="仿宋_GB2312" w:eastAsia="仿宋_GB2312" w:cs="DengXian-Regular"/>
          <w:sz w:val="32"/>
          <w:szCs w:val="32"/>
        </w:rPr>
        <w:t>44.34</w:t>
      </w:r>
      <w:r>
        <w:rPr>
          <w:rFonts w:hint="eastAsia" w:ascii="仿宋_GB2312" w:eastAsia="仿宋_GB2312" w:cs="DengXian-Regular"/>
          <w:sz w:val="32"/>
          <w:szCs w:val="32"/>
        </w:rPr>
        <w:t>万元、其他社会保障缴费</w:t>
      </w:r>
      <w:r>
        <w:rPr>
          <w:rFonts w:ascii="仿宋_GB2312" w:eastAsia="仿宋_GB2312" w:cs="DengXian-Regular"/>
          <w:sz w:val="32"/>
          <w:szCs w:val="32"/>
        </w:rPr>
        <w:t>3.18</w:t>
      </w:r>
      <w:r>
        <w:rPr>
          <w:rFonts w:hint="eastAsia" w:ascii="仿宋_GB2312" w:eastAsia="仿宋_GB2312" w:cs="DengXian-Regular"/>
          <w:sz w:val="32"/>
          <w:szCs w:val="32"/>
        </w:rPr>
        <w:t>万元、其他工资福利支出</w:t>
      </w:r>
      <w:r>
        <w:rPr>
          <w:rFonts w:ascii="仿宋_GB2312" w:eastAsia="仿宋_GB2312" w:cs="DengXian-Regular"/>
          <w:sz w:val="32"/>
          <w:szCs w:val="32"/>
        </w:rPr>
        <w:t>0.5</w:t>
      </w:r>
      <w:r>
        <w:rPr>
          <w:rFonts w:hint="eastAsia" w:ascii="仿宋_GB2312" w:eastAsia="仿宋_GB2312" w:cs="DengXian-Regular"/>
          <w:sz w:val="32"/>
          <w:szCs w:val="32"/>
        </w:rPr>
        <w:t>万元、退休费</w:t>
      </w:r>
      <w:r>
        <w:rPr>
          <w:rFonts w:ascii="仿宋_GB2312" w:eastAsia="仿宋_GB2312" w:cs="DengXian-Regular"/>
          <w:sz w:val="32"/>
          <w:szCs w:val="32"/>
        </w:rPr>
        <w:t>8.04</w:t>
      </w:r>
      <w:r>
        <w:rPr>
          <w:rFonts w:hint="eastAsia" w:ascii="仿宋_GB2312" w:eastAsia="仿宋_GB2312" w:cs="DengXian-Regular"/>
          <w:sz w:val="32"/>
          <w:szCs w:val="32"/>
        </w:rPr>
        <w:t>万元、抚恤金</w:t>
      </w:r>
      <w:r>
        <w:rPr>
          <w:rFonts w:ascii="仿宋_GB2312" w:eastAsia="仿宋_GB2312" w:cs="DengXian-Regular"/>
          <w:sz w:val="32"/>
          <w:szCs w:val="32"/>
        </w:rPr>
        <w:t>14.85</w:t>
      </w:r>
      <w:r>
        <w:rPr>
          <w:rFonts w:hint="eastAsia" w:ascii="仿宋_GB2312" w:eastAsia="仿宋_GB2312" w:cs="DengXian-Regular"/>
          <w:sz w:val="32"/>
          <w:szCs w:val="32"/>
        </w:rPr>
        <w:t>万元、生活补助</w:t>
      </w:r>
      <w:r>
        <w:rPr>
          <w:rFonts w:ascii="仿宋_GB2312" w:eastAsia="仿宋_GB2312" w:cs="DengXian-Regular"/>
          <w:sz w:val="32"/>
          <w:szCs w:val="32"/>
        </w:rPr>
        <w:t>284.22</w:t>
      </w:r>
      <w:r>
        <w:rPr>
          <w:rFonts w:hint="eastAsia" w:ascii="仿宋_GB2312" w:eastAsia="仿宋_GB2312" w:cs="DengXian-Regular"/>
          <w:sz w:val="32"/>
          <w:szCs w:val="32"/>
        </w:rPr>
        <w:t>万元；公用经费</w:t>
      </w:r>
      <w:r>
        <w:rPr>
          <w:rFonts w:ascii="仿宋_GB2312" w:eastAsia="仿宋_GB2312" w:cs="DengXian-Regular"/>
          <w:sz w:val="32"/>
          <w:szCs w:val="32"/>
        </w:rPr>
        <w:t xml:space="preserve"> 54.50</w:t>
      </w:r>
      <w:r>
        <w:rPr>
          <w:rFonts w:hint="eastAsia" w:ascii="仿宋_GB2312" w:eastAsia="仿宋_GB2312" w:cs="DengXian-Regular"/>
          <w:sz w:val="32"/>
          <w:szCs w:val="32"/>
        </w:rPr>
        <w:t>万元，主要包括办公费</w:t>
      </w:r>
      <w:r>
        <w:rPr>
          <w:rFonts w:ascii="仿宋_GB2312" w:eastAsia="仿宋_GB2312" w:cs="DengXian-Regular"/>
          <w:sz w:val="32"/>
          <w:szCs w:val="32"/>
        </w:rPr>
        <w:t>21.29</w:t>
      </w:r>
      <w:r>
        <w:rPr>
          <w:rFonts w:hint="eastAsia" w:ascii="仿宋_GB2312" w:eastAsia="仿宋_GB2312" w:cs="DengXian-Regular"/>
          <w:sz w:val="32"/>
          <w:szCs w:val="32"/>
        </w:rPr>
        <w:t>万元、印刷费</w:t>
      </w:r>
      <w:r>
        <w:rPr>
          <w:rFonts w:ascii="仿宋_GB2312" w:eastAsia="仿宋_GB2312" w:cs="DengXian-Regular"/>
          <w:sz w:val="32"/>
          <w:szCs w:val="32"/>
        </w:rPr>
        <w:t>3</w:t>
      </w:r>
      <w:r>
        <w:rPr>
          <w:rFonts w:hint="eastAsia" w:ascii="仿宋_GB2312" w:eastAsia="仿宋_GB2312" w:cs="DengXian-Regular"/>
          <w:sz w:val="32"/>
          <w:szCs w:val="32"/>
        </w:rPr>
        <w:t>万元、电费</w:t>
      </w:r>
      <w:r>
        <w:rPr>
          <w:rFonts w:ascii="仿宋_GB2312" w:eastAsia="仿宋_GB2312" w:cs="DengXian-Regular"/>
          <w:sz w:val="32"/>
          <w:szCs w:val="32"/>
        </w:rPr>
        <w:t>6.68</w:t>
      </w:r>
      <w:r>
        <w:rPr>
          <w:rFonts w:hint="eastAsia" w:ascii="仿宋_GB2312" w:eastAsia="仿宋_GB2312" w:cs="DengXian-Regular"/>
          <w:sz w:val="32"/>
          <w:szCs w:val="32"/>
        </w:rPr>
        <w:t>万元、邮电费</w:t>
      </w:r>
      <w:r>
        <w:rPr>
          <w:rFonts w:ascii="仿宋_GB2312" w:eastAsia="仿宋_GB2312" w:cs="DengXian-Regular"/>
          <w:sz w:val="32"/>
          <w:szCs w:val="32"/>
        </w:rPr>
        <w:t>1.5</w:t>
      </w:r>
      <w:r>
        <w:rPr>
          <w:rFonts w:hint="eastAsia" w:ascii="仿宋_GB2312" w:eastAsia="仿宋_GB2312" w:cs="DengXian-Regular"/>
          <w:sz w:val="32"/>
          <w:szCs w:val="32"/>
        </w:rPr>
        <w:t>万元、差旅费</w:t>
      </w:r>
      <w:r>
        <w:rPr>
          <w:rFonts w:ascii="仿宋_GB2312" w:eastAsia="仿宋_GB2312" w:cs="DengXian-Regular"/>
          <w:sz w:val="32"/>
          <w:szCs w:val="32"/>
        </w:rPr>
        <w:t>3.11</w:t>
      </w:r>
      <w:r>
        <w:rPr>
          <w:rFonts w:hint="eastAsia" w:ascii="仿宋_GB2312" w:eastAsia="仿宋_GB2312" w:cs="DengXian-Regular"/>
          <w:sz w:val="32"/>
          <w:szCs w:val="32"/>
        </w:rPr>
        <w:t>万元、维修（护）费</w:t>
      </w:r>
      <w:r>
        <w:rPr>
          <w:rFonts w:ascii="仿宋_GB2312" w:eastAsia="仿宋_GB2312" w:cs="DengXian-Regular"/>
          <w:sz w:val="32"/>
          <w:szCs w:val="32"/>
        </w:rPr>
        <w:t>2.08</w:t>
      </w:r>
      <w:r>
        <w:rPr>
          <w:rFonts w:hint="eastAsia" w:ascii="仿宋_GB2312" w:eastAsia="仿宋_GB2312" w:cs="DengXian-Regular"/>
          <w:sz w:val="32"/>
          <w:szCs w:val="32"/>
        </w:rPr>
        <w:t>万元、公务接待费</w:t>
      </w:r>
      <w:r>
        <w:rPr>
          <w:rFonts w:ascii="仿宋_GB2312" w:eastAsia="仿宋_GB2312" w:cs="DengXian-Regular"/>
          <w:sz w:val="32"/>
          <w:szCs w:val="32"/>
        </w:rPr>
        <w:t>6.5</w:t>
      </w:r>
      <w:r>
        <w:rPr>
          <w:rFonts w:hint="eastAsia" w:ascii="仿宋_GB2312" w:eastAsia="仿宋_GB2312" w:cs="DengXian-Regular"/>
          <w:sz w:val="32"/>
          <w:szCs w:val="32"/>
        </w:rPr>
        <w:t>万元、劳务费</w:t>
      </w:r>
      <w:r>
        <w:rPr>
          <w:rFonts w:ascii="仿宋_GB2312" w:eastAsia="仿宋_GB2312" w:cs="DengXian-Regular"/>
          <w:sz w:val="32"/>
          <w:szCs w:val="32"/>
        </w:rPr>
        <w:t>3.67</w:t>
      </w:r>
      <w:r>
        <w:rPr>
          <w:rFonts w:hint="eastAsia" w:ascii="仿宋_GB2312" w:eastAsia="仿宋_GB2312" w:cs="DengXian-Regular"/>
          <w:sz w:val="32"/>
          <w:szCs w:val="32"/>
        </w:rPr>
        <w:t>万元、公务用车运行维护费</w:t>
      </w:r>
      <w:r>
        <w:rPr>
          <w:rFonts w:ascii="仿宋_GB2312" w:eastAsia="仿宋_GB2312" w:cs="DengXian-Regular"/>
          <w:sz w:val="32"/>
          <w:szCs w:val="32"/>
        </w:rPr>
        <w:t>4</w:t>
      </w:r>
      <w:r>
        <w:rPr>
          <w:rFonts w:hint="eastAsia" w:ascii="仿宋_GB2312" w:eastAsia="仿宋_GB2312" w:cs="DengXian-Regular"/>
          <w:sz w:val="32"/>
          <w:szCs w:val="32"/>
        </w:rPr>
        <w:t>万元、其他交通费用</w:t>
      </w:r>
      <w:r>
        <w:rPr>
          <w:rFonts w:ascii="仿宋_GB2312" w:eastAsia="仿宋_GB2312" w:cs="DengXian-Regular"/>
          <w:sz w:val="32"/>
          <w:szCs w:val="32"/>
        </w:rPr>
        <w:t>0.2</w:t>
      </w:r>
      <w:r>
        <w:rPr>
          <w:rFonts w:hint="eastAsia" w:ascii="仿宋_GB2312" w:eastAsia="仿宋_GB2312" w:cs="DengXian-Regular"/>
          <w:sz w:val="32"/>
          <w:szCs w:val="32"/>
        </w:rPr>
        <w:t>万元、其他商品和服务支出</w:t>
      </w:r>
      <w:r>
        <w:rPr>
          <w:rFonts w:ascii="仿宋_GB2312" w:eastAsia="仿宋_GB2312" w:cs="DengXian-Regular"/>
          <w:sz w:val="32"/>
          <w:szCs w:val="32"/>
        </w:rPr>
        <w:t>2.47</w:t>
      </w:r>
      <w:r>
        <w:rPr>
          <w:rFonts w:hint="eastAsia" w:ascii="仿宋_GB2312" w:eastAsia="仿宋_GB2312" w:cs="DengXian-Regular"/>
          <w:sz w:val="32"/>
          <w:szCs w:val="32"/>
        </w:rPr>
        <w:t>万元。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w:t>
      </w:r>
      <w:r>
        <w:rPr>
          <w:rFonts w:ascii="仿宋_GB2312" w:eastAsia="仿宋_GB2312" w:cs="DengXian-Regular"/>
          <w:sz w:val="32"/>
          <w:szCs w:val="32"/>
        </w:rPr>
        <w:t>10.5</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较年初预算增加（减少）</w:t>
      </w:r>
      <w:r>
        <w:rPr>
          <w:rFonts w:ascii="仿宋_GB2312" w:eastAsia="仿宋_GB2312" w:cs="DengXian-Regular"/>
          <w:b/>
          <w:bCs/>
          <w:sz w:val="32"/>
          <w:szCs w:val="32"/>
        </w:rPr>
        <w:t>0</w:t>
      </w:r>
      <w:r>
        <w:rPr>
          <w:rFonts w:hint="eastAsia" w:ascii="仿宋_GB2312" w:eastAsia="仿宋_GB2312" w:cs="DengXian-Regular"/>
          <w:b/>
          <w:bCs/>
          <w:sz w:val="32"/>
          <w:szCs w:val="32"/>
        </w:rPr>
        <w:t>万元，增长（降低）</w:t>
      </w:r>
      <w:r>
        <w:rPr>
          <w:rFonts w:ascii="仿宋_GB2312" w:eastAsia="仿宋_GB2312" w:cs="DengXian-Regular"/>
          <w:b/>
          <w:bCs/>
          <w:sz w:val="32"/>
          <w:szCs w:val="32"/>
        </w:rPr>
        <w:t>0%</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主要是认真贯彻落实中央八项规定精神和厉行节约要求，从严控制“三公”经费开支。具体情况如下：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组合 82" o:spid="_x0000_s1052" o:spt="203" style="position:absolute;left:0pt;margin-left:-79.65pt;margin-top:29.35pt;height:43.95pt;width:301.85pt;mso-position-vertical-relative:page;z-index:251676672;mso-width-relative:page;mso-height-relative:page;" coordorigin="4551,52615" coordsize="8546,1398">
            <o:lock v:ext="edit"/>
            <v:rect id="矩形 13" o:spid="_x0000_s1053" o:spt="1" style="position:absolute;left:4551;top:52615;height:1175;width:8546;v-text-anchor:middle;" fillcolor="#96DA9D" filled="t" stroked="f" coordsize="21600,21600">
              <v:path/>
              <v:fill on="t" focussize="0,0"/>
              <v:stroke on="f" weight="2pt"/>
              <v:imagedata o:title=""/>
              <o:lock v:ext="edit"/>
            </v:rect>
            <v:rect id="矩形 14" o:spid="_x0000_s105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无本单位组织的出国（境）团组。因公出国（境）费支出较年初预算增加（减少）</w:t>
      </w:r>
      <w:r>
        <w:rPr>
          <w:rFonts w:ascii="仿宋_GB2312" w:eastAsia="仿宋_GB2312" w:cs="DengXian-Regular"/>
          <w:sz w:val="32"/>
          <w:szCs w:val="32"/>
        </w:rPr>
        <w:t>0</w:t>
      </w:r>
      <w:r>
        <w:rPr>
          <w:rFonts w:hint="eastAsia" w:ascii="仿宋_GB2312" w:eastAsia="仿宋_GB2312" w:cs="DengXian-Regular"/>
          <w:sz w:val="32"/>
          <w:szCs w:val="32"/>
        </w:rPr>
        <w:t>万元，增长（降低）</w:t>
      </w:r>
      <w:r>
        <w:rPr>
          <w:rFonts w:ascii="仿宋_GB2312" w:eastAsia="仿宋_GB2312" w:cs="DengXian-Regular"/>
          <w:sz w:val="32"/>
          <w:szCs w:val="32"/>
        </w:rPr>
        <w:t>%,</w:t>
      </w:r>
      <w:r>
        <w:rPr>
          <w:rFonts w:hint="eastAsia" w:ascii="仿宋_GB2312" w:eastAsia="仿宋_GB2312" w:cs="DengXian-Regular"/>
          <w:sz w:val="32"/>
          <w:szCs w:val="32"/>
        </w:rPr>
        <w:t>主要是遵循厉行节约要求，从严控制“三公”经费开支。</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ascii="楷体_GB2312" w:eastAsia="楷体_GB2312" w:cs="DengXian-Bold"/>
          <w:b/>
          <w:bCs/>
          <w:sz w:val="32"/>
          <w:szCs w:val="32"/>
        </w:rPr>
        <w:t>4</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ascii="仿宋_GB2312" w:eastAsia="仿宋_GB2312" w:cs="DengXian-Regular"/>
          <w:sz w:val="32"/>
          <w:szCs w:val="32"/>
        </w:rPr>
        <w:t>0</w:t>
      </w:r>
      <w:r>
        <w:rPr>
          <w:rFonts w:hint="eastAsia" w:ascii="仿宋_GB2312" w:eastAsia="仿宋_GB2312" w:cs="DengXian-Regular"/>
          <w:sz w:val="32"/>
          <w:szCs w:val="32"/>
        </w:rPr>
        <w:t>万元，降低</w:t>
      </w:r>
      <w:r>
        <w:rPr>
          <w:rFonts w:ascii="仿宋_GB2312" w:eastAsia="仿宋_GB2312" w:cs="DengXian-Regular"/>
          <w:sz w:val="32"/>
          <w:szCs w:val="32"/>
        </w:rPr>
        <w:t>0%,</w:t>
      </w:r>
      <w:r>
        <w:rPr>
          <w:rFonts w:hint="eastAsia" w:ascii="仿宋_GB2312" w:eastAsia="仿宋_GB2312" w:cs="DengXian-Regular"/>
          <w:sz w:val="32"/>
          <w:szCs w:val="32"/>
        </w:rPr>
        <w:t>与年初预算持平。主要是认真贯彻落实中央八项规定</w:t>
      </w:r>
      <w:bookmarkStart w:id="0" w:name="_GoBack"/>
      <w:bookmarkEnd w:id="0"/>
      <w:r>
        <w:rPr>
          <w:rFonts w:hint="eastAsia" w:ascii="仿宋_GB2312" w:eastAsia="仿宋_GB2312" w:cs="DengXian-Regular"/>
          <w:sz w:val="32"/>
          <w:szCs w:val="32"/>
        </w:rPr>
        <w:t>精神和厉行节约要求，从严控制“三公”经费开支。</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w:t>
      </w:r>
      <w:r>
        <w:rPr>
          <w:rFonts w:ascii="仿宋_GB2312" w:eastAsia="仿宋_GB2312" w:cs="DengXian-Regular"/>
          <w:sz w:val="32"/>
          <w:szCs w:val="32"/>
        </w:rPr>
        <w:t>0</w:t>
      </w:r>
      <w:r>
        <w:rPr>
          <w:rFonts w:hint="eastAsia" w:ascii="仿宋_GB2312" w:eastAsia="仿宋_GB2312" w:cs="DengXian-Regular"/>
          <w:sz w:val="32"/>
          <w:szCs w:val="32"/>
        </w:rPr>
        <w:t>辆，发生“公务用车购置”经费支出</w:t>
      </w:r>
      <w:r>
        <w:rPr>
          <w:rFonts w:ascii="仿宋_GB2312" w:eastAsia="仿宋_GB2312" w:cs="DengXian-Regular"/>
          <w:sz w:val="32"/>
          <w:szCs w:val="32"/>
        </w:rPr>
        <w:t>0</w:t>
      </w:r>
      <w:r>
        <w:rPr>
          <w:rFonts w:hint="eastAsia" w:ascii="仿宋_GB2312" w:eastAsia="仿宋_GB2312" w:cs="DengXian-Regular"/>
          <w:sz w:val="32"/>
          <w:szCs w:val="32"/>
        </w:rPr>
        <w:t>万元。公务用车购置费支出较年初预算增加（减少）</w:t>
      </w:r>
      <w:r>
        <w:rPr>
          <w:rFonts w:ascii="仿宋_GB2312" w:eastAsia="仿宋_GB2312" w:cs="DengXian-Regular"/>
          <w:sz w:val="32"/>
          <w:szCs w:val="32"/>
        </w:rPr>
        <w:t>0</w:t>
      </w:r>
      <w:r>
        <w:rPr>
          <w:rFonts w:hint="eastAsia" w:ascii="仿宋_GB2312" w:eastAsia="仿宋_GB2312" w:cs="DengXian-Regular"/>
          <w:sz w:val="32"/>
          <w:szCs w:val="32"/>
        </w:rPr>
        <w:t>万元，增长（降低）</w:t>
      </w:r>
      <w:r>
        <w:rPr>
          <w:rFonts w:ascii="仿宋_GB2312" w:eastAsia="仿宋_GB2312" w:cs="DengXian-Regular"/>
          <w:sz w:val="32"/>
          <w:szCs w:val="32"/>
        </w:rPr>
        <w:t>%,</w:t>
      </w:r>
      <w:r>
        <w:rPr>
          <w:rFonts w:hint="eastAsia" w:ascii="仿宋_GB2312" w:eastAsia="仿宋_GB2312" w:cs="DengXian-Regular"/>
          <w:sz w:val="32"/>
          <w:szCs w:val="32"/>
        </w:rPr>
        <w:t>主要是未发生公务用车购置经费支出。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ascii="仿宋_GB2312" w:eastAsia="仿宋_GB2312" w:cs="DengXian-Regular"/>
          <w:sz w:val="32"/>
          <w:szCs w:val="32"/>
        </w:rPr>
        <w:t>2</w:t>
      </w:r>
      <w:r>
        <w:rPr>
          <w:rFonts w:hint="eastAsia" w:ascii="仿宋_GB2312" w:eastAsia="仿宋_GB2312" w:cs="DengXian-Regular"/>
          <w:sz w:val="32"/>
          <w:szCs w:val="32"/>
        </w:rPr>
        <w:t>辆。公车运行维护费支出较年初预算增加（减少）</w:t>
      </w:r>
      <w:r>
        <w:rPr>
          <w:rFonts w:ascii="仿宋_GB2312" w:eastAsia="仿宋_GB2312" w:cs="DengXian-Regular"/>
          <w:sz w:val="32"/>
          <w:szCs w:val="32"/>
        </w:rPr>
        <w:t>0</w:t>
      </w:r>
      <w:r>
        <w:rPr>
          <w:rFonts w:hint="eastAsia" w:ascii="仿宋_GB2312" w:eastAsia="仿宋_GB2312" w:cs="DengXian-Regular"/>
          <w:sz w:val="32"/>
          <w:szCs w:val="32"/>
        </w:rPr>
        <w:t>万元，增长（降低）</w:t>
      </w:r>
      <w:r>
        <w:rPr>
          <w:rFonts w:ascii="仿宋_GB2312" w:eastAsia="仿宋_GB2312" w:cs="DengXian-Regular"/>
          <w:sz w:val="32"/>
          <w:szCs w:val="32"/>
        </w:rPr>
        <w:t>0%,</w:t>
      </w:r>
      <w:r>
        <w:rPr>
          <w:rFonts w:hint="eastAsia" w:ascii="仿宋_GB2312" w:eastAsia="仿宋_GB2312" w:cs="DengXian-Regular"/>
          <w:sz w:val="32"/>
          <w:szCs w:val="32"/>
        </w:rPr>
        <w:t>与年初预算持平。主要是严格控制公务用车运行维护相关支出。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ascii="楷体_GB2312" w:eastAsia="楷体_GB2312" w:cs="DengXian-Bold"/>
          <w:b/>
          <w:bCs/>
          <w:sz w:val="32"/>
          <w:szCs w:val="32"/>
        </w:rPr>
        <w:t>6.5</w:t>
      </w:r>
      <w:r>
        <w:rPr>
          <w:rFonts w:hint="eastAsia" w:ascii="楷体_GB2312" w:eastAsia="楷体_GB2312" w:cs="DengXian-Bold"/>
          <w:b/>
          <w:bCs/>
          <w:sz w:val="32"/>
          <w:szCs w:val="32"/>
        </w:rPr>
        <w:t>万元。</w:t>
      </w:r>
      <w:r>
        <w:pict>
          <v:group id="组合 85" o:spid="_x0000_s1055" o:spt="203" style="position:absolute;left:0pt;margin-left:-79.65pt;margin-top:29.35pt;height:43.95pt;width:301.85pt;mso-position-vertical-relative:page;z-index:251677696;mso-width-relative:page;mso-height-relative:page;" coordorigin="4551,52615" coordsize="8546,1398">
            <o:lock v:ext="edit"/>
            <v:rect id="矩形 13" o:spid="_x0000_s1056" o:spt="1" style="position:absolute;left:4551;top:52615;height:1175;width:8546;v-text-anchor:middle;" fillcolor="#96DA9D" filled="t" stroked="f" coordsize="21600,21600">
              <v:path/>
              <v:fill on="t" focussize="0,0"/>
              <v:stroke on="f" weight="2pt"/>
              <v:imagedata o:title=""/>
              <o:lock v:ext="edit"/>
            </v:rect>
            <v:rect id="矩形 14" o:spid="_x0000_s105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ascii="仿宋_GB2312" w:eastAsia="仿宋_GB2312" w:cs="DengXian-Regular"/>
          <w:sz w:val="32"/>
          <w:szCs w:val="32"/>
        </w:rPr>
        <w:t>359</w:t>
      </w:r>
      <w:r>
        <w:rPr>
          <w:rFonts w:hint="eastAsia" w:ascii="仿宋_GB2312" w:eastAsia="仿宋_GB2312" w:cs="DengXian-Regular"/>
          <w:sz w:val="32"/>
          <w:szCs w:val="32"/>
        </w:rPr>
        <w:t>批次、</w:t>
      </w:r>
      <w:r>
        <w:rPr>
          <w:rFonts w:ascii="仿宋_GB2312" w:eastAsia="仿宋_GB2312" w:cs="DengXian-Regular"/>
          <w:sz w:val="32"/>
          <w:szCs w:val="32"/>
        </w:rPr>
        <w:t>1892</w:t>
      </w:r>
      <w:r>
        <w:rPr>
          <w:rFonts w:hint="eastAsia" w:ascii="仿宋_GB2312" w:eastAsia="仿宋_GB2312" w:cs="DengXian-Regular"/>
          <w:sz w:val="32"/>
          <w:szCs w:val="32"/>
        </w:rPr>
        <w:t>人次。公务接待费支出较年初预算增加（减少）</w:t>
      </w:r>
      <w:r>
        <w:rPr>
          <w:rFonts w:ascii="仿宋_GB2312" w:eastAsia="仿宋_GB2312" w:cs="DengXian-Regular"/>
          <w:sz w:val="32"/>
          <w:szCs w:val="32"/>
        </w:rPr>
        <w:t>0</w:t>
      </w:r>
      <w:r>
        <w:rPr>
          <w:rFonts w:hint="eastAsia" w:ascii="仿宋_GB2312" w:eastAsia="仿宋_GB2312" w:cs="DengXian-Regular"/>
          <w:sz w:val="32"/>
          <w:szCs w:val="32"/>
        </w:rPr>
        <w:t>万元，增长（降低）</w:t>
      </w:r>
      <w:r>
        <w:rPr>
          <w:rFonts w:ascii="仿宋_GB2312" w:eastAsia="仿宋_GB2312" w:cs="DengXian-Regular"/>
          <w:sz w:val="32"/>
          <w:szCs w:val="32"/>
        </w:rPr>
        <w:t>0%,</w:t>
      </w:r>
      <w:r>
        <w:rPr>
          <w:rFonts w:hint="eastAsia" w:ascii="仿宋_GB2312" w:eastAsia="仿宋_GB2312" w:cs="DengXian-Regular"/>
          <w:sz w:val="32"/>
          <w:szCs w:val="32"/>
        </w:rPr>
        <w:t>主要是严格执行公务接待标准，缩减公务接待支出。</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p>
    <w:tbl>
      <w:tblPr>
        <w:tblStyle w:val="12"/>
        <w:tblW w:w="5000" w:type="pct"/>
        <w:tblInd w:w="0" w:type="dxa"/>
        <w:tblLayout w:type="autofit"/>
        <w:tblCellMar>
          <w:top w:w="0" w:type="dxa"/>
          <w:left w:w="108" w:type="dxa"/>
          <w:bottom w:w="0" w:type="dxa"/>
          <w:right w:w="108" w:type="dxa"/>
        </w:tblCellMar>
      </w:tblPr>
      <w:tblGrid>
        <w:gridCol w:w="551"/>
        <w:gridCol w:w="504"/>
        <w:gridCol w:w="728"/>
        <w:gridCol w:w="600"/>
        <w:gridCol w:w="1384"/>
        <w:gridCol w:w="600"/>
        <w:gridCol w:w="792"/>
        <w:gridCol w:w="1941"/>
        <w:gridCol w:w="982"/>
        <w:gridCol w:w="978"/>
      </w:tblGrid>
      <w:tr>
        <w:tblPrEx>
          <w:tblCellMar>
            <w:top w:w="0" w:type="dxa"/>
            <w:left w:w="108" w:type="dxa"/>
            <w:bottom w:w="0" w:type="dxa"/>
            <w:right w:w="108" w:type="dxa"/>
          </w:tblCellMar>
        </w:tblPrEx>
        <w:trPr>
          <w:trHeight w:val="540" w:hRule="atLeast"/>
        </w:trPr>
        <w:tc>
          <w:tcPr>
            <w:tcW w:w="304"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1507" w:type="pct"/>
            <w:gridSpan w:val="2"/>
            <w:tcBorders>
              <w:top w:val="nil"/>
              <w:left w:val="nil"/>
              <w:bottom w:val="nil"/>
              <w:right w:val="nil"/>
            </w:tcBorders>
            <w:shd w:val="clear" w:color="auto" w:fill="auto"/>
            <w:noWrap/>
            <w:vAlign w:val="bottom"/>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部门决算量化评价表</w:t>
            </w:r>
          </w:p>
        </w:tc>
        <w:tc>
          <w:tcPr>
            <w:tcW w:w="542"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542"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r>
      <w:tr>
        <w:tblPrEx>
          <w:tblCellMar>
            <w:top w:w="0" w:type="dxa"/>
            <w:left w:w="108" w:type="dxa"/>
            <w:bottom w:w="0" w:type="dxa"/>
            <w:right w:w="108" w:type="dxa"/>
          </w:tblCellMar>
        </w:tblPrEx>
        <w:trPr>
          <w:trHeight w:val="255" w:hRule="atLeast"/>
        </w:trPr>
        <w:tc>
          <w:tcPr>
            <w:tcW w:w="2409" w:type="pct"/>
            <w:gridSpan w:val="6"/>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单位名称：青龙满族自治县马圈子镇人民政府</w:t>
            </w:r>
          </w:p>
        </w:tc>
        <w:tc>
          <w:tcPr>
            <w:tcW w:w="437"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1071"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542"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542" w:type="pct"/>
            <w:tcBorders>
              <w:top w:val="nil"/>
              <w:left w:val="nil"/>
              <w:bottom w:val="nil"/>
              <w:right w:val="nil"/>
            </w:tcBorders>
            <w:shd w:val="clear" w:color="auto" w:fill="auto"/>
            <w:noWrap/>
            <w:vAlign w:val="bottom"/>
          </w:tcPr>
          <w:p>
            <w:pPr>
              <w:widowControl/>
              <w:spacing w:after="0" w:line="240" w:lineRule="auto"/>
              <w:jc w:val="left"/>
              <w:rPr>
                <w:rFonts w:hint="eastAsia" w:cs="Arial" w:asciiTheme="majorEastAsia" w:hAnsiTheme="majorEastAsia" w:eastAsiaTheme="majorEastAsia"/>
                <w:color w:val="000000"/>
                <w:kern w:val="0"/>
                <w:sz w:val="15"/>
                <w:szCs w:val="15"/>
              </w:rPr>
            </w:pPr>
          </w:p>
        </w:tc>
      </w:tr>
      <w:tr>
        <w:tblPrEx>
          <w:tblCellMar>
            <w:top w:w="0" w:type="dxa"/>
            <w:left w:w="108" w:type="dxa"/>
            <w:bottom w:w="0" w:type="dxa"/>
            <w:right w:w="108" w:type="dxa"/>
          </w:tblCellMar>
        </w:tblPrEx>
        <w:trPr>
          <w:trHeight w:val="447" w:hRule="atLeast"/>
        </w:trPr>
        <w:tc>
          <w:tcPr>
            <w:tcW w:w="2409" w:type="pct"/>
            <w:gridSpan w:val="6"/>
            <w:tcBorders>
              <w:top w:val="single" w:color="000000" w:sz="4" w:space="0"/>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评价指标</w:t>
            </w:r>
          </w:p>
        </w:tc>
        <w:tc>
          <w:tcPr>
            <w:tcW w:w="437" w:type="pct"/>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计算值</w:t>
            </w:r>
          </w:p>
        </w:tc>
        <w:tc>
          <w:tcPr>
            <w:tcW w:w="1071" w:type="pct"/>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得分</w:t>
            </w:r>
          </w:p>
        </w:tc>
        <w:tc>
          <w:tcPr>
            <w:tcW w:w="542" w:type="pct"/>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指标说明</w:t>
            </w:r>
          </w:p>
        </w:tc>
        <w:tc>
          <w:tcPr>
            <w:tcW w:w="542" w:type="pct"/>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评分标准</w:t>
            </w:r>
          </w:p>
        </w:tc>
      </w:tr>
      <w:tr>
        <w:tblPrEx>
          <w:tblCellMar>
            <w:top w:w="0" w:type="dxa"/>
            <w:left w:w="108" w:type="dxa"/>
            <w:bottom w:w="0" w:type="dxa"/>
            <w:right w:w="108" w:type="dxa"/>
          </w:tblCellMar>
        </w:tblPrEx>
        <w:trPr>
          <w:trHeight w:val="447" w:hRule="atLeast"/>
        </w:trPr>
        <w:tc>
          <w:tcPr>
            <w:tcW w:w="581" w:type="pct"/>
            <w:gridSpan w:val="2"/>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一级指标</w:t>
            </w:r>
          </w:p>
        </w:tc>
        <w:tc>
          <w:tcPr>
            <w:tcW w:w="733" w:type="pct"/>
            <w:gridSpan w:val="2"/>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二级指标</w:t>
            </w:r>
          </w:p>
        </w:tc>
        <w:tc>
          <w:tcPr>
            <w:tcW w:w="1095" w:type="pct"/>
            <w:gridSpan w:val="2"/>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三级指标</w:t>
            </w:r>
          </w:p>
        </w:tc>
        <w:tc>
          <w:tcPr>
            <w:tcW w:w="437" w:type="pct"/>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1071" w:type="pct"/>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542" w:type="pct"/>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542" w:type="pct"/>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r>
      <w:tr>
        <w:tblPrEx>
          <w:tblCellMar>
            <w:top w:w="0" w:type="dxa"/>
            <w:left w:w="108" w:type="dxa"/>
            <w:bottom w:w="0" w:type="dxa"/>
            <w:right w:w="108" w:type="dxa"/>
          </w:tblCellMar>
        </w:tblPrEx>
        <w:trPr>
          <w:trHeight w:val="447" w:hRule="atLeast"/>
        </w:trPr>
        <w:tc>
          <w:tcPr>
            <w:tcW w:w="304" w:type="pc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名称</w:t>
            </w:r>
          </w:p>
        </w:tc>
        <w:tc>
          <w:tcPr>
            <w:tcW w:w="278"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权重</w:t>
            </w:r>
          </w:p>
        </w:tc>
        <w:tc>
          <w:tcPr>
            <w:tcW w:w="402"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名称</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权重</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名称</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权重</w:t>
            </w:r>
          </w:p>
        </w:tc>
        <w:tc>
          <w:tcPr>
            <w:tcW w:w="437" w:type="pct"/>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1071" w:type="pct"/>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542" w:type="pct"/>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542" w:type="pct"/>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r>
      <w:tr>
        <w:tblPrEx>
          <w:tblCellMar>
            <w:top w:w="0" w:type="dxa"/>
            <w:left w:w="108" w:type="dxa"/>
            <w:bottom w:w="0" w:type="dxa"/>
            <w:right w:w="108" w:type="dxa"/>
          </w:tblCellMar>
        </w:tblPrEx>
        <w:trPr>
          <w:trHeight w:val="2668" w:hRule="atLeast"/>
        </w:trPr>
        <w:tc>
          <w:tcPr>
            <w:tcW w:w="304" w:type="pct"/>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预算编制及执行情况</w:t>
            </w:r>
          </w:p>
        </w:tc>
        <w:tc>
          <w:tcPr>
            <w:tcW w:w="278" w:type="pct"/>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80</w:t>
            </w:r>
          </w:p>
        </w:tc>
        <w:tc>
          <w:tcPr>
            <w:tcW w:w="402" w:type="pct"/>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预算编制的准确完整性</w:t>
            </w:r>
          </w:p>
        </w:tc>
        <w:tc>
          <w:tcPr>
            <w:tcW w:w="331" w:type="pct"/>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25</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财政拨款收入预决算差异率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5</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114.54</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财政拨款收入：（决算数－年初预算数）/年初预算数*100%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非财政拨款收入预决算差异率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非财政拨款收入：（决算数－年初预算数）/年初预算数*100%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年初结转和结余预决算差异率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5</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年初结转和结余：（决算数－年初预算数）/年初预算数*100%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差异率＝0，得满分；差异率（绝对值）≤100时，扣1分，差异率（绝对值）﹥100时，每增加10%（含）扣减0.5分，减至0分为止。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人员经费预决算差异率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3</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38.97</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人员经费：（决算数－年初预算数）/年初预算数*100%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公用经费预决算差异率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2</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13.78</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0.5</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公用经费：（决算数－年初预算数）/年初预算数*100%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预算执行的有效性</w:t>
            </w:r>
          </w:p>
        </w:tc>
        <w:tc>
          <w:tcPr>
            <w:tcW w:w="331" w:type="pct"/>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45</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人员经费预算执行差异率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人员经费：（决算数－调整预算数）/调整预算数*100%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公用经费预算执行差异率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公用经费：（决算数－调整预算数）/调整预算数*100%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财政拨款结转和结余率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6.04</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9.0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财政拨款结转和结余：（本年年末数/支出调整预算数总计）*100%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结转和结余率=0，得满分；结转和结余率（绝对值）﹥0时，每增加5%（含）扣减0.5分，减至0分为止。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财政拨款结转和结余上下年变动率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5</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4.5</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财政拨款结转和结余：（本年年末数－上年年末数）/上年年末数*100%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变动率&lt;0，得满分；变动率≥0时，每增加5%（含）扣减0.5分，减至0分为止。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财政收回存量资金占上年财政拨款结转和结余比重</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5</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5.0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财政收回存量资金：（财政收回存量资金数/上年财政拨款结转和结余数）*100%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比重＝0，得满分；比重（绝对值）﹥0时，每增加5%（含）扣减0.5分，减至0分为止。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“三公”经费支出预决算差异率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5</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5.0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“三公”经费：（决算数－年初预算数/年初预算数）*100%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差异率≤0，得满分；差异率﹥0时，每增加5%（含）扣减1分，减至0分为止。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预算编制及执行的规范性</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项目支出中开支在职人员及离退休经费比重</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财政拨款项目支出：（工资福利支出+离休费+退休费）/项目支出合计*100%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比重＝0，得满分；比重﹥0时，每增加1%（含）扣减0.5分，减至0分为止。</w:t>
            </w:r>
          </w:p>
        </w:tc>
      </w:tr>
      <w:tr>
        <w:tblPrEx>
          <w:tblCellMar>
            <w:top w:w="0" w:type="dxa"/>
            <w:left w:w="108" w:type="dxa"/>
            <w:bottom w:w="0" w:type="dxa"/>
            <w:right w:w="108" w:type="dxa"/>
          </w:tblCellMar>
        </w:tblPrEx>
        <w:trPr>
          <w:trHeight w:val="923" w:hRule="atLeast"/>
        </w:trPr>
        <w:tc>
          <w:tcPr>
            <w:tcW w:w="304" w:type="pct"/>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财务状况</w:t>
            </w:r>
          </w:p>
        </w:tc>
        <w:tc>
          <w:tcPr>
            <w:tcW w:w="278" w:type="pct"/>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15</w:t>
            </w:r>
          </w:p>
        </w:tc>
        <w:tc>
          <w:tcPr>
            <w:tcW w:w="40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资产状况</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7</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资产类往来款变动率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7</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7.0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应收账款+预付账款+其他应收款：（本年年末数－上年年末数）/上年年末数*100%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变动率≤0，得满分；变动率﹥0时，每增加5%（含）扣减0.5分，减至0分为止。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负债状况</w:t>
            </w:r>
          </w:p>
        </w:tc>
        <w:tc>
          <w:tcPr>
            <w:tcW w:w="331" w:type="pct"/>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8</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负债类往来款变动率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6</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6.0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应付账款+预收账款+其他应付款+长期应付款：（本年年末数－上年年末数）/上年年末数*100%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变动率≤0，得满分；变动率﹥0时，每增加5%（含）扣减0.5分，减至0分为止。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331"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事业单位借款变动率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2</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2.0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短期借款+长期借款：（本年年末数－上年年末数）/上年年末数*100%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变动率≤0，得满分；变动率﹥0时，每增加5%（含）扣减0.5分，减至0分为止。</w:t>
            </w:r>
          </w:p>
        </w:tc>
      </w:tr>
      <w:tr>
        <w:tblPrEx>
          <w:tblCellMar>
            <w:top w:w="0" w:type="dxa"/>
            <w:left w:w="108" w:type="dxa"/>
            <w:bottom w:w="0" w:type="dxa"/>
            <w:right w:w="108" w:type="dxa"/>
          </w:tblCellMar>
        </w:tblPrEx>
        <w:trPr>
          <w:trHeight w:val="923" w:hRule="atLeast"/>
        </w:trPr>
        <w:tc>
          <w:tcPr>
            <w:tcW w:w="304" w:type="pct"/>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人员情况</w:t>
            </w:r>
          </w:p>
        </w:tc>
        <w:tc>
          <w:tcPr>
            <w:tcW w:w="278" w:type="pct"/>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5</w:t>
            </w:r>
          </w:p>
        </w:tc>
        <w:tc>
          <w:tcPr>
            <w:tcW w:w="40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在职人员控制</w:t>
            </w:r>
          </w:p>
        </w:tc>
        <w:tc>
          <w:tcPr>
            <w:tcW w:w="331"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3</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在职人员控制率</w:t>
            </w:r>
          </w:p>
        </w:tc>
        <w:tc>
          <w:tcPr>
            <w:tcW w:w="331"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3</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144.29</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在职人员数：（在职人员数/编制数）*100%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控制率≤100，得满分；控制率每超1%扣减0.5分，减至0分为止。</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财政拨款（补助）人员控制</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一般公共预算财政拨款（补助）人员增减率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一般公共预算拨款（补助）开支在职人员数：（本年数－上年数）/上年数*100%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增减率≤0，得满分；在职人员控制率﹥100%时，增减率﹥0,扣减1分。</w:t>
            </w:r>
          </w:p>
        </w:tc>
      </w:tr>
      <w:tr>
        <w:tblPrEx>
          <w:tblCellMar>
            <w:top w:w="0" w:type="dxa"/>
            <w:left w:w="108" w:type="dxa"/>
            <w:bottom w:w="0" w:type="dxa"/>
            <w:right w:w="108" w:type="dxa"/>
          </w:tblCellMar>
        </w:tblPrEx>
        <w:trPr>
          <w:trHeight w:val="923" w:hRule="atLeast"/>
        </w:trPr>
        <w:tc>
          <w:tcPr>
            <w:tcW w:w="304" w:type="pct"/>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278" w:type="pct"/>
            <w:vMerge w:val="continue"/>
            <w:tcBorders>
              <w:top w:val="nil"/>
              <w:left w:val="nil"/>
              <w:bottom w:val="single" w:color="000000" w:sz="4" w:space="0"/>
              <w:right w:val="single" w:color="000000" w:sz="4" w:space="0"/>
            </w:tcBorders>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p>
        </w:tc>
        <w:tc>
          <w:tcPr>
            <w:tcW w:w="40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其他人员控制</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其他人员增减率</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0.00</w:t>
            </w:r>
          </w:p>
        </w:tc>
        <w:tc>
          <w:tcPr>
            <w:tcW w:w="1071" w:type="pct"/>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其他人员数：（本年数－上年数）/上年数*100%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增减率≤0，得满分；增减率﹥0,扣减1分。</w:t>
            </w:r>
          </w:p>
        </w:tc>
      </w:tr>
      <w:tr>
        <w:tblPrEx>
          <w:tblCellMar>
            <w:top w:w="0" w:type="dxa"/>
            <w:left w:w="108" w:type="dxa"/>
            <w:bottom w:w="0" w:type="dxa"/>
            <w:right w:w="108" w:type="dxa"/>
          </w:tblCellMar>
        </w:tblPrEx>
        <w:trPr>
          <w:trHeight w:val="447" w:hRule="atLeast"/>
        </w:trPr>
        <w:tc>
          <w:tcPr>
            <w:tcW w:w="304" w:type="pc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合计</w:t>
            </w:r>
          </w:p>
        </w:tc>
        <w:tc>
          <w:tcPr>
            <w:tcW w:w="278"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100</w:t>
            </w:r>
          </w:p>
        </w:tc>
        <w:tc>
          <w:tcPr>
            <w:tcW w:w="402"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100</w:t>
            </w:r>
          </w:p>
        </w:tc>
        <w:tc>
          <w:tcPr>
            <w:tcW w:w="764"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w:t>
            </w:r>
          </w:p>
        </w:tc>
        <w:tc>
          <w:tcPr>
            <w:tcW w:w="331" w:type="pc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100</w:t>
            </w:r>
          </w:p>
        </w:tc>
        <w:tc>
          <w:tcPr>
            <w:tcW w:w="437"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w:t>
            </w:r>
          </w:p>
        </w:tc>
        <w:tc>
          <w:tcPr>
            <w:tcW w:w="1071"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righ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81.0</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w:t>
            </w:r>
          </w:p>
        </w:tc>
        <w:tc>
          <w:tcPr>
            <w:tcW w:w="542" w:type="pc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w:t>
            </w:r>
          </w:p>
        </w:tc>
      </w:tr>
      <w:tr>
        <w:tblPrEx>
          <w:tblCellMar>
            <w:top w:w="0" w:type="dxa"/>
            <w:left w:w="108" w:type="dxa"/>
            <w:bottom w:w="0" w:type="dxa"/>
            <w:right w:w="108" w:type="dxa"/>
          </w:tblCellMar>
        </w:tblPrEx>
        <w:trPr>
          <w:trHeight w:val="447" w:hRule="atLeast"/>
        </w:trPr>
        <w:tc>
          <w:tcPr>
            <w:tcW w:w="5000" w:type="pct"/>
            <w:gridSpan w:val="10"/>
            <w:tcBorders>
              <w:top w:val="nil"/>
              <w:left w:val="nil"/>
              <w:bottom w:val="nil"/>
              <w:right w:val="nil"/>
            </w:tcBorders>
            <w:shd w:val="clear" w:color="auto" w:fill="auto"/>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注：1.财务状况不含企业化管理事业单位和民间非营利组织。</w:t>
            </w:r>
          </w:p>
        </w:tc>
      </w:tr>
      <w:tr>
        <w:tblPrEx>
          <w:tblCellMar>
            <w:top w:w="0" w:type="dxa"/>
            <w:left w:w="108" w:type="dxa"/>
            <w:bottom w:w="0" w:type="dxa"/>
            <w:right w:w="108" w:type="dxa"/>
          </w:tblCellMar>
        </w:tblPrEx>
        <w:trPr>
          <w:trHeight w:val="447" w:hRule="atLeast"/>
        </w:trPr>
        <w:tc>
          <w:tcPr>
            <w:tcW w:w="5000" w:type="pct"/>
            <w:gridSpan w:val="10"/>
            <w:tcBorders>
              <w:top w:val="nil"/>
              <w:left w:val="nil"/>
              <w:bottom w:val="nil"/>
              <w:right w:val="nil"/>
            </w:tcBorders>
            <w:shd w:val="clear" w:color="auto" w:fill="auto"/>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 xml:space="preserve">    2.财政拨款结转和结余率、财政拨款结转和结余上下年变动率评价指标中，中央部门上年、本年年末结转和结余数均不含暂付款。</w:t>
            </w:r>
          </w:p>
        </w:tc>
      </w:tr>
      <w:tr>
        <w:tblPrEx>
          <w:tblCellMar>
            <w:top w:w="0" w:type="dxa"/>
            <w:left w:w="108" w:type="dxa"/>
            <w:bottom w:w="0" w:type="dxa"/>
            <w:right w:w="108" w:type="dxa"/>
          </w:tblCellMar>
        </w:tblPrEx>
        <w:trPr>
          <w:trHeight w:val="447" w:hRule="atLeast"/>
        </w:trPr>
        <w:tc>
          <w:tcPr>
            <w:tcW w:w="5000" w:type="pct"/>
            <w:gridSpan w:val="10"/>
            <w:tcBorders>
              <w:top w:val="nil"/>
              <w:left w:val="nil"/>
              <w:bottom w:val="nil"/>
              <w:right w:val="nil"/>
            </w:tcBorders>
            <w:shd w:val="clear" w:color="auto" w:fill="auto"/>
            <w:vAlign w:val="center"/>
          </w:tcPr>
          <w:p>
            <w:pPr>
              <w:widowControl/>
              <w:spacing w:after="0" w:line="240" w:lineRule="auto"/>
              <w:jc w:val="left"/>
              <w:rPr>
                <w:rFonts w:hint="eastAsia" w:cs="Arial" w:asciiTheme="majorEastAsia" w:hAnsiTheme="majorEastAsia" w:eastAsiaTheme="majorEastAsia"/>
                <w:color w:val="000000"/>
                <w:kern w:val="0"/>
                <w:sz w:val="15"/>
                <w:szCs w:val="15"/>
              </w:rPr>
            </w:pPr>
            <w:r>
              <w:rPr>
                <w:rFonts w:hint="eastAsia" w:cs="Arial" w:asciiTheme="majorEastAsia" w:hAnsiTheme="majorEastAsia" w:eastAsiaTheme="majorEastAsia"/>
                <w:color w:val="000000"/>
                <w:kern w:val="0"/>
                <w:sz w:val="15"/>
                <w:szCs w:val="15"/>
              </w:rPr>
              <w:t xml:space="preserve">    3.各项评分标准中，对于分子不为0且分母为0的情况，按0分计算；分子、分母同为0的情况，按满分计算。</w:t>
            </w:r>
          </w:p>
        </w:tc>
      </w:tr>
    </w:tbl>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ascii="仿宋_GB2312" w:eastAsia="仿宋_GB2312" w:cs="DengXian-Regular"/>
          <w:sz w:val="32"/>
          <w:szCs w:val="32"/>
        </w:rPr>
        <w:t>54.50</w:t>
      </w:r>
      <w:r>
        <w:rPr>
          <w:rFonts w:hint="eastAsia" w:ascii="仿宋_GB2312" w:eastAsia="仿宋_GB2312" w:cs="DengXian-Regular"/>
          <w:sz w:val="32"/>
          <w:szCs w:val="32"/>
        </w:rPr>
        <w:t>万元，比年初预算数增加6.6万元，增长13.78</w:t>
      </w:r>
      <w:r>
        <w:rPr>
          <w:rFonts w:ascii="仿宋_GB2312" w:eastAsia="仿宋_GB2312" w:cs="DengXian-Regular"/>
          <w:sz w:val="32"/>
          <w:szCs w:val="32"/>
        </w:rPr>
        <w:t>%</w:t>
      </w:r>
      <w:r>
        <w:rPr>
          <w:rFonts w:hint="eastAsia" w:ascii="仿宋_GB2312" w:eastAsia="仿宋_GB2312" w:cs="DengXian-Regular"/>
          <w:sz w:val="32"/>
          <w:szCs w:val="32"/>
        </w:rPr>
        <w:t>。主要原因是2018年预算中团委经费、人大工作经费、党建工作经费列在项目中，2018年决算中此三类项目列在了日常公用经费中。</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ascii="仿宋_GB2312" w:eastAsia="仿宋_GB2312" w:cs="DengXian-Regular"/>
          <w:sz w:val="32"/>
          <w:szCs w:val="32"/>
        </w:rPr>
        <w:t>0</w:t>
      </w:r>
      <w:r>
        <w:rPr>
          <w:rFonts w:hint="eastAsia" w:ascii="仿宋_GB2312"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ascii="仿宋_GB2312" w:hAnsi="仿宋_GB2312" w:eastAsia="仿宋_GB2312" w:cs="仿宋_GB2312"/>
          <w:color w:val="000000"/>
          <w:kern w:val="0"/>
          <w:sz w:val="32"/>
          <w:szCs w:val="32"/>
        </w:rPr>
        <w:t xml:space="preserve">0 </w:t>
      </w:r>
      <w:r>
        <w:rPr>
          <w:rFonts w:hint="eastAsia" w:ascii="仿宋_GB2312" w:hAnsi="仿宋_GB2312" w:eastAsia="仿宋_GB2312" w:cs="仿宋_GB2312"/>
          <w:color w:val="000000"/>
          <w:kern w:val="0"/>
          <w:sz w:val="32"/>
          <w:szCs w:val="32"/>
        </w:rPr>
        <w:t>万元、政府采购工程支出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万元。授予中小企业合同金</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，其中授予小微企业合同金额</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0%</w:t>
      </w:r>
    </w:p>
    <w:p>
      <w:pPr>
        <w:pStyle w:val="4"/>
        <w:tabs>
          <w:tab w:val="left" w:pos="6611"/>
        </w:tabs>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r>
        <w:rPr>
          <w:rFonts w:ascii="楷体_GB2312" w:eastAsia="楷体_GB2312" w:cs="DengXian-Bold"/>
        </w:rPr>
        <w:tab/>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ascii="仿宋_GB2312" w:eastAsia="仿宋_GB2312" w:cs="DengXian-Regular"/>
          <w:sz w:val="32"/>
          <w:szCs w:val="32"/>
        </w:rPr>
        <w:t>2</w:t>
      </w:r>
      <w:r>
        <w:rPr>
          <w:rFonts w:hint="eastAsia" w:ascii="仿宋_GB2312" w:eastAsia="仿宋_GB2312" w:cs="DengXian-Regular"/>
          <w:sz w:val="32"/>
          <w:szCs w:val="32"/>
        </w:rPr>
        <w:t>辆，比上年增加（减少）</w:t>
      </w:r>
      <w:r>
        <w:rPr>
          <w:rFonts w:ascii="仿宋_GB2312" w:eastAsia="仿宋_GB2312" w:cs="DengXian-Regular"/>
          <w:sz w:val="32"/>
          <w:szCs w:val="32"/>
        </w:rPr>
        <w:t>0</w:t>
      </w:r>
      <w:r>
        <w:rPr>
          <w:rFonts w:hint="eastAsia" w:ascii="仿宋_GB2312" w:eastAsia="仿宋_GB2312" w:cs="DengXian-Regular"/>
          <w:sz w:val="32"/>
          <w:szCs w:val="32"/>
        </w:rPr>
        <w:t>辆，主要是本年度未发生车辆购置费用。其中，副部（省）级及以上领导用车</w:t>
      </w:r>
      <w:r>
        <w:rPr>
          <w:rFonts w:ascii="仿宋_GB2312" w:eastAsia="仿宋_GB2312" w:cs="DengXian-Regular"/>
          <w:sz w:val="32"/>
          <w:szCs w:val="32"/>
        </w:rPr>
        <w:t>0</w:t>
      </w:r>
      <w:r>
        <w:rPr>
          <w:rFonts w:hint="eastAsia" w:ascii="仿宋_GB2312" w:eastAsia="仿宋_GB2312" w:cs="DengXian-Regular"/>
          <w:sz w:val="32"/>
          <w:szCs w:val="32"/>
        </w:rPr>
        <w:t>辆，主要领导干部用车</w:t>
      </w:r>
      <w:r>
        <w:rPr>
          <w:rFonts w:ascii="仿宋_GB2312" w:eastAsia="仿宋_GB2312" w:cs="DengXian-Regular"/>
          <w:sz w:val="32"/>
          <w:szCs w:val="32"/>
        </w:rPr>
        <w:t>0</w:t>
      </w:r>
      <w:r>
        <w:rPr>
          <w:rFonts w:hint="eastAsia" w:ascii="仿宋_GB2312" w:eastAsia="仿宋_GB2312" w:cs="DengXian-Regular"/>
          <w:sz w:val="32"/>
          <w:szCs w:val="32"/>
        </w:rPr>
        <w:t>辆，机要通信用车</w:t>
      </w:r>
      <w:r>
        <w:rPr>
          <w:rFonts w:ascii="仿宋_GB2312" w:eastAsia="仿宋_GB2312" w:cs="DengXian-Regular"/>
          <w:sz w:val="32"/>
          <w:szCs w:val="32"/>
        </w:rPr>
        <w:t>0</w:t>
      </w:r>
      <w:r>
        <w:rPr>
          <w:rFonts w:hint="eastAsia" w:ascii="仿宋_GB2312" w:eastAsia="仿宋_GB2312" w:cs="DengXian-Regular"/>
          <w:sz w:val="32"/>
          <w:szCs w:val="32"/>
        </w:rPr>
        <w:t>辆，应急保障用车</w:t>
      </w:r>
      <w:r>
        <w:rPr>
          <w:rFonts w:ascii="仿宋_GB2312" w:eastAsia="仿宋_GB2312" w:cs="DengXian-Regular"/>
          <w:sz w:val="32"/>
          <w:szCs w:val="32"/>
        </w:rPr>
        <w:t>2</w:t>
      </w:r>
      <w:r>
        <w:rPr>
          <w:rFonts w:hint="eastAsia" w:ascii="仿宋_GB2312" w:eastAsia="仿宋_GB2312" w:cs="DengXian-Regular"/>
          <w:sz w:val="32"/>
          <w:szCs w:val="32"/>
        </w:rPr>
        <w:t>辆，执法执勤用车</w:t>
      </w:r>
      <w:r>
        <w:rPr>
          <w:rFonts w:ascii="仿宋_GB2312" w:eastAsia="仿宋_GB2312" w:cs="DengXian-Regular"/>
          <w:sz w:val="32"/>
          <w:szCs w:val="32"/>
        </w:rPr>
        <w:t>0</w:t>
      </w:r>
      <w:r>
        <w:rPr>
          <w:rFonts w:hint="eastAsia" w:ascii="仿宋_GB2312" w:eastAsia="仿宋_GB2312" w:cs="DengXian-Regular"/>
          <w:sz w:val="32"/>
          <w:szCs w:val="32"/>
        </w:rPr>
        <w:t>辆，特种专业技术用车</w:t>
      </w:r>
      <w:r>
        <w:rPr>
          <w:rFonts w:ascii="仿宋_GB2312" w:eastAsia="仿宋_GB2312" w:cs="DengXian-Regular"/>
          <w:sz w:val="32"/>
          <w:szCs w:val="32"/>
        </w:rPr>
        <w:t>0</w:t>
      </w:r>
      <w:r>
        <w:rPr>
          <w:rFonts w:hint="eastAsia" w:ascii="仿宋_GB2312" w:eastAsia="仿宋_GB2312" w:cs="DengXian-Regular"/>
          <w:sz w:val="32"/>
          <w:szCs w:val="32"/>
        </w:rPr>
        <w:t>辆，离退休干部用车</w:t>
      </w:r>
      <w:r>
        <w:rPr>
          <w:rFonts w:ascii="仿宋_GB2312" w:eastAsia="仿宋_GB2312" w:cs="DengXian-Regular"/>
          <w:sz w:val="32"/>
          <w:szCs w:val="32"/>
        </w:rPr>
        <w:t>0</w:t>
      </w:r>
      <w:r>
        <w:rPr>
          <w:rFonts w:hint="eastAsia" w:ascii="仿宋_GB2312" w:eastAsia="仿宋_GB2312" w:cs="DengXian-Regular"/>
          <w:sz w:val="32"/>
          <w:szCs w:val="32"/>
        </w:rPr>
        <w:t>辆，其他用车</w:t>
      </w:r>
      <w:r>
        <w:rPr>
          <w:rFonts w:ascii="仿宋_GB2312" w:eastAsia="仿宋_GB2312" w:cs="DengXian-Regular"/>
          <w:sz w:val="32"/>
          <w:szCs w:val="32"/>
        </w:rPr>
        <w:t>0</w:t>
      </w:r>
      <w:r>
        <w:rPr>
          <w:rFonts w:hint="eastAsia" w:ascii="仿宋_GB2312"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ascii="仿宋_GB2312" w:eastAsia="仿宋_GB2312" w:cs="DengXian-Regular"/>
          <w:sz w:val="32"/>
          <w:szCs w:val="32"/>
        </w:rPr>
        <w:t>0</w:t>
      </w:r>
      <w:r>
        <w:rPr>
          <w:rFonts w:hint="eastAsia" w:ascii="仿宋_GB2312" w:eastAsia="仿宋_GB2312" w:cs="DengXian-Regular"/>
          <w:sz w:val="32"/>
          <w:szCs w:val="32"/>
        </w:rPr>
        <w:t>台（套），比上年增加（减少）</w:t>
      </w:r>
      <w:r>
        <w:rPr>
          <w:rFonts w:ascii="仿宋_GB2312" w:eastAsia="仿宋_GB2312" w:cs="DengXian-Regular"/>
          <w:sz w:val="32"/>
          <w:szCs w:val="32"/>
        </w:rPr>
        <w:t>0</w:t>
      </w:r>
      <w:r>
        <w:rPr>
          <w:rFonts w:hint="eastAsia" w:ascii="仿宋_GB2312" w:eastAsia="仿宋_GB2312" w:cs="DengXian-Regular"/>
          <w:sz w:val="32"/>
          <w:szCs w:val="32"/>
        </w:rPr>
        <w:t>套，单位价值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ascii="仿宋_GB2312" w:eastAsia="仿宋_GB2312" w:cs="DengXian-Regular"/>
          <w:sz w:val="32"/>
          <w:szCs w:val="32"/>
        </w:rPr>
        <w:t>0</w:t>
      </w:r>
      <w:r>
        <w:rPr>
          <w:rFonts w:hint="eastAsia" w:ascii="仿宋_GB2312" w:eastAsia="仿宋_GB2312" w:cs="DengXian-Regular"/>
          <w:sz w:val="32"/>
          <w:szCs w:val="32"/>
        </w:rPr>
        <w:t>台（套）比上年增加（减少）</w:t>
      </w:r>
      <w:r>
        <w:rPr>
          <w:rFonts w:ascii="仿宋_GB2312" w:eastAsia="仿宋_GB2312" w:cs="DengXian-Regular"/>
          <w:sz w:val="32"/>
          <w:szCs w:val="32"/>
        </w:rPr>
        <w:t>0</w:t>
      </w:r>
      <w:r>
        <w:rPr>
          <w:rFonts w:hint="eastAsia" w:ascii="仿宋_GB2312" w:eastAsia="仿宋_GB2312" w:cs="DengXian-Regular"/>
          <w:sz w:val="32"/>
          <w:szCs w:val="32"/>
        </w:rPr>
        <w:t>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年度政府性基金预算财政拨款、国有资本经营预算财政拨款和政府采购无收支及结转结余情况，故政府性基金预算财政拨款收入支出决算表、国有资本经营预算财政拨款表和政府采购情况表以空表列示。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组合 91" o:spid="_x0000_s1061" o:spt="203" style="position:absolute;left:0pt;margin-left:-79.65pt;margin-top:29.35pt;height:43.95pt;width:301.85pt;mso-position-vertical-relative:page;z-index:251678720;mso-width-relative:page;mso-height-relative:page;" coordorigin="4551,52615" coordsize="8546,1398">
            <o:lock v:ext="edit"/>
            <v:rect id="矩形 13" o:spid="_x0000_s1062" o:spt="1" style="position:absolute;left:4551;top:52615;height:1175;width:8546;v-text-anchor:middle;" fillcolor="#96DA9D" filled="t" stroked="f" coordsize="21600,21600">
              <v:path/>
              <v:fill on="t" focussize="0,0"/>
              <v:stroke on="f" weight="2pt"/>
              <v:imagedata o:title=""/>
              <o:lock v:ext="edit"/>
            </v:rect>
            <v:rect id="矩形 14" o:spid="_x0000_s106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064"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8" o:title=""/>
            <o:lock v:ext="edit" aspectratio="t"/>
          </v:shape>
        </w:pict>
      </w:r>
      <w:r>
        <w:pict>
          <v:shape id="文本框 22" o:spid="_x0000_s1065"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066" o:spt="203" style="position:absolute;left:0pt;margin-left:-81.05pt;margin-top:39.65pt;height:43.95pt;width:264.85pt;mso-position-vertical-relative:page;z-index:251671552;mso-width-relative:page;mso-height-relative:page;" coordorigin="4551,52615" coordsize="8546,1398">
            <o:lock v:ext="edit"/>
            <v:rect id="矩形 13" o:spid="_x0000_s1067" o:spt="1" style="position:absolute;left:4551;top:52615;height:1175;width:8546;v-text-anchor:middle;" fillcolor="#96DA9D" filled="t" stroked="f" coordsize="21600,21600">
              <v:path/>
              <v:fill on="t" focussize="0,0"/>
              <v:stroke on="f" weight="2pt"/>
              <v:imagedata o:title=""/>
              <o:lock v:ext="edit"/>
            </v:rect>
            <v:rect id="矩形 14" o:spid="_x0000_s106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069" o:spt="203" style="position:absolute;left:0pt;margin-left:-81.05pt;margin-top:39.65pt;height:43.95pt;width:264.85pt;mso-position-vertical-relative:page;z-index:251679744;mso-width-relative:page;mso-height-relative:page;" coordorigin="4551,52615" coordsize="8546,1398">
            <o:lock v:ext="edit"/>
            <v:rect id="矩形 13" o:spid="_x0000_s1070" o:spt="1" style="position:absolute;left:4551;top:52615;height:1175;width:8546;v-text-anchor:middle;" fillcolor="#96DA9D" filled="t" stroked="f" coordsize="21600,21600">
              <v:path/>
              <v:fill on="t" focussize="0,0"/>
              <v:stroke on="f" weight="2pt"/>
              <v:imagedata o:title=""/>
              <o:lock v:ext="edit"/>
            </v:rect>
            <v:rect id="矩形 14" o:spid="_x0000_s107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072" o:spt="203" style="position:absolute;left:0pt;margin-left:-81.05pt;margin-top:39.65pt;height:43.95pt;width:264.85pt;mso-position-vertical-relative:page;z-index:251680768;mso-width-relative:page;mso-height-relative:page;" coordorigin="4551,52615" coordsize="8546,1398">
            <o:lock v:ext="edit"/>
            <v:rect id="矩形 13" o:spid="_x0000_s1073" o:spt="1" style="position:absolute;left:4551;top:52615;height:1175;width:8546;v-text-anchor:middle;" fillcolor="#96DA9D" filled="t" stroked="f" coordsize="21600,21600">
              <v:path/>
              <v:fill on="t" focussize="0,0"/>
              <v:stroke on="f" weight="2pt"/>
              <v:imagedata o:title=""/>
              <o:lock v:ext="edit"/>
            </v:rect>
            <v:rect id="矩形 14" o:spid="_x0000_s107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075"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9"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495A6EC-665D-4E30-8B98-298C84EDBEC8}"/>
  </w:font>
  <w:font w:name="Arial">
    <w:panose1 w:val="020B0604020202020204"/>
    <w:charset w:val="01"/>
    <w:family w:val="swiss"/>
    <w:pitch w:val="default"/>
    <w:sig w:usb0="E0002EFF" w:usb1="C000785B" w:usb2="00000009" w:usb3="00000000" w:csb0="400001FF" w:csb1="FFFF0000"/>
    <w:embedRegular r:id="rId2" w:fontKey="{3B1D7A5B-CA0D-4DFE-A1E9-AF2E76DEEB1E}"/>
  </w:font>
  <w:font w:name="黑体">
    <w:panose1 w:val="02010609060101010101"/>
    <w:charset w:val="86"/>
    <w:family w:val="auto"/>
    <w:pitch w:val="default"/>
    <w:sig w:usb0="800002BF" w:usb1="38CF7CFA" w:usb2="00000016" w:usb3="00000000" w:csb0="00040001" w:csb1="00000000"/>
    <w:embedRegular r:id="rId3" w:fontKey="{2007A1B4-30F9-4C82-9980-21F9829AAAB0}"/>
  </w:font>
  <w:font w:name="Courier New">
    <w:panose1 w:val="02070309020205020404"/>
    <w:charset w:val="01"/>
    <w:family w:val="modern"/>
    <w:pitch w:val="default"/>
    <w:sig w:usb0="E0002EFF" w:usb1="C0007843" w:usb2="00000009" w:usb3="00000000" w:csb0="400001FF" w:csb1="FFFF0000"/>
    <w:embedRegular r:id="rId4" w:fontKey="{5D89D29B-557E-42A4-8BCA-FB16B9D61003}"/>
  </w:font>
  <w:font w:name="Symbol">
    <w:panose1 w:val="05050102010706020507"/>
    <w:charset w:val="02"/>
    <w:family w:val="roman"/>
    <w:pitch w:val="default"/>
    <w:sig w:usb0="00000000" w:usb1="00000000" w:usb2="00000000" w:usb3="00000000" w:csb0="80000000" w:csb1="00000000"/>
    <w:embedRegular r:id="rId5" w:fontKey="{EF1C3349-A153-479C-A30A-2302F1AC37FA}"/>
  </w:font>
  <w:font w:name="Calibri">
    <w:panose1 w:val="020F0502020204030204"/>
    <w:charset w:val="00"/>
    <w:family w:val="swiss"/>
    <w:pitch w:val="default"/>
    <w:sig w:usb0="E4002EFF" w:usb1="C000247B" w:usb2="00000009" w:usb3="00000000" w:csb0="200001FF" w:csb1="00000000"/>
    <w:embedRegular r:id="rId6" w:fontKey="{7C590CEE-5A56-4BD4-A12D-836E4785A1AF}"/>
  </w:font>
  <w:font w:name="Cambria">
    <w:panose1 w:val="02040503050406030204"/>
    <w:charset w:val="00"/>
    <w:family w:val="roman"/>
    <w:pitch w:val="default"/>
    <w:sig w:usb0="E00006FF" w:usb1="420024FF" w:usb2="02000000" w:usb3="00000000" w:csb0="2000019F" w:csb1="00000000"/>
    <w:embedRegular r:id="rId7" w:fontKey="{123BB4DC-0281-4622-9815-1342AA67BFAE}"/>
  </w:font>
  <w:font w:name="楷体">
    <w:panose1 w:val="02010609060101010101"/>
    <w:charset w:val="86"/>
    <w:family w:val="modern"/>
    <w:pitch w:val="default"/>
    <w:sig w:usb0="800002BF" w:usb1="38CF7CFA" w:usb2="00000016" w:usb3="00000000" w:csb0="00040001" w:csb1="00000000"/>
    <w:embedRegular r:id="rId8" w:fontKey="{00C1D7B8-0B27-42C1-86BA-98B2BF7660E7}"/>
  </w:font>
  <w:font w:name="MS Gothic">
    <w:panose1 w:val="020B0609070205080204"/>
    <w:charset w:val="80"/>
    <w:family w:val="modern"/>
    <w:pitch w:val="default"/>
    <w:sig w:usb0="E00002FF" w:usb1="6AC7FDFB" w:usb2="08000012" w:usb3="00000000" w:csb0="4002009F" w:csb1="DFD70000"/>
    <w:embedRegular r:id="rId9" w:fontKey="{040C201F-25BA-4832-9FF4-B3A02D0E082D}"/>
  </w:font>
  <w:font w:name="仿宋_GB2312">
    <w:panose1 w:val="02010609030101010101"/>
    <w:charset w:val="86"/>
    <w:family w:val="modern"/>
    <w:pitch w:val="default"/>
    <w:sig w:usb0="00000001" w:usb1="080E0000" w:usb2="00000000" w:usb3="00000000" w:csb0="00040000" w:csb1="00000000"/>
    <w:embedRegular r:id="rId10" w:fontKey="{24C2EB69-E6D4-4E01-9236-8479AE6044AC}"/>
  </w:font>
  <w:font w:name="方正仿宋_GBK">
    <w:altName w:val="宋体"/>
    <w:panose1 w:val="00000000000000000000"/>
    <w:charset w:val="86"/>
    <w:family w:val="script"/>
    <w:pitch w:val="default"/>
    <w:sig w:usb0="00000000" w:usb1="00000000" w:usb2="00000010" w:usb3="00000000" w:csb0="00040000" w:csb1="00000000"/>
    <w:embedRegular r:id="rId11" w:fontKey="{744631FF-E9C9-4638-A665-DF1F847CD66F}"/>
  </w:font>
  <w:font w:name="仿宋">
    <w:panose1 w:val="02010609060101010101"/>
    <w:charset w:val="86"/>
    <w:family w:val="modern"/>
    <w:pitch w:val="default"/>
    <w:sig w:usb0="800002BF" w:usb1="38CF7CFA" w:usb2="00000016" w:usb3="00000000" w:csb0="00040001" w:csb1="00000000"/>
    <w:embedRegular r:id="rId12" w:fontKey="{54E78AA4-02E7-49A2-A161-AC8E8BA99C27}"/>
  </w:font>
  <w:font w:name="ArialUnicodeMS">
    <w:altName w:val="Malgun Gothic"/>
    <w:panose1 w:val="00000000000000000000"/>
    <w:charset w:val="81"/>
    <w:family w:val="auto"/>
    <w:pitch w:val="default"/>
    <w:sig w:usb0="00000000" w:usb1="00000000" w:usb2="00000010" w:usb3="00000000" w:csb0="00080000" w:csb1="00000000"/>
    <w:embedRegular r:id="rId13" w:fontKey="{D6B8497A-1D72-4A0C-9656-8953CF9A8FB7}"/>
  </w:font>
  <w:font w:name="MS-UIGothic,Bold">
    <w:altName w:val="Malgun Gothic"/>
    <w:panose1 w:val="00000000000000000000"/>
    <w:charset w:val="81"/>
    <w:family w:val="auto"/>
    <w:pitch w:val="default"/>
    <w:sig w:usb0="00000000" w:usb1="00000000" w:usb2="00000010" w:usb3="00000000" w:csb0="00080000" w:csb1="00000000"/>
    <w:embedRegular r:id="rId14" w:fontKey="{14C720CA-3BF9-492D-8AFA-AAEC2B3574BB}"/>
  </w:font>
  <w:font w:name="___WRD_EMBED_SUB_39">
    <w:altName w:val="宋体"/>
    <w:panose1 w:val="00000000000000000000"/>
    <w:charset w:val="86"/>
    <w:family w:val="modern"/>
    <w:pitch w:val="default"/>
    <w:sig w:usb0="00000000" w:usb1="00000000" w:usb2="00000010" w:usb3="00000000" w:csb0="00040000" w:csb1="00000000"/>
    <w:embedRegular r:id="rId15" w:fontKey="{017BB673-4E23-4240-80D5-984FC8F7CA2B}"/>
  </w:font>
  <w:font w:name="华文仿宋">
    <w:panose1 w:val="02010600040101010101"/>
    <w:charset w:val="86"/>
    <w:family w:val="auto"/>
    <w:pitch w:val="default"/>
    <w:sig w:usb0="00000287" w:usb1="080F0000" w:usb2="00000000" w:usb3="00000000" w:csb0="0004009F" w:csb1="DFD70000"/>
    <w:embedRegular r:id="rId16" w:fontKey="{2ABB2512-AD81-45FC-A162-7ABDCDF6BA25}"/>
  </w:font>
  <w:font w:name="DengXian-Regular">
    <w:altName w:val="宋体"/>
    <w:panose1 w:val="00000000000000000000"/>
    <w:charset w:val="86"/>
    <w:family w:val="auto"/>
    <w:pitch w:val="default"/>
    <w:sig w:usb0="00000000" w:usb1="00000000" w:usb2="00000010" w:usb3="00000000" w:csb0="00040000" w:csb1="00000000"/>
    <w:embedRegular r:id="rId17" w:fontKey="{30272DB5-B66C-40A5-B22E-4B081AC19A50}"/>
  </w:font>
  <w:font w:name="楷体_GB2312">
    <w:panose1 w:val="02010609030101010101"/>
    <w:charset w:val="86"/>
    <w:family w:val="modern"/>
    <w:pitch w:val="default"/>
    <w:sig w:usb0="00000001" w:usb1="080E0000" w:usb2="00000000" w:usb3="00000000" w:csb0="00040000" w:csb1="00000000"/>
    <w:embedRegular r:id="rId18" w:fontKey="{738EBFAE-BA14-4792-930C-DA3944904137}"/>
  </w:font>
  <w:font w:name="DengXian-Bold">
    <w:altName w:val="宋体"/>
    <w:panose1 w:val="00000000000000000000"/>
    <w:charset w:val="86"/>
    <w:family w:val="auto"/>
    <w:pitch w:val="default"/>
    <w:sig w:usb0="00000000" w:usb1="00000000" w:usb2="00000010" w:usb3="00000000" w:csb0="00040000" w:csb1="00000000"/>
    <w:embedRegular r:id="rId19" w:fontKey="{D2BA8199-A8A5-47EB-A0C2-55EF00946444}"/>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TlmZWY2YzZmMTRiOTBhYTA0YmQxMjAyNGJjYTk4YTMifQ=="/>
  </w:docVars>
  <w:rsids>
    <w:rsidRoot w:val="003C1413"/>
    <w:rsid w:val="00024E7F"/>
    <w:rsid w:val="00030181"/>
    <w:rsid w:val="000475A0"/>
    <w:rsid w:val="00080F0F"/>
    <w:rsid w:val="000838C3"/>
    <w:rsid w:val="000B2446"/>
    <w:rsid w:val="000D7C65"/>
    <w:rsid w:val="000E2F81"/>
    <w:rsid w:val="00117946"/>
    <w:rsid w:val="00117E2C"/>
    <w:rsid w:val="00126E07"/>
    <w:rsid w:val="00146C47"/>
    <w:rsid w:val="00152FB8"/>
    <w:rsid w:val="00176658"/>
    <w:rsid w:val="0018239E"/>
    <w:rsid w:val="001B13B1"/>
    <w:rsid w:val="001B3410"/>
    <w:rsid w:val="001B538C"/>
    <w:rsid w:val="001C030D"/>
    <w:rsid w:val="001C4A84"/>
    <w:rsid w:val="001E5902"/>
    <w:rsid w:val="00233705"/>
    <w:rsid w:val="00275CA2"/>
    <w:rsid w:val="00294972"/>
    <w:rsid w:val="002A2CD9"/>
    <w:rsid w:val="002A65A5"/>
    <w:rsid w:val="002B6691"/>
    <w:rsid w:val="002C04C4"/>
    <w:rsid w:val="002D08B0"/>
    <w:rsid w:val="002D1AE3"/>
    <w:rsid w:val="002F2ECE"/>
    <w:rsid w:val="00341C8F"/>
    <w:rsid w:val="0035463A"/>
    <w:rsid w:val="00367611"/>
    <w:rsid w:val="00391D9D"/>
    <w:rsid w:val="003B6C51"/>
    <w:rsid w:val="003C1413"/>
    <w:rsid w:val="003C549F"/>
    <w:rsid w:val="003D5A16"/>
    <w:rsid w:val="003E7DB3"/>
    <w:rsid w:val="003F1321"/>
    <w:rsid w:val="00431175"/>
    <w:rsid w:val="00480388"/>
    <w:rsid w:val="004B51B8"/>
    <w:rsid w:val="004B6E37"/>
    <w:rsid w:val="004C25E4"/>
    <w:rsid w:val="004C32BA"/>
    <w:rsid w:val="004C5737"/>
    <w:rsid w:val="005464AF"/>
    <w:rsid w:val="00575922"/>
    <w:rsid w:val="00593805"/>
    <w:rsid w:val="005A6C90"/>
    <w:rsid w:val="005E3FB0"/>
    <w:rsid w:val="005F4B66"/>
    <w:rsid w:val="005F5208"/>
    <w:rsid w:val="006220DA"/>
    <w:rsid w:val="00641318"/>
    <w:rsid w:val="0064405D"/>
    <w:rsid w:val="00695557"/>
    <w:rsid w:val="006D4EA7"/>
    <w:rsid w:val="0070012A"/>
    <w:rsid w:val="0070664B"/>
    <w:rsid w:val="007071B8"/>
    <w:rsid w:val="0072221A"/>
    <w:rsid w:val="007274F2"/>
    <w:rsid w:val="007414DE"/>
    <w:rsid w:val="007905A9"/>
    <w:rsid w:val="007A0859"/>
    <w:rsid w:val="007B0E8E"/>
    <w:rsid w:val="007D0935"/>
    <w:rsid w:val="007E5500"/>
    <w:rsid w:val="007F055B"/>
    <w:rsid w:val="00811C2F"/>
    <w:rsid w:val="00833D46"/>
    <w:rsid w:val="00840A97"/>
    <w:rsid w:val="008715B2"/>
    <w:rsid w:val="008B19D2"/>
    <w:rsid w:val="008C0149"/>
    <w:rsid w:val="008D5DED"/>
    <w:rsid w:val="008E25CA"/>
    <w:rsid w:val="008F34FC"/>
    <w:rsid w:val="008F7CC3"/>
    <w:rsid w:val="00944CD7"/>
    <w:rsid w:val="009831B2"/>
    <w:rsid w:val="00987D4F"/>
    <w:rsid w:val="009A1ABE"/>
    <w:rsid w:val="009C7906"/>
    <w:rsid w:val="009E21A4"/>
    <w:rsid w:val="009F22C6"/>
    <w:rsid w:val="00A07E50"/>
    <w:rsid w:val="00A15397"/>
    <w:rsid w:val="00A35CE0"/>
    <w:rsid w:val="00A4462E"/>
    <w:rsid w:val="00A44AA4"/>
    <w:rsid w:val="00A61623"/>
    <w:rsid w:val="00A80BA3"/>
    <w:rsid w:val="00A84687"/>
    <w:rsid w:val="00A935B7"/>
    <w:rsid w:val="00AB0A0E"/>
    <w:rsid w:val="00AD3B6E"/>
    <w:rsid w:val="00B14B76"/>
    <w:rsid w:val="00B1751F"/>
    <w:rsid w:val="00B56722"/>
    <w:rsid w:val="00B634EC"/>
    <w:rsid w:val="00B74D39"/>
    <w:rsid w:val="00B91DA4"/>
    <w:rsid w:val="00BC3280"/>
    <w:rsid w:val="00C12630"/>
    <w:rsid w:val="00C34562"/>
    <w:rsid w:val="00C3774E"/>
    <w:rsid w:val="00C52499"/>
    <w:rsid w:val="00C57456"/>
    <w:rsid w:val="00C65387"/>
    <w:rsid w:val="00C66A91"/>
    <w:rsid w:val="00C87FAB"/>
    <w:rsid w:val="00C91FF7"/>
    <w:rsid w:val="00C94E53"/>
    <w:rsid w:val="00D0048E"/>
    <w:rsid w:val="00D23E7A"/>
    <w:rsid w:val="00D61063"/>
    <w:rsid w:val="00DB35AF"/>
    <w:rsid w:val="00DD4D30"/>
    <w:rsid w:val="00DD72D7"/>
    <w:rsid w:val="00DE6BE7"/>
    <w:rsid w:val="00DF5B88"/>
    <w:rsid w:val="00E0589E"/>
    <w:rsid w:val="00E241FA"/>
    <w:rsid w:val="00E2595E"/>
    <w:rsid w:val="00E35374"/>
    <w:rsid w:val="00E50C19"/>
    <w:rsid w:val="00E64655"/>
    <w:rsid w:val="00E73081"/>
    <w:rsid w:val="00E856C9"/>
    <w:rsid w:val="00E939EB"/>
    <w:rsid w:val="00EB6A8B"/>
    <w:rsid w:val="00EF38C6"/>
    <w:rsid w:val="00F141AD"/>
    <w:rsid w:val="00F679C7"/>
    <w:rsid w:val="00F728E2"/>
    <w:rsid w:val="00F7711A"/>
    <w:rsid w:val="00FA0D58"/>
    <w:rsid w:val="00FA1D4F"/>
    <w:rsid w:val="00FA56F4"/>
    <w:rsid w:val="00FB4EDA"/>
    <w:rsid w:val="00FD3BD5"/>
    <w:rsid w:val="00FE3DC8"/>
    <w:rsid w:val="031C5C7B"/>
    <w:rsid w:val="04073F84"/>
    <w:rsid w:val="06552753"/>
    <w:rsid w:val="0B60750A"/>
    <w:rsid w:val="10686488"/>
    <w:rsid w:val="10DF728A"/>
    <w:rsid w:val="1264200E"/>
    <w:rsid w:val="141C5B77"/>
    <w:rsid w:val="18D8339D"/>
    <w:rsid w:val="1A21388F"/>
    <w:rsid w:val="1A570D2F"/>
    <w:rsid w:val="28FB0B8D"/>
    <w:rsid w:val="2D2B7942"/>
    <w:rsid w:val="2D46481D"/>
    <w:rsid w:val="2E733B28"/>
    <w:rsid w:val="31852B5A"/>
    <w:rsid w:val="32D01238"/>
    <w:rsid w:val="3DFC59A8"/>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autoRedefine/>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autoRedefine/>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autoRedefine/>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Date"/>
    <w:basedOn w:val="1"/>
    <w:next w:val="1"/>
    <w:link w:val="19"/>
    <w:autoRedefine/>
    <w:semiHidden/>
    <w:qFormat/>
    <w:uiPriority w:val="99"/>
    <w:pPr>
      <w:ind w:left="100" w:leftChars="2500"/>
    </w:pPr>
  </w:style>
  <w:style w:type="paragraph" w:styleId="7">
    <w:name w:val="Balloon Text"/>
    <w:basedOn w:val="1"/>
    <w:link w:val="20"/>
    <w:autoRedefine/>
    <w:semiHidden/>
    <w:qFormat/>
    <w:uiPriority w:val="99"/>
    <w:rPr>
      <w:sz w:val="18"/>
      <w:szCs w:val="18"/>
    </w:rPr>
  </w:style>
  <w:style w:type="paragraph" w:styleId="8">
    <w:name w:val="footer"/>
    <w:basedOn w:val="1"/>
    <w:link w:val="21"/>
    <w:autoRedefine/>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autoRedefine/>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autoRedefine/>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autoRedefine/>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autoRedefine/>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autoRedefine/>
    <w:qFormat/>
    <w:locked/>
    <w:uiPriority w:val="99"/>
    <w:rPr>
      <w:rFonts w:ascii="Calibri" w:hAnsi="Calibri" w:eastAsia="宋体" w:cs="Times New Roman"/>
      <w:b/>
      <w:bCs/>
      <w:sz w:val="32"/>
      <w:szCs w:val="32"/>
    </w:rPr>
  </w:style>
  <w:style w:type="character" w:customStyle="1" w:styleId="17">
    <w:name w:val="标题 3 Char"/>
    <w:basedOn w:val="14"/>
    <w:link w:val="4"/>
    <w:autoRedefine/>
    <w:qFormat/>
    <w:locked/>
    <w:uiPriority w:val="99"/>
    <w:rPr>
      <w:rFonts w:ascii="Times New Roman" w:hAnsi="Times New Roman" w:eastAsia="宋体" w:cs="Times New Roman"/>
      <w:b/>
      <w:bCs/>
      <w:sz w:val="32"/>
      <w:szCs w:val="32"/>
    </w:rPr>
  </w:style>
  <w:style w:type="character" w:customStyle="1" w:styleId="18">
    <w:name w:val="标题 4 Char"/>
    <w:basedOn w:val="14"/>
    <w:link w:val="5"/>
    <w:autoRedefine/>
    <w:qFormat/>
    <w:locked/>
    <w:uiPriority w:val="99"/>
    <w:rPr>
      <w:rFonts w:ascii="Calibri" w:hAnsi="Calibri" w:eastAsia="宋体" w:cs="Times New Roman"/>
      <w:b/>
      <w:bCs/>
      <w:sz w:val="28"/>
      <w:szCs w:val="28"/>
    </w:rPr>
  </w:style>
  <w:style w:type="character" w:customStyle="1" w:styleId="19">
    <w:name w:val="日期 Char"/>
    <w:basedOn w:val="14"/>
    <w:link w:val="6"/>
    <w:autoRedefine/>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autoRedefine/>
    <w:semiHidden/>
    <w:qFormat/>
    <w:locked/>
    <w:uiPriority w:val="99"/>
    <w:rPr>
      <w:rFonts w:ascii="Times New Roman" w:hAnsi="Times New Roman" w:eastAsia="宋体" w:cs="Times New Roman"/>
      <w:sz w:val="18"/>
      <w:szCs w:val="18"/>
    </w:rPr>
  </w:style>
  <w:style w:type="character" w:customStyle="1" w:styleId="21">
    <w:name w:val="页脚 Char"/>
    <w:basedOn w:val="14"/>
    <w:link w:val="8"/>
    <w:autoRedefine/>
    <w:qFormat/>
    <w:locked/>
    <w:uiPriority w:val="99"/>
    <w:rPr>
      <w:rFonts w:cs="Times New Roman"/>
      <w:sz w:val="18"/>
      <w:szCs w:val="18"/>
    </w:rPr>
  </w:style>
  <w:style w:type="character" w:customStyle="1" w:styleId="22">
    <w:name w:val="页眉 Char"/>
    <w:basedOn w:val="14"/>
    <w:link w:val="9"/>
    <w:autoRedefine/>
    <w:qFormat/>
    <w:locked/>
    <w:uiPriority w:val="99"/>
    <w:rPr>
      <w:rFonts w:cs="Times New Roman"/>
      <w:sz w:val="18"/>
      <w:szCs w:val="18"/>
    </w:rPr>
  </w:style>
  <w:style w:type="character" w:customStyle="1" w:styleId="23">
    <w:name w:val="副标题 Char"/>
    <w:basedOn w:val="14"/>
    <w:link w:val="10"/>
    <w:autoRedefine/>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autoRedefine/>
    <w:qFormat/>
    <w:locked/>
    <w:uiPriority w:val="99"/>
    <w:rPr>
      <w:rFonts w:ascii="Calibri" w:hAnsi="Calibri" w:eastAsia="宋体" w:cs="Times New Roman"/>
      <w:color w:val="3A2C24"/>
      <w:spacing w:val="5"/>
      <w:kern w:val="28"/>
      <w:sz w:val="52"/>
      <w:szCs w:val="52"/>
    </w:rPr>
  </w:style>
  <w:style w:type="paragraph" w:styleId="25">
    <w:name w:val="No Spacing"/>
    <w:link w:val="26"/>
    <w:autoRedefine/>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无间隔 Char"/>
    <w:basedOn w:val="14"/>
    <w:link w:val="25"/>
    <w:autoRedefine/>
    <w:qFormat/>
    <w:locked/>
    <w:uiPriority w:val="99"/>
    <w:rPr>
      <w:rFonts w:cs="Times New Roman"/>
      <w:sz w:val="22"/>
      <w:szCs w:val="22"/>
      <w:lang w:val="en-US" w:eastAsia="zh-CN" w:bidi="ar-SA"/>
    </w:rPr>
  </w:style>
  <w:style w:type="character" w:customStyle="1" w:styleId="27">
    <w:name w:val="Style1"/>
    <w:basedOn w:val="14"/>
    <w:autoRedefine/>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autoRedefine/>
    <w:qFormat/>
    <w:uiPriority w:val="99"/>
    <w:rPr>
      <w:rFonts w:ascii="Cambria" w:hAnsi="黑体" w:eastAsia="黑体" w:cs="Times New Roman"/>
      <w:sz w:val="22"/>
      <w:szCs w:val="22"/>
      <w:lang w:eastAsia="zh-CN"/>
    </w:rPr>
  </w:style>
  <w:style w:type="character" w:customStyle="1" w:styleId="30">
    <w:name w:val="Style4"/>
    <w:basedOn w:val="14"/>
    <w:autoRedefine/>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1"/>
    <customShpInfo spid="_x0000_s1042"/>
    <customShpInfo spid="_x0000_s1044"/>
    <customShpInfo spid="_x0000_s1045"/>
    <customShpInfo spid="_x0000_s1043"/>
    <customShpInfo spid="_x0000_s1047"/>
    <customShpInfo spid="_x0000_s1048"/>
    <customShpInfo spid="_x0000_s1046"/>
    <customShpInfo spid="_x0000_s1050"/>
    <customShpInfo spid="_x0000_s1051"/>
    <customShpInfo spid="_x0000_s1049"/>
    <customShpInfo spid="_x0000_s1053"/>
    <customShpInfo spid="_x0000_s1054"/>
    <customShpInfo spid="_x0000_s1052"/>
    <customShpInfo spid="_x0000_s1056"/>
    <customShpInfo spid="_x0000_s1057"/>
    <customShpInfo spid="_x0000_s1055"/>
    <customShpInfo spid="_x0000_s1062"/>
    <customShpInfo spid="_x0000_s1063"/>
    <customShpInfo spid="_x0000_s1061"/>
    <customShpInfo spid="_x0000_s1064"/>
    <customShpInfo spid="_x0000_s1065"/>
    <customShpInfo spid="_x0000_s1067"/>
    <customShpInfo spid="_x0000_s1068"/>
    <customShpInfo spid="_x0000_s1066"/>
    <customShpInfo spid="_x0000_s1070"/>
    <customShpInfo spid="_x0000_s1071"/>
    <customShpInfo spid="_x0000_s1069"/>
    <customShpInfo spid="_x0000_s1073"/>
    <customShpInfo spid="_x0000_s1074"/>
    <customShpInfo spid="_x0000_s1072"/>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Pages>
  <Words>6567</Words>
  <Characters>1164</Characters>
  <Lines>9</Lines>
  <Paragraphs>15</Paragraphs>
  <TotalTime>618</TotalTime>
  <ScaleCrop>false</ScaleCrop>
  <LinksUpToDate>false</LinksUpToDate>
  <CharactersWithSpaces>7716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2024-04-15T02:35:50Z</dcterms:modified>
  <dc:subject>石家庄市xxx部门</dc:subject>
  <dc:title>2017年度部门决算</dc:title>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C904D22FC6F44BE4A2764A0382F1DF69_12</vt:lpwstr>
  </property>
</Properties>
</file>