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青龙满族自治县</w:t>
      </w:r>
    </w:p>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马圈子镇人民政府2018年部门预算信息公开情况说明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中华人民共和国预算法</w:t>
      </w:r>
      <w:r>
        <w:rPr>
          <w:rFonts w:hint="eastAsia" w:ascii="仿宋_GB2312" w:hAnsi="Times New Roman" w:eastAsia="仿宋_GB2312" w:cs="Times New Roman"/>
          <w:sz w:val="32"/>
          <w:szCs w:val="32"/>
        </w:rPr>
        <w:t>》、《地方预决算公开操作规程》和《河北省预决算公开操作规程实施细则》规定，现将青龙县马圈子镇政府2018年部门预算公开如下：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促进经济发展。围绕“工业强县、钢铁立县、开放活县、和谐兴县”的发展战略,科学制定本乡镇产业发展规划,谋划适应我镇实际的经济发展模式;推进农业结构调整,努力提高农业产业化和农民进入市场的组织化水平,促进粮食生产稳定发展农民持续增收;营造良好的发展环境,促进招商引资和项目建设:增强农村集体组织经济实力,大力发展民营经济,培育和发展农民专业合作组织和中介组织,壮大第二、第三产业,加快城镇化进程。</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(二)加强社会管理。组织、监督国家基本公共政策的实施,</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加强乡村财政资金监管,加强义务教育、公共卫生、计划生育乡村建设等社会事务的行政管理,促进各项社会事业的发展;协助县直有关部门做好国土资源管理、环境保护、动物防疫、减灾救灾等工作;保障法律法规赋子公民的经济、政治、文化权利落实公民在选举、决策、管理和监督方面的民主权利,依法行政;加强农村党组织建设,依法推进村民组织自治,加强农村宣传文化工作,抓好农村的思想政治建设和精神文明建设;制定文态村建设和构建和谐社会的相关措施,抓好组织实施。</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提供公共服务。1、生产保障。提供水利灌溉、道路运输、电力供应、农技推广、病虫害防治等生产性公共产品;教育保障。协助教育部门普及九年义务制教育,加强对农村劳动力的职业培训,提高农民的科学文化素质和就业本领;3、医疗保障。农村医疗设施、医疗手段的完善和提高,农村医疗保险制度的建立和落实;4、养老保障。福利院、敬老院的建设,农村养老保险制度的推行;5、生活保障。建设乡村社会各种生活基础设施,建立农村特困户的救助制度和救助体系;6、生育保障，为控制人口数量、提高人口素质和生殖健康提供各种优质服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13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9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青龙满族自治县马圈子镇人民政府</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马圈子镇公共事务服务站</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马圈子镇农业综合服务站</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p>
        </w:tc>
        <w:tc>
          <w:tcPr>
            <w:tcW w:w="2902" w:type="dxa"/>
            <w:shd w:val="clear" w:color="auto" w:fill="auto"/>
            <w:vAlign w:val="center"/>
          </w:tcPr>
          <w:p>
            <w:pPr>
              <w:spacing w:line="300" w:lineRule="exact"/>
              <w:jc w:val="center"/>
              <w:rPr>
                <w:rFonts w:ascii="方正书宋_GBK" w:eastAsia="方正书宋_GBK"/>
              </w:rPr>
            </w:pPr>
          </w:p>
        </w:tc>
      </w:tr>
    </w:tbl>
    <w:p>
      <w:pPr>
        <w:jc w:val="center"/>
        <w:outlineLvl w:val="0"/>
        <w:rPr>
          <w:rFonts w:ascii="Times New Roman" w:hAnsi="Times New Roman" w:eastAsia="方正小标宋_GBK" w:cs="Times New Roman"/>
          <w:sz w:val="32"/>
          <w:szCs w:val="24"/>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按照预算管理有关规定，目前我县部门预算的编制实行综合预算制度，即全部收入和支出都反映在预算中。马圈子镇机关及所属事业单位的收支包含在部门预算中。</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1、收入说明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反映本部门当年全部收入。2018年预算收入830.66万元，其中：一般公共预算收入830.66万元，基金预算收入0万元，财政专户核拨收入0万元，国有资本经营收入0万元，其他来源收入0万元。</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马圈子镇年度部门预算中支出预算的总体情况。2018年支出预算830.66万元，其中基本支出780.70万元，包括人员经费732.80万元和日常公用经费47.90万元；项目支出49.96万元，包括本级支出和对下补助支出，主要为人大事务、信访事务、团委经费、扶贫项目、防火防汛、安全生产等。</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ind w:firstLine="640"/>
        <w:rPr>
          <w:rFonts w:ascii="仿宋_GB2312" w:hAnsi="黑体" w:eastAsia="仿宋_GB2312" w:cs="Times New Roman"/>
          <w:sz w:val="32"/>
          <w:szCs w:val="32"/>
        </w:rPr>
      </w:pPr>
      <w:r>
        <w:rPr>
          <w:rFonts w:hint="eastAsia" w:ascii="仿宋_GB2312" w:hAnsi="Times New Roman" w:eastAsia="仿宋_GB2312" w:cs="Times New Roman"/>
          <w:sz w:val="32"/>
          <w:szCs w:val="32"/>
        </w:rPr>
        <w:t>2018年预算收支安排830.66万元，较2017年预算增加260.79万元，其中：基本支出增加370.63万元，主要为增加人员经费支出；项目支出减少109.84万元，主要减少政府偿还外欠债务、机关养老保险缴费项目资金项目资金。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机关运行经费共计安排47.90万元，主要用于印刷费3万元、邮电费1.5万元、维修费2.6万元、劳务费3万元、办公用房电费4.4万元、办公费17.9万元、差旅费5万元、公务招待费6.5万元和公务用车运行维护费4万元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财政拨款“三公”经费预算安排10.5万元，其中因公出国（境）费0万元，同比无变化；公务用车购置及运维费4万元（其中：公务用车购置费为0万元，公务用车运维费4万元)，同比无变化；；公务接待费6.5万元，同比减少0.7万元，减少的主要原因是加强机关公务招待管理，减少支出。</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总体绩效目标：</w:t>
      </w:r>
    </w:p>
    <w:p>
      <w:pPr>
        <w:jc w:val="left"/>
        <w:rPr>
          <w:rFonts w:ascii="仿宋_GB2312" w:eastAsia="仿宋_GB2312"/>
          <w:b/>
          <w:sz w:val="32"/>
          <w:szCs w:val="32"/>
        </w:rPr>
      </w:pPr>
      <w:r>
        <w:rPr>
          <w:rFonts w:hint="eastAsia" w:ascii="仿宋_GB2312" w:eastAsia="仿宋_GB2312"/>
          <w:b/>
          <w:sz w:val="32"/>
          <w:szCs w:val="32"/>
        </w:rPr>
        <w:t>总体目标：</w:t>
      </w:r>
    </w:p>
    <w:p>
      <w:pPr>
        <w:spacing w:line="500" w:lineRule="exact"/>
        <w:ind w:firstLine="560"/>
        <w:rPr>
          <w:rFonts w:ascii="仿宋_GB2312" w:eastAsia="仿宋_GB2312"/>
          <w:sz w:val="32"/>
          <w:szCs w:val="32"/>
        </w:rPr>
      </w:pPr>
      <w:r>
        <w:rPr>
          <w:rFonts w:hint="eastAsia" w:ascii="仿宋_GB2312" w:eastAsia="仿宋_GB2312"/>
          <w:sz w:val="32"/>
          <w:szCs w:val="32"/>
        </w:rPr>
        <w:t>全年工作的</w:t>
      </w:r>
      <w:r>
        <w:rPr>
          <w:rFonts w:hint="eastAsia" w:ascii="仿宋_GB2312" w:hAnsi="宋体" w:eastAsia="仿宋_GB2312" w:cs="宋体"/>
          <w:sz w:val="32"/>
          <w:szCs w:val="32"/>
        </w:rPr>
        <w:t>预</w:t>
      </w:r>
      <w:r>
        <w:rPr>
          <w:rFonts w:hint="eastAsia" w:ascii="仿宋_GB2312" w:hAnsi="MS Gothic" w:eastAsia="仿宋_GB2312" w:cs="MS Gothic"/>
          <w:sz w:val="32"/>
          <w:szCs w:val="32"/>
        </w:rPr>
        <w:t>期目</w:t>
      </w:r>
      <w:r>
        <w:rPr>
          <w:rFonts w:hint="eastAsia" w:ascii="仿宋_GB2312" w:hAnsi="宋体" w:eastAsia="仿宋_GB2312" w:cs="宋体"/>
          <w:sz w:val="32"/>
          <w:szCs w:val="32"/>
        </w:rPr>
        <w:t>标</w:t>
      </w:r>
      <w:r>
        <w:rPr>
          <w:rFonts w:hint="eastAsia" w:ascii="仿宋_GB2312" w:eastAsia="仿宋_GB2312"/>
          <w:sz w:val="32"/>
          <w:szCs w:val="32"/>
        </w:rPr>
        <w:t>是：通</w:t>
      </w:r>
      <w:r>
        <w:rPr>
          <w:rFonts w:hint="eastAsia" w:ascii="仿宋_GB2312" w:hAnsi="宋体" w:eastAsia="仿宋_GB2312" w:cs="宋体"/>
          <w:sz w:val="32"/>
          <w:szCs w:val="32"/>
        </w:rPr>
        <w:t>过</w:t>
      </w:r>
      <w:r>
        <w:rPr>
          <w:rFonts w:hint="eastAsia" w:ascii="仿宋_GB2312" w:hAnsi="MS Gothic" w:eastAsia="仿宋_GB2312" w:cs="MS Gothic"/>
          <w:sz w:val="32"/>
          <w:szCs w:val="32"/>
        </w:rPr>
        <w:t>精准</w:t>
      </w:r>
      <w:r>
        <w:rPr>
          <w:rFonts w:hint="eastAsia" w:ascii="仿宋_GB2312" w:hAnsi="宋体" w:eastAsia="仿宋_GB2312" w:cs="宋体"/>
          <w:sz w:val="32"/>
          <w:szCs w:val="32"/>
        </w:rPr>
        <w:t>发</w:t>
      </w:r>
      <w:r>
        <w:rPr>
          <w:rFonts w:hint="eastAsia" w:ascii="仿宋_GB2312" w:hAnsi="MS Gothic" w:eastAsia="仿宋_GB2312" w:cs="MS Gothic"/>
          <w:sz w:val="32"/>
          <w:szCs w:val="32"/>
        </w:rPr>
        <w:t>力，打</w:t>
      </w:r>
      <w:r>
        <w:rPr>
          <w:rFonts w:hint="eastAsia" w:ascii="仿宋_GB2312" w:hAnsi="宋体" w:eastAsia="仿宋_GB2312" w:cs="宋体"/>
          <w:sz w:val="32"/>
          <w:szCs w:val="32"/>
        </w:rPr>
        <w:t>赢</w:t>
      </w:r>
      <w:r>
        <w:rPr>
          <w:rFonts w:hint="eastAsia" w:ascii="仿宋_GB2312" w:hAnsi="MS Gothic" w:eastAsia="仿宋_GB2312" w:cs="MS Gothic"/>
          <w:sz w:val="32"/>
          <w:szCs w:val="32"/>
        </w:rPr>
        <w:t>脱</w:t>
      </w:r>
      <w:r>
        <w:rPr>
          <w:rFonts w:hint="eastAsia" w:ascii="仿宋_GB2312" w:hAnsi="宋体" w:eastAsia="仿宋_GB2312" w:cs="宋体"/>
          <w:sz w:val="32"/>
          <w:szCs w:val="32"/>
        </w:rPr>
        <w:t>贫</w:t>
      </w:r>
      <w:r>
        <w:rPr>
          <w:rFonts w:hint="eastAsia" w:ascii="仿宋_GB2312" w:hAnsi="MS Gothic" w:eastAsia="仿宋_GB2312" w:cs="MS Gothic"/>
          <w:sz w:val="32"/>
          <w:szCs w:val="32"/>
        </w:rPr>
        <w:t>攻</w:t>
      </w:r>
      <w:r>
        <w:rPr>
          <w:rFonts w:hint="eastAsia" w:ascii="仿宋_GB2312" w:hAnsi="宋体" w:eastAsia="仿宋_GB2312" w:cs="宋体"/>
          <w:sz w:val="32"/>
          <w:szCs w:val="32"/>
        </w:rPr>
        <w:t>坚</w:t>
      </w:r>
      <w:r>
        <w:rPr>
          <w:rFonts w:hint="eastAsia" w:ascii="仿宋_GB2312" w:hAnsi="MS Gothic" w:eastAsia="仿宋_GB2312" w:cs="MS Gothic"/>
          <w:sz w:val="32"/>
          <w:szCs w:val="32"/>
        </w:rPr>
        <w:t>硬仗，巩固脱</w:t>
      </w:r>
      <w:r>
        <w:rPr>
          <w:rFonts w:hint="eastAsia" w:ascii="仿宋_GB2312" w:hAnsi="宋体" w:eastAsia="仿宋_GB2312" w:cs="宋体"/>
          <w:sz w:val="32"/>
          <w:szCs w:val="32"/>
        </w:rPr>
        <w:t>贫</w:t>
      </w:r>
      <w:r>
        <w:rPr>
          <w:rFonts w:hint="eastAsia" w:ascii="仿宋_GB2312" w:hAnsi="MS Gothic" w:eastAsia="仿宋_GB2312" w:cs="MS Gothic"/>
          <w:sz w:val="32"/>
          <w:szCs w:val="32"/>
        </w:rPr>
        <w:t>成果，力争三个</w:t>
      </w:r>
      <w:r>
        <w:rPr>
          <w:rFonts w:hint="eastAsia" w:ascii="仿宋_GB2312" w:hAnsi="宋体" w:eastAsia="仿宋_GB2312" w:cs="宋体"/>
          <w:sz w:val="32"/>
          <w:szCs w:val="32"/>
        </w:rPr>
        <w:t>贫</w:t>
      </w:r>
      <w:r>
        <w:rPr>
          <w:rFonts w:hint="eastAsia" w:ascii="仿宋_GB2312" w:hAnsi="MS Gothic" w:eastAsia="仿宋_GB2312" w:cs="MS Gothic"/>
          <w:sz w:val="32"/>
          <w:szCs w:val="32"/>
        </w:rPr>
        <w:t>困村</w:t>
      </w:r>
      <w:r>
        <w:rPr>
          <w:rFonts w:hint="eastAsia" w:ascii="仿宋_GB2312" w:hAnsi="宋体" w:eastAsia="仿宋_GB2312" w:cs="宋体"/>
          <w:sz w:val="32"/>
          <w:szCs w:val="32"/>
        </w:rPr>
        <w:t>顺</w:t>
      </w:r>
      <w:r>
        <w:rPr>
          <w:rFonts w:hint="eastAsia" w:ascii="仿宋_GB2312" w:hAnsi="MS Gothic" w:eastAsia="仿宋_GB2312" w:cs="MS Gothic"/>
          <w:sz w:val="32"/>
          <w:szCs w:val="32"/>
        </w:rPr>
        <w:t>利通</w:t>
      </w:r>
      <w:r>
        <w:rPr>
          <w:rFonts w:hint="eastAsia" w:ascii="仿宋_GB2312" w:hAnsi="宋体" w:eastAsia="仿宋_GB2312" w:cs="宋体"/>
          <w:sz w:val="32"/>
          <w:szCs w:val="32"/>
        </w:rPr>
        <w:t>过</w:t>
      </w:r>
      <w:r>
        <w:rPr>
          <w:rFonts w:hint="eastAsia" w:ascii="仿宋_GB2312" w:hAnsi="MS Gothic" w:eastAsia="仿宋_GB2312" w:cs="MS Gothic"/>
          <w:sz w:val="32"/>
          <w:szCs w:val="32"/>
        </w:rPr>
        <w:t>国家</w:t>
      </w:r>
      <w:r>
        <w:rPr>
          <w:rFonts w:hint="eastAsia" w:ascii="仿宋_GB2312" w:hAnsi="宋体" w:eastAsia="仿宋_GB2312" w:cs="宋体"/>
          <w:sz w:val="32"/>
          <w:szCs w:val="32"/>
        </w:rPr>
        <w:t>验</w:t>
      </w:r>
      <w:r>
        <w:rPr>
          <w:rFonts w:hint="eastAsia" w:ascii="仿宋_GB2312" w:hAnsi="MS Gothic" w:eastAsia="仿宋_GB2312" w:cs="MS Gothic"/>
          <w:sz w:val="32"/>
          <w:szCs w:val="32"/>
        </w:rPr>
        <w:t>收；加大生</w:t>
      </w:r>
      <w:r>
        <w:rPr>
          <w:rFonts w:hint="eastAsia" w:ascii="仿宋_GB2312" w:hAnsi="宋体" w:eastAsia="仿宋_GB2312" w:cs="宋体"/>
          <w:sz w:val="32"/>
          <w:szCs w:val="32"/>
        </w:rPr>
        <w:t>态</w:t>
      </w:r>
      <w:r>
        <w:rPr>
          <w:rFonts w:hint="eastAsia" w:ascii="仿宋_GB2312" w:hAnsi="MS Gothic" w:eastAsia="仿宋_GB2312" w:cs="MS Gothic"/>
          <w:sz w:val="32"/>
          <w:szCs w:val="32"/>
        </w:rPr>
        <w:t>建</w:t>
      </w:r>
      <w:r>
        <w:rPr>
          <w:rFonts w:hint="eastAsia" w:ascii="仿宋_GB2312" w:hAnsi="宋体" w:eastAsia="仿宋_GB2312" w:cs="宋体"/>
          <w:sz w:val="32"/>
          <w:szCs w:val="32"/>
        </w:rPr>
        <w:t>设</w:t>
      </w:r>
      <w:r>
        <w:rPr>
          <w:rFonts w:hint="eastAsia" w:ascii="仿宋_GB2312" w:hAnsi="MS Gothic" w:eastAsia="仿宋_GB2312" w:cs="MS Gothic"/>
          <w:sz w:val="32"/>
          <w:szCs w:val="32"/>
        </w:rPr>
        <w:t>，在保持</w:t>
      </w:r>
      <w:r>
        <w:rPr>
          <w:rFonts w:hint="eastAsia" w:ascii="仿宋_GB2312" w:hAnsi="宋体" w:eastAsia="仿宋_GB2312" w:cs="宋体"/>
          <w:sz w:val="32"/>
          <w:szCs w:val="32"/>
        </w:rPr>
        <w:t>现</w:t>
      </w:r>
      <w:r>
        <w:rPr>
          <w:rFonts w:hint="eastAsia" w:ascii="仿宋_GB2312" w:hAnsi="MS Gothic" w:eastAsia="仿宋_GB2312" w:cs="MS Gothic"/>
          <w:sz w:val="32"/>
          <w:szCs w:val="32"/>
        </w:rPr>
        <w:t>有公益林面</w:t>
      </w:r>
      <w:r>
        <w:rPr>
          <w:rFonts w:hint="eastAsia" w:ascii="仿宋_GB2312" w:hAnsi="宋体" w:eastAsia="仿宋_GB2312" w:cs="宋体"/>
          <w:sz w:val="32"/>
          <w:szCs w:val="32"/>
        </w:rPr>
        <w:t>积</w:t>
      </w:r>
      <w:r>
        <w:rPr>
          <w:rFonts w:hint="eastAsia" w:ascii="仿宋_GB2312" w:hAnsi="MS Gothic" w:eastAsia="仿宋_GB2312" w:cs="MS Gothic"/>
          <w:sz w:val="32"/>
          <w:szCs w:val="32"/>
        </w:rPr>
        <w:t>的基</w:t>
      </w:r>
      <w:r>
        <w:rPr>
          <w:rFonts w:hint="eastAsia" w:ascii="仿宋_GB2312" w:hAnsi="宋体" w:eastAsia="仿宋_GB2312" w:cs="宋体"/>
          <w:sz w:val="32"/>
          <w:szCs w:val="32"/>
        </w:rPr>
        <w:t>础</w:t>
      </w:r>
      <w:r>
        <w:rPr>
          <w:rFonts w:hint="eastAsia" w:ascii="仿宋_GB2312" w:hAnsi="MS Gothic" w:eastAsia="仿宋_GB2312" w:cs="MS Gothic"/>
          <w:sz w:val="32"/>
          <w:szCs w:val="32"/>
        </w:rPr>
        <w:t>上，</w:t>
      </w:r>
      <w:r>
        <w:rPr>
          <w:rFonts w:hint="eastAsia" w:ascii="仿宋_GB2312" w:hAnsi="宋体" w:eastAsia="仿宋_GB2312" w:cs="宋体"/>
          <w:sz w:val="32"/>
          <w:szCs w:val="32"/>
        </w:rPr>
        <w:t>计</w:t>
      </w:r>
      <w:r>
        <w:rPr>
          <w:rFonts w:hint="eastAsia" w:ascii="仿宋_GB2312" w:hAnsi="MS Gothic" w:eastAsia="仿宋_GB2312" w:cs="MS Gothic"/>
          <w:sz w:val="32"/>
          <w:szCs w:val="32"/>
        </w:rPr>
        <w:t>划造林</w:t>
      </w:r>
      <w:r>
        <w:rPr>
          <w:rFonts w:hint="eastAsia" w:ascii="仿宋_GB2312" w:hAnsi="宋体" w:eastAsia="仿宋_GB2312" w:cs="宋体"/>
          <w:sz w:val="32"/>
          <w:szCs w:val="32"/>
        </w:rPr>
        <w:t>绿</w:t>
      </w:r>
      <w:r>
        <w:rPr>
          <w:rFonts w:hint="eastAsia" w:ascii="仿宋_GB2312" w:hAnsi="MS Gothic" w:eastAsia="仿宋_GB2312" w:cs="MS Gothic"/>
          <w:sz w:val="32"/>
          <w:szCs w:val="32"/>
        </w:rPr>
        <w:t>化</w:t>
      </w:r>
      <w:r>
        <w:rPr>
          <w:rFonts w:hint="eastAsia" w:ascii="仿宋_GB2312" w:eastAsia="仿宋_GB2312"/>
          <w:sz w:val="32"/>
          <w:szCs w:val="32"/>
        </w:rPr>
        <w:t>1500</w:t>
      </w:r>
      <w:r>
        <w:rPr>
          <w:rFonts w:hint="eastAsia" w:ascii="仿宋_GB2312" w:hAnsi="宋体" w:eastAsia="仿宋_GB2312" w:cs="宋体"/>
          <w:sz w:val="32"/>
          <w:szCs w:val="32"/>
        </w:rPr>
        <w:t>亩</w:t>
      </w:r>
      <w:r>
        <w:rPr>
          <w:rFonts w:hint="eastAsia" w:ascii="仿宋_GB2312" w:hAnsi="MS Gothic" w:eastAsia="仿宋_GB2312" w:cs="MS Gothic"/>
          <w:sz w:val="32"/>
          <w:szCs w:val="32"/>
        </w:rPr>
        <w:t>；打造年</w:t>
      </w:r>
      <w:r>
        <w:rPr>
          <w:rFonts w:hint="eastAsia" w:ascii="仿宋_GB2312" w:hAnsi="宋体" w:eastAsia="仿宋_GB2312" w:cs="宋体"/>
          <w:sz w:val="32"/>
          <w:szCs w:val="32"/>
        </w:rPr>
        <w:t>纳</w:t>
      </w:r>
      <w:r>
        <w:rPr>
          <w:rFonts w:hint="eastAsia" w:ascii="仿宋_GB2312" w:hAnsi="MS Gothic" w:eastAsia="仿宋_GB2312" w:cs="MS Gothic"/>
          <w:sz w:val="32"/>
          <w:szCs w:val="32"/>
        </w:rPr>
        <w:t>税</w:t>
      </w:r>
      <w:r>
        <w:rPr>
          <w:rFonts w:hint="eastAsia" w:ascii="仿宋_GB2312" w:hAnsi="宋体" w:eastAsia="仿宋_GB2312" w:cs="宋体"/>
          <w:sz w:val="32"/>
          <w:szCs w:val="32"/>
        </w:rPr>
        <w:t>亿</w:t>
      </w:r>
      <w:r>
        <w:rPr>
          <w:rFonts w:hint="eastAsia" w:ascii="仿宋_GB2312" w:hAnsi="MS Gothic" w:eastAsia="仿宋_GB2312" w:cs="MS Gothic"/>
          <w:sz w:val="32"/>
          <w:szCs w:val="32"/>
        </w:rPr>
        <w:t>元企</w:t>
      </w:r>
      <w:r>
        <w:rPr>
          <w:rFonts w:hint="eastAsia" w:ascii="仿宋_GB2312" w:hAnsi="宋体" w:eastAsia="仿宋_GB2312" w:cs="宋体"/>
          <w:sz w:val="32"/>
          <w:szCs w:val="32"/>
        </w:rPr>
        <w:t>业</w:t>
      </w:r>
      <w:r>
        <w:rPr>
          <w:rFonts w:hint="eastAsia" w:ascii="仿宋_GB2312" w:hAnsi="MS Gothic" w:eastAsia="仿宋_GB2312" w:cs="MS Gothic"/>
          <w:sz w:val="32"/>
          <w:szCs w:val="32"/>
        </w:rPr>
        <w:t>一家；加</w:t>
      </w:r>
      <w:r>
        <w:rPr>
          <w:rFonts w:hint="eastAsia" w:ascii="仿宋_GB2312" w:hAnsi="宋体" w:eastAsia="仿宋_GB2312" w:cs="宋体"/>
          <w:sz w:val="32"/>
          <w:szCs w:val="32"/>
        </w:rPr>
        <w:t>强</w:t>
      </w:r>
      <w:r>
        <w:rPr>
          <w:rFonts w:hint="eastAsia" w:ascii="仿宋_GB2312" w:hAnsi="MS Gothic" w:eastAsia="仿宋_GB2312" w:cs="MS Gothic"/>
          <w:sz w:val="32"/>
          <w:szCs w:val="32"/>
        </w:rPr>
        <w:t>基</w:t>
      </w:r>
      <w:r>
        <w:rPr>
          <w:rFonts w:hint="eastAsia" w:ascii="仿宋_GB2312" w:hAnsi="宋体" w:eastAsia="仿宋_GB2312" w:cs="宋体"/>
          <w:sz w:val="32"/>
          <w:szCs w:val="32"/>
        </w:rPr>
        <w:t>层组织</w:t>
      </w:r>
      <w:r>
        <w:rPr>
          <w:rFonts w:hint="eastAsia" w:ascii="仿宋_GB2312" w:hAnsi="MS Gothic" w:eastAsia="仿宋_GB2312" w:cs="MS Gothic"/>
          <w:sz w:val="32"/>
          <w:szCs w:val="32"/>
        </w:rPr>
        <w:t>建</w:t>
      </w:r>
      <w:r>
        <w:rPr>
          <w:rFonts w:hint="eastAsia" w:ascii="仿宋_GB2312" w:hAnsi="宋体" w:eastAsia="仿宋_GB2312" w:cs="宋体"/>
          <w:sz w:val="32"/>
          <w:szCs w:val="32"/>
        </w:rPr>
        <w:t>设</w:t>
      </w:r>
      <w:r>
        <w:rPr>
          <w:rFonts w:hint="eastAsia" w:ascii="仿宋_GB2312" w:hAnsi="MS Gothic" w:eastAsia="仿宋_GB2312" w:cs="MS Gothic"/>
          <w:sz w:val="32"/>
          <w:szCs w:val="32"/>
        </w:rPr>
        <w:t>、党</w:t>
      </w:r>
      <w:r>
        <w:rPr>
          <w:rFonts w:hint="eastAsia" w:ascii="仿宋_GB2312" w:hAnsi="宋体" w:eastAsia="仿宋_GB2312" w:cs="宋体"/>
          <w:sz w:val="32"/>
          <w:szCs w:val="32"/>
        </w:rPr>
        <w:t>风</w:t>
      </w:r>
      <w:r>
        <w:rPr>
          <w:rFonts w:hint="eastAsia" w:ascii="仿宋_GB2312" w:hAnsi="MS Gothic" w:eastAsia="仿宋_GB2312" w:cs="MS Gothic"/>
          <w:sz w:val="32"/>
          <w:szCs w:val="32"/>
        </w:rPr>
        <w:t>廉政建</w:t>
      </w:r>
      <w:r>
        <w:rPr>
          <w:rFonts w:hint="eastAsia" w:ascii="仿宋_GB2312" w:hAnsi="宋体" w:eastAsia="仿宋_GB2312" w:cs="宋体"/>
          <w:sz w:val="32"/>
          <w:szCs w:val="32"/>
        </w:rPr>
        <w:t>设</w:t>
      </w:r>
      <w:r>
        <w:rPr>
          <w:rFonts w:hint="eastAsia" w:ascii="仿宋_GB2312" w:hAnsi="MS Gothic" w:eastAsia="仿宋_GB2312" w:cs="MS Gothic"/>
          <w:sz w:val="32"/>
          <w:szCs w:val="32"/>
        </w:rPr>
        <w:t>，确保信</w:t>
      </w:r>
      <w:r>
        <w:rPr>
          <w:rFonts w:hint="eastAsia" w:ascii="仿宋_GB2312" w:hAnsi="宋体" w:eastAsia="仿宋_GB2312" w:cs="宋体"/>
          <w:sz w:val="32"/>
          <w:szCs w:val="32"/>
        </w:rPr>
        <w:t>访稳</w:t>
      </w:r>
      <w:r>
        <w:rPr>
          <w:rFonts w:hint="eastAsia" w:ascii="仿宋_GB2312" w:hAnsi="MS Gothic" w:eastAsia="仿宋_GB2312" w:cs="MS Gothic"/>
          <w:sz w:val="32"/>
          <w:szCs w:val="32"/>
        </w:rPr>
        <w:t>定、安全生</w:t>
      </w:r>
      <w:r>
        <w:rPr>
          <w:rFonts w:hint="eastAsia" w:ascii="仿宋_GB2312" w:hAnsi="宋体" w:eastAsia="仿宋_GB2312" w:cs="宋体"/>
          <w:sz w:val="32"/>
          <w:szCs w:val="32"/>
        </w:rPr>
        <w:t>产</w:t>
      </w:r>
      <w:r>
        <w:rPr>
          <w:rFonts w:hint="eastAsia" w:ascii="仿宋_GB2312" w:hAnsi="MS Gothic" w:eastAsia="仿宋_GB2312" w:cs="MS Gothic"/>
          <w:sz w:val="32"/>
          <w:szCs w:val="32"/>
        </w:rPr>
        <w:t>及社会事</w:t>
      </w:r>
      <w:r>
        <w:rPr>
          <w:rFonts w:hint="eastAsia" w:ascii="仿宋_GB2312" w:hAnsi="宋体" w:eastAsia="仿宋_GB2312" w:cs="宋体"/>
          <w:sz w:val="32"/>
          <w:szCs w:val="32"/>
        </w:rPr>
        <w:t>业</w:t>
      </w:r>
      <w:r>
        <w:rPr>
          <w:rFonts w:hint="eastAsia" w:ascii="仿宋_GB2312" w:hAnsi="MS Gothic" w:eastAsia="仿宋_GB2312" w:cs="MS Gothic"/>
          <w:sz w:val="32"/>
          <w:szCs w:val="32"/>
        </w:rPr>
        <w:t>等各方面完成或超</w:t>
      </w:r>
      <w:r>
        <w:rPr>
          <w:rFonts w:hint="eastAsia" w:ascii="仿宋_GB2312" w:hAnsi="宋体" w:eastAsia="仿宋_GB2312" w:cs="宋体"/>
          <w:sz w:val="32"/>
          <w:szCs w:val="32"/>
        </w:rPr>
        <w:t>额</w:t>
      </w:r>
      <w:r>
        <w:rPr>
          <w:rFonts w:hint="eastAsia" w:ascii="仿宋_GB2312" w:hAnsi="MS Gothic" w:eastAsia="仿宋_GB2312" w:cs="MS Gothic"/>
          <w:sz w:val="32"/>
          <w:szCs w:val="32"/>
        </w:rPr>
        <w:t>完成</w:t>
      </w:r>
      <w:r>
        <w:rPr>
          <w:rFonts w:hint="eastAsia" w:ascii="仿宋_GB2312" w:hAnsi="宋体" w:eastAsia="仿宋_GB2312" w:cs="宋体"/>
          <w:sz w:val="32"/>
          <w:szCs w:val="32"/>
        </w:rPr>
        <w:t>县</w:t>
      </w:r>
      <w:r>
        <w:rPr>
          <w:rFonts w:hint="eastAsia" w:ascii="仿宋_GB2312" w:hAnsi="MS Gothic" w:eastAsia="仿宋_GB2312" w:cs="MS Gothic"/>
          <w:sz w:val="32"/>
          <w:szCs w:val="32"/>
        </w:rPr>
        <w:t>定目</w:t>
      </w:r>
      <w:r>
        <w:rPr>
          <w:rFonts w:hint="eastAsia" w:ascii="仿宋_GB2312" w:hAnsi="宋体" w:eastAsia="仿宋_GB2312" w:cs="宋体"/>
          <w:sz w:val="32"/>
          <w:szCs w:val="32"/>
        </w:rPr>
        <w:t>标</w:t>
      </w:r>
      <w:r>
        <w:rPr>
          <w:rFonts w:hint="eastAsia" w:ascii="仿宋_GB2312" w:hAnsi="MS Gothic" w:eastAsia="仿宋_GB2312" w:cs="MS Gothic"/>
          <w:sz w:val="32"/>
          <w:szCs w:val="32"/>
        </w:rPr>
        <w:t>任</w:t>
      </w:r>
      <w:r>
        <w:rPr>
          <w:rFonts w:hint="eastAsia" w:ascii="仿宋_GB2312" w:hAnsi="宋体" w:eastAsia="仿宋_GB2312" w:cs="宋体"/>
          <w:sz w:val="32"/>
          <w:szCs w:val="32"/>
        </w:rPr>
        <w:t>务</w:t>
      </w:r>
      <w:r>
        <w:rPr>
          <w:rFonts w:hint="eastAsia" w:ascii="仿宋_GB2312" w:hAnsi="MS Gothic" w:eastAsia="仿宋_GB2312" w:cs="MS Gothic"/>
          <w:sz w:val="32"/>
          <w:szCs w:val="32"/>
        </w:rPr>
        <w:t>；完成村两委</w:t>
      </w:r>
      <w:r>
        <w:rPr>
          <w:rFonts w:hint="eastAsia" w:ascii="仿宋_GB2312" w:hAnsi="宋体" w:eastAsia="仿宋_GB2312" w:cs="宋体"/>
          <w:sz w:val="32"/>
          <w:szCs w:val="32"/>
        </w:rPr>
        <w:t>换</w:t>
      </w:r>
      <w:r>
        <w:rPr>
          <w:rFonts w:hint="eastAsia" w:ascii="仿宋_GB2312" w:hAnsi="MS Gothic" w:eastAsia="仿宋_GB2312" w:cs="MS Gothic"/>
          <w:sz w:val="32"/>
          <w:szCs w:val="32"/>
        </w:rPr>
        <w:t>届工作。</w:t>
      </w:r>
    </w:p>
    <w:p>
      <w:pPr>
        <w:spacing w:line="500" w:lineRule="exact"/>
        <w:ind w:firstLine="560"/>
        <w:rPr>
          <w:rFonts w:ascii="仿宋_GB2312" w:eastAsia="仿宋_GB2312"/>
          <w:sz w:val="32"/>
          <w:szCs w:val="32"/>
        </w:rPr>
      </w:pPr>
    </w:p>
    <w:p>
      <w:pPr>
        <w:jc w:val="left"/>
        <w:rPr>
          <w:rFonts w:ascii="仿宋_GB2312" w:eastAsia="仿宋_GB2312"/>
          <w:b/>
          <w:sz w:val="32"/>
          <w:szCs w:val="32"/>
        </w:rPr>
      </w:pPr>
      <w:r>
        <w:rPr>
          <w:rFonts w:hint="eastAsia" w:ascii="仿宋_GB2312" w:eastAsia="仿宋_GB2312"/>
          <w:b/>
          <w:sz w:val="32"/>
          <w:szCs w:val="32"/>
        </w:rPr>
        <w:t xml:space="preserve">    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一、党建工作经费：</w:t>
      </w:r>
    </w:p>
    <w:p>
      <w:pPr>
        <w:spacing w:line="500" w:lineRule="exact"/>
        <w:ind w:firstLine="560"/>
        <w:rPr>
          <w:rFonts w:ascii="仿宋_GB2312" w:eastAsia="仿宋_GB2312"/>
          <w:sz w:val="32"/>
          <w:szCs w:val="32"/>
        </w:rPr>
      </w:pPr>
      <w:r>
        <w:rPr>
          <w:rFonts w:hint="eastAsia" w:ascii="仿宋_GB2312" w:eastAsia="仿宋_GB2312"/>
          <w:sz w:val="32"/>
          <w:szCs w:val="32"/>
        </w:rPr>
        <w:t>实施计划：坚持党要管党、从严治党，发扬党内民主，加强党内监督，充分发挥党的思想政治优势、组织优势和密切联系群众的优势，发挥党组织的协助和监督作用，把服务中心、建设队伍贯穿始终，在全省党的基层组织建设中走在前头，</w:t>
      </w:r>
    </w:p>
    <w:p>
      <w:pPr>
        <w:spacing w:line="500" w:lineRule="exact"/>
        <w:ind w:firstLine="560"/>
        <w:rPr>
          <w:rFonts w:ascii="仿宋_GB2312" w:eastAsia="仿宋_GB2312"/>
          <w:sz w:val="32"/>
          <w:szCs w:val="32"/>
        </w:rPr>
      </w:pPr>
      <w:r>
        <w:rPr>
          <w:rFonts w:hint="eastAsia" w:ascii="仿宋_GB2312" w:eastAsia="仿宋_GB2312"/>
          <w:sz w:val="32"/>
          <w:szCs w:val="32"/>
        </w:rPr>
        <w:t>绩效目标：以改革创新精神加强党的思想建设、组织建设、作风建设、制度建设和反腐倡廉建设，提高党的建设科学化水平。</w:t>
      </w:r>
    </w:p>
    <w:p>
      <w:pPr>
        <w:spacing w:line="500" w:lineRule="exact"/>
        <w:ind w:firstLine="560"/>
        <w:rPr>
          <w:rFonts w:ascii="仿宋_GB2312" w:eastAsia="仿宋_GB2312"/>
          <w:sz w:val="32"/>
          <w:szCs w:val="32"/>
        </w:rPr>
      </w:pPr>
      <w:r>
        <w:rPr>
          <w:rFonts w:hint="eastAsia" w:ascii="仿宋_GB2312" w:eastAsia="仿宋_GB2312"/>
          <w:sz w:val="32"/>
          <w:szCs w:val="32"/>
        </w:rPr>
        <w:t>二、人大代表之家工作经费：</w:t>
      </w:r>
    </w:p>
    <w:p>
      <w:pPr>
        <w:spacing w:line="500" w:lineRule="exact"/>
        <w:ind w:firstLine="560"/>
        <w:rPr>
          <w:rFonts w:ascii="仿宋_GB2312" w:eastAsia="仿宋_GB2312"/>
          <w:sz w:val="32"/>
          <w:szCs w:val="32"/>
        </w:rPr>
      </w:pPr>
      <w:r>
        <w:rPr>
          <w:rFonts w:hint="eastAsia" w:ascii="仿宋_GB2312" w:eastAsia="仿宋_GB2312"/>
          <w:sz w:val="32"/>
          <w:szCs w:val="32"/>
        </w:rPr>
        <w:t>实施计划：建立健全代表联络机构、网络平台等形式密切代表同群众的联系；学习宣传培训，学习宣传宪法法律和党的路线方针政策及各级党委政府重大决策部署，定期开展代表活动，征求群众意见建议，就热点难点问题开展调研。</w:t>
      </w:r>
    </w:p>
    <w:p>
      <w:pPr>
        <w:spacing w:line="500" w:lineRule="exact"/>
        <w:ind w:firstLine="560"/>
        <w:rPr>
          <w:rFonts w:ascii="仿宋_GB2312" w:eastAsia="仿宋_GB2312"/>
          <w:sz w:val="32"/>
          <w:szCs w:val="32"/>
        </w:rPr>
      </w:pPr>
      <w:r>
        <w:rPr>
          <w:rFonts w:hint="eastAsia" w:ascii="仿宋_GB2312" w:eastAsia="仿宋_GB2312"/>
          <w:sz w:val="32"/>
          <w:szCs w:val="32"/>
        </w:rPr>
        <w:t>绩效目标：学习宣传培训，开展代表活动，密切联系群众，定期开展人大代表接访、走访、约访、回访等工作，接受群众监督，提出议案建议。</w:t>
      </w:r>
    </w:p>
    <w:p>
      <w:pPr>
        <w:spacing w:line="500" w:lineRule="exact"/>
        <w:ind w:firstLine="560"/>
        <w:rPr>
          <w:rFonts w:ascii="仿宋_GB2312" w:eastAsia="仿宋_GB2312"/>
          <w:sz w:val="32"/>
          <w:szCs w:val="32"/>
        </w:rPr>
      </w:pPr>
      <w:r>
        <w:rPr>
          <w:rFonts w:hint="eastAsia" w:ascii="仿宋_GB2312" w:eastAsia="仿宋_GB2312"/>
          <w:sz w:val="32"/>
          <w:szCs w:val="32"/>
        </w:rPr>
        <w:t>三、团委工作经费：</w:t>
      </w:r>
    </w:p>
    <w:p>
      <w:pPr>
        <w:spacing w:line="500" w:lineRule="exact"/>
        <w:ind w:firstLine="560"/>
        <w:rPr>
          <w:rFonts w:ascii="仿宋_GB2312" w:eastAsia="仿宋_GB2312"/>
          <w:sz w:val="32"/>
          <w:szCs w:val="32"/>
        </w:rPr>
      </w:pPr>
      <w:r>
        <w:rPr>
          <w:rFonts w:hint="eastAsia" w:ascii="仿宋_GB2312" w:eastAsia="仿宋_GB2312"/>
          <w:sz w:val="32"/>
          <w:szCs w:val="32"/>
        </w:rPr>
        <w:t>实施计划：指导全乡青联、学联和少先队工作，对全乡青年社团组织进行指导和管理。围绕青少年思想动态和青少年工作现况，不断加强青少年社会主义核心价值观教育，有效利用网络和新媒体加强对青年的宣传力度.</w:t>
      </w:r>
    </w:p>
    <w:p>
      <w:pPr>
        <w:spacing w:line="500" w:lineRule="exact"/>
        <w:ind w:firstLine="560"/>
        <w:rPr>
          <w:rFonts w:ascii="仿宋_GB2312" w:eastAsia="仿宋_GB2312"/>
          <w:sz w:val="32"/>
          <w:szCs w:val="32"/>
        </w:rPr>
      </w:pPr>
      <w:r>
        <w:rPr>
          <w:rFonts w:hint="eastAsia" w:ascii="仿宋_GB2312" w:eastAsia="仿宋_GB2312"/>
          <w:sz w:val="32"/>
          <w:szCs w:val="32"/>
        </w:rPr>
        <w:t>绩效目标：加强青年社团组织以及青少年活动阵地的指导和管理。构建团的网络新媒体工作阵地，运用新媒体全方位推进团的工作；利用重要节点节日、各类阵地、各种形式进行思想引导，培养青年骨干，打造适应青少年特点的文化产品。.</w:t>
      </w:r>
    </w:p>
    <w:p>
      <w:pPr>
        <w:spacing w:line="500" w:lineRule="exact"/>
        <w:ind w:firstLine="560"/>
        <w:rPr>
          <w:rFonts w:ascii="仿宋_GB2312" w:eastAsia="仿宋_GB2312"/>
          <w:sz w:val="32"/>
          <w:szCs w:val="32"/>
        </w:rPr>
      </w:pPr>
      <w:r>
        <w:rPr>
          <w:rFonts w:hint="eastAsia" w:ascii="仿宋_GB2312" w:eastAsia="仿宋_GB2312"/>
          <w:sz w:val="32"/>
          <w:szCs w:val="32"/>
        </w:rPr>
        <w:t>四、扶贫工作经费：</w:t>
      </w:r>
    </w:p>
    <w:p>
      <w:pPr>
        <w:spacing w:line="500" w:lineRule="exact"/>
        <w:ind w:firstLine="560"/>
        <w:rPr>
          <w:rFonts w:ascii="仿宋_GB2312" w:eastAsia="仿宋_GB2312"/>
          <w:sz w:val="32"/>
          <w:szCs w:val="32"/>
        </w:rPr>
      </w:pPr>
      <w:r>
        <w:rPr>
          <w:rFonts w:hint="eastAsia" w:ascii="仿宋_GB2312" w:eastAsia="仿宋_GB2312"/>
          <w:sz w:val="32"/>
          <w:szCs w:val="32"/>
        </w:rPr>
        <w:t>实施计划：在2018年7月完成脱贫攻坚任务，人民收入显著提高，生活水平明显改善。</w:t>
      </w:r>
    </w:p>
    <w:p>
      <w:pPr>
        <w:spacing w:line="500" w:lineRule="exact"/>
        <w:ind w:firstLine="560"/>
        <w:rPr>
          <w:rFonts w:ascii="仿宋_GB2312" w:eastAsia="仿宋_GB2312"/>
          <w:sz w:val="32"/>
          <w:szCs w:val="32"/>
        </w:rPr>
      </w:pPr>
      <w:r>
        <w:rPr>
          <w:rFonts w:hint="eastAsia" w:ascii="仿宋_GB2312" w:eastAsia="仿宋_GB2312"/>
          <w:sz w:val="32"/>
          <w:szCs w:val="32"/>
        </w:rPr>
        <w:t>绩效目标：包村领导、干部入户一对一帮扶，通过生活帮助、政策帮扶、产业帮扶，实现脱贫；对十三五贫困村扶贫资金足额拨付到位，保证扶贫产业落实到位并充分发挥作用；建档立卡贫困户全部实现脱贫，圆满完成脱贫攻坚工作。</w:t>
      </w:r>
    </w:p>
    <w:p>
      <w:pPr>
        <w:spacing w:line="500" w:lineRule="exact"/>
        <w:ind w:firstLine="560"/>
        <w:rPr>
          <w:rFonts w:ascii="仿宋_GB2312" w:eastAsia="仿宋_GB2312"/>
          <w:sz w:val="32"/>
          <w:szCs w:val="32"/>
        </w:rPr>
      </w:pPr>
      <w:r>
        <w:rPr>
          <w:rFonts w:hint="eastAsia" w:ascii="仿宋_GB2312" w:eastAsia="仿宋_GB2312"/>
          <w:sz w:val="32"/>
          <w:szCs w:val="32"/>
        </w:rPr>
        <w:t>五、燃煤锅炉改造及清洁能源补助：</w:t>
      </w:r>
    </w:p>
    <w:p>
      <w:pPr>
        <w:spacing w:line="500" w:lineRule="exact"/>
        <w:ind w:firstLine="560"/>
        <w:rPr>
          <w:rFonts w:ascii="仿宋_GB2312" w:eastAsia="仿宋_GB2312"/>
          <w:sz w:val="32"/>
          <w:szCs w:val="32"/>
        </w:rPr>
      </w:pPr>
      <w:r>
        <w:rPr>
          <w:rFonts w:hint="eastAsia" w:ascii="仿宋_GB2312" w:eastAsia="仿宋_GB2312"/>
          <w:sz w:val="32"/>
          <w:szCs w:val="32"/>
        </w:rPr>
        <w:t>实施计划：加快推进煤改电煤改新能源，取缔燃煤锅炉供暖，使用清洁能源，改善、治理大气污染。</w:t>
      </w:r>
    </w:p>
    <w:p>
      <w:pPr>
        <w:spacing w:line="500" w:lineRule="exact"/>
        <w:ind w:firstLine="560"/>
        <w:rPr>
          <w:rFonts w:ascii="仿宋_GB2312" w:eastAsia="仿宋_GB2312"/>
          <w:sz w:val="32"/>
          <w:szCs w:val="32"/>
        </w:rPr>
      </w:pPr>
      <w:r>
        <w:rPr>
          <w:rFonts w:hint="eastAsia" w:ascii="仿宋_GB2312" w:eastAsia="仿宋_GB2312"/>
          <w:sz w:val="32"/>
          <w:szCs w:val="32"/>
        </w:rPr>
        <w:t>绩效目标：通过改用天然气、电、生物质燃料、醇基燃料、洁净型煤、兰炭，确保实现污染物稳定达标排放。</w:t>
      </w:r>
    </w:p>
    <w:p>
      <w:pPr>
        <w:spacing w:line="500" w:lineRule="exact"/>
        <w:ind w:firstLine="560"/>
        <w:rPr>
          <w:rFonts w:ascii="仿宋_GB2312" w:eastAsia="仿宋_GB2312"/>
          <w:sz w:val="32"/>
          <w:szCs w:val="32"/>
        </w:rPr>
      </w:pPr>
      <w:r>
        <w:rPr>
          <w:rFonts w:hint="eastAsia" w:ascii="仿宋_GB2312" w:eastAsia="仿宋_GB2312"/>
          <w:sz w:val="32"/>
          <w:szCs w:val="32"/>
        </w:rPr>
        <w:t>六、严重精神病障碍患者监护责任险：</w:t>
      </w:r>
    </w:p>
    <w:p>
      <w:pPr>
        <w:spacing w:line="500" w:lineRule="exact"/>
        <w:ind w:firstLine="560"/>
        <w:rPr>
          <w:rFonts w:ascii="仿宋_GB2312" w:eastAsia="仿宋_GB2312"/>
          <w:sz w:val="32"/>
          <w:szCs w:val="32"/>
        </w:rPr>
      </w:pPr>
      <w:r>
        <w:rPr>
          <w:rFonts w:hint="eastAsia" w:ascii="仿宋_GB2312" w:eastAsia="仿宋_GB2312"/>
          <w:sz w:val="32"/>
          <w:szCs w:val="32"/>
        </w:rPr>
        <w:t>实施计划：为了减少辖区内的严重精神障碍患者监护人损失，增强监护人的社会保障，保护他们的生命财产安全，按照县政法委的要求，给予严重精神障碍患者监护人每人每年100元的人身保险，于每年的第四季度按时缴纳。</w:t>
      </w:r>
    </w:p>
    <w:p>
      <w:pPr>
        <w:spacing w:line="500" w:lineRule="exact"/>
        <w:ind w:firstLine="560"/>
        <w:rPr>
          <w:rFonts w:ascii="仿宋_GB2312" w:eastAsia="仿宋_GB2312"/>
          <w:sz w:val="32"/>
          <w:szCs w:val="32"/>
        </w:rPr>
      </w:pPr>
      <w:r>
        <w:rPr>
          <w:rFonts w:hint="eastAsia" w:ascii="仿宋_GB2312" w:eastAsia="仿宋_GB2312"/>
          <w:sz w:val="32"/>
          <w:szCs w:val="32"/>
        </w:rPr>
        <w:t>绩效目标：做好严重精神障碍患者管控工作是防范公共安全风险人重要内容，为严重精神障碍患者监护人办理相关保险业，预防一旦发生严重精神障碍患者伤及人身、损坏财物事件生，通过政府出资投保的方式，通过保险理赔，减少监护人的经济损失。</w:t>
      </w:r>
    </w:p>
    <w:p>
      <w:pPr>
        <w:spacing w:line="500" w:lineRule="exact"/>
        <w:ind w:firstLine="560"/>
        <w:rPr>
          <w:rFonts w:ascii="仿宋_GB2312" w:eastAsia="仿宋_GB2312"/>
          <w:sz w:val="32"/>
          <w:szCs w:val="32"/>
        </w:rPr>
      </w:pPr>
      <w:r>
        <w:rPr>
          <w:rFonts w:hint="eastAsia" w:ascii="仿宋_GB2312" w:eastAsia="仿宋_GB2312"/>
          <w:sz w:val="32"/>
          <w:szCs w:val="32"/>
        </w:rPr>
        <w:t>七：综治工作经费：</w:t>
      </w:r>
    </w:p>
    <w:p>
      <w:pPr>
        <w:spacing w:line="500" w:lineRule="exact"/>
        <w:ind w:firstLine="560"/>
        <w:rPr>
          <w:rFonts w:ascii="仿宋_GB2312" w:eastAsia="仿宋_GB2312"/>
          <w:sz w:val="32"/>
          <w:szCs w:val="32"/>
        </w:rPr>
      </w:pPr>
      <w:r>
        <w:rPr>
          <w:rFonts w:hint="eastAsia" w:ascii="仿宋_GB2312" w:eastAsia="仿宋_GB2312"/>
          <w:sz w:val="32"/>
          <w:szCs w:val="32"/>
        </w:rPr>
        <w:t>实施计划：建立完善协调联动机制、全面落实网格化管理机制，协助司法机关打击各类违法犯罪活动和信访工作。负责对越级访、进京访、集体访等突发性事件进行协调沟通、劝导教育及接访等工作。</w:t>
      </w:r>
    </w:p>
    <w:p>
      <w:pPr>
        <w:spacing w:line="500" w:lineRule="exact"/>
        <w:ind w:firstLine="560"/>
        <w:rPr>
          <w:rFonts w:ascii="仿宋_GB2312" w:eastAsia="仿宋_GB2312"/>
          <w:sz w:val="32"/>
          <w:szCs w:val="32"/>
        </w:rPr>
      </w:pPr>
      <w:r>
        <w:rPr>
          <w:rFonts w:hint="eastAsia" w:ascii="仿宋_GB2312" w:eastAsia="仿宋_GB2312"/>
          <w:sz w:val="32"/>
          <w:szCs w:val="32"/>
        </w:rPr>
        <w:t>绩效目标：通过贯彻执行国家的法律法规和政策，加大依法行政的力度，维护农业农村工作的稳定；加强法制宣传教育、提高公民的法律意识和素质，教育农民知法、懂法和守法；协助司法机关打击各类刑事犯罪活动，妥善处理突发性、群体性事件。</w:t>
      </w:r>
    </w:p>
    <w:p>
      <w:pPr>
        <w:spacing w:line="500" w:lineRule="exact"/>
        <w:ind w:firstLine="560"/>
        <w:rPr>
          <w:rFonts w:ascii="仿宋_GB2312" w:eastAsia="仿宋_GB2312"/>
          <w:sz w:val="32"/>
          <w:szCs w:val="32"/>
        </w:rPr>
      </w:pPr>
      <w:r>
        <w:rPr>
          <w:rFonts w:hint="eastAsia" w:ascii="仿宋_GB2312" w:eastAsia="仿宋_GB2312"/>
          <w:sz w:val="32"/>
          <w:szCs w:val="32"/>
        </w:rPr>
        <w:t>八、防火防汛工作经费：</w:t>
      </w:r>
    </w:p>
    <w:p>
      <w:pPr>
        <w:spacing w:line="500" w:lineRule="exact"/>
        <w:ind w:firstLine="560"/>
        <w:rPr>
          <w:rFonts w:ascii="仿宋_GB2312" w:eastAsia="仿宋_GB2312"/>
          <w:sz w:val="32"/>
          <w:szCs w:val="32"/>
        </w:rPr>
      </w:pPr>
      <w:r>
        <w:rPr>
          <w:rFonts w:hint="eastAsia" w:ascii="仿宋_GB2312" w:eastAsia="仿宋_GB2312"/>
          <w:sz w:val="32"/>
          <w:szCs w:val="32"/>
        </w:rPr>
        <w:t>实施计划：用于林业防火宣传培训和排查、生态公益林管护及野生动植物、森林、湿地资源及农业环境的保护，防汛抗旱技术服务工作，维护农村饮水安全，组织协调农业水利基本建设和水土保持等工作支出。</w:t>
      </w:r>
    </w:p>
    <w:p>
      <w:pPr>
        <w:spacing w:line="500" w:lineRule="exact"/>
        <w:ind w:firstLine="560"/>
        <w:rPr>
          <w:rFonts w:ascii="仿宋_GB2312" w:eastAsia="仿宋_GB2312"/>
          <w:sz w:val="32"/>
          <w:szCs w:val="32"/>
        </w:rPr>
      </w:pPr>
      <w:r>
        <w:rPr>
          <w:rFonts w:hint="eastAsia" w:ascii="仿宋_GB2312" w:eastAsia="仿宋_GB2312"/>
          <w:sz w:val="32"/>
          <w:szCs w:val="32"/>
        </w:rPr>
        <w:t>绩效目标：组织护林防火、生态公益林管护及野生动植物、森林、湿地资源及农业环境的保护；组织协调水资源管理、监测、保护、节约和防汛抗旱技术服务工作，维护农村饮水安全，组织协调农业水利基本建设和水土保持。</w:t>
      </w:r>
    </w:p>
    <w:p>
      <w:pPr>
        <w:spacing w:line="500" w:lineRule="exact"/>
        <w:ind w:firstLine="560"/>
        <w:rPr>
          <w:rFonts w:ascii="仿宋_GB2312" w:eastAsia="仿宋_GB2312"/>
          <w:sz w:val="32"/>
          <w:szCs w:val="32"/>
        </w:rPr>
      </w:pPr>
    </w:p>
    <w:p>
      <w:pPr>
        <w:ind w:firstLine="560"/>
        <w:rPr>
          <w:rFonts w:ascii="仿宋_GB2312" w:hAnsi="Times New Roman" w:eastAsia="仿宋_GB2312" w:cs="Times New Roman"/>
          <w:sz w:val="32"/>
          <w:szCs w:val="32"/>
        </w:rPr>
      </w:pP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0"/>
    <w:p>
      <w:pPr>
        <w:jc w:val="center"/>
        <w:outlineLvl w:val="0"/>
        <w:rPr>
          <w:rFonts w:ascii="方正小标宋_GBK" w:hAnsi="Calibri" w:eastAsia="方正小标宋_GBK" w:cs="Times New Roman"/>
          <w:sz w:val="32"/>
        </w:rPr>
      </w:pPr>
      <w:bookmarkStart w:id="1" w:name="_Toc504489147"/>
      <w:r>
        <w:rPr>
          <w:rFonts w:hint="eastAsia" w:ascii="方正小标宋_GBK" w:hAnsi="Calibri" w:eastAsia="方正小标宋_GBK" w:cs="Times New Roman"/>
          <w:sz w:val="32"/>
        </w:rPr>
        <w:t>部门职责-工作活动绩效目标</w:t>
      </w:r>
      <w:bookmarkEnd w:id="1"/>
    </w:p>
    <w:p>
      <w:pPr>
        <w:spacing w:line="300" w:lineRule="exact"/>
        <w:jc w:val="left"/>
        <w:outlineLvl w:val="0"/>
        <w:rPr>
          <w:rFonts w:ascii="Calibri" w:hAnsi="Calibri" w:eastAsia="宋体" w:cs="Times New Roman"/>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920</w:t>
            </w:r>
            <w:r>
              <w:rPr>
                <w:rFonts w:hint="eastAsia" w:ascii="方正小标宋_GBK" w:eastAsia="方正小标宋_GBK"/>
                <w:sz w:val="24"/>
              </w:rPr>
              <w:t>马圈子镇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一、公共事务服务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城居民养老保险、新农合收缴工作；承担安全生产综合监督管理责任，依法行使综合监督管理职权；依法开展执法检查工作，对发现的安全生产违法行为依法进行行政处罚，遏制重特大事故发生，确保全安全生产形势稳定。管理和指导全镇文化建设，，提供公共文化服务。负责人口和计划生育政策法规的宣传工作及相关服务工作；负责排查</w:t>
            </w:r>
            <w:bookmarkStart w:id="4" w:name="_GoBack"/>
            <w:bookmarkEnd w:id="4"/>
            <w:r>
              <w:rPr>
                <w:rFonts w:hint="eastAsia" w:ascii="方正书宋_GBK" w:eastAsia="方正书宋_GBK"/>
              </w:rPr>
              <w:t>管理本辖区流动人口计划生育工作。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促进失业人员再就业，转移农村劳动力。养老保险参保率达到</w:t>
            </w:r>
            <w:r>
              <w:rPr>
                <w:rFonts w:ascii="方正书宋_GBK" w:eastAsia="方正书宋_GBK"/>
              </w:rPr>
              <w:t>90%</w:t>
            </w:r>
            <w:r>
              <w:rPr>
                <w:rFonts w:hint="eastAsia" w:ascii="方正书宋_GBK" w:eastAsia="方正书宋_GBK"/>
              </w:rPr>
              <w:t>以上，做到老有所养。扩大各项保险的覆盖面，及时足额落实社会保险待遇。加强监管能力，强化执法检查，确保安全生产无隐患。丰富群众业余生活，提升群众生活质量，增加人民幸福指数。推进基本公共卫生服务均等化；控制各类重大疾病的发生与传播；保障妇女儿童身心健康。</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、劳动保障就业服务、新农合和农保工作；安全生产监督管理事务；公共文化服务工作。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按年度收缴城居民养老保险费用；组织、引导、支持，农民自愿参加新型农村合作医疗，提高农村居民的医疗保障水平；建立大病保险制度；对城居民因患大病发生的高额医疗费用给予报销。定期组织在全镇开展安全生产督导检查活动，对重点行业和作业场所职业卫生安全生产进行督导检查，加强行政执法监察，依法对违法行为实施行政处罚；不断加强安全生产监管能力建设，改善执法检测、监察检查等能力。推动全各级文化服务机构，建立公共文化资源共享机制，健全公共文化服务网络。运用多种文化艺术手段，组织开展丰富多彩的群众性文化、艺术、体育活动，提高农民基本素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改善农村计划怀孕夫妇健康状况，降低出生缺陷发生风险；为各类育龄人群提供安全、有效避孕节育技术服务</w:t>
            </w:r>
            <w:r>
              <w:rPr>
                <w:rFonts w:ascii="方正书宋_GBK" w:eastAsia="方正书宋_GBK"/>
              </w:rPr>
              <w:t>.</w:t>
            </w:r>
            <w:r>
              <w:rPr>
                <w:rFonts w:hint="eastAsia" w:ascii="方正书宋_GBK" w:eastAsia="方正书宋_GBK"/>
              </w:rPr>
              <w:t>为推进计生工作，做好宣传教育和咨询服务。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就业率在全县排名情况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城乡居民养老保险参保率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城乡居民医疗保险参保率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安全生产督导检查覆盖率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文化工作在全县排名情况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有无计划外生育</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二、扶贫和农业开发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负责脱贫攻坚的组织协调督导及上报反馈工作。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完成脱贫攻坚任务，人民收入显著提高，生活水平明显改善。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、扶贫工作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辖区内所有建档立卡等四类人群现有危房全部纳入危房改造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各级抽查及自查结果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成为样版</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不完善</w:t>
            </w:r>
            <w:r>
              <w:rPr>
                <w:rFonts w:ascii="方正书宋_GBK" w:eastAsia="方正书宋_GBK"/>
              </w:rPr>
              <w:t xml:space="preserve">  </w:t>
            </w:r>
            <w:r>
              <w:rPr>
                <w:rFonts w:hint="eastAsia" w:ascii="方正书宋_GBK" w:eastAsia="方正书宋_GBK"/>
              </w:rPr>
              <w:t>需整改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脱贫人口比率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经费预算保障情况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落实到位数额合理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纳入预算数额较小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纳入预算未设专项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未纳入预算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拨付比例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三、基层党建机关效能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组织协调全乡党风廉政建设和反腐败宣传、教育、课题研究、法规起草修订等工作；承担乡党委惩治和预防腐败体系领导小组办公室的日常工作。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、基层党建机关效能</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对于上级部署的工作，开展及时、落实到位。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全县信息工作排名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廉政建设及微腐败治理工作考核分数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四、人大活动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为保障各级人大代表依法行使职权，拓宽履职渠道，健全完善代表联系群众的组织网络体系，密切代表同人民群众的联系，不断活跃人大代表工作。</w:t>
            </w:r>
          </w:p>
        </w:tc>
        <w:tc>
          <w:tcPr>
            <w:tcW w:w="2976"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人大代表之家</w:t>
            </w:r>
            <w:r>
              <w:rPr>
                <w:rFonts w:hint="cs" w:ascii="方正书宋_GBK" w:eastAsia="方正书宋_GBK"/>
              </w:rPr>
              <w:t>”</w:t>
            </w:r>
            <w:r>
              <w:rPr>
                <w:rFonts w:hint="eastAsia" w:ascii="方正书宋_GBK" w:eastAsia="方正书宋_GBK"/>
              </w:rPr>
              <w:t>是闭会期间人大代表依法履职的基地、学习交流的课堂、联系服务群众的桥梁、民主法治建设的阵地、宣传人大工作的平台。</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、人大代表之家活动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学习宣传培训；开展代表活动；密切联系群众，定期开展人大代表接访、走访、约访、回访等；接受群众监督；提出议案建议；交流履职经验。</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学习宣传培训，学习宣传宪法、法律和党的路线方针政策及各级党委政府重大决策部署。</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人大代表活动举办次数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15-23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五、共青团工作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领导全共青团工作；协助政府教育部门做好学生教育管理工作。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基层团组织和青年组织建设加强，活力明显提升。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、团组织建设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指导全乡青联、学联和少先队工作，对全乡青年社团组织进行指导和管理。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有效利用网络和新媒体加强对青年的宣传力度，加强网络和新媒体正面宣传，用科学理论武装青年，用共同理想感召青年，用核心价值观引领青年，协助县政府教育部门做好中、小学学生的教育管理工作。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团组织发展情况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举办学习贯彻习近平总书记系列重要讲话精神青年读书班期数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6-11</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4-5</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期及以下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受到县委、省市团领导肯定性批示次数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县青联委员、学联代表参加活动或培训覆盖率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六、政府运行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政府日常工作、政务公开、政府会议管理、督察督办、政务联络、等工作；推进燃煤锅炉改造清洁能源使用工作。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有效开展大气治理工作，落实燃煤锅炉改造清洁能源补贴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、行政运行</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指导和协调全政务公开及政务服务中心建设、推进行政服务体系标准化建设工作。强化机关效能建设，打造阳光政府。转变职能，提高效率。带头推进大气治理燃煤锅炉改造项目，有效提升大气治理质量。</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提高效能，全力提升为民服务水平；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全年工作正常开展率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燃煤锅炉改造清洁能源使用情况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改造完成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即将完成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正在改造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依然在用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全乡基础设施建设完成率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全年税收收入完成情况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4-8</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9-20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名及之后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房屋建筑物、水电路等建设项目</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城镇美化、亮化、硬化建设情况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基础设施建设情况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七、资产财务管理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编报乡镇年度财政收支预算、决算并组织预算执行；监督财政资金使用，落实强农惠民补贴政策、指导乡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严格执行</w:t>
            </w:r>
            <w:r>
              <w:rPr>
                <w:rFonts w:hint="eastAsia" w:ascii="方正书宋_GBK" w:eastAsia="方正书宋_GBK"/>
                <w:lang w:eastAsia="zh-CN"/>
              </w:rPr>
              <w:t>《中华人民共和国预算法》</w:t>
            </w:r>
            <w:r>
              <w:rPr>
                <w:rFonts w:hint="eastAsia" w:ascii="方正书宋_GBK" w:eastAsia="方正书宋_GBK"/>
              </w:rPr>
              <w:t>，不断完善财经管理，规范财务手续；及时准确登记本单位的资产情况，对不能的使用的资产应及时按程序进行处置，建立健全化债专项资金监督检查机制。依法依规履行村级管理职责，确保村级管理正常有序运行。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、财政预决算编制及公开；资产管理；机关财务管理；化债资金的管理与使用；村级财务管理；村级事务管理等。</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w:t>
            </w:r>
            <w:r>
              <w:rPr>
                <w:rFonts w:hint="eastAsia" w:ascii="方正书宋_GBK" w:eastAsia="方正书宋_GBK"/>
                <w:lang w:eastAsia="zh-CN"/>
              </w:rPr>
              <w:t>《中华人民共和国预算法》</w:t>
            </w:r>
            <w:r>
              <w:rPr>
                <w:rFonts w:hint="eastAsia" w:ascii="方正书宋_GBK" w:eastAsia="方正书宋_GBK"/>
              </w:rPr>
              <w:t>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根据单位实际据实开展财政预决算工作，严格按照实际情况开展预决算工作。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按时限公开</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不按照时限公开或不公开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资产使用率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村务公开比例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化债资金专项使用效率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村集体发展资金拨付到位率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八、综治工作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6.96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承担社会治安综合治理和司法行政工作职责。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加强社会治安综合治理，维护社会稳定，搞好农村矛盾纠纷隐患排查调处。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、社会治安综合治理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6.96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落实领导接访日制度，做好群众信访接待工作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发生非访情况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网格化落实比率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接访处理及时性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当日处理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一周内处理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两月内处理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九、社会事务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承担民政管理职责；负责卫生和计划生育工作；负责食品药品监察工作。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提升群众的安全感、幸福感，把民政救助政策落实到位，把党的惠民政策落实好，让困难群众切实得到救助，解决群众十级困难，抓好食品药品安全工作；搞好计生服务工作，优生优育。</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、民政管理、计生服务及食品药品监察等社会事务工作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发展社会事业和加强社会管理职责，负责民政社会救助体系建设，负责城居民最低生活保障、五保供养、医疗救助、优抚工作，基层政权建设；做好拥军优属工作，接好优待、老军属、老军人伤残军人扶恤金发放工作。做好社会残疾人优待工作，帮他们排忧解难的思想工作和等级办证及福利待遇等工作。</w:t>
            </w:r>
            <w:r>
              <w:rPr>
                <w:rFonts w:ascii="方正书宋_GBK" w:eastAsia="方正书宋_GBK"/>
              </w:rPr>
              <w:t xml:space="preserve">                </w:t>
            </w:r>
          </w:p>
          <w:p>
            <w:pPr>
              <w:spacing w:line="300" w:lineRule="exact"/>
              <w:jc w:val="left"/>
              <w:rPr>
                <w:rFonts w:ascii="方正书宋_GBK" w:eastAsia="方正书宋_GBK"/>
              </w:rPr>
            </w:pPr>
            <w:r>
              <w:rPr>
                <w:rFonts w:hint="eastAsia" w:ascii="方正书宋_GBK" w:eastAsia="方正书宋_GBK"/>
              </w:rPr>
              <w:t>对各营业网点、饭店商店药店进行定期检查，对过期、假冒伪劣商品进行处理。</w:t>
            </w:r>
            <w:r>
              <w:rPr>
                <w:rFonts w:ascii="方正书宋_GBK" w:eastAsia="方正书宋_GBK"/>
              </w:rPr>
              <w:t xml:space="preserve"> </w:t>
            </w:r>
            <w:r>
              <w:rPr>
                <w:rFonts w:hint="eastAsia" w:ascii="方正书宋_GBK" w:eastAsia="方正书宋_GBK"/>
              </w:rPr>
              <w:t>承担本乡镇卫生计生管理服务工作；配合做好卫生计生有关证件审核、办理、发放，做好计划生育奖励优惠工作；做好计划生育统计和流动人口计划生育服务管理；做好卫生计生宣传教育工作；履行基层公共卫生职能，组织指导乡镇妇幼保健计划生育服务站和村民委员会做好妇幼健康计划生育服务工作；发挥育龄小组长作用，组织开展卫生和计划生育业务培训工作；做好县级卫生计生行政部门和乡镇党委、政府交办的其他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做好卫生计生证件审核、办理、发放和统计宣传工作。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低保建档立卡贫困户申报审核结果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年平均检查次数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不足</w:t>
            </w:r>
            <w:r>
              <w:rPr>
                <w:rFonts w:ascii="方正书宋_GBK" w:eastAsia="方正书宋_GBK"/>
              </w:rPr>
              <w:t>2</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办理业务的群众对业务人员的评价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联查结果全县排名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4-10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11-20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十、城镇规划建设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负责村镇规划、建设、管理工作，加强基础设施建设，推进城一体化进程，搞好社会主义新农村建设工作；负责村镇容貌、环境卫生管理等工作；着力改善民生条件，加大民生项目投入倾斜力度。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、推进城镇化建设，加大民生事务投入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小城镇和集镇人居环境改善，指导国家级重点镇及省级重点镇的建设；做好城镇规划、环境质量、居住水平、产业聚集、风貌特色、综合管理、城建投融资等指导工作，加快城市建设投融资体制改革，全面推进城镇建设上水平；协调和指导推进城镇化工作。负责村镇容貌、环境卫生的清理整治工作；加强基础设施建设，推进城乡一体化进程，搞好社会主义新农村建设工作。负责统筹乡镇国土、规划、建设、城管等职能，建立规范有序的农村建设市场，切实维护土地利用和城镇规划建设管理秩序，发挥用地审批、规划执行、建设监管作用；负责对本辖区内</w:t>
            </w:r>
            <w:r>
              <w:rPr>
                <w:rFonts w:hint="cs" w:ascii="方正书宋_GBK" w:eastAsia="方正书宋_GBK"/>
              </w:rPr>
              <w:t>“</w:t>
            </w:r>
            <w:r>
              <w:rPr>
                <w:rFonts w:hint="eastAsia" w:ascii="方正书宋_GBK" w:eastAsia="方正书宋_GBK"/>
              </w:rPr>
              <w:t>双违</w:t>
            </w:r>
            <w:r>
              <w:rPr>
                <w:rFonts w:hint="cs" w:ascii="方正书宋_GBK" w:eastAsia="方正书宋_GBK"/>
              </w:rPr>
              <w:t>”</w:t>
            </w:r>
            <w:r>
              <w:rPr>
                <w:rFonts w:hint="eastAsia" w:ascii="方正书宋_GBK" w:eastAsia="方正书宋_GBK"/>
              </w:rPr>
              <w:t>建筑进行巡查、发现、纠正、上报、组织助拆等工作。加强对革命老区、重点贫困村片民生项目的倾斜力度，确保效益大的项目得到重点保障或优先安排。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巡查、纠正、上报</w:t>
            </w:r>
            <w:r>
              <w:rPr>
                <w:rFonts w:hint="cs" w:ascii="方正书宋_GBK" w:eastAsia="方正书宋_GBK"/>
              </w:rPr>
              <w:t>“</w:t>
            </w:r>
            <w:r>
              <w:rPr>
                <w:rFonts w:hint="eastAsia" w:ascii="方正书宋_GBK" w:eastAsia="方正书宋_GBK"/>
              </w:rPr>
              <w:t>双违</w:t>
            </w:r>
            <w:r>
              <w:rPr>
                <w:rFonts w:hint="cs" w:ascii="方正书宋_GBK" w:eastAsia="方正书宋_GBK"/>
              </w:rPr>
              <w:t>”</w:t>
            </w:r>
            <w:r>
              <w:rPr>
                <w:rFonts w:hint="eastAsia" w:ascii="方正书宋_GBK" w:eastAsia="方正书宋_GBK"/>
              </w:rPr>
              <w:t>建筑，完成清零工作。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发挥作用情况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环境卫生情况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用地审批建筑监管作用发挥情况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4-6</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处及以上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当地群众对相关项目建设的满意度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双违清零进度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十一、人口和计划生育工作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搞好生殖健康服务，避孕节育技术服务，做好计生宣传和统计工作。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计生工作执法检查监督情况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十二、村级事务管理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、村级事务管理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推进村级组织建设，壮大村集体经济，提高为民服务水平。村级财务三资管理、账务管理、村务公开等业务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加强农村党组织建设，依法推进村民组织自制，制定构建和谐社会的相关措施，并做好组织实施。</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村级落实工作情况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分以上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w:t>
            </w:r>
            <w:r>
              <w:rPr>
                <w:rFonts w:ascii="方正书宋_GBK" w:eastAsia="方正书宋_GBK"/>
              </w:rPr>
              <w:t>-98</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村级财务规范化管理及村务公开情况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十三、农业农村综合服务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促进农业现代化，提高农业劳动生产率，增加农民收入。提高农产品产量，优化农业产业结构，提高经济效益。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、农业产业化调整；林业防火工作；环境保护工资；农村综合改革村两委经费补助及工作运转；畜牧养殖发展；水利设施建设及饮水安全问题。</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保护、节约和防汛抗旱技术服务工作，维护农村饮水安全，组织协调农业水利基本建设和水土保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受益人次占应总人口比率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出现燎地边、烧秸秆引起火情次数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不出现任何人为或意外火情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畜牧业在扶贫工作中的比重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农村饮用水安全工程完成量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、防汛抗旱</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确保饮水安全，加强水利配套设施建设及防汛抗旱工作的正常开展</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水利设施建设情况；居民饮水安全改善情况；防汛工作组织开展情况。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bl>
    <w:p>
      <w:pPr>
        <w:spacing w:line="300" w:lineRule="exact"/>
        <w:jc w:val="left"/>
        <w:outlineLvl w:val="0"/>
        <w:rPr>
          <w:rFonts w:ascii="Calibri" w:hAnsi="Calibri" w:eastAsia="宋体" w:cs="Times New Roman"/>
        </w:rPr>
        <w:sectPr>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 xml:space="preserve">    2018年，我部门安排政府采购预算</w:t>
      </w:r>
      <w:r>
        <w:rPr>
          <w:rFonts w:hint="eastAsia" w:ascii="仿宋_GB2312" w:hAnsi="Times New Roman" w:eastAsia="仿宋_GB2312" w:cs="Times New Roman"/>
          <w:sz w:val="32"/>
          <w:szCs w:val="32"/>
        </w:rPr>
        <w:t>0</w:t>
      </w:r>
      <w:r>
        <w:rPr>
          <w:rFonts w:hint="eastAsia" w:ascii="仿宋_GB2312" w:hAnsi="Times New Roman" w:eastAsia="仿宋_GB2312" w:cs="Times New Roman"/>
          <w:sz w:val="32"/>
          <w:szCs w:val="24"/>
        </w:rPr>
        <w:t>万元。具体内容见下表。</w:t>
      </w:r>
    </w:p>
    <w:bookmarkEnd w:id="2"/>
    <w:p>
      <w:pPr>
        <w:jc w:val="center"/>
        <w:outlineLvl w:val="0"/>
        <w:rPr>
          <w:rFonts w:ascii="方正小标宋_GBK" w:hAnsi="Calibri" w:eastAsia="方正小标宋_GBK" w:cs="Times New Roman"/>
          <w:sz w:val="32"/>
        </w:rPr>
      </w:pPr>
      <w:bookmarkStart w:id="3" w:name="_Toc504489153"/>
      <w:r>
        <w:rPr>
          <w:rFonts w:hint="eastAsia" w:ascii="方正小标宋_GBK" w:hAnsi="Calibri" w:eastAsia="方正小标宋_GBK"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8"/>
        <w:gridCol w:w="1020"/>
        <w:gridCol w:w="894"/>
        <w:gridCol w:w="1524"/>
        <w:gridCol w:w="682"/>
        <w:gridCol w:w="743"/>
        <w:gridCol w:w="976"/>
        <w:gridCol w:w="976"/>
        <w:gridCol w:w="976"/>
        <w:gridCol w:w="976"/>
        <w:gridCol w:w="822"/>
        <w:gridCol w:w="886"/>
        <w:gridCol w:w="886"/>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17"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Calibri" w:eastAsia="方正小标宋_GBK" w:cs="Times New Roman"/>
                <w:sz w:val="24"/>
              </w:rPr>
            </w:pPr>
          </w:p>
        </w:tc>
        <w:tc>
          <w:tcPr>
            <w:tcW w:w="2183"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3" w:type="pct"/>
            <w:gridSpan w:val="2"/>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政府采购项目来源</w:t>
            </w:r>
          </w:p>
        </w:tc>
        <w:tc>
          <w:tcPr>
            <w:tcW w:w="307"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采购物品名称</w:t>
            </w:r>
          </w:p>
        </w:tc>
        <w:tc>
          <w:tcPr>
            <w:tcW w:w="523"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政府采购目录序号</w:t>
            </w:r>
          </w:p>
        </w:tc>
        <w:tc>
          <w:tcPr>
            <w:tcW w:w="234"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  单位</w:t>
            </w:r>
          </w:p>
        </w:tc>
        <w:tc>
          <w:tcPr>
            <w:tcW w:w="25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p>
        </w:tc>
        <w:tc>
          <w:tcPr>
            <w:tcW w:w="33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单价</w:t>
            </w:r>
          </w:p>
        </w:tc>
        <w:tc>
          <w:tcPr>
            <w:tcW w:w="2183" w:type="pct"/>
            <w:gridSpan w:val="7"/>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813"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350"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预算资金</w:t>
            </w:r>
          </w:p>
        </w:tc>
        <w:tc>
          <w:tcPr>
            <w:tcW w:w="307" w:type="pct"/>
            <w:vMerge w:val="continue"/>
            <w:shd w:val="clear" w:color="auto" w:fill="auto"/>
            <w:vAlign w:val="center"/>
          </w:tcPr>
          <w:p>
            <w:pPr>
              <w:spacing w:line="300" w:lineRule="exact"/>
              <w:jc w:val="left"/>
              <w:outlineLvl w:val="0"/>
              <w:rPr>
                <w:rFonts w:ascii="Calibri" w:hAnsi="Calibri" w:eastAsia="宋体" w:cs="Times New Roman"/>
              </w:rPr>
            </w:pPr>
          </w:p>
        </w:tc>
        <w:tc>
          <w:tcPr>
            <w:tcW w:w="523" w:type="pct"/>
            <w:vMerge w:val="continue"/>
            <w:shd w:val="clear" w:color="auto" w:fill="auto"/>
            <w:vAlign w:val="center"/>
          </w:tcPr>
          <w:p>
            <w:pPr>
              <w:spacing w:line="300" w:lineRule="exact"/>
              <w:jc w:val="left"/>
              <w:outlineLvl w:val="0"/>
              <w:rPr>
                <w:rFonts w:ascii="Calibri" w:hAnsi="Calibri" w:eastAsia="宋体" w:cs="Times New Roman"/>
              </w:rPr>
            </w:pPr>
          </w:p>
        </w:tc>
        <w:tc>
          <w:tcPr>
            <w:tcW w:w="234" w:type="pct"/>
            <w:vMerge w:val="continue"/>
            <w:shd w:val="clear" w:color="auto" w:fill="auto"/>
            <w:vAlign w:val="center"/>
          </w:tcPr>
          <w:p>
            <w:pPr>
              <w:spacing w:line="300" w:lineRule="exact"/>
              <w:jc w:val="left"/>
              <w:outlineLvl w:val="0"/>
              <w:rPr>
                <w:rFonts w:ascii="Calibri" w:hAnsi="Calibri" w:eastAsia="宋体" w:cs="Times New Roman"/>
              </w:rPr>
            </w:pPr>
          </w:p>
        </w:tc>
        <w:tc>
          <w:tcPr>
            <w:tcW w:w="25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总计</w:t>
            </w:r>
          </w:p>
        </w:tc>
        <w:tc>
          <w:tcPr>
            <w:tcW w:w="1560" w:type="pct"/>
            <w:gridSpan w:val="5"/>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当年部门预算安排资金</w:t>
            </w:r>
          </w:p>
        </w:tc>
        <w:tc>
          <w:tcPr>
            <w:tcW w:w="288"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continue"/>
            <w:shd w:val="clear" w:color="auto" w:fill="auto"/>
            <w:vAlign w:val="center"/>
          </w:tcPr>
          <w:p>
            <w:pPr>
              <w:spacing w:line="300" w:lineRule="exact"/>
              <w:jc w:val="left"/>
              <w:outlineLvl w:val="0"/>
              <w:rPr>
                <w:rFonts w:ascii="Calibri" w:hAnsi="Calibri" w:eastAsia="宋体" w:cs="Times New Roman"/>
              </w:rPr>
            </w:pPr>
          </w:p>
        </w:tc>
        <w:tc>
          <w:tcPr>
            <w:tcW w:w="350" w:type="pct"/>
            <w:vMerge w:val="continue"/>
            <w:shd w:val="clear" w:color="auto" w:fill="auto"/>
            <w:vAlign w:val="center"/>
          </w:tcPr>
          <w:p>
            <w:pPr>
              <w:spacing w:line="300" w:lineRule="exact"/>
              <w:jc w:val="left"/>
              <w:outlineLvl w:val="0"/>
              <w:rPr>
                <w:rFonts w:ascii="Calibri" w:hAnsi="Calibri" w:eastAsia="宋体" w:cs="Times New Roman"/>
              </w:rPr>
            </w:pPr>
          </w:p>
        </w:tc>
        <w:tc>
          <w:tcPr>
            <w:tcW w:w="307" w:type="pct"/>
            <w:vMerge w:val="continue"/>
            <w:shd w:val="clear" w:color="auto" w:fill="auto"/>
            <w:vAlign w:val="center"/>
          </w:tcPr>
          <w:p>
            <w:pPr>
              <w:spacing w:line="300" w:lineRule="exact"/>
              <w:jc w:val="left"/>
              <w:outlineLvl w:val="0"/>
              <w:rPr>
                <w:rFonts w:ascii="Calibri" w:hAnsi="Calibri" w:eastAsia="宋体" w:cs="Times New Roman"/>
              </w:rPr>
            </w:pPr>
          </w:p>
        </w:tc>
        <w:tc>
          <w:tcPr>
            <w:tcW w:w="523" w:type="pct"/>
            <w:vMerge w:val="continue"/>
            <w:shd w:val="clear" w:color="auto" w:fill="auto"/>
            <w:vAlign w:val="center"/>
          </w:tcPr>
          <w:p>
            <w:pPr>
              <w:spacing w:line="300" w:lineRule="exact"/>
              <w:jc w:val="left"/>
              <w:outlineLvl w:val="0"/>
              <w:rPr>
                <w:rFonts w:ascii="Calibri" w:hAnsi="Calibri" w:eastAsia="宋体" w:cs="Times New Roman"/>
              </w:rPr>
            </w:pPr>
          </w:p>
        </w:tc>
        <w:tc>
          <w:tcPr>
            <w:tcW w:w="234" w:type="pct"/>
            <w:vMerge w:val="continue"/>
            <w:shd w:val="clear" w:color="auto" w:fill="auto"/>
            <w:vAlign w:val="center"/>
          </w:tcPr>
          <w:p>
            <w:pPr>
              <w:spacing w:line="300" w:lineRule="exact"/>
              <w:jc w:val="left"/>
              <w:outlineLvl w:val="0"/>
              <w:rPr>
                <w:rFonts w:ascii="Calibri" w:hAnsi="Calibri" w:eastAsia="宋体" w:cs="Times New Roman"/>
              </w:rPr>
            </w:pPr>
          </w:p>
        </w:tc>
        <w:tc>
          <w:tcPr>
            <w:tcW w:w="25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合计</w:t>
            </w:r>
          </w:p>
        </w:tc>
        <w:tc>
          <w:tcPr>
            <w:tcW w:w="335"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一般公共预算拨款</w:t>
            </w:r>
          </w:p>
        </w:tc>
        <w:tc>
          <w:tcPr>
            <w:tcW w:w="282"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基金预算拨款</w:t>
            </w:r>
          </w:p>
        </w:tc>
        <w:tc>
          <w:tcPr>
            <w:tcW w:w="304"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财政专户核拨</w:t>
            </w:r>
          </w:p>
        </w:tc>
        <w:tc>
          <w:tcPr>
            <w:tcW w:w="304"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其他来源收入</w:t>
            </w:r>
          </w:p>
        </w:tc>
        <w:tc>
          <w:tcPr>
            <w:tcW w:w="288" w:type="pct"/>
            <w:vMerge w:val="continue"/>
            <w:shd w:val="clear" w:color="auto" w:fill="auto"/>
            <w:vAlign w:val="center"/>
          </w:tcPr>
          <w:p>
            <w:pPr>
              <w:spacing w:line="300" w:lineRule="exact"/>
              <w:jc w:val="left"/>
              <w:outlineLvl w:val="0"/>
              <w:rPr>
                <w:rFonts w:ascii="Calibri"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　计</w:t>
            </w:r>
          </w:p>
        </w:tc>
        <w:tc>
          <w:tcPr>
            <w:tcW w:w="350" w:type="pct"/>
            <w:shd w:val="clear" w:color="auto" w:fill="auto"/>
            <w:vAlign w:val="center"/>
          </w:tcPr>
          <w:p>
            <w:pPr>
              <w:spacing w:line="300" w:lineRule="exact"/>
              <w:jc w:val="right"/>
              <w:rPr>
                <w:rFonts w:ascii="方正书宋_GBK" w:hAnsi="Calibri" w:eastAsia="方正书宋_GBK" w:cs="Times New Roman"/>
                <w:b/>
              </w:rPr>
            </w:pPr>
          </w:p>
        </w:tc>
        <w:tc>
          <w:tcPr>
            <w:tcW w:w="307" w:type="pct"/>
            <w:shd w:val="clear" w:color="auto" w:fill="auto"/>
            <w:vAlign w:val="center"/>
          </w:tcPr>
          <w:p>
            <w:pPr>
              <w:spacing w:line="300" w:lineRule="exact"/>
              <w:jc w:val="left"/>
              <w:rPr>
                <w:rFonts w:ascii="方正书宋_GBK" w:hAnsi="Calibri" w:eastAsia="方正书宋_GBK" w:cs="Times New Roman"/>
                <w:b/>
              </w:rPr>
            </w:pPr>
          </w:p>
        </w:tc>
        <w:tc>
          <w:tcPr>
            <w:tcW w:w="523" w:type="pct"/>
            <w:shd w:val="clear" w:color="auto" w:fill="auto"/>
            <w:vAlign w:val="center"/>
          </w:tcPr>
          <w:p>
            <w:pPr>
              <w:spacing w:line="300" w:lineRule="exact"/>
              <w:jc w:val="left"/>
              <w:rPr>
                <w:rFonts w:ascii="方正书宋_GBK" w:hAnsi="Calibri" w:eastAsia="方正书宋_GBK" w:cs="Times New Roman"/>
                <w:b/>
              </w:rPr>
            </w:pPr>
          </w:p>
        </w:tc>
        <w:tc>
          <w:tcPr>
            <w:tcW w:w="234" w:type="pct"/>
            <w:shd w:val="clear" w:color="auto" w:fill="auto"/>
            <w:vAlign w:val="center"/>
          </w:tcPr>
          <w:p>
            <w:pPr>
              <w:spacing w:line="300" w:lineRule="exact"/>
              <w:jc w:val="left"/>
              <w:rPr>
                <w:rFonts w:ascii="方正书宋_GBK" w:hAnsi="Calibri" w:eastAsia="方正书宋_GBK" w:cs="Times New Roman"/>
                <w:b/>
              </w:rPr>
            </w:pPr>
          </w:p>
        </w:tc>
        <w:tc>
          <w:tcPr>
            <w:tcW w:w="25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282"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288" w:type="pct"/>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center"/>
              <w:rPr>
                <w:rFonts w:ascii="方正书宋_GBK" w:hAnsi="Calibri" w:eastAsia="方正书宋_GBK" w:cs="Times New Roman"/>
                <w:b/>
              </w:rPr>
            </w:pPr>
          </w:p>
        </w:tc>
        <w:tc>
          <w:tcPr>
            <w:tcW w:w="350" w:type="pct"/>
            <w:shd w:val="clear" w:color="auto" w:fill="auto"/>
            <w:vAlign w:val="center"/>
          </w:tcPr>
          <w:p>
            <w:pPr>
              <w:spacing w:line="300" w:lineRule="exact"/>
              <w:jc w:val="right"/>
              <w:rPr>
                <w:rFonts w:ascii="方正书宋_GBK" w:hAnsi="Calibri" w:eastAsia="方正书宋_GBK" w:cs="Times New Roman"/>
                <w:b/>
              </w:rPr>
            </w:pPr>
          </w:p>
        </w:tc>
        <w:tc>
          <w:tcPr>
            <w:tcW w:w="307" w:type="pct"/>
            <w:shd w:val="clear" w:color="auto" w:fill="auto"/>
            <w:vAlign w:val="center"/>
          </w:tcPr>
          <w:p>
            <w:pPr>
              <w:spacing w:line="300" w:lineRule="exact"/>
              <w:jc w:val="left"/>
              <w:rPr>
                <w:rFonts w:ascii="方正书宋_GBK" w:hAnsi="Calibri" w:eastAsia="方正书宋_GBK" w:cs="Times New Roman"/>
                <w:b/>
              </w:rPr>
            </w:pPr>
          </w:p>
        </w:tc>
        <w:tc>
          <w:tcPr>
            <w:tcW w:w="523" w:type="pct"/>
            <w:shd w:val="clear" w:color="auto" w:fill="auto"/>
            <w:vAlign w:val="center"/>
          </w:tcPr>
          <w:p>
            <w:pPr>
              <w:spacing w:line="300" w:lineRule="exact"/>
              <w:jc w:val="left"/>
              <w:rPr>
                <w:rFonts w:ascii="方正书宋_GBK" w:hAnsi="Calibri" w:eastAsia="方正书宋_GBK" w:cs="Times New Roman"/>
                <w:b/>
              </w:rPr>
            </w:pPr>
          </w:p>
        </w:tc>
        <w:tc>
          <w:tcPr>
            <w:tcW w:w="234" w:type="pct"/>
            <w:shd w:val="clear" w:color="auto" w:fill="auto"/>
            <w:vAlign w:val="center"/>
          </w:tcPr>
          <w:p>
            <w:pPr>
              <w:spacing w:line="300" w:lineRule="exact"/>
              <w:jc w:val="left"/>
              <w:rPr>
                <w:rFonts w:ascii="方正书宋_GBK" w:hAnsi="Calibri" w:eastAsia="方正书宋_GBK" w:cs="Times New Roman"/>
                <w:b/>
              </w:rPr>
            </w:pPr>
          </w:p>
        </w:tc>
        <w:tc>
          <w:tcPr>
            <w:tcW w:w="25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282"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288" w:type="pct"/>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left"/>
              <w:rPr>
                <w:rFonts w:ascii="方正书宋_GBK" w:hAnsi="Calibri" w:eastAsia="方正书宋_GBK" w:cs="Times New Roman"/>
              </w:rPr>
            </w:pPr>
          </w:p>
        </w:tc>
        <w:tc>
          <w:tcPr>
            <w:tcW w:w="350" w:type="pct"/>
            <w:shd w:val="clear" w:color="auto" w:fill="auto"/>
            <w:vAlign w:val="center"/>
          </w:tcPr>
          <w:p>
            <w:pPr>
              <w:spacing w:line="300" w:lineRule="exact"/>
              <w:jc w:val="right"/>
              <w:rPr>
                <w:rFonts w:ascii="方正书宋_GBK" w:hAnsi="Calibri" w:eastAsia="方正书宋_GBK" w:cs="Times New Roman"/>
              </w:rPr>
            </w:pPr>
          </w:p>
        </w:tc>
        <w:tc>
          <w:tcPr>
            <w:tcW w:w="307" w:type="pct"/>
            <w:shd w:val="clear" w:color="auto" w:fill="auto"/>
            <w:vAlign w:val="center"/>
          </w:tcPr>
          <w:p>
            <w:pPr>
              <w:spacing w:line="300" w:lineRule="exact"/>
              <w:jc w:val="left"/>
              <w:rPr>
                <w:rFonts w:ascii="方正书宋_GBK" w:hAnsi="Calibri" w:eastAsia="方正书宋_GBK" w:cs="Times New Roman"/>
              </w:rPr>
            </w:pPr>
          </w:p>
        </w:tc>
        <w:tc>
          <w:tcPr>
            <w:tcW w:w="523" w:type="pct"/>
            <w:shd w:val="clear" w:color="auto" w:fill="auto"/>
            <w:vAlign w:val="center"/>
          </w:tcPr>
          <w:p>
            <w:pPr>
              <w:spacing w:line="300" w:lineRule="exact"/>
              <w:jc w:val="left"/>
              <w:rPr>
                <w:rFonts w:ascii="方正书宋_GBK" w:hAnsi="Calibri" w:eastAsia="方正书宋_GBK" w:cs="Times New Roman"/>
              </w:rPr>
            </w:pPr>
          </w:p>
        </w:tc>
        <w:tc>
          <w:tcPr>
            <w:tcW w:w="234" w:type="pct"/>
            <w:shd w:val="clear" w:color="auto" w:fill="auto"/>
            <w:vAlign w:val="center"/>
          </w:tcPr>
          <w:p>
            <w:pPr>
              <w:spacing w:line="300" w:lineRule="exact"/>
              <w:jc w:val="left"/>
              <w:rPr>
                <w:rFonts w:ascii="方正书宋_GBK" w:hAnsi="Calibri" w:eastAsia="方正书宋_GBK" w:cs="Times New Roman"/>
              </w:rPr>
            </w:pPr>
          </w:p>
        </w:tc>
        <w:tc>
          <w:tcPr>
            <w:tcW w:w="25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282"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288" w:type="pct"/>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left"/>
              <w:rPr>
                <w:rFonts w:ascii="方正书宋_GBK" w:hAnsi="Calibri" w:eastAsia="方正书宋_GBK" w:cs="Times New Roman"/>
              </w:rPr>
            </w:pPr>
          </w:p>
        </w:tc>
        <w:tc>
          <w:tcPr>
            <w:tcW w:w="350" w:type="pct"/>
            <w:shd w:val="clear" w:color="auto" w:fill="auto"/>
            <w:vAlign w:val="center"/>
          </w:tcPr>
          <w:p>
            <w:pPr>
              <w:spacing w:line="300" w:lineRule="exact"/>
              <w:jc w:val="right"/>
              <w:rPr>
                <w:rFonts w:ascii="方正书宋_GBK" w:hAnsi="Calibri" w:eastAsia="方正书宋_GBK" w:cs="Times New Roman"/>
              </w:rPr>
            </w:pPr>
          </w:p>
        </w:tc>
        <w:tc>
          <w:tcPr>
            <w:tcW w:w="307" w:type="pct"/>
            <w:shd w:val="clear" w:color="auto" w:fill="auto"/>
            <w:vAlign w:val="center"/>
          </w:tcPr>
          <w:p>
            <w:pPr>
              <w:spacing w:line="300" w:lineRule="exact"/>
              <w:jc w:val="left"/>
              <w:rPr>
                <w:rFonts w:ascii="方正书宋_GBK" w:hAnsi="Calibri" w:eastAsia="方正书宋_GBK" w:cs="Times New Roman"/>
              </w:rPr>
            </w:pPr>
          </w:p>
        </w:tc>
        <w:tc>
          <w:tcPr>
            <w:tcW w:w="523" w:type="pct"/>
            <w:shd w:val="clear" w:color="auto" w:fill="auto"/>
            <w:vAlign w:val="center"/>
          </w:tcPr>
          <w:p>
            <w:pPr>
              <w:spacing w:line="300" w:lineRule="exact"/>
              <w:jc w:val="left"/>
              <w:rPr>
                <w:rFonts w:ascii="方正书宋_GBK" w:hAnsi="Calibri" w:eastAsia="方正书宋_GBK" w:cs="Times New Roman"/>
              </w:rPr>
            </w:pPr>
          </w:p>
        </w:tc>
        <w:tc>
          <w:tcPr>
            <w:tcW w:w="234" w:type="pct"/>
            <w:shd w:val="clear" w:color="auto" w:fill="auto"/>
            <w:vAlign w:val="center"/>
          </w:tcPr>
          <w:p>
            <w:pPr>
              <w:spacing w:line="300" w:lineRule="exact"/>
              <w:jc w:val="left"/>
              <w:rPr>
                <w:rFonts w:ascii="方正书宋_GBK" w:hAnsi="Calibri" w:eastAsia="方正书宋_GBK" w:cs="Times New Roman"/>
              </w:rPr>
            </w:pPr>
          </w:p>
        </w:tc>
        <w:tc>
          <w:tcPr>
            <w:tcW w:w="25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282"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288" w:type="pct"/>
            <w:shd w:val="clear" w:color="auto" w:fill="auto"/>
            <w:vAlign w:val="center"/>
          </w:tcPr>
          <w:p>
            <w:pPr>
              <w:spacing w:line="300" w:lineRule="exact"/>
              <w:jc w:val="right"/>
              <w:rPr>
                <w:rFonts w:ascii="方正书宋_GBK" w:hAnsi="Calibri" w:eastAsia="方正书宋_GBK" w:cs="Times New Roman"/>
              </w:rPr>
            </w:pPr>
          </w:p>
        </w:tc>
      </w:tr>
    </w:tbl>
    <w:p>
      <w:pPr>
        <w:outlineLvl w:val="0"/>
        <w:rPr>
          <w:rFonts w:ascii="仿宋_GB2312" w:hAnsi="Times New Roman" w:eastAsia="仿宋_GB2312" w:cs="Times New Roman"/>
          <w:sz w:val="32"/>
          <w:szCs w:val="24"/>
        </w:rPr>
        <w:sectPr>
          <w:pgSz w:w="16839" w:h="11907" w:orient="landscape"/>
          <w:pgMar w:top="1361" w:right="1020" w:bottom="1361" w:left="1020" w:header="851" w:footer="992" w:gutter="0"/>
          <w:cols w:space="425" w:num="1"/>
          <w:docGrid w:type="lines" w:linePitch="312" w:charSpace="0"/>
        </w:sectPr>
      </w:pPr>
      <w:r>
        <w:rPr>
          <w:rFonts w:hint="eastAsia" w:ascii="仿宋_GB2312" w:hAnsi="Times New Roman" w:eastAsia="仿宋_GB2312" w:cs="Times New Roman"/>
          <w:sz w:val="32"/>
          <w:szCs w:val="24"/>
        </w:rPr>
        <w:t>（注明：我部门2018年没有安排政府采购预算。）</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我部门（含所属单位）上年末固定资产金额为</w:t>
      </w:r>
      <w:r>
        <w:rPr>
          <w:rFonts w:hint="eastAsia" w:ascii="仿宋_GB2312" w:hAnsi="Times New Roman" w:eastAsia="仿宋_GB2312" w:cs="Times New Roman"/>
          <w:sz w:val="32"/>
          <w:szCs w:val="32"/>
        </w:rPr>
        <w:t>362.37</w:t>
      </w:r>
      <w:r>
        <w:rPr>
          <w:rFonts w:hint="eastAsia" w:ascii="仿宋_GB2312" w:hAnsi="黑体" w:eastAsia="仿宋_GB2312" w:cs="Times New Roman"/>
          <w:sz w:val="32"/>
          <w:szCs w:val="32"/>
        </w:rPr>
        <w:t>万元（</w:t>
      </w:r>
      <w:r>
        <w:rPr>
          <w:rFonts w:hint="eastAsia" w:ascii="仿宋_GB2312" w:hAnsi="Times New Roman" w:eastAsia="仿宋_GB2312"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仿宋_GB2312" w:hAnsi="Times New Roman" w:eastAsia="仿宋_GB2312" w:cs="Times New Roman"/>
          <w:sz w:val="32"/>
          <w:szCs w:val="32"/>
        </w:rPr>
        <w:t>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仿宋_GB2312" w:hAnsi="Times New Roman" w:eastAsia="仿宋_GB2312" w:cs="Times New Roman"/>
                <w:sz w:val="32"/>
                <w:szCs w:val="32"/>
              </w:rPr>
              <w:t>马圈子镇政府</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截止时间：2017年12月31日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362.37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2807</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322.37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2807</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322.37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楷体_GB2312" w:hAnsi="Times New Roman" w:eastAsia="楷体_GB2312" w:cs="Times New Roman"/>
          <w:sz w:val="32"/>
          <w:szCs w:val="32"/>
        </w:rPr>
      </w:pPr>
      <w:r>
        <w:rPr>
          <w:rFonts w:ascii="仿宋_GB2312" w:hAnsi="Times New Roman" w:eastAsia="仿宋_GB2312" w:cs="Times New Roman"/>
          <w:b/>
          <w:sz w:val="32"/>
          <w:szCs w:val="32"/>
        </w:rPr>
        <w:t>1、一般</w:t>
      </w:r>
      <w:r>
        <w:rPr>
          <w:rFonts w:hint="eastAsia" w:ascii="仿宋_GB2312" w:hAnsi="Times New Roman" w:eastAsia="仿宋_GB2312" w:cs="Times New Roman"/>
          <w:b/>
          <w:sz w:val="32"/>
          <w:szCs w:val="32"/>
        </w:rPr>
        <w:t>公</w:t>
      </w:r>
      <w:r>
        <w:rPr>
          <w:rFonts w:ascii="仿宋_GB2312" w:hAnsi="Times New Roman" w:eastAsia="仿宋_GB2312" w:cs="Times New Roman"/>
          <w:b/>
          <w:sz w:val="32"/>
          <w:szCs w:val="32"/>
        </w:rPr>
        <w:t>共预算拨款收入：</w:t>
      </w:r>
      <w:r>
        <w:rPr>
          <w:rFonts w:hint="eastAsia" w:ascii="楷体_GB2312" w:hAnsi="Times New Roman" w:eastAsia="楷体_GB2312" w:cs="Times New Roman"/>
          <w:sz w:val="32"/>
          <w:szCs w:val="32"/>
        </w:rPr>
        <w:t>指县级财政当年拨付的资金。</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2、事业收入：</w:t>
      </w:r>
      <w:r>
        <w:rPr>
          <w:rFonts w:hint="eastAsia" w:ascii="仿宋_GB2312" w:hAnsi="Times New Roman" w:eastAsia="仿宋_GB2312"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仿宋_GB2312" w:hAnsi="Times New Roman" w:eastAsia="仿宋_GB2312" w:cs="Times New Roman"/>
          <w:b/>
          <w:sz w:val="32"/>
          <w:szCs w:val="32"/>
        </w:rPr>
        <w:t>3、其他收入：</w:t>
      </w:r>
      <w:r>
        <w:rPr>
          <w:rFonts w:ascii="仿宋_GB2312" w:hAnsi="Times New Roman" w:eastAsia="仿宋_GB2312" w:cs="Times New Roman"/>
          <w:sz w:val="32"/>
          <w:szCs w:val="32"/>
        </w:rPr>
        <w:t>指除“</w:t>
      </w:r>
      <w:r>
        <w:rPr>
          <w:rFonts w:hint="eastAsia" w:ascii="仿宋_GB2312" w:hAnsi="Times New Roman" w:eastAsia="仿宋_GB2312" w:cs="Times New Roman"/>
          <w:sz w:val="32"/>
          <w:szCs w:val="32"/>
        </w:rPr>
        <w:t>一般公共预算</w:t>
      </w:r>
      <w:r>
        <w:rPr>
          <w:rFonts w:ascii="仿宋_GB2312" w:hAnsi="Times New Roman" w:eastAsia="仿宋_GB2312"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4、基本支出：</w:t>
      </w:r>
      <w:r>
        <w:rPr>
          <w:rFonts w:hint="eastAsia" w:ascii="仿宋_GB2312" w:hAnsi="Times New Roman" w:eastAsia="仿宋_GB2312" w:cs="Times New Roman"/>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5、项目支出：</w:t>
      </w:r>
      <w:r>
        <w:rPr>
          <w:rFonts w:hint="eastAsia" w:ascii="仿宋_GB2312" w:hAnsi="Times New Roman" w:eastAsia="仿宋_GB2312" w:cs="Times New Roman"/>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6、上缴上级支出：</w:t>
      </w:r>
      <w:r>
        <w:rPr>
          <w:rFonts w:hint="eastAsia" w:ascii="仿宋_GB2312" w:hAnsi="Times New Roman" w:eastAsia="仿宋_GB2312"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7、“三公”经费：</w:t>
      </w:r>
      <w:r>
        <w:rPr>
          <w:rFonts w:ascii="仿宋_GB2312" w:hAnsi="Times New Roman" w:eastAsia="仿宋_GB2312" w:cs="Times New Roman"/>
          <w:sz w:val="32"/>
          <w:szCs w:val="32"/>
        </w:rPr>
        <w:t>纳入</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级财政预算管理的“三公”经费，是指</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级部门用财政拨款安排的因公出国（境）费、公务用车购置及运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费和公务接待费。其中，因公出国（境）费反映单位公务出国（境）的住宿费、旅费、伙食补助费、杂费、培训费等支出；公务用车购置及运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8、机关运行费：</w:t>
      </w:r>
      <w:r>
        <w:rPr>
          <w:rFonts w:hint="eastAsia" w:ascii="仿宋_GB2312"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hAnsi="Times New Roman" w:eastAsia="仿宋_GB2312" w:cs="Times New Roman"/>
          <w:sz w:val="32"/>
          <w:szCs w:val="32"/>
        </w:rPr>
        <w:t>其他费用。</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9、上年结转：</w:t>
      </w:r>
      <w:r>
        <w:rPr>
          <w:rFonts w:hint="eastAsia" w:ascii="仿宋_GB2312" w:hAnsi="Times New Roman" w:eastAsia="仿宋_GB2312" w:cs="Times New Roman"/>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10、事业单位经营支出：</w:t>
      </w:r>
      <w:r>
        <w:rPr>
          <w:rFonts w:hint="eastAsia" w:ascii="仿宋_GB2312"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roman"/>
    <w:pitch w:val="default"/>
    <w:sig w:usb0="00000000" w:usb1="00000000" w:usb2="00082016" w:usb3="00000000" w:csb0="00040001"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mZWY2YzZmMTRiOTBhYTA0YmQxMjAyNGJjYTk4YTMifQ=="/>
  </w:docVars>
  <w:rsids>
    <w:rsidRoot w:val="00F66032"/>
    <w:rsid w:val="000053CC"/>
    <w:rsid w:val="00007C6A"/>
    <w:rsid w:val="00010D1F"/>
    <w:rsid w:val="00027791"/>
    <w:rsid w:val="00037AF6"/>
    <w:rsid w:val="00041028"/>
    <w:rsid w:val="0004565F"/>
    <w:rsid w:val="00072187"/>
    <w:rsid w:val="00075D5F"/>
    <w:rsid w:val="000B529B"/>
    <w:rsid w:val="000C24E6"/>
    <w:rsid w:val="000C3A19"/>
    <w:rsid w:val="000E44E0"/>
    <w:rsid w:val="001245BB"/>
    <w:rsid w:val="001251A3"/>
    <w:rsid w:val="00152582"/>
    <w:rsid w:val="001643E8"/>
    <w:rsid w:val="001919C4"/>
    <w:rsid w:val="0019723B"/>
    <w:rsid w:val="001E0757"/>
    <w:rsid w:val="001E6DDC"/>
    <w:rsid w:val="001F7873"/>
    <w:rsid w:val="00241FD4"/>
    <w:rsid w:val="00251B12"/>
    <w:rsid w:val="00265318"/>
    <w:rsid w:val="002669C4"/>
    <w:rsid w:val="002835D7"/>
    <w:rsid w:val="00290FD6"/>
    <w:rsid w:val="00296113"/>
    <w:rsid w:val="002A0D61"/>
    <w:rsid w:val="002A673A"/>
    <w:rsid w:val="002B08A2"/>
    <w:rsid w:val="002B22CC"/>
    <w:rsid w:val="002C5E13"/>
    <w:rsid w:val="002C62BC"/>
    <w:rsid w:val="002E0EB8"/>
    <w:rsid w:val="002F3E58"/>
    <w:rsid w:val="0030542C"/>
    <w:rsid w:val="00311B7A"/>
    <w:rsid w:val="00313D9C"/>
    <w:rsid w:val="00334448"/>
    <w:rsid w:val="003A69E6"/>
    <w:rsid w:val="003B2147"/>
    <w:rsid w:val="00424943"/>
    <w:rsid w:val="0042727E"/>
    <w:rsid w:val="0043175C"/>
    <w:rsid w:val="00437296"/>
    <w:rsid w:val="00451590"/>
    <w:rsid w:val="00451871"/>
    <w:rsid w:val="00465478"/>
    <w:rsid w:val="004675A5"/>
    <w:rsid w:val="004706DE"/>
    <w:rsid w:val="00472923"/>
    <w:rsid w:val="00486DCD"/>
    <w:rsid w:val="004879DC"/>
    <w:rsid w:val="004B0C3A"/>
    <w:rsid w:val="004C49A8"/>
    <w:rsid w:val="004D5788"/>
    <w:rsid w:val="004E3066"/>
    <w:rsid w:val="004E3FE4"/>
    <w:rsid w:val="004E419C"/>
    <w:rsid w:val="004E74CD"/>
    <w:rsid w:val="004F4353"/>
    <w:rsid w:val="00524EFD"/>
    <w:rsid w:val="00572067"/>
    <w:rsid w:val="00573562"/>
    <w:rsid w:val="00590ECE"/>
    <w:rsid w:val="005D7BF2"/>
    <w:rsid w:val="005F5714"/>
    <w:rsid w:val="00611D03"/>
    <w:rsid w:val="00614A29"/>
    <w:rsid w:val="0065365E"/>
    <w:rsid w:val="00673D76"/>
    <w:rsid w:val="006854F0"/>
    <w:rsid w:val="006B1C4A"/>
    <w:rsid w:val="006B610D"/>
    <w:rsid w:val="006E49F5"/>
    <w:rsid w:val="006F3DF2"/>
    <w:rsid w:val="007013C8"/>
    <w:rsid w:val="00753836"/>
    <w:rsid w:val="0075393C"/>
    <w:rsid w:val="00754592"/>
    <w:rsid w:val="00776C08"/>
    <w:rsid w:val="007A1A5F"/>
    <w:rsid w:val="007C219A"/>
    <w:rsid w:val="007E1DA8"/>
    <w:rsid w:val="007E1F30"/>
    <w:rsid w:val="007E7DA2"/>
    <w:rsid w:val="007F6C26"/>
    <w:rsid w:val="00813208"/>
    <w:rsid w:val="008334AE"/>
    <w:rsid w:val="00836FED"/>
    <w:rsid w:val="0083724E"/>
    <w:rsid w:val="00841D53"/>
    <w:rsid w:val="00845CD2"/>
    <w:rsid w:val="00852B0D"/>
    <w:rsid w:val="00864B7F"/>
    <w:rsid w:val="00881692"/>
    <w:rsid w:val="008A6576"/>
    <w:rsid w:val="008B3CC5"/>
    <w:rsid w:val="008B4869"/>
    <w:rsid w:val="008B52CD"/>
    <w:rsid w:val="008C7C4D"/>
    <w:rsid w:val="008E4261"/>
    <w:rsid w:val="008E70D4"/>
    <w:rsid w:val="008F4662"/>
    <w:rsid w:val="00905D08"/>
    <w:rsid w:val="00925753"/>
    <w:rsid w:val="00935127"/>
    <w:rsid w:val="009425F4"/>
    <w:rsid w:val="00943BD8"/>
    <w:rsid w:val="00954B2C"/>
    <w:rsid w:val="00963748"/>
    <w:rsid w:val="00966C5C"/>
    <w:rsid w:val="00973104"/>
    <w:rsid w:val="00995BF0"/>
    <w:rsid w:val="009A16D5"/>
    <w:rsid w:val="009A353D"/>
    <w:rsid w:val="009A6244"/>
    <w:rsid w:val="009B0B77"/>
    <w:rsid w:val="009B511E"/>
    <w:rsid w:val="009D37D3"/>
    <w:rsid w:val="00A16E6C"/>
    <w:rsid w:val="00A40F60"/>
    <w:rsid w:val="00A44E3D"/>
    <w:rsid w:val="00A72669"/>
    <w:rsid w:val="00A72D2E"/>
    <w:rsid w:val="00A74447"/>
    <w:rsid w:val="00A74CE5"/>
    <w:rsid w:val="00A77500"/>
    <w:rsid w:val="00A80BBB"/>
    <w:rsid w:val="00A911E7"/>
    <w:rsid w:val="00A939D9"/>
    <w:rsid w:val="00AD5259"/>
    <w:rsid w:val="00B01D36"/>
    <w:rsid w:val="00B078CD"/>
    <w:rsid w:val="00B20712"/>
    <w:rsid w:val="00B43238"/>
    <w:rsid w:val="00B45DD3"/>
    <w:rsid w:val="00B73582"/>
    <w:rsid w:val="00B75216"/>
    <w:rsid w:val="00B755A2"/>
    <w:rsid w:val="00B77E34"/>
    <w:rsid w:val="00B9104C"/>
    <w:rsid w:val="00B91D52"/>
    <w:rsid w:val="00B9490F"/>
    <w:rsid w:val="00BA1ACD"/>
    <w:rsid w:val="00BD09F8"/>
    <w:rsid w:val="00BE1643"/>
    <w:rsid w:val="00C005B2"/>
    <w:rsid w:val="00C55CF3"/>
    <w:rsid w:val="00C7055A"/>
    <w:rsid w:val="00C94BAC"/>
    <w:rsid w:val="00CA7176"/>
    <w:rsid w:val="00CC75B0"/>
    <w:rsid w:val="00CD2773"/>
    <w:rsid w:val="00CE01BA"/>
    <w:rsid w:val="00CE143B"/>
    <w:rsid w:val="00D07DBA"/>
    <w:rsid w:val="00D206E3"/>
    <w:rsid w:val="00D21482"/>
    <w:rsid w:val="00D2591A"/>
    <w:rsid w:val="00D27003"/>
    <w:rsid w:val="00D9307A"/>
    <w:rsid w:val="00DE14F7"/>
    <w:rsid w:val="00E167C7"/>
    <w:rsid w:val="00E26A89"/>
    <w:rsid w:val="00E55847"/>
    <w:rsid w:val="00E55B78"/>
    <w:rsid w:val="00E76361"/>
    <w:rsid w:val="00EB4BE0"/>
    <w:rsid w:val="00EC47F6"/>
    <w:rsid w:val="00EF08C9"/>
    <w:rsid w:val="00EF535E"/>
    <w:rsid w:val="00F471F7"/>
    <w:rsid w:val="00F66032"/>
    <w:rsid w:val="00F83B96"/>
    <w:rsid w:val="00F8441D"/>
    <w:rsid w:val="00F87C1E"/>
    <w:rsid w:val="00F958C2"/>
    <w:rsid w:val="00FA740E"/>
    <w:rsid w:val="00FC06C7"/>
    <w:rsid w:val="00FD5DB4"/>
    <w:rsid w:val="00FE1724"/>
    <w:rsid w:val="00FE59D6"/>
    <w:rsid w:val="30127B2B"/>
    <w:rsid w:val="675C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D7FE-B4E2-4DA0-BC5A-A0E6F2AA37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1890</Words>
  <Characters>10774</Characters>
  <Lines>89</Lines>
  <Paragraphs>25</Paragraphs>
  <TotalTime>125</TotalTime>
  <ScaleCrop>false</ScaleCrop>
  <LinksUpToDate>false</LinksUpToDate>
  <CharactersWithSpaces>12639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2018-02-22T02:41:00Z</cp:lastPrinted>
  <dcterms:modified xsi:type="dcterms:W3CDTF">2024-04-15T02:13:28Z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D2799A7DA9434AA5A6E2132F104041C2</vt:lpwstr>
  </property>
</Properties>
</file>