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bookmarkStart w:id="18" w:name="_GoBack"/>
      <w:bookmarkEnd w:id="18"/>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61</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61</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2236.62</w:t>
            </w:r>
          </w:p>
        </w:tc>
        <w:tc>
          <w:tcPr>
            <w:tcW w:w="4535" w:type="dxa"/>
            <w:vAlign w:val="center"/>
          </w:tcPr>
          <w:p>
            <w:pPr>
              <w:pStyle w:val="12"/>
            </w:pPr>
            <w:r>
              <w:t>一、一般公共服务支出</w:t>
            </w:r>
          </w:p>
        </w:tc>
        <w:tc>
          <w:tcPr>
            <w:tcW w:w="2126" w:type="dxa"/>
            <w:vAlign w:val="center"/>
          </w:tcPr>
          <w:p>
            <w:pPr>
              <w:pStyle w:val="11"/>
            </w:pPr>
            <w:r>
              <w:t>1128.45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420.16</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607.98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816.37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2656.78</w:t>
            </w:r>
          </w:p>
        </w:tc>
        <w:tc>
          <w:tcPr>
            <w:tcW w:w="4535" w:type="dxa"/>
            <w:vAlign w:val="center"/>
          </w:tcPr>
          <w:p>
            <w:pPr>
              <w:pStyle w:val="14"/>
            </w:pPr>
            <w:r>
              <w:t>本年支出合计</w:t>
            </w:r>
          </w:p>
        </w:tc>
        <w:tc>
          <w:tcPr>
            <w:tcW w:w="2126" w:type="dxa"/>
            <w:vAlign w:val="center"/>
          </w:tcPr>
          <w:p>
            <w:pPr>
              <w:pStyle w:val="15"/>
            </w:pPr>
            <w:r>
              <w:t>2774.82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r>
              <w:t>-118.04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2656.78</w:t>
            </w:r>
          </w:p>
        </w:tc>
        <w:tc>
          <w:tcPr>
            <w:tcW w:w="4535" w:type="dxa"/>
            <w:vAlign w:val="center"/>
          </w:tcPr>
          <w:p>
            <w:pPr>
              <w:pStyle w:val="14"/>
            </w:pPr>
            <w:r>
              <w:t>支出总计</w:t>
            </w:r>
          </w:p>
        </w:tc>
        <w:tc>
          <w:tcPr>
            <w:tcW w:w="2126" w:type="dxa"/>
            <w:vAlign w:val="center"/>
          </w:tcPr>
          <w:p>
            <w:pPr>
              <w:pStyle w:val="15"/>
            </w:pPr>
            <w:r>
              <w:t>2656.78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2774.82</w:t>
            </w:r>
          </w:p>
        </w:tc>
        <w:tc>
          <w:tcPr>
            <w:tcW w:w="1134" w:type="dxa"/>
            <w:vAlign w:val="center"/>
          </w:tcPr>
          <w:p>
            <w:pPr>
              <w:pStyle w:val="15"/>
            </w:pPr>
            <w:r>
              <w:t>2656.78</w:t>
            </w:r>
          </w:p>
        </w:tc>
        <w:tc>
          <w:tcPr>
            <w:tcW w:w="1134" w:type="dxa"/>
            <w:vAlign w:val="center"/>
          </w:tcPr>
          <w:p>
            <w:pPr>
              <w:pStyle w:val="15"/>
            </w:pPr>
            <w:r>
              <w:t>2656.78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118.04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1128.45</w:t>
            </w:r>
          </w:p>
        </w:tc>
        <w:tc>
          <w:tcPr>
            <w:tcW w:w="1134" w:type="dxa"/>
            <w:vAlign w:val="center"/>
          </w:tcPr>
          <w:p>
            <w:pPr>
              <w:pStyle w:val="11"/>
            </w:pPr>
            <w:r>
              <w:t>1031.28</w:t>
            </w:r>
          </w:p>
        </w:tc>
        <w:tc>
          <w:tcPr>
            <w:tcW w:w="1134" w:type="dxa"/>
            <w:vAlign w:val="center"/>
          </w:tcPr>
          <w:p>
            <w:pPr>
              <w:pStyle w:val="11"/>
            </w:pPr>
            <w:r>
              <w:t>1031.28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450.72</w:t>
            </w:r>
          </w:p>
        </w:tc>
        <w:tc>
          <w:tcPr>
            <w:tcW w:w="1134" w:type="dxa"/>
            <w:vAlign w:val="center"/>
          </w:tcPr>
          <w:p>
            <w:pPr>
              <w:pStyle w:val="11"/>
            </w:pPr>
            <w:r>
              <w:t>421.28</w:t>
            </w:r>
          </w:p>
        </w:tc>
        <w:tc>
          <w:tcPr>
            <w:tcW w:w="1134" w:type="dxa"/>
            <w:vAlign w:val="center"/>
          </w:tcPr>
          <w:p>
            <w:pPr>
              <w:pStyle w:val="11"/>
            </w:pPr>
            <w:r>
              <w:t>421.28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242.35</w:t>
            </w:r>
          </w:p>
        </w:tc>
        <w:tc>
          <w:tcPr>
            <w:tcW w:w="1134" w:type="dxa"/>
            <w:vAlign w:val="center"/>
          </w:tcPr>
          <w:p>
            <w:pPr>
              <w:pStyle w:val="11"/>
            </w:pPr>
            <w:r>
              <w:t>235.35</w:t>
            </w:r>
          </w:p>
        </w:tc>
        <w:tc>
          <w:tcPr>
            <w:tcW w:w="1134" w:type="dxa"/>
            <w:vAlign w:val="center"/>
          </w:tcPr>
          <w:p>
            <w:pPr>
              <w:pStyle w:val="11"/>
            </w:pPr>
            <w:r>
              <w:t>235.35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2010305</w:t>
            </w:r>
          </w:p>
        </w:tc>
        <w:tc>
          <w:tcPr>
            <w:tcW w:w="1559" w:type="dxa"/>
            <w:vAlign w:val="center"/>
          </w:tcPr>
          <w:p>
            <w:pPr>
              <w:pStyle w:val="12"/>
            </w:pPr>
            <w:r>
              <w:t>专项业务及机关事务管理</w:t>
            </w:r>
          </w:p>
        </w:tc>
        <w:tc>
          <w:tcPr>
            <w:tcW w:w="1134" w:type="dxa"/>
            <w:vAlign w:val="center"/>
          </w:tcPr>
          <w:p>
            <w:pPr>
              <w:pStyle w:val="11"/>
            </w:pPr>
            <w:r>
              <w:t>12.17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185.93</w:t>
            </w:r>
          </w:p>
        </w:tc>
        <w:tc>
          <w:tcPr>
            <w:tcW w:w="1134" w:type="dxa"/>
            <w:vAlign w:val="center"/>
          </w:tcPr>
          <w:p>
            <w:pPr>
              <w:pStyle w:val="11"/>
            </w:pPr>
            <w:r>
              <w:t>185.93</w:t>
            </w:r>
          </w:p>
        </w:tc>
        <w:tc>
          <w:tcPr>
            <w:tcW w:w="1134" w:type="dxa"/>
            <w:vAlign w:val="center"/>
          </w:tcPr>
          <w:p>
            <w:pPr>
              <w:pStyle w:val="11"/>
            </w:pPr>
            <w:r>
              <w:t>185.93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10.28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20107</w:t>
            </w:r>
          </w:p>
        </w:tc>
        <w:tc>
          <w:tcPr>
            <w:tcW w:w="1559" w:type="dxa"/>
            <w:vAlign w:val="center"/>
          </w:tcPr>
          <w:p>
            <w:pPr>
              <w:pStyle w:val="12"/>
            </w:pPr>
            <w:r>
              <w:t>税收事务</w:t>
            </w:r>
          </w:p>
        </w:tc>
        <w:tc>
          <w:tcPr>
            <w:tcW w:w="1134" w:type="dxa"/>
            <w:vAlign w:val="center"/>
          </w:tcPr>
          <w:p>
            <w:pPr>
              <w:pStyle w:val="11"/>
            </w:pPr>
            <w:r>
              <w:t>677.73</w:t>
            </w:r>
          </w:p>
        </w:tc>
        <w:tc>
          <w:tcPr>
            <w:tcW w:w="1134" w:type="dxa"/>
            <w:vAlign w:val="center"/>
          </w:tcPr>
          <w:p>
            <w:pPr>
              <w:pStyle w:val="11"/>
            </w:pPr>
            <w:r>
              <w:t>610.00</w:t>
            </w:r>
          </w:p>
        </w:tc>
        <w:tc>
          <w:tcPr>
            <w:tcW w:w="1134" w:type="dxa"/>
            <w:vAlign w:val="center"/>
          </w:tcPr>
          <w:p>
            <w:pPr>
              <w:pStyle w:val="11"/>
            </w:pPr>
            <w:r>
              <w:t>610.00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2010701</w:t>
            </w:r>
          </w:p>
        </w:tc>
        <w:tc>
          <w:tcPr>
            <w:tcW w:w="1559" w:type="dxa"/>
            <w:vAlign w:val="center"/>
          </w:tcPr>
          <w:p>
            <w:pPr>
              <w:pStyle w:val="12"/>
            </w:pPr>
            <w:r>
              <w:t>行政运行</w:t>
            </w:r>
          </w:p>
        </w:tc>
        <w:tc>
          <w:tcPr>
            <w:tcW w:w="1134" w:type="dxa"/>
            <w:vAlign w:val="center"/>
          </w:tcPr>
          <w:p>
            <w:pPr>
              <w:pStyle w:val="11"/>
            </w:pPr>
            <w:r>
              <w:t>669.40</w:t>
            </w:r>
          </w:p>
        </w:tc>
        <w:tc>
          <w:tcPr>
            <w:tcW w:w="1134" w:type="dxa"/>
            <w:vAlign w:val="center"/>
          </w:tcPr>
          <w:p>
            <w:pPr>
              <w:pStyle w:val="11"/>
            </w:pPr>
            <w:r>
              <w:t>610.00</w:t>
            </w:r>
          </w:p>
        </w:tc>
        <w:tc>
          <w:tcPr>
            <w:tcW w:w="1134" w:type="dxa"/>
            <w:vAlign w:val="center"/>
          </w:tcPr>
          <w:p>
            <w:pPr>
              <w:pStyle w:val="11"/>
            </w:pPr>
            <w:r>
              <w:t>610.00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2010710</w:t>
            </w:r>
          </w:p>
        </w:tc>
        <w:tc>
          <w:tcPr>
            <w:tcW w:w="1559" w:type="dxa"/>
            <w:vAlign w:val="center"/>
          </w:tcPr>
          <w:p>
            <w:pPr>
              <w:pStyle w:val="12"/>
            </w:pPr>
            <w:r>
              <w:t>税收业务</w:t>
            </w:r>
          </w:p>
        </w:tc>
        <w:tc>
          <w:tcPr>
            <w:tcW w:w="1134" w:type="dxa"/>
            <w:vAlign w:val="center"/>
          </w:tcPr>
          <w:p>
            <w:pPr>
              <w:pStyle w:val="11"/>
            </w:pPr>
            <w:r>
              <w:t>8.33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108.04</w:t>
            </w:r>
          </w:p>
        </w:tc>
        <w:tc>
          <w:tcPr>
            <w:tcW w:w="1134" w:type="dxa"/>
            <w:vAlign w:val="center"/>
          </w:tcPr>
          <w:p>
            <w:pPr>
              <w:pStyle w:val="11"/>
            </w:pPr>
            <w:r>
              <w:t>107.16</w:t>
            </w:r>
          </w:p>
        </w:tc>
        <w:tc>
          <w:tcPr>
            <w:tcW w:w="1134" w:type="dxa"/>
            <w:vAlign w:val="center"/>
          </w:tcPr>
          <w:p>
            <w:pPr>
              <w:pStyle w:val="11"/>
            </w:pPr>
            <w:r>
              <w:t>107.16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92.00</w:t>
            </w:r>
          </w:p>
        </w:tc>
        <w:tc>
          <w:tcPr>
            <w:tcW w:w="1134" w:type="dxa"/>
            <w:vAlign w:val="center"/>
          </w:tcPr>
          <w:p>
            <w:pPr>
              <w:pStyle w:val="11"/>
            </w:pPr>
            <w:r>
              <w:t>92.00</w:t>
            </w:r>
          </w:p>
        </w:tc>
        <w:tc>
          <w:tcPr>
            <w:tcW w:w="1134" w:type="dxa"/>
            <w:vAlign w:val="center"/>
          </w:tcPr>
          <w:p>
            <w:pPr>
              <w:pStyle w:val="11"/>
            </w:pPr>
            <w:r>
              <w:t>92.00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2.19</w:t>
            </w:r>
          </w:p>
        </w:tc>
        <w:tc>
          <w:tcPr>
            <w:tcW w:w="1134" w:type="dxa"/>
            <w:vAlign w:val="center"/>
          </w:tcPr>
          <w:p>
            <w:pPr>
              <w:pStyle w:val="11"/>
            </w:pPr>
            <w:r>
              <w:t>2.19</w:t>
            </w:r>
          </w:p>
        </w:tc>
        <w:tc>
          <w:tcPr>
            <w:tcW w:w="1134" w:type="dxa"/>
            <w:vAlign w:val="center"/>
          </w:tcPr>
          <w:p>
            <w:pPr>
              <w:pStyle w:val="11"/>
            </w:pPr>
            <w:r>
              <w:t>2.19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1.06</w:t>
            </w:r>
          </w:p>
        </w:tc>
        <w:tc>
          <w:tcPr>
            <w:tcW w:w="1134" w:type="dxa"/>
            <w:vAlign w:val="center"/>
          </w:tcPr>
          <w:p>
            <w:pPr>
              <w:pStyle w:val="11"/>
            </w:pPr>
            <w:r>
              <w:t>1.06</w:t>
            </w:r>
          </w:p>
        </w:tc>
        <w:tc>
          <w:tcPr>
            <w:tcW w:w="1134" w:type="dxa"/>
            <w:vAlign w:val="center"/>
          </w:tcPr>
          <w:p>
            <w:pPr>
              <w:pStyle w:val="11"/>
            </w:pPr>
            <w:r>
              <w:t>1.06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88.75</w:t>
            </w:r>
          </w:p>
        </w:tc>
        <w:tc>
          <w:tcPr>
            <w:tcW w:w="1134" w:type="dxa"/>
            <w:vAlign w:val="center"/>
          </w:tcPr>
          <w:p>
            <w:pPr>
              <w:pStyle w:val="11"/>
            </w:pPr>
            <w:r>
              <w:t>88.75</w:t>
            </w:r>
          </w:p>
        </w:tc>
        <w:tc>
          <w:tcPr>
            <w:tcW w:w="1134" w:type="dxa"/>
            <w:vAlign w:val="center"/>
          </w:tcPr>
          <w:p>
            <w:pPr>
              <w:pStyle w:val="11"/>
            </w:pPr>
            <w:r>
              <w:t>88.75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16.03</w:t>
            </w:r>
          </w:p>
        </w:tc>
        <w:tc>
          <w:tcPr>
            <w:tcW w:w="1134" w:type="dxa"/>
            <w:vAlign w:val="center"/>
          </w:tcPr>
          <w:p>
            <w:pPr>
              <w:pStyle w:val="11"/>
            </w:pPr>
            <w:r>
              <w:t>15.16</w:t>
            </w:r>
          </w:p>
        </w:tc>
        <w:tc>
          <w:tcPr>
            <w:tcW w:w="1134" w:type="dxa"/>
            <w:vAlign w:val="center"/>
          </w:tcPr>
          <w:p>
            <w:pPr>
              <w:pStyle w:val="11"/>
            </w:pPr>
            <w:r>
              <w:t>15.16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16.03</w:t>
            </w:r>
          </w:p>
        </w:tc>
        <w:tc>
          <w:tcPr>
            <w:tcW w:w="1134" w:type="dxa"/>
            <w:vAlign w:val="center"/>
          </w:tcPr>
          <w:p>
            <w:pPr>
              <w:pStyle w:val="11"/>
            </w:pPr>
            <w:r>
              <w:t>15.16</w:t>
            </w:r>
          </w:p>
        </w:tc>
        <w:tc>
          <w:tcPr>
            <w:tcW w:w="1134" w:type="dxa"/>
            <w:vAlign w:val="center"/>
          </w:tcPr>
          <w:p>
            <w:pPr>
              <w:pStyle w:val="11"/>
            </w:pPr>
            <w:r>
              <w:t>15.16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61.26</w:t>
            </w:r>
          </w:p>
        </w:tc>
        <w:tc>
          <w:tcPr>
            <w:tcW w:w="1134" w:type="dxa"/>
            <w:vAlign w:val="center"/>
          </w:tcPr>
          <w:p>
            <w:pPr>
              <w:pStyle w:val="11"/>
            </w:pPr>
            <w:r>
              <w:t>61.26</w:t>
            </w:r>
          </w:p>
        </w:tc>
        <w:tc>
          <w:tcPr>
            <w:tcW w:w="1134" w:type="dxa"/>
            <w:vAlign w:val="center"/>
          </w:tcPr>
          <w:p>
            <w:pPr>
              <w:pStyle w:val="11"/>
            </w:pPr>
            <w:r>
              <w:t>61.26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61.26</w:t>
            </w:r>
          </w:p>
        </w:tc>
        <w:tc>
          <w:tcPr>
            <w:tcW w:w="1134" w:type="dxa"/>
            <w:vAlign w:val="center"/>
          </w:tcPr>
          <w:p>
            <w:pPr>
              <w:pStyle w:val="11"/>
            </w:pPr>
            <w:r>
              <w:t>61.26</w:t>
            </w:r>
          </w:p>
        </w:tc>
        <w:tc>
          <w:tcPr>
            <w:tcW w:w="1134" w:type="dxa"/>
            <w:vAlign w:val="center"/>
          </w:tcPr>
          <w:p>
            <w:pPr>
              <w:pStyle w:val="11"/>
            </w:pPr>
            <w:r>
              <w:t>61.26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19.26</w:t>
            </w:r>
          </w:p>
        </w:tc>
        <w:tc>
          <w:tcPr>
            <w:tcW w:w="1134" w:type="dxa"/>
            <w:vAlign w:val="center"/>
          </w:tcPr>
          <w:p>
            <w:pPr>
              <w:pStyle w:val="11"/>
            </w:pPr>
            <w:r>
              <w:t>19.26</w:t>
            </w:r>
          </w:p>
        </w:tc>
        <w:tc>
          <w:tcPr>
            <w:tcW w:w="1134" w:type="dxa"/>
            <w:vAlign w:val="center"/>
          </w:tcPr>
          <w:p>
            <w:pPr>
              <w:pStyle w:val="11"/>
            </w:pPr>
            <w:r>
              <w:t>19.26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42.01</w:t>
            </w:r>
          </w:p>
        </w:tc>
        <w:tc>
          <w:tcPr>
            <w:tcW w:w="1134" w:type="dxa"/>
            <w:vAlign w:val="center"/>
          </w:tcPr>
          <w:p>
            <w:pPr>
              <w:pStyle w:val="11"/>
            </w:pPr>
            <w:r>
              <w:t>42.01</w:t>
            </w:r>
          </w:p>
        </w:tc>
        <w:tc>
          <w:tcPr>
            <w:tcW w:w="1134" w:type="dxa"/>
            <w:vAlign w:val="center"/>
          </w:tcPr>
          <w:p>
            <w:pPr>
              <w:pStyle w:val="11"/>
            </w:pPr>
            <w:r>
              <w:t>42.01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607.98</w:t>
            </w:r>
          </w:p>
        </w:tc>
        <w:tc>
          <w:tcPr>
            <w:tcW w:w="1134" w:type="dxa"/>
            <w:vAlign w:val="center"/>
          </w:tcPr>
          <w:p>
            <w:pPr>
              <w:pStyle w:val="11"/>
            </w:pPr>
            <w:r>
              <w:t>587.99</w:t>
            </w:r>
          </w:p>
        </w:tc>
        <w:tc>
          <w:tcPr>
            <w:tcW w:w="1134" w:type="dxa"/>
            <w:vAlign w:val="center"/>
          </w:tcPr>
          <w:p>
            <w:pPr>
              <w:pStyle w:val="11"/>
            </w:pPr>
            <w:r>
              <w:t>587.99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105.74</w:t>
            </w:r>
          </w:p>
        </w:tc>
        <w:tc>
          <w:tcPr>
            <w:tcW w:w="1134" w:type="dxa"/>
            <w:vAlign w:val="center"/>
          </w:tcPr>
          <w:p>
            <w:pPr>
              <w:pStyle w:val="11"/>
            </w:pPr>
            <w:r>
              <w:t>94.11</w:t>
            </w:r>
          </w:p>
        </w:tc>
        <w:tc>
          <w:tcPr>
            <w:tcW w:w="1134" w:type="dxa"/>
            <w:vAlign w:val="center"/>
          </w:tcPr>
          <w:p>
            <w:pPr>
              <w:pStyle w:val="11"/>
            </w:pPr>
            <w:r>
              <w:t>94.11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2120106</w:t>
            </w:r>
          </w:p>
        </w:tc>
        <w:tc>
          <w:tcPr>
            <w:tcW w:w="1559" w:type="dxa"/>
            <w:vAlign w:val="center"/>
          </w:tcPr>
          <w:p>
            <w:pPr>
              <w:pStyle w:val="12"/>
            </w:pPr>
            <w:r>
              <w:t>工程建设管理</w:t>
            </w:r>
          </w:p>
        </w:tc>
        <w:tc>
          <w:tcPr>
            <w:tcW w:w="1134" w:type="dxa"/>
            <w:vAlign w:val="center"/>
          </w:tcPr>
          <w:p>
            <w:pPr>
              <w:pStyle w:val="11"/>
            </w:pPr>
            <w:r>
              <w:t>105.74</w:t>
            </w:r>
          </w:p>
        </w:tc>
        <w:tc>
          <w:tcPr>
            <w:tcW w:w="1134" w:type="dxa"/>
            <w:vAlign w:val="center"/>
          </w:tcPr>
          <w:p>
            <w:pPr>
              <w:pStyle w:val="11"/>
            </w:pPr>
            <w:r>
              <w:t>94.11</w:t>
            </w:r>
          </w:p>
        </w:tc>
        <w:tc>
          <w:tcPr>
            <w:tcW w:w="1134" w:type="dxa"/>
            <w:vAlign w:val="center"/>
          </w:tcPr>
          <w:p>
            <w:pPr>
              <w:pStyle w:val="11"/>
            </w:pPr>
            <w:r>
              <w:t>94.11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420.16</w:t>
            </w:r>
          </w:p>
        </w:tc>
        <w:tc>
          <w:tcPr>
            <w:tcW w:w="1134" w:type="dxa"/>
            <w:vAlign w:val="center"/>
          </w:tcPr>
          <w:p>
            <w:pPr>
              <w:pStyle w:val="11"/>
            </w:pPr>
            <w:r>
              <w:t>420.16</w:t>
            </w:r>
          </w:p>
        </w:tc>
        <w:tc>
          <w:tcPr>
            <w:tcW w:w="1134" w:type="dxa"/>
            <w:vAlign w:val="center"/>
          </w:tcPr>
          <w:p>
            <w:pPr>
              <w:pStyle w:val="11"/>
            </w:pPr>
            <w:r>
              <w:t>420.16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18.16</w:t>
            </w:r>
          </w:p>
        </w:tc>
        <w:tc>
          <w:tcPr>
            <w:tcW w:w="1134" w:type="dxa"/>
            <w:vAlign w:val="center"/>
          </w:tcPr>
          <w:p>
            <w:pPr>
              <w:pStyle w:val="11"/>
            </w:pPr>
            <w:r>
              <w:t>18.16</w:t>
            </w:r>
          </w:p>
        </w:tc>
        <w:tc>
          <w:tcPr>
            <w:tcW w:w="1134" w:type="dxa"/>
            <w:vAlign w:val="center"/>
          </w:tcPr>
          <w:p>
            <w:pPr>
              <w:pStyle w:val="11"/>
            </w:pPr>
            <w:r>
              <w:t>18.16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402.00</w:t>
            </w:r>
          </w:p>
        </w:tc>
        <w:tc>
          <w:tcPr>
            <w:tcW w:w="1134" w:type="dxa"/>
            <w:vAlign w:val="center"/>
          </w:tcPr>
          <w:p>
            <w:pPr>
              <w:pStyle w:val="11"/>
            </w:pPr>
            <w:r>
              <w:t>402.00</w:t>
            </w:r>
          </w:p>
        </w:tc>
        <w:tc>
          <w:tcPr>
            <w:tcW w:w="1134" w:type="dxa"/>
            <w:vAlign w:val="center"/>
          </w:tcPr>
          <w:p>
            <w:pPr>
              <w:pStyle w:val="11"/>
            </w:pPr>
            <w:r>
              <w:t>402.00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21299</w:t>
            </w:r>
          </w:p>
        </w:tc>
        <w:tc>
          <w:tcPr>
            <w:tcW w:w="1559" w:type="dxa"/>
            <w:vAlign w:val="center"/>
          </w:tcPr>
          <w:p>
            <w:pPr>
              <w:pStyle w:val="12"/>
            </w:pPr>
            <w:r>
              <w:t>其他城乡社区支出</w:t>
            </w:r>
          </w:p>
        </w:tc>
        <w:tc>
          <w:tcPr>
            <w:tcW w:w="1134" w:type="dxa"/>
            <w:vAlign w:val="center"/>
          </w:tcPr>
          <w:p>
            <w:pPr>
              <w:pStyle w:val="11"/>
            </w:pPr>
            <w:r>
              <w:t>82.08</w:t>
            </w:r>
          </w:p>
        </w:tc>
        <w:tc>
          <w:tcPr>
            <w:tcW w:w="1134" w:type="dxa"/>
            <w:vAlign w:val="center"/>
          </w:tcPr>
          <w:p>
            <w:pPr>
              <w:pStyle w:val="11"/>
            </w:pPr>
            <w:r>
              <w:t>73.72</w:t>
            </w:r>
          </w:p>
        </w:tc>
        <w:tc>
          <w:tcPr>
            <w:tcW w:w="1134" w:type="dxa"/>
            <w:vAlign w:val="center"/>
          </w:tcPr>
          <w:p>
            <w:pPr>
              <w:pStyle w:val="11"/>
            </w:pPr>
            <w:r>
              <w:t>73.72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2129999</w:t>
            </w:r>
          </w:p>
        </w:tc>
        <w:tc>
          <w:tcPr>
            <w:tcW w:w="1559" w:type="dxa"/>
            <w:vAlign w:val="center"/>
          </w:tcPr>
          <w:p>
            <w:pPr>
              <w:pStyle w:val="12"/>
            </w:pPr>
            <w:r>
              <w:t>其他城乡社区支出</w:t>
            </w:r>
          </w:p>
        </w:tc>
        <w:tc>
          <w:tcPr>
            <w:tcW w:w="1134" w:type="dxa"/>
            <w:vAlign w:val="center"/>
          </w:tcPr>
          <w:p>
            <w:pPr>
              <w:pStyle w:val="11"/>
            </w:pPr>
            <w:r>
              <w:t>82.08</w:t>
            </w:r>
          </w:p>
        </w:tc>
        <w:tc>
          <w:tcPr>
            <w:tcW w:w="1134" w:type="dxa"/>
            <w:vAlign w:val="center"/>
          </w:tcPr>
          <w:p>
            <w:pPr>
              <w:pStyle w:val="11"/>
            </w:pPr>
            <w:r>
              <w:t>73.72</w:t>
            </w:r>
          </w:p>
        </w:tc>
        <w:tc>
          <w:tcPr>
            <w:tcW w:w="1134" w:type="dxa"/>
            <w:vAlign w:val="center"/>
          </w:tcPr>
          <w:p>
            <w:pPr>
              <w:pStyle w:val="11"/>
            </w:pPr>
            <w:r>
              <w:t>73.72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52.71</w:t>
            </w:r>
          </w:p>
        </w:tc>
        <w:tc>
          <w:tcPr>
            <w:tcW w:w="1134" w:type="dxa"/>
            <w:vAlign w:val="center"/>
          </w:tcPr>
          <w:p>
            <w:pPr>
              <w:pStyle w:val="11"/>
            </w:pPr>
            <w:r>
              <w:t>52.71</w:t>
            </w:r>
          </w:p>
        </w:tc>
        <w:tc>
          <w:tcPr>
            <w:tcW w:w="1134" w:type="dxa"/>
            <w:vAlign w:val="center"/>
          </w:tcPr>
          <w:p>
            <w:pPr>
              <w:pStyle w:val="11"/>
            </w:pPr>
            <w:r>
              <w:t>52.71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21305</w:t>
            </w:r>
          </w:p>
        </w:tc>
        <w:tc>
          <w:tcPr>
            <w:tcW w:w="1559" w:type="dxa"/>
            <w:vAlign w:val="center"/>
          </w:tcPr>
          <w:p>
            <w:pPr>
              <w:pStyle w:val="12"/>
            </w:pPr>
            <w:r>
              <w:t>巩固脱贫衔接乡村振兴</w:t>
            </w:r>
          </w:p>
        </w:tc>
        <w:tc>
          <w:tcPr>
            <w:tcW w:w="1134" w:type="dxa"/>
            <w:vAlign w:val="center"/>
          </w:tcPr>
          <w:p>
            <w:pPr>
              <w:pStyle w:val="11"/>
            </w:pPr>
            <w:r>
              <w:t>52.71</w:t>
            </w:r>
          </w:p>
        </w:tc>
        <w:tc>
          <w:tcPr>
            <w:tcW w:w="1134" w:type="dxa"/>
            <w:vAlign w:val="center"/>
          </w:tcPr>
          <w:p>
            <w:pPr>
              <w:pStyle w:val="11"/>
            </w:pPr>
            <w:r>
              <w:t>52.71</w:t>
            </w:r>
          </w:p>
        </w:tc>
        <w:tc>
          <w:tcPr>
            <w:tcW w:w="1134" w:type="dxa"/>
            <w:vAlign w:val="center"/>
          </w:tcPr>
          <w:p>
            <w:pPr>
              <w:pStyle w:val="11"/>
            </w:pPr>
            <w:r>
              <w:t>52.71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2130550</w:t>
            </w:r>
          </w:p>
        </w:tc>
        <w:tc>
          <w:tcPr>
            <w:tcW w:w="1559" w:type="dxa"/>
            <w:vAlign w:val="center"/>
          </w:tcPr>
          <w:p>
            <w:pPr>
              <w:pStyle w:val="12"/>
            </w:pPr>
            <w:r>
              <w:t>事业运行</w:t>
            </w:r>
          </w:p>
        </w:tc>
        <w:tc>
          <w:tcPr>
            <w:tcW w:w="1134" w:type="dxa"/>
            <w:vAlign w:val="center"/>
          </w:tcPr>
          <w:p>
            <w:pPr>
              <w:pStyle w:val="11"/>
            </w:pPr>
            <w:r>
              <w:t>52.71</w:t>
            </w:r>
          </w:p>
        </w:tc>
        <w:tc>
          <w:tcPr>
            <w:tcW w:w="1134" w:type="dxa"/>
            <w:vAlign w:val="center"/>
          </w:tcPr>
          <w:p>
            <w:pPr>
              <w:pStyle w:val="11"/>
            </w:pPr>
            <w:r>
              <w:t>52.71</w:t>
            </w:r>
          </w:p>
        </w:tc>
        <w:tc>
          <w:tcPr>
            <w:tcW w:w="1134" w:type="dxa"/>
            <w:vAlign w:val="center"/>
          </w:tcPr>
          <w:p>
            <w:pPr>
              <w:pStyle w:val="11"/>
            </w:pPr>
            <w:r>
              <w:t>52.71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816.37</w:t>
            </w:r>
          </w:p>
        </w:tc>
        <w:tc>
          <w:tcPr>
            <w:tcW w:w="1134" w:type="dxa"/>
            <w:vAlign w:val="center"/>
          </w:tcPr>
          <w:p>
            <w:pPr>
              <w:pStyle w:val="11"/>
            </w:pPr>
            <w:r>
              <w:t>816.37</w:t>
            </w:r>
          </w:p>
        </w:tc>
        <w:tc>
          <w:tcPr>
            <w:tcW w:w="1134" w:type="dxa"/>
            <w:vAlign w:val="center"/>
          </w:tcPr>
          <w:p>
            <w:pPr>
              <w:pStyle w:val="11"/>
            </w:pPr>
            <w:r>
              <w:t>816.37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772.00</w:t>
            </w:r>
          </w:p>
        </w:tc>
        <w:tc>
          <w:tcPr>
            <w:tcW w:w="1134" w:type="dxa"/>
            <w:vAlign w:val="center"/>
          </w:tcPr>
          <w:p>
            <w:pPr>
              <w:pStyle w:val="11"/>
            </w:pPr>
            <w:r>
              <w:t>772.00</w:t>
            </w:r>
          </w:p>
        </w:tc>
        <w:tc>
          <w:tcPr>
            <w:tcW w:w="1134" w:type="dxa"/>
            <w:vAlign w:val="center"/>
          </w:tcPr>
          <w:p>
            <w:pPr>
              <w:pStyle w:val="11"/>
            </w:pPr>
            <w:r>
              <w:t>772.00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2210103</w:t>
            </w:r>
          </w:p>
        </w:tc>
        <w:tc>
          <w:tcPr>
            <w:tcW w:w="1559" w:type="dxa"/>
            <w:vAlign w:val="center"/>
          </w:tcPr>
          <w:p>
            <w:pPr>
              <w:pStyle w:val="12"/>
            </w:pPr>
            <w:r>
              <w:t>棚户区改造</w:t>
            </w:r>
          </w:p>
        </w:tc>
        <w:tc>
          <w:tcPr>
            <w:tcW w:w="1134" w:type="dxa"/>
            <w:vAlign w:val="center"/>
          </w:tcPr>
          <w:p>
            <w:pPr>
              <w:pStyle w:val="11"/>
            </w:pPr>
            <w:r>
              <w:t>772.00</w:t>
            </w:r>
          </w:p>
        </w:tc>
        <w:tc>
          <w:tcPr>
            <w:tcW w:w="1134" w:type="dxa"/>
            <w:vAlign w:val="center"/>
          </w:tcPr>
          <w:p>
            <w:pPr>
              <w:pStyle w:val="11"/>
            </w:pPr>
            <w:r>
              <w:t>772.00</w:t>
            </w:r>
          </w:p>
        </w:tc>
        <w:tc>
          <w:tcPr>
            <w:tcW w:w="1134" w:type="dxa"/>
            <w:vAlign w:val="center"/>
          </w:tcPr>
          <w:p>
            <w:pPr>
              <w:pStyle w:val="11"/>
            </w:pPr>
            <w:r>
              <w:t>772.00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44.37</w:t>
            </w:r>
          </w:p>
        </w:tc>
        <w:tc>
          <w:tcPr>
            <w:tcW w:w="1134" w:type="dxa"/>
            <w:vAlign w:val="center"/>
          </w:tcPr>
          <w:p>
            <w:pPr>
              <w:pStyle w:val="11"/>
            </w:pPr>
            <w:r>
              <w:t>44.37</w:t>
            </w:r>
          </w:p>
        </w:tc>
        <w:tc>
          <w:tcPr>
            <w:tcW w:w="1134" w:type="dxa"/>
            <w:vAlign w:val="center"/>
          </w:tcPr>
          <w:p>
            <w:pPr>
              <w:pStyle w:val="11"/>
            </w:pPr>
            <w:r>
              <w:t>44.37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44.37</w:t>
            </w:r>
          </w:p>
        </w:tc>
        <w:tc>
          <w:tcPr>
            <w:tcW w:w="1134" w:type="dxa"/>
            <w:vAlign w:val="center"/>
          </w:tcPr>
          <w:p>
            <w:pPr>
              <w:pStyle w:val="11"/>
            </w:pPr>
            <w:r>
              <w:t>44.37</w:t>
            </w:r>
          </w:p>
        </w:tc>
        <w:tc>
          <w:tcPr>
            <w:tcW w:w="1134" w:type="dxa"/>
            <w:vAlign w:val="center"/>
          </w:tcPr>
          <w:p>
            <w:pPr>
              <w:pStyle w:val="11"/>
            </w:pPr>
            <w:r>
              <w:t>44.37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2774.82</w:t>
            </w:r>
          </w:p>
        </w:tc>
        <w:tc>
          <w:tcPr>
            <w:tcW w:w="1361" w:type="dxa"/>
            <w:vAlign w:val="center"/>
          </w:tcPr>
          <w:p>
            <w:pPr>
              <w:pStyle w:val="15"/>
            </w:pPr>
            <w:r>
              <w:t>1544.38</w:t>
            </w:r>
          </w:p>
        </w:tc>
        <w:tc>
          <w:tcPr>
            <w:tcW w:w="1361" w:type="dxa"/>
            <w:vAlign w:val="center"/>
          </w:tcPr>
          <w:p>
            <w:pPr>
              <w:pStyle w:val="15"/>
            </w:pPr>
            <w:r>
              <w:t>1230.44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1128.45</w:t>
            </w:r>
          </w:p>
        </w:tc>
        <w:tc>
          <w:tcPr>
            <w:tcW w:w="1361" w:type="dxa"/>
            <w:vAlign w:val="center"/>
          </w:tcPr>
          <w:p>
            <w:pPr>
              <w:pStyle w:val="11"/>
            </w:pPr>
            <w:r>
              <w:t>1097.67</w:t>
            </w:r>
          </w:p>
        </w:tc>
        <w:tc>
          <w:tcPr>
            <w:tcW w:w="1361" w:type="dxa"/>
            <w:vAlign w:val="center"/>
          </w:tcPr>
          <w:p>
            <w:pPr>
              <w:pStyle w:val="11"/>
            </w:pPr>
            <w:r>
              <w:t>30.78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450.72</w:t>
            </w:r>
          </w:p>
        </w:tc>
        <w:tc>
          <w:tcPr>
            <w:tcW w:w="1361" w:type="dxa"/>
            <w:vAlign w:val="center"/>
          </w:tcPr>
          <w:p>
            <w:pPr>
              <w:pStyle w:val="11"/>
            </w:pPr>
            <w:r>
              <w:t>428.28</w:t>
            </w:r>
          </w:p>
        </w:tc>
        <w:tc>
          <w:tcPr>
            <w:tcW w:w="1361" w:type="dxa"/>
            <w:vAlign w:val="center"/>
          </w:tcPr>
          <w:p>
            <w:pPr>
              <w:pStyle w:val="11"/>
            </w:pPr>
            <w:r>
              <w:t>22.44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242.35</w:t>
            </w:r>
          </w:p>
        </w:tc>
        <w:tc>
          <w:tcPr>
            <w:tcW w:w="1361" w:type="dxa"/>
            <w:vAlign w:val="center"/>
          </w:tcPr>
          <w:p>
            <w:pPr>
              <w:pStyle w:val="11"/>
            </w:pPr>
            <w:r>
              <w:t>242.35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2010305</w:t>
            </w:r>
          </w:p>
        </w:tc>
        <w:tc>
          <w:tcPr>
            <w:tcW w:w="4535" w:type="dxa"/>
            <w:vAlign w:val="center"/>
          </w:tcPr>
          <w:p>
            <w:pPr>
              <w:pStyle w:val="12"/>
            </w:pPr>
            <w:r>
              <w:t>专项业务及机关事务管理</w:t>
            </w:r>
          </w:p>
        </w:tc>
        <w:tc>
          <w:tcPr>
            <w:tcW w:w="1361" w:type="dxa"/>
            <w:vAlign w:val="center"/>
          </w:tcPr>
          <w:p>
            <w:pPr>
              <w:pStyle w:val="11"/>
            </w:pPr>
            <w:r>
              <w:t>12.17</w:t>
            </w:r>
          </w:p>
        </w:tc>
        <w:tc>
          <w:tcPr>
            <w:tcW w:w="1361" w:type="dxa"/>
            <w:vAlign w:val="center"/>
          </w:tcPr>
          <w:p>
            <w:pPr>
              <w:pStyle w:val="11"/>
            </w:pPr>
          </w:p>
        </w:tc>
        <w:tc>
          <w:tcPr>
            <w:tcW w:w="1361" w:type="dxa"/>
            <w:vAlign w:val="center"/>
          </w:tcPr>
          <w:p>
            <w:pPr>
              <w:pStyle w:val="11"/>
            </w:pPr>
            <w:r>
              <w:t>12.17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185.93</w:t>
            </w:r>
          </w:p>
        </w:tc>
        <w:tc>
          <w:tcPr>
            <w:tcW w:w="1361" w:type="dxa"/>
            <w:vAlign w:val="center"/>
          </w:tcPr>
          <w:p>
            <w:pPr>
              <w:pStyle w:val="11"/>
            </w:pPr>
            <w:r>
              <w:t>185.93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10.28</w:t>
            </w:r>
          </w:p>
        </w:tc>
        <w:tc>
          <w:tcPr>
            <w:tcW w:w="1361" w:type="dxa"/>
            <w:vAlign w:val="center"/>
          </w:tcPr>
          <w:p>
            <w:pPr>
              <w:pStyle w:val="11"/>
            </w:pPr>
          </w:p>
        </w:tc>
        <w:tc>
          <w:tcPr>
            <w:tcW w:w="1361" w:type="dxa"/>
            <w:vAlign w:val="center"/>
          </w:tcPr>
          <w:p>
            <w:pPr>
              <w:pStyle w:val="11"/>
            </w:pPr>
            <w:r>
              <w:t>10.28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20107</w:t>
            </w:r>
          </w:p>
        </w:tc>
        <w:tc>
          <w:tcPr>
            <w:tcW w:w="4535" w:type="dxa"/>
            <w:vAlign w:val="center"/>
          </w:tcPr>
          <w:p>
            <w:pPr>
              <w:pStyle w:val="12"/>
            </w:pPr>
            <w:r>
              <w:t>税收事务</w:t>
            </w:r>
          </w:p>
        </w:tc>
        <w:tc>
          <w:tcPr>
            <w:tcW w:w="1361" w:type="dxa"/>
            <w:vAlign w:val="center"/>
          </w:tcPr>
          <w:p>
            <w:pPr>
              <w:pStyle w:val="11"/>
            </w:pPr>
            <w:r>
              <w:t>677.73</w:t>
            </w:r>
          </w:p>
        </w:tc>
        <w:tc>
          <w:tcPr>
            <w:tcW w:w="1361" w:type="dxa"/>
            <w:vAlign w:val="center"/>
          </w:tcPr>
          <w:p>
            <w:pPr>
              <w:pStyle w:val="11"/>
            </w:pPr>
            <w:r>
              <w:t>669.40</w:t>
            </w:r>
          </w:p>
        </w:tc>
        <w:tc>
          <w:tcPr>
            <w:tcW w:w="1361" w:type="dxa"/>
            <w:vAlign w:val="center"/>
          </w:tcPr>
          <w:p>
            <w:pPr>
              <w:pStyle w:val="11"/>
            </w:pPr>
            <w:r>
              <w:t>8.33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2010701</w:t>
            </w:r>
          </w:p>
        </w:tc>
        <w:tc>
          <w:tcPr>
            <w:tcW w:w="4535" w:type="dxa"/>
            <w:vAlign w:val="center"/>
          </w:tcPr>
          <w:p>
            <w:pPr>
              <w:pStyle w:val="12"/>
            </w:pPr>
            <w:r>
              <w:t>行政运行</w:t>
            </w:r>
          </w:p>
        </w:tc>
        <w:tc>
          <w:tcPr>
            <w:tcW w:w="1361" w:type="dxa"/>
            <w:vAlign w:val="center"/>
          </w:tcPr>
          <w:p>
            <w:pPr>
              <w:pStyle w:val="11"/>
            </w:pPr>
            <w:r>
              <w:t>669.40</w:t>
            </w:r>
          </w:p>
        </w:tc>
        <w:tc>
          <w:tcPr>
            <w:tcW w:w="1361" w:type="dxa"/>
            <w:vAlign w:val="center"/>
          </w:tcPr>
          <w:p>
            <w:pPr>
              <w:pStyle w:val="11"/>
            </w:pPr>
            <w:r>
              <w:t>669.40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2010710</w:t>
            </w:r>
          </w:p>
        </w:tc>
        <w:tc>
          <w:tcPr>
            <w:tcW w:w="4535" w:type="dxa"/>
            <w:vAlign w:val="center"/>
          </w:tcPr>
          <w:p>
            <w:pPr>
              <w:pStyle w:val="12"/>
            </w:pPr>
            <w:r>
              <w:t>税收业务</w:t>
            </w:r>
          </w:p>
        </w:tc>
        <w:tc>
          <w:tcPr>
            <w:tcW w:w="1361" w:type="dxa"/>
            <w:vAlign w:val="center"/>
          </w:tcPr>
          <w:p>
            <w:pPr>
              <w:pStyle w:val="11"/>
            </w:pPr>
            <w:r>
              <w:t>8.33</w:t>
            </w:r>
          </w:p>
        </w:tc>
        <w:tc>
          <w:tcPr>
            <w:tcW w:w="1361" w:type="dxa"/>
            <w:vAlign w:val="center"/>
          </w:tcPr>
          <w:p>
            <w:pPr>
              <w:pStyle w:val="11"/>
            </w:pPr>
          </w:p>
        </w:tc>
        <w:tc>
          <w:tcPr>
            <w:tcW w:w="1361" w:type="dxa"/>
            <w:vAlign w:val="center"/>
          </w:tcPr>
          <w:p>
            <w:pPr>
              <w:pStyle w:val="11"/>
            </w:pPr>
            <w:r>
              <w:t>8.33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108.04</w:t>
            </w:r>
          </w:p>
        </w:tc>
        <w:tc>
          <w:tcPr>
            <w:tcW w:w="1361" w:type="dxa"/>
            <w:vAlign w:val="center"/>
          </w:tcPr>
          <w:p>
            <w:pPr>
              <w:pStyle w:val="11"/>
            </w:pPr>
            <w:r>
              <w:t>108.04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92.00</w:t>
            </w:r>
          </w:p>
        </w:tc>
        <w:tc>
          <w:tcPr>
            <w:tcW w:w="1361" w:type="dxa"/>
            <w:vAlign w:val="center"/>
          </w:tcPr>
          <w:p>
            <w:pPr>
              <w:pStyle w:val="11"/>
            </w:pPr>
            <w:r>
              <w:t>92.00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2.19</w:t>
            </w:r>
          </w:p>
        </w:tc>
        <w:tc>
          <w:tcPr>
            <w:tcW w:w="1361" w:type="dxa"/>
            <w:vAlign w:val="center"/>
          </w:tcPr>
          <w:p>
            <w:pPr>
              <w:pStyle w:val="11"/>
            </w:pPr>
            <w:r>
              <w:t>2.19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1.06</w:t>
            </w:r>
          </w:p>
        </w:tc>
        <w:tc>
          <w:tcPr>
            <w:tcW w:w="1361" w:type="dxa"/>
            <w:vAlign w:val="center"/>
          </w:tcPr>
          <w:p>
            <w:pPr>
              <w:pStyle w:val="11"/>
            </w:pPr>
            <w:r>
              <w:t>1.06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88.75</w:t>
            </w:r>
          </w:p>
        </w:tc>
        <w:tc>
          <w:tcPr>
            <w:tcW w:w="1361" w:type="dxa"/>
            <w:vAlign w:val="center"/>
          </w:tcPr>
          <w:p>
            <w:pPr>
              <w:pStyle w:val="11"/>
            </w:pPr>
            <w:r>
              <w:t>88.75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16.03</w:t>
            </w:r>
          </w:p>
        </w:tc>
        <w:tc>
          <w:tcPr>
            <w:tcW w:w="1361" w:type="dxa"/>
            <w:vAlign w:val="center"/>
          </w:tcPr>
          <w:p>
            <w:pPr>
              <w:pStyle w:val="11"/>
            </w:pPr>
            <w:r>
              <w:t>16.03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16.03</w:t>
            </w:r>
          </w:p>
        </w:tc>
        <w:tc>
          <w:tcPr>
            <w:tcW w:w="1361" w:type="dxa"/>
            <w:vAlign w:val="center"/>
          </w:tcPr>
          <w:p>
            <w:pPr>
              <w:pStyle w:val="11"/>
            </w:pPr>
            <w:r>
              <w:t>16.03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61.26</w:t>
            </w:r>
          </w:p>
        </w:tc>
        <w:tc>
          <w:tcPr>
            <w:tcW w:w="1361" w:type="dxa"/>
            <w:vAlign w:val="center"/>
          </w:tcPr>
          <w:p>
            <w:pPr>
              <w:pStyle w:val="11"/>
            </w:pPr>
            <w:r>
              <w:t>61.26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61.26</w:t>
            </w:r>
          </w:p>
        </w:tc>
        <w:tc>
          <w:tcPr>
            <w:tcW w:w="1361" w:type="dxa"/>
            <w:vAlign w:val="center"/>
          </w:tcPr>
          <w:p>
            <w:pPr>
              <w:pStyle w:val="11"/>
            </w:pPr>
            <w:r>
              <w:t>61.26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19.26</w:t>
            </w:r>
          </w:p>
        </w:tc>
        <w:tc>
          <w:tcPr>
            <w:tcW w:w="1361" w:type="dxa"/>
            <w:vAlign w:val="center"/>
          </w:tcPr>
          <w:p>
            <w:pPr>
              <w:pStyle w:val="11"/>
            </w:pPr>
            <w:r>
              <w:t>19.26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42.01</w:t>
            </w:r>
          </w:p>
        </w:tc>
        <w:tc>
          <w:tcPr>
            <w:tcW w:w="1361" w:type="dxa"/>
            <w:vAlign w:val="center"/>
          </w:tcPr>
          <w:p>
            <w:pPr>
              <w:pStyle w:val="11"/>
            </w:pPr>
            <w:r>
              <w:t>42.01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607.98</w:t>
            </w:r>
          </w:p>
        </w:tc>
        <w:tc>
          <w:tcPr>
            <w:tcW w:w="1361" w:type="dxa"/>
            <w:vAlign w:val="center"/>
          </w:tcPr>
          <w:p>
            <w:pPr>
              <w:pStyle w:val="11"/>
            </w:pPr>
            <w:r>
              <w:t>180.32</w:t>
            </w:r>
          </w:p>
        </w:tc>
        <w:tc>
          <w:tcPr>
            <w:tcW w:w="1361" w:type="dxa"/>
            <w:vAlign w:val="center"/>
          </w:tcPr>
          <w:p>
            <w:pPr>
              <w:pStyle w:val="11"/>
            </w:pPr>
            <w:r>
              <w:t>427.66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105.74</w:t>
            </w:r>
          </w:p>
        </w:tc>
        <w:tc>
          <w:tcPr>
            <w:tcW w:w="1361" w:type="dxa"/>
            <w:vAlign w:val="center"/>
          </w:tcPr>
          <w:p>
            <w:pPr>
              <w:pStyle w:val="11"/>
            </w:pPr>
            <w:r>
              <w:t>105.74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2120106</w:t>
            </w:r>
          </w:p>
        </w:tc>
        <w:tc>
          <w:tcPr>
            <w:tcW w:w="4535" w:type="dxa"/>
            <w:vAlign w:val="center"/>
          </w:tcPr>
          <w:p>
            <w:pPr>
              <w:pStyle w:val="12"/>
            </w:pPr>
            <w:r>
              <w:t>工程建设管理</w:t>
            </w:r>
          </w:p>
        </w:tc>
        <w:tc>
          <w:tcPr>
            <w:tcW w:w="1361" w:type="dxa"/>
            <w:vAlign w:val="center"/>
          </w:tcPr>
          <w:p>
            <w:pPr>
              <w:pStyle w:val="11"/>
            </w:pPr>
            <w:r>
              <w:t>105.74</w:t>
            </w:r>
          </w:p>
        </w:tc>
        <w:tc>
          <w:tcPr>
            <w:tcW w:w="1361" w:type="dxa"/>
            <w:vAlign w:val="center"/>
          </w:tcPr>
          <w:p>
            <w:pPr>
              <w:pStyle w:val="11"/>
            </w:pPr>
            <w:r>
              <w:t>105.74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420.16</w:t>
            </w:r>
          </w:p>
        </w:tc>
        <w:tc>
          <w:tcPr>
            <w:tcW w:w="1361" w:type="dxa"/>
            <w:vAlign w:val="center"/>
          </w:tcPr>
          <w:p>
            <w:pPr>
              <w:pStyle w:val="11"/>
            </w:pPr>
          </w:p>
        </w:tc>
        <w:tc>
          <w:tcPr>
            <w:tcW w:w="1361" w:type="dxa"/>
            <w:vAlign w:val="center"/>
          </w:tcPr>
          <w:p>
            <w:pPr>
              <w:pStyle w:val="11"/>
            </w:pPr>
            <w:r>
              <w:t>420.16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18.16</w:t>
            </w:r>
          </w:p>
        </w:tc>
        <w:tc>
          <w:tcPr>
            <w:tcW w:w="1361" w:type="dxa"/>
            <w:vAlign w:val="center"/>
          </w:tcPr>
          <w:p>
            <w:pPr>
              <w:pStyle w:val="11"/>
            </w:pPr>
          </w:p>
        </w:tc>
        <w:tc>
          <w:tcPr>
            <w:tcW w:w="1361" w:type="dxa"/>
            <w:vAlign w:val="center"/>
          </w:tcPr>
          <w:p>
            <w:pPr>
              <w:pStyle w:val="11"/>
            </w:pPr>
            <w:r>
              <w:t>18.16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402.00</w:t>
            </w:r>
          </w:p>
        </w:tc>
        <w:tc>
          <w:tcPr>
            <w:tcW w:w="1361" w:type="dxa"/>
            <w:vAlign w:val="center"/>
          </w:tcPr>
          <w:p>
            <w:pPr>
              <w:pStyle w:val="11"/>
            </w:pPr>
          </w:p>
        </w:tc>
        <w:tc>
          <w:tcPr>
            <w:tcW w:w="1361" w:type="dxa"/>
            <w:vAlign w:val="center"/>
          </w:tcPr>
          <w:p>
            <w:pPr>
              <w:pStyle w:val="11"/>
            </w:pPr>
            <w:r>
              <w:t>402.00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21299</w:t>
            </w:r>
          </w:p>
        </w:tc>
        <w:tc>
          <w:tcPr>
            <w:tcW w:w="4535" w:type="dxa"/>
            <w:vAlign w:val="center"/>
          </w:tcPr>
          <w:p>
            <w:pPr>
              <w:pStyle w:val="12"/>
            </w:pPr>
            <w:r>
              <w:t>其他城乡社区支出</w:t>
            </w:r>
          </w:p>
        </w:tc>
        <w:tc>
          <w:tcPr>
            <w:tcW w:w="1361" w:type="dxa"/>
            <w:vAlign w:val="center"/>
          </w:tcPr>
          <w:p>
            <w:pPr>
              <w:pStyle w:val="11"/>
            </w:pPr>
            <w:r>
              <w:t>82.08</w:t>
            </w:r>
          </w:p>
        </w:tc>
        <w:tc>
          <w:tcPr>
            <w:tcW w:w="1361" w:type="dxa"/>
            <w:vAlign w:val="center"/>
          </w:tcPr>
          <w:p>
            <w:pPr>
              <w:pStyle w:val="11"/>
            </w:pPr>
            <w:r>
              <w:t>74.58</w:t>
            </w:r>
          </w:p>
        </w:tc>
        <w:tc>
          <w:tcPr>
            <w:tcW w:w="1361" w:type="dxa"/>
            <w:vAlign w:val="center"/>
          </w:tcPr>
          <w:p>
            <w:pPr>
              <w:pStyle w:val="11"/>
            </w:pPr>
            <w:r>
              <w:t>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2129999</w:t>
            </w:r>
          </w:p>
        </w:tc>
        <w:tc>
          <w:tcPr>
            <w:tcW w:w="4535" w:type="dxa"/>
            <w:vAlign w:val="center"/>
          </w:tcPr>
          <w:p>
            <w:pPr>
              <w:pStyle w:val="12"/>
            </w:pPr>
            <w:r>
              <w:t>其他城乡社区支出</w:t>
            </w:r>
          </w:p>
        </w:tc>
        <w:tc>
          <w:tcPr>
            <w:tcW w:w="1361" w:type="dxa"/>
            <w:vAlign w:val="center"/>
          </w:tcPr>
          <w:p>
            <w:pPr>
              <w:pStyle w:val="11"/>
            </w:pPr>
            <w:r>
              <w:t>82.08</w:t>
            </w:r>
          </w:p>
        </w:tc>
        <w:tc>
          <w:tcPr>
            <w:tcW w:w="1361" w:type="dxa"/>
            <w:vAlign w:val="center"/>
          </w:tcPr>
          <w:p>
            <w:pPr>
              <w:pStyle w:val="11"/>
            </w:pPr>
            <w:r>
              <w:t>74.58</w:t>
            </w:r>
          </w:p>
        </w:tc>
        <w:tc>
          <w:tcPr>
            <w:tcW w:w="1361" w:type="dxa"/>
            <w:vAlign w:val="center"/>
          </w:tcPr>
          <w:p>
            <w:pPr>
              <w:pStyle w:val="11"/>
            </w:pPr>
            <w:r>
              <w:t>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52.71</w:t>
            </w:r>
          </w:p>
        </w:tc>
        <w:tc>
          <w:tcPr>
            <w:tcW w:w="1361" w:type="dxa"/>
            <w:vAlign w:val="center"/>
          </w:tcPr>
          <w:p>
            <w:pPr>
              <w:pStyle w:val="11"/>
            </w:pPr>
            <w:r>
              <w:t>52.71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21305</w:t>
            </w:r>
          </w:p>
        </w:tc>
        <w:tc>
          <w:tcPr>
            <w:tcW w:w="4535" w:type="dxa"/>
            <w:vAlign w:val="center"/>
          </w:tcPr>
          <w:p>
            <w:pPr>
              <w:pStyle w:val="12"/>
            </w:pPr>
            <w:r>
              <w:t>巩固脱贫衔接乡村振兴</w:t>
            </w:r>
          </w:p>
        </w:tc>
        <w:tc>
          <w:tcPr>
            <w:tcW w:w="1361" w:type="dxa"/>
            <w:vAlign w:val="center"/>
          </w:tcPr>
          <w:p>
            <w:pPr>
              <w:pStyle w:val="11"/>
            </w:pPr>
            <w:r>
              <w:t>52.71</w:t>
            </w:r>
          </w:p>
        </w:tc>
        <w:tc>
          <w:tcPr>
            <w:tcW w:w="1361" w:type="dxa"/>
            <w:vAlign w:val="center"/>
          </w:tcPr>
          <w:p>
            <w:pPr>
              <w:pStyle w:val="11"/>
            </w:pPr>
            <w:r>
              <w:t>52.71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2130550</w:t>
            </w:r>
          </w:p>
        </w:tc>
        <w:tc>
          <w:tcPr>
            <w:tcW w:w="4535" w:type="dxa"/>
            <w:vAlign w:val="center"/>
          </w:tcPr>
          <w:p>
            <w:pPr>
              <w:pStyle w:val="12"/>
            </w:pPr>
            <w:r>
              <w:t>事业运行</w:t>
            </w:r>
          </w:p>
        </w:tc>
        <w:tc>
          <w:tcPr>
            <w:tcW w:w="1361" w:type="dxa"/>
            <w:vAlign w:val="center"/>
          </w:tcPr>
          <w:p>
            <w:pPr>
              <w:pStyle w:val="11"/>
            </w:pPr>
            <w:r>
              <w:t>52.71</w:t>
            </w:r>
          </w:p>
        </w:tc>
        <w:tc>
          <w:tcPr>
            <w:tcW w:w="1361" w:type="dxa"/>
            <w:vAlign w:val="center"/>
          </w:tcPr>
          <w:p>
            <w:pPr>
              <w:pStyle w:val="11"/>
            </w:pPr>
            <w:r>
              <w:t>52.71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816.37</w:t>
            </w:r>
          </w:p>
        </w:tc>
        <w:tc>
          <w:tcPr>
            <w:tcW w:w="1361" w:type="dxa"/>
            <w:vAlign w:val="center"/>
          </w:tcPr>
          <w:p>
            <w:pPr>
              <w:pStyle w:val="11"/>
            </w:pPr>
            <w:r>
              <w:t>44.37</w:t>
            </w:r>
          </w:p>
        </w:tc>
        <w:tc>
          <w:tcPr>
            <w:tcW w:w="1361" w:type="dxa"/>
            <w:vAlign w:val="center"/>
          </w:tcPr>
          <w:p>
            <w:pPr>
              <w:pStyle w:val="11"/>
            </w:pPr>
            <w:r>
              <w:t>772.00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772.00</w:t>
            </w:r>
          </w:p>
        </w:tc>
        <w:tc>
          <w:tcPr>
            <w:tcW w:w="1361" w:type="dxa"/>
            <w:vAlign w:val="center"/>
          </w:tcPr>
          <w:p>
            <w:pPr>
              <w:pStyle w:val="11"/>
            </w:pPr>
          </w:p>
        </w:tc>
        <w:tc>
          <w:tcPr>
            <w:tcW w:w="1361" w:type="dxa"/>
            <w:vAlign w:val="center"/>
          </w:tcPr>
          <w:p>
            <w:pPr>
              <w:pStyle w:val="11"/>
            </w:pPr>
            <w:r>
              <w:t>772.00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2210103</w:t>
            </w:r>
          </w:p>
        </w:tc>
        <w:tc>
          <w:tcPr>
            <w:tcW w:w="4535" w:type="dxa"/>
            <w:vAlign w:val="center"/>
          </w:tcPr>
          <w:p>
            <w:pPr>
              <w:pStyle w:val="12"/>
            </w:pPr>
            <w:r>
              <w:t>棚户区改造</w:t>
            </w:r>
          </w:p>
        </w:tc>
        <w:tc>
          <w:tcPr>
            <w:tcW w:w="1361" w:type="dxa"/>
            <w:vAlign w:val="center"/>
          </w:tcPr>
          <w:p>
            <w:pPr>
              <w:pStyle w:val="11"/>
            </w:pPr>
            <w:r>
              <w:t>772.00</w:t>
            </w:r>
          </w:p>
        </w:tc>
        <w:tc>
          <w:tcPr>
            <w:tcW w:w="1361" w:type="dxa"/>
            <w:vAlign w:val="center"/>
          </w:tcPr>
          <w:p>
            <w:pPr>
              <w:pStyle w:val="11"/>
            </w:pPr>
          </w:p>
        </w:tc>
        <w:tc>
          <w:tcPr>
            <w:tcW w:w="1361" w:type="dxa"/>
            <w:vAlign w:val="center"/>
          </w:tcPr>
          <w:p>
            <w:pPr>
              <w:pStyle w:val="11"/>
            </w:pPr>
            <w:r>
              <w:t>772.00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44.37</w:t>
            </w:r>
          </w:p>
        </w:tc>
        <w:tc>
          <w:tcPr>
            <w:tcW w:w="1361" w:type="dxa"/>
            <w:vAlign w:val="center"/>
          </w:tcPr>
          <w:p>
            <w:pPr>
              <w:pStyle w:val="11"/>
            </w:pPr>
            <w:r>
              <w:t>44.37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44.37</w:t>
            </w:r>
          </w:p>
        </w:tc>
        <w:tc>
          <w:tcPr>
            <w:tcW w:w="1361" w:type="dxa"/>
            <w:vAlign w:val="center"/>
          </w:tcPr>
          <w:p>
            <w:pPr>
              <w:pStyle w:val="11"/>
            </w:pPr>
            <w:r>
              <w:t>44.37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2236.62</w:t>
            </w:r>
          </w:p>
        </w:tc>
        <w:tc>
          <w:tcPr>
            <w:tcW w:w="3402" w:type="dxa"/>
            <w:vAlign w:val="center"/>
          </w:tcPr>
          <w:p>
            <w:pPr>
              <w:pStyle w:val="12"/>
            </w:pPr>
            <w:r>
              <w:t>一、一般公共服务支出</w:t>
            </w:r>
          </w:p>
        </w:tc>
        <w:tc>
          <w:tcPr>
            <w:tcW w:w="1474" w:type="dxa"/>
            <w:vAlign w:val="center"/>
          </w:tcPr>
          <w:p>
            <w:pPr>
              <w:pStyle w:val="11"/>
            </w:pPr>
            <w:r>
              <w:t>1128.45</w:t>
            </w:r>
          </w:p>
        </w:tc>
        <w:tc>
          <w:tcPr>
            <w:tcW w:w="1474" w:type="dxa"/>
            <w:vAlign w:val="center"/>
          </w:tcPr>
          <w:p>
            <w:pPr>
              <w:pStyle w:val="11"/>
            </w:pPr>
            <w:r>
              <w:t>1128.45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420.16</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108.04</w:t>
            </w:r>
          </w:p>
        </w:tc>
        <w:tc>
          <w:tcPr>
            <w:tcW w:w="1474" w:type="dxa"/>
            <w:vAlign w:val="center"/>
          </w:tcPr>
          <w:p>
            <w:pPr>
              <w:pStyle w:val="11"/>
            </w:pPr>
            <w:r>
              <w:t>108.04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61.26</w:t>
            </w:r>
          </w:p>
        </w:tc>
        <w:tc>
          <w:tcPr>
            <w:tcW w:w="1474" w:type="dxa"/>
            <w:vAlign w:val="center"/>
          </w:tcPr>
          <w:p>
            <w:pPr>
              <w:pStyle w:val="11"/>
            </w:pPr>
            <w:r>
              <w:t>61.26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607.98</w:t>
            </w:r>
          </w:p>
        </w:tc>
        <w:tc>
          <w:tcPr>
            <w:tcW w:w="1474" w:type="dxa"/>
            <w:vAlign w:val="center"/>
          </w:tcPr>
          <w:p>
            <w:pPr>
              <w:pStyle w:val="11"/>
            </w:pPr>
            <w:r>
              <w:t>187.82</w:t>
            </w:r>
          </w:p>
        </w:tc>
        <w:tc>
          <w:tcPr>
            <w:tcW w:w="1474" w:type="dxa"/>
            <w:vAlign w:val="center"/>
          </w:tcPr>
          <w:p>
            <w:pPr>
              <w:pStyle w:val="11"/>
            </w:pPr>
            <w:r>
              <w:t>420.16</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52.71</w:t>
            </w:r>
          </w:p>
        </w:tc>
        <w:tc>
          <w:tcPr>
            <w:tcW w:w="1474" w:type="dxa"/>
            <w:vAlign w:val="center"/>
          </w:tcPr>
          <w:p>
            <w:pPr>
              <w:pStyle w:val="11"/>
            </w:pPr>
            <w:r>
              <w:t>52.71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816.37</w:t>
            </w:r>
          </w:p>
        </w:tc>
        <w:tc>
          <w:tcPr>
            <w:tcW w:w="1474" w:type="dxa"/>
            <w:vAlign w:val="center"/>
          </w:tcPr>
          <w:p>
            <w:pPr>
              <w:pStyle w:val="11"/>
            </w:pPr>
            <w:r>
              <w:t>816.37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2656.78</w:t>
            </w:r>
          </w:p>
        </w:tc>
        <w:tc>
          <w:tcPr>
            <w:tcW w:w="3402" w:type="dxa"/>
            <w:vAlign w:val="center"/>
          </w:tcPr>
          <w:p>
            <w:pPr>
              <w:pStyle w:val="14"/>
            </w:pPr>
            <w:r>
              <w:t>本年支出合计</w:t>
            </w:r>
          </w:p>
        </w:tc>
        <w:tc>
          <w:tcPr>
            <w:tcW w:w="1474" w:type="dxa"/>
            <w:vAlign w:val="center"/>
          </w:tcPr>
          <w:p>
            <w:pPr>
              <w:pStyle w:val="15"/>
            </w:pPr>
            <w:r>
              <w:t>2774.82</w:t>
            </w:r>
          </w:p>
        </w:tc>
        <w:tc>
          <w:tcPr>
            <w:tcW w:w="1474" w:type="dxa"/>
            <w:vAlign w:val="center"/>
          </w:tcPr>
          <w:p>
            <w:pPr>
              <w:pStyle w:val="15"/>
            </w:pPr>
            <w:r>
              <w:t>2354.66</w:t>
            </w:r>
          </w:p>
        </w:tc>
        <w:tc>
          <w:tcPr>
            <w:tcW w:w="1474" w:type="dxa"/>
            <w:vAlign w:val="center"/>
          </w:tcPr>
          <w:p>
            <w:pPr>
              <w:pStyle w:val="15"/>
            </w:pPr>
            <w:r>
              <w:t>420.16</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118.04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118.04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2774.82</w:t>
            </w:r>
          </w:p>
        </w:tc>
        <w:tc>
          <w:tcPr>
            <w:tcW w:w="3402" w:type="dxa"/>
            <w:vAlign w:val="center"/>
          </w:tcPr>
          <w:p>
            <w:pPr>
              <w:pStyle w:val="14"/>
            </w:pPr>
            <w:r>
              <w:t>支出总计</w:t>
            </w:r>
          </w:p>
        </w:tc>
        <w:tc>
          <w:tcPr>
            <w:tcW w:w="1474" w:type="dxa"/>
            <w:vAlign w:val="center"/>
          </w:tcPr>
          <w:p>
            <w:pPr>
              <w:pStyle w:val="15"/>
            </w:pPr>
            <w:r>
              <w:t>2774.82</w:t>
            </w:r>
          </w:p>
        </w:tc>
        <w:tc>
          <w:tcPr>
            <w:tcW w:w="1474" w:type="dxa"/>
            <w:vAlign w:val="center"/>
          </w:tcPr>
          <w:p>
            <w:pPr>
              <w:pStyle w:val="15"/>
            </w:pPr>
            <w:r>
              <w:t>2354.66</w:t>
            </w:r>
          </w:p>
        </w:tc>
        <w:tc>
          <w:tcPr>
            <w:tcW w:w="1474" w:type="dxa"/>
            <w:vAlign w:val="center"/>
          </w:tcPr>
          <w:p>
            <w:pPr>
              <w:pStyle w:val="15"/>
            </w:pPr>
            <w:r>
              <w:t>420.16</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2354.66</w:t>
            </w:r>
          </w:p>
        </w:tc>
        <w:tc>
          <w:tcPr>
            <w:tcW w:w="2551" w:type="dxa"/>
            <w:vAlign w:val="center"/>
          </w:tcPr>
          <w:p>
            <w:pPr>
              <w:pStyle w:val="15"/>
            </w:pPr>
            <w:r>
              <w:t>1544.38</w:t>
            </w:r>
          </w:p>
        </w:tc>
        <w:tc>
          <w:tcPr>
            <w:tcW w:w="2551" w:type="dxa"/>
            <w:vAlign w:val="center"/>
          </w:tcPr>
          <w:p>
            <w:pPr>
              <w:pStyle w:val="15"/>
            </w:pPr>
            <w:r>
              <w:t>810.28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1128.45</w:t>
            </w:r>
          </w:p>
        </w:tc>
        <w:tc>
          <w:tcPr>
            <w:tcW w:w="2551" w:type="dxa"/>
            <w:vAlign w:val="center"/>
          </w:tcPr>
          <w:p>
            <w:pPr>
              <w:pStyle w:val="11"/>
            </w:pPr>
            <w:r>
              <w:t>1097.67</w:t>
            </w:r>
          </w:p>
        </w:tc>
        <w:tc>
          <w:tcPr>
            <w:tcW w:w="2551" w:type="dxa"/>
            <w:vAlign w:val="center"/>
          </w:tcPr>
          <w:p>
            <w:pPr>
              <w:pStyle w:val="11"/>
            </w:pPr>
            <w:r>
              <w:t>30.78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450.72</w:t>
            </w:r>
          </w:p>
        </w:tc>
        <w:tc>
          <w:tcPr>
            <w:tcW w:w="2551" w:type="dxa"/>
            <w:vAlign w:val="center"/>
          </w:tcPr>
          <w:p>
            <w:pPr>
              <w:pStyle w:val="11"/>
            </w:pPr>
            <w:r>
              <w:t>428.28</w:t>
            </w:r>
          </w:p>
        </w:tc>
        <w:tc>
          <w:tcPr>
            <w:tcW w:w="2551" w:type="dxa"/>
            <w:vAlign w:val="center"/>
          </w:tcPr>
          <w:p>
            <w:pPr>
              <w:pStyle w:val="11"/>
            </w:pPr>
            <w:r>
              <w:t>22.44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242.35</w:t>
            </w:r>
          </w:p>
        </w:tc>
        <w:tc>
          <w:tcPr>
            <w:tcW w:w="2551" w:type="dxa"/>
            <w:vAlign w:val="center"/>
          </w:tcPr>
          <w:p>
            <w:pPr>
              <w:pStyle w:val="11"/>
            </w:pPr>
            <w:r>
              <w:t>242.35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2010305</w:t>
            </w:r>
          </w:p>
        </w:tc>
        <w:tc>
          <w:tcPr>
            <w:tcW w:w="4535" w:type="dxa"/>
            <w:vAlign w:val="center"/>
          </w:tcPr>
          <w:p>
            <w:pPr>
              <w:pStyle w:val="12"/>
            </w:pPr>
            <w:r>
              <w:t>专项业务及机关事务管理</w:t>
            </w:r>
          </w:p>
        </w:tc>
        <w:tc>
          <w:tcPr>
            <w:tcW w:w="2551" w:type="dxa"/>
            <w:vAlign w:val="center"/>
          </w:tcPr>
          <w:p>
            <w:pPr>
              <w:pStyle w:val="11"/>
            </w:pPr>
            <w:r>
              <w:t>12.17</w:t>
            </w:r>
          </w:p>
        </w:tc>
        <w:tc>
          <w:tcPr>
            <w:tcW w:w="2551" w:type="dxa"/>
            <w:vAlign w:val="center"/>
          </w:tcPr>
          <w:p>
            <w:pPr>
              <w:pStyle w:val="11"/>
            </w:pPr>
          </w:p>
        </w:tc>
        <w:tc>
          <w:tcPr>
            <w:tcW w:w="2551" w:type="dxa"/>
            <w:vAlign w:val="center"/>
          </w:tcPr>
          <w:p>
            <w:pPr>
              <w:pStyle w:val="11"/>
            </w:pPr>
            <w:r>
              <w:t>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185.93</w:t>
            </w:r>
          </w:p>
        </w:tc>
        <w:tc>
          <w:tcPr>
            <w:tcW w:w="2551" w:type="dxa"/>
            <w:vAlign w:val="center"/>
          </w:tcPr>
          <w:p>
            <w:pPr>
              <w:pStyle w:val="11"/>
            </w:pPr>
            <w:r>
              <w:t>185.93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10.28</w:t>
            </w:r>
          </w:p>
        </w:tc>
        <w:tc>
          <w:tcPr>
            <w:tcW w:w="2551" w:type="dxa"/>
            <w:vAlign w:val="center"/>
          </w:tcPr>
          <w:p>
            <w:pPr>
              <w:pStyle w:val="11"/>
            </w:pPr>
          </w:p>
        </w:tc>
        <w:tc>
          <w:tcPr>
            <w:tcW w:w="2551" w:type="dxa"/>
            <w:vAlign w:val="center"/>
          </w:tcPr>
          <w:p>
            <w:pPr>
              <w:pStyle w:val="11"/>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20107</w:t>
            </w:r>
          </w:p>
        </w:tc>
        <w:tc>
          <w:tcPr>
            <w:tcW w:w="4535" w:type="dxa"/>
            <w:vAlign w:val="center"/>
          </w:tcPr>
          <w:p>
            <w:pPr>
              <w:pStyle w:val="12"/>
            </w:pPr>
            <w:r>
              <w:t>税收事务</w:t>
            </w:r>
          </w:p>
        </w:tc>
        <w:tc>
          <w:tcPr>
            <w:tcW w:w="2551" w:type="dxa"/>
            <w:vAlign w:val="center"/>
          </w:tcPr>
          <w:p>
            <w:pPr>
              <w:pStyle w:val="11"/>
            </w:pPr>
            <w:r>
              <w:t>677.73</w:t>
            </w:r>
          </w:p>
        </w:tc>
        <w:tc>
          <w:tcPr>
            <w:tcW w:w="2551" w:type="dxa"/>
            <w:vAlign w:val="center"/>
          </w:tcPr>
          <w:p>
            <w:pPr>
              <w:pStyle w:val="11"/>
            </w:pPr>
            <w:r>
              <w:t>669.40</w:t>
            </w:r>
          </w:p>
        </w:tc>
        <w:tc>
          <w:tcPr>
            <w:tcW w:w="2551" w:type="dxa"/>
            <w:vAlign w:val="center"/>
          </w:tcPr>
          <w:p>
            <w:pPr>
              <w:pStyle w:val="11"/>
            </w:pPr>
            <w:r>
              <w:t>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2010701</w:t>
            </w:r>
          </w:p>
        </w:tc>
        <w:tc>
          <w:tcPr>
            <w:tcW w:w="4535" w:type="dxa"/>
            <w:vAlign w:val="center"/>
          </w:tcPr>
          <w:p>
            <w:pPr>
              <w:pStyle w:val="12"/>
            </w:pPr>
            <w:r>
              <w:t>行政运行</w:t>
            </w:r>
          </w:p>
        </w:tc>
        <w:tc>
          <w:tcPr>
            <w:tcW w:w="2551" w:type="dxa"/>
            <w:vAlign w:val="center"/>
          </w:tcPr>
          <w:p>
            <w:pPr>
              <w:pStyle w:val="11"/>
            </w:pPr>
            <w:r>
              <w:t>669.40</w:t>
            </w:r>
          </w:p>
        </w:tc>
        <w:tc>
          <w:tcPr>
            <w:tcW w:w="2551" w:type="dxa"/>
            <w:vAlign w:val="center"/>
          </w:tcPr>
          <w:p>
            <w:pPr>
              <w:pStyle w:val="11"/>
            </w:pPr>
            <w:r>
              <w:t>669.40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2010710</w:t>
            </w:r>
          </w:p>
        </w:tc>
        <w:tc>
          <w:tcPr>
            <w:tcW w:w="4535" w:type="dxa"/>
            <w:vAlign w:val="center"/>
          </w:tcPr>
          <w:p>
            <w:pPr>
              <w:pStyle w:val="12"/>
            </w:pPr>
            <w:r>
              <w:t>税收业务</w:t>
            </w:r>
          </w:p>
        </w:tc>
        <w:tc>
          <w:tcPr>
            <w:tcW w:w="2551" w:type="dxa"/>
            <w:vAlign w:val="center"/>
          </w:tcPr>
          <w:p>
            <w:pPr>
              <w:pStyle w:val="11"/>
            </w:pPr>
            <w:r>
              <w:t>8.33</w:t>
            </w:r>
          </w:p>
        </w:tc>
        <w:tc>
          <w:tcPr>
            <w:tcW w:w="2551" w:type="dxa"/>
            <w:vAlign w:val="center"/>
          </w:tcPr>
          <w:p>
            <w:pPr>
              <w:pStyle w:val="11"/>
            </w:pPr>
          </w:p>
        </w:tc>
        <w:tc>
          <w:tcPr>
            <w:tcW w:w="2551" w:type="dxa"/>
            <w:vAlign w:val="center"/>
          </w:tcPr>
          <w:p>
            <w:pPr>
              <w:pStyle w:val="11"/>
            </w:pPr>
            <w:r>
              <w:t>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108.04</w:t>
            </w:r>
          </w:p>
        </w:tc>
        <w:tc>
          <w:tcPr>
            <w:tcW w:w="2551" w:type="dxa"/>
            <w:vAlign w:val="center"/>
          </w:tcPr>
          <w:p>
            <w:pPr>
              <w:pStyle w:val="11"/>
            </w:pPr>
            <w:r>
              <w:t>108.04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92.00</w:t>
            </w:r>
          </w:p>
        </w:tc>
        <w:tc>
          <w:tcPr>
            <w:tcW w:w="2551" w:type="dxa"/>
            <w:vAlign w:val="center"/>
          </w:tcPr>
          <w:p>
            <w:pPr>
              <w:pStyle w:val="11"/>
            </w:pPr>
            <w:r>
              <w:t>92.00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2.19</w:t>
            </w:r>
          </w:p>
        </w:tc>
        <w:tc>
          <w:tcPr>
            <w:tcW w:w="2551" w:type="dxa"/>
            <w:vAlign w:val="center"/>
          </w:tcPr>
          <w:p>
            <w:pPr>
              <w:pStyle w:val="11"/>
            </w:pPr>
            <w:r>
              <w:t>2.19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1.06</w:t>
            </w:r>
          </w:p>
        </w:tc>
        <w:tc>
          <w:tcPr>
            <w:tcW w:w="2551" w:type="dxa"/>
            <w:vAlign w:val="center"/>
          </w:tcPr>
          <w:p>
            <w:pPr>
              <w:pStyle w:val="11"/>
            </w:pPr>
            <w:r>
              <w:t>1.06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88.75</w:t>
            </w:r>
          </w:p>
        </w:tc>
        <w:tc>
          <w:tcPr>
            <w:tcW w:w="2551" w:type="dxa"/>
            <w:vAlign w:val="center"/>
          </w:tcPr>
          <w:p>
            <w:pPr>
              <w:pStyle w:val="11"/>
            </w:pPr>
            <w:r>
              <w:t>88.75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16.03</w:t>
            </w:r>
          </w:p>
        </w:tc>
        <w:tc>
          <w:tcPr>
            <w:tcW w:w="2551" w:type="dxa"/>
            <w:vAlign w:val="center"/>
          </w:tcPr>
          <w:p>
            <w:pPr>
              <w:pStyle w:val="11"/>
            </w:pPr>
            <w:r>
              <w:t>16.03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16.03</w:t>
            </w:r>
          </w:p>
        </w:tc>
        <w:tc>
          <w:tcPr>
            <w:tcW w:w="2551" w:type="dxa"/>
            <w:vAlign w:val="center"/>
          </w:tcPr>
          <w:p>
            <w:pPr>
              <w:pStyle w:val="11"/>
            </w:pPr>
            <w:r>
              <w:t>16.03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61.26</w:t>
            </w:r>
          </w:p>
        </w:tc>
        <w:tc>
          <w:tcPr>
            <w:tcW w:w="2551" w:type="dxa"/>
            <w:vAlign w:val="center"/>
          </w:tcPr>
          <w:p>
            <w:pPr>
              <w:pStyle w:val="11"/>
            </w:pPr>
            <w:r>
              <w:t>61.26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61.26</w:t>
            </w:r>
          </w:p>
        </w:tc>
        <w:tc>
          <w:tcPr>
            <w:tcW w:w="2551" w:type="dxa"/>
            <w:vAlign w:val="center"/>
          </w:tcPr>
          <w:p>
            <w:pPr>
              <w:pStyle w:val="11"/>
            </w:pPr>
            <w:r>
              <w:t>61.26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19.26</w:t>
            </w:r>
          </w:p>
        </w:tc>
        <w:tc>
          <w:tcPr>
            <w:tcW w:w="2551" w:type="dxa"/>
            <w:vAlign w:val="center"/>
          </w:tcPr>
          <w:p>
            <w:pPr>
              <w:pStyle w:val="11"/>
            </w:pPr>
            <w:r>
              <w:t>19.26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42.01</w:t>
            </w:r>
          </w:p>
        </w:tc>
        <w:tc>
          <w:tcPr>
            <w:tcW w:w="2551" w:type="dxa"/>
            <w:vAlign w:val="center"/>
          </w:tcPr>
          <w:p>
            <w:pPr>
              <w:pStyle w:val="11"/>
            </w:pPr>
            <w:r>
              <w:t>42.01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187.82</w:t>
            </w:r>
          </w:p>
        </w:tc>
        <w:tc>
          <w:tcPr>
            <w:tcW w:w="2551" w:type="dxa"/>
            <w:vAlign w:val="center"/>
          </w:tcPr>
          <w:p>
            <w:pPr>
              <w:pStyle w:val="11"/>
            </w:pPr>
            <w:r>
              <w:t>180.32</w:t>
            </w:r>
          </w:p>
        </w:tc>
        <w:tc>
          <w:tcPr>
            <w:tcW w:w="2551"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105.74</w:t>
            </w:r>
          </w:p>
        </w:tc>
        <w:tc>
          <w:tcPr>
            <w:tcW w:w="2551" w:type="dxa"/>
            <w:vAlign w:val="center"/>
          </w:tcPr>
          <w:p>
            <w:pPr>
              <w:pStyle w:val="11"/>
            </w:pPr>
            <w:r>
              <w:t>105.74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2120106</w:t>
            </w:r>
          </w:p>
        </w:tc>
        <w:tc>
          <w:tcPr>
            <w:tcW w:w="4535" w:type="dxa"/>
            <w:vAlign w:val="center"/>
          </w:tcPr>
          <w:p>
            <w:pPr>
              <w:pStyle w:val="12"/>
            </w:pPr>
            <w:r>
              <w:t>工程建设管理</w:t>
            </w:r>
          </w:p>
        </w:tc>
        <w:tc>
          <w:tcPr>
            <w:tcW w:w="2551" w:type="dxa"/>
            <w:vAlign w:val="center"/>
          </w:tcPr>
          <w:p>
            <w:pPr>
              <w:pStyle w:val="11"/>
            </w:pPr>
            <w:r>
              <w:t>105.74</w:t>
            </w:r>
          </w:p>
        </w:tc>
        <w:tc>
          <w:tcPr>
            <w:tcW w:w="2551" w:type="dxa"/>
            <w:vAlign w:val="center"/>
          </w:tcPr>
          <w:p>
            <w:pPr>
              <w:pStyle w:val="11"/>
            </w:pPr>
            <w:r>
              <w:t>105.74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21299</w:t>
            </w:r>
          </w:p>
        </w:tc>
        <w:tc>
          <w:tcPr>
            <w:tcW w:w="4535" w:type="dxa"/>
            <w:vAlign w:val="center"/>
          </w:tcPr>
          <w:p>
            <w:pPr>
              <w:pStyle w:val="12"/>
            </w:pPr>
            <w:r>
              <w:t>其他城乡社区支出</w:t>
            </w:r>
          </w:p>
        </w:tc>
        <w:tc>
          <w:tcPr>
            <w:tcW w:w="2551" w:type="dxa"/>
            <w:vAlign w:val="center"/>
          </w:tcPr>
          <w:p>
            <w:pPr>
              <w:pStyle w:val="11"/>
            </w:pPr>
            <w:r>
              <w:t>82.08</w:t>
            </w:r>
          </w:p>
        </w:tc>
        <w:tc>
          <w:tcPr>
            <w:tcW w:w="2551" w:type="dxa"/>
            <w:vAlign w:val="center"/>
          </w:tcPr>
          <w:p>
            <w:pPr>
              <w:pStyle w:val="11"/>
            </w:pPr>
            <w:r>
              <w:t>74.58</w:t>
            </w:r>
          </w:p>
        </w:tc>
        <w:tc>
          <w:tcPr>
            <w:tcW w:w="2551"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2129999</w:t>
            </w:r>
          </w:p>
        </w:tc>
        <w:tc>
          <w:tcPr>
            <w:tcW w:w="4535" w:type="dxa"/>
            <w:vAlign w:val="center"/>
          </w:tcPr>
          <w:p>
            <w:pPr>
              <w:pStyle w:val="12"/>
            </w:pPr>
            <w:r>
              <w:t>其他城乡社区支出</w:t>
            </w:r>
          </w:p>
        </w:tc>
        <w:tc>
          <w:tcPr>
            <w:tcW w:w="2551" w:type="dxa"/>
            <w:vAlign w:val="center"/>
          </w:tcPr>
          <w:p>
            <w:pPr>
              <w:pStyle w:val="11"/>
            </w:pPr>
            <w:r>
              <w:t>82.08</w:t>
            </w:r>
          </w:p>
        </w:tc>
        <w:tc>
          <w:tcPr>
            <w:tcW w:w="2551" w:type="dxa"/>
            <w:vAlign w:val="center"/>
          </w:tcPr>
          <w:p>
            <w:pPr>
              <w:pStyle w:val="11"/>
            </w:pPr>
            <w:r>
              <w:t>74.58</w:t>
            </w:r>
          </w:p>
        </w:tc>
        <w:tc>
          <w:tcPr>
            <w:tcW w:w="2551"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52.71</w:t>
            </w:r>
          </w:p>
        </w:tc>
        <w:tc>
          <w:tcPr>
            <w:tcW w:w="2551" w:type="dxa"/>
            <w:vAlign w:val="center"/>
          </w:tcPr>
          <w:p>
            <w:pPr>
              <w:pStyle w:val="11"/>
            </w:pPr>
            <w:r>
              <w:t>52.71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21305</w:t>
            </w:r>
          </w:p>
        </w:tc>
        <w:tc>
          <w:tcPr>
            <w:tcW w:w="4535" w:type="dxa"/>
            <w:vAlign w:val="center"/>
          </w:tcPr>
          <w:p>
            <w:pPr>
              <w:pStyle w:val="12"/>
            </w:pPr>
            <w:r>
              <w:t>巩固脱贫衔接乡村振兴</w:t>
            </w:r>
          </w:p>
        </w:tc>
        <w:tc>
          <w:tcPr>
            <w:tcW w:w="2551" w:type="dxa"/>
            <w:vAlign w:val="center"/>
          </w:tcPr>
          <w:p>
            <w:pPr>
              <w:pStyle w:val="11"/>
            </w:pPr>
            <w:r>
              <w:t>52.71</w:t>
            </w:r>
          </w:p>
        </w:tc>
        <w:tc>
          <w:tcPr>
            <w:tcW w:w="2551" w:type="dxa"/>
            <w:vAlign w:val="center"/>
          </w:tcPr>
          <w:p>
            <w:pPr>
              <w:pStyle w:val="11"/>
            </w:pPr>
            <w:r>
              <w:t>52.71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2130550</w:t>
            </w:r>
          </w:p>
        </w:tc>
        <w:tc>
          <w:tcPr>
            <w:tcW w:w="4535" w:type="dxa"/>
            <w:vAlign w:val="center"/>
          </w:tcPr>
          <w:p>
            <w:pPr>
              <w:pStyle w:val="12"/>
            </w:pPr>
            <w:r>
              <w:t>事业运行</w:t>
            </w:r>
          </w:p>
        </w:tc>
        <w:tc>
          <w:tcPr>
            <w:tcW w:w="2551" w:type="dxa"/>
            <w:vAlign w:val="center"/>
          </w:tcPr>
          <w:p>
            <w:pPr>
              <w:pStyle w:val="11"/>
            </w:pPr>
            <w:r>
              <w:t>52.71</w:t>
            </w:r>
          </w:p>
        </w:tc>
        <w:tc>
          <w:tcPr>
            <w:tcW w:w="2551" w:type="dxa"/>
            <w:vAlign w:val="center"/>
          </w:tcPr>
          <w:p>
            <w:pPr>
              <w:pStyle w:val="11"/>
            </w:pPr>
            <w:r>
              <w:t>52.71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816.37</w:t>
            </w:r>
          </w:p>
        </w:tc>
        <w:tc>
          <w:tcPr>
            <w:tcW w:w="2551" w:type="dxa"/>
            <w:vAlign w:val="center"/>
          </w:tcPr>
          <w:p>
            <w:pPr>
              <w:pStyle w:val="11"/>
            </w:pPr>
            <w:r>
              <w:t>44.37</w:t>
            </w:r>
          </w:p>
        </w:tc>
        <w:tc>
          <w:tcPr>
            <w:tcW w:w="2551" w:type="dxa"/>
            <w:vAlign w:val="center"/>
          </w:tcPr>
          <w:p>
            <w:pPr>
              <w:pStyle w:val="11"/>
            </w:pPr>
            <w:r>
              <w:t>772.00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772.00</w:t>
            </w:r>
          </w:p>
        </w:tc>
        <w:tc>
          <w:tcPr>
            <w:tcW w:w="2551" w:type="dxa"/>
            <w:vAlign w:val="center"/>
          </w:tcPr>
          <w:p>
            <w:pPr>
              <w:pStyle w:val="11"/>
            </w:pPr>
          </w:p>
        </w:tc>
        <w:tc>
          <w:tcPr>
            <w:tcW w:w="2551" w:type="dxa"/>
            <w:vAlign w:val="center"/>
          </w:tcPr>
          <w:p>
            <w:pPr>
              <w:pStyle w:val="11"/>
            </w:pPr>
            <w:r>
              <w:t>772.00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2210103</w:t>
            </w:r>
          </w:p>
        </w:tc>
        <w:tc>
          <w:tcPr>
            <w:tcW w:w="4535" w:type="dxa"/>
            <w:vAlign w:val="center"/>
          </w:tcPr>
          <w:p>
            <w:pPr>
              <w:pStyle w:val="12"/>
            </w:pPr>
            <w:r>
              <w:t>棚户区改造</w:t>
            </w:r>
          </w:p>
        </w:tc>
        <w:tc>
          <w:tcPr>
            <w:tcW w:w="2551" w:type="dxa"/>
            <w:vAlign w:val="center"/>
          </w:tcPr>
          <w:p>
            <w:pPr>
              <w:pStyle w:val="11"/>
            </w:pPr>
            <w:r>
              <w:t>772.00</w:t>
            </w:r>
          </w:p>
        </w:tc>
        <w:tc>
          <w:tcPr>
            <w:tcW w:w="2551" w:type="dxa"/>
            <w:vAlign w:val="center"/>
          </w:tcPr>
          <w:p>
            <w:pPr>
              <w:pStyle w:val="11"/>
            </w:pPr>
          </w:p>
        </w:tc>
        <w:tc>
          <w:tcPr>
            <w:tcW w:w="2551" w:type="dxa"/>
            <w:vAlign w:val="center"/>
          </w:tcPr>
          <w:p>
            <w:pPr>
              <w:pStyle w:val="11"/>
            </w:pPr>
            <w:r>
              <w:t>772.00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44.37</w:t>
            </w:r>
          </w:p>
        </w:tc>
        <w:tc>
          <w:tcPr>
            <w:tcW w:w="2551" w:type="dxa"/>
            <w:vAlign w:val="center"/>
          </w:tcPr>
          <w:p>
            <w:pPr>
              <w:pStyle w:val="11"/>
            </w:pPr>
            <w:r>
              <w:t>44.37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44.37</w:t>
            </w:r>
          </w:p>
        </w:tc>
        <w:tc>
          <w:tcPr>
            <w:tcW w:w="2551" w:type="dxa"/>
            <w:vAlign w:val="center"/>
          </w:tcPr>
          <w:p>
            <w:pPr>
              <w:pStyle w:val="11"/>
            </w:pPr>
            <w:r>
              <w:t>44.37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1544.38</w:t>
            </w:r>
          </w:p>
        </w:tc>
        <w:tc>
          <w:tcPr>
            <w:tcW w:w="2551" w:type="dxa"/>
            <w:vAlign w:val="center"/>
          </w:tcPr>
          <w:p>
            <w:pPr>
              <w:pStyle w:val="15"/>
            </w:pPr>
            <w:r>
              <w:t>1351.32</w:t>
            </w:r>
          </w:p>
        </w:tc>
        <w:tc>
          <w:tcPr>
            <w:tcW w:w="2551" w:type="dxa"/>
            <w:vAlign w:val="center"/>
          </w:tcPr>
          <w:p>
            <w:pPr>
              <w:pStyle w:val="15"/>
            </w:pPr>
            <w:r>
              <w:t>193.06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1332.03</w:t>
            </w:r>
          </w:p>
        </w:tc>
        <w:tc>
          <w:tcPr>
            <w:tcW w:w="2551" w:type="dxa"/>
            <w:vAlign w:val="center"/>
          </w:tcPr>
          <w:p>
            <w:pPr>
              <w:pStyle w:val="11"/>
            </w:pPr>
            <w:r>
              <w:t>1332.03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348.80</w:t>
            </w:r>
          </w:p>
        </w:tc>
        <w:tc>
          <w:tcPr>
            <w:tcW w:w="2551" w:type="dxa"/>
            <w:vAlign w:val="center"/>
          </w:tcPr>
          <w:p>
            <w:pPr>
              <w:pStyle w:val="11"/>
            </w:pPr>
            <w:r>
              <w:t>348.80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77.94</w:t>
            </w:r>
          </w:p>
        </w:tc>
        <w:tc>
          <w:tcPr>
            <w:tcW w:w="2551" w:type="dxa"/>
            <w:vAlign w:val="center"/>
          </w:tcPr>
          <w:p>
            <w:pPr>
              <w:pStyle w:val="11"/>
            </w:pPr>
            <w:r>
              <w:t>77.94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8.03</w:t>
            </w:r>
          </w:p>
        </w:tc>
        <w:tc>
          <w:tcPr>
            <w:tcW w:w="2551" w:type="dxa"/>
            <w:vAlign w:val="center"/>
          </w:tcPr>
          <w:p>
            <w:pPr>
              <w:pStyle w:val="11"/>
            </w:pPr>
            <w:r>
              <w:t>8.03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132.50</w:t>
            </w:r>
          </w:p>
        </w:tc>
        <w:tc>
          <w:tcPr>
            <w:tcW w:w="2551" w:type="dxa"/>
            <w:vAlign w:val="center"/>
          </w:tcPr>
          <w:p>
            <w:pPr>
              <w:pStyle w:val="11"/>
            </w:pPr>
            <w:r>
              <w:t>132.50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88.75</w:t>
            </w:r>
          </w:p>
        </w:tc>
        <w:tc>
          <w:tcPr>
            <w:tcW w:w="2551" w:type="dxa"/>
            <w:vAlign w:val="center"/>
          </w:tcPr>
          <w:p>
            <w:pPr>
              <w:pStyle w:val="11"/>
            </w:pPr>
            <w:r>
              <w:t>88.75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59.64</w:t>
            </w:r>
          </w:p>
        </w:tc>
        <w:tc>
          <w:tcPr>
            <w:tcW w:w="2551" w:type="dxa"/>
            <w:vAlign w:val="center"/>
          </w:tcPr>
          <w:p>
            <w:pPr>
              <w:pStyle w:val="11"/>
            </w:pPr>
            <w:r>
              <w:t>59.64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4.39</w:t>
            </w:r>
          </w:p>
        </w:tc>
        <w:tc>
          <w:tcPr>
            <w:tcW w:w="2551" w:type="dxa"/>
            <w:vAlign w:val="center"/>
          </w:tcPr>
          <w:p>
            <w:pPr>
              <w:pStyle w:val="11"/>
            </w:pPr>
            <w:r>
              <w:t>4.39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44.37</w:t>
            </w:r>
          </w:p>
        </w:tc>
        <w:tc>
          <w:tcPr>
            <w:tcW w:w="2551" w:type="dxa"/>
            <w:vAlign w:val="center"/>
          </w:tcPr>
          <w:p>
            <w:pPr>
              <w:pStyle w:val="11"/>
            </w:pPr>
            <w:r>
              <w:t>44.37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567.60</w:t>
            </w:r>
          </w:p>
        </w:tc>
        <w:tc>
          <w:tcPr>
            <w:tcW w:w="2551" w:type="dxa"/>
            <w:vAlign w:val="center"/>
          </w:tcPr>
          <w:p>
            <w:pPr>
              <w:pStyle w:val="11"/>
            </w:pPr>
            <w:r>
              <w:t>567.60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190.56</w:t>
            </w:r>
          </w:p>
        </w:tc>
        <w:tc>
          <w:tcPr>
            <w:tcW w:w="2551" w:type="dxa"/>
            <w:vAlign w:val="center"/>
          </w:tcPr>
          <w:p>
            <w:pPr>
              <w:pStyle w:val="11"/>
            </w:pPr>
          </w:p>
        </w:tc>
        <w:tc>
          <w:tcPr>
            <w:tcW w:w="2551" w:type="dxa"/>
            <w:vAlign w:val="center"/>
          </w:tcPr>
          <w:p>
            <w:pPr>
              <w:pStyle w:val="11"/>
            </w:pPr>
            <w:r>
              <w:t>190.56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28.16</w:t>
            </w:r>
          </w:p>
        </w:tc>
        <w:tc>
          <w:tcPr>
            <w:tcW w:w="2551" w:type="dxa"/>
            <w:vAlign w:val="center"/>
          </w:tcPr>
          <w:p>
            <w:pPr>
              <w:pStyle w:val="11"/>
            </w:pPr>
          </w:p>
        </w:tc>
        <w:tc>
          <w:tcPr>
            <w:tcW w:w="2551" w:type="dxa"/>
            <w:vAlign w:val="center"/>
          </w:tcPr>
          <w:p>
            <w:pPr>
              <w:pStyle w:val="11"/>
            </w:pPr>
            <w:r>
              <w:t>28.16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3.13</w:t>
            </w:r>
          </w:p>
        </w:tc>
        <w:tc>
          <w:tcPr>
            <w:tcW w:w="2551" w:type="dxa"/>
            <w:vAlign w:val="center"/>
          </w:tcPr>
          <w:p>
            <w:pPr>
              <w:pStyle w:val="11"/>
            </w:pPr>
          </w:p>
        </w:tc>
        <w:tc>
          <w:tcPr>
            <w:tcW w:w="2551" w:type="dxa"/>
            <w:vAlign w:val="center"/>
          </w:tcPr>
          <w:p>
            <w:pPr>
              <w:pStyle w:val="11"/>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0.58</w:t>
            </w:r>
          </w:p>
        </w:tc>
        <w:tc>
          <w:tcPr>
            <w:tcW w:w="2551" w:type="dxa"/>
            <w:vAlign w:val="center"/>
          </w:tcPr>
          <w:p>
            <w:pPr>
              <w:pStyle w:val="11"/>
            </w:pPr>
          </w:p>
        </w:tc>
        <w:tc>
          <w:tcPr>
            <w:tcW w:w="2551" w:type="dxa"/>
            <w:vAlign w:val="center"/>
          </w:tcPr>
          <w:p>
            <w:pPr>
              <w:pStyle w:val="11"/>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12.51</w:t>
            </w:r>
          </w:p>
        </w:tc>
        <w:tc>
          <w:tcPr>
            <w:tcW w:w="2551" w:type="dxa"/>
            <w:vAlign w:val="center"/>
          </w:tcPr>
          <w:p>
            <w:pPr>
              <w:pStyle w:val="11"/>
            </w:pPr>
          </w:p>
        </w:tc>
        <w:tc>
          <w:tcPr>
            <w:tcW w:w="2551" w:type="dxa"/>
            <w:vAlign w:val="center"/>
          </w:tcPr>
          <w:p>
            <w:pPr>
              <w:pStyle w:val="11"/>
            </w:pPr>
            <w:r>
              <w:t>12.51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12.90</w:t>
            </w:r>
          </w:p>
        </w:tc>
        <w:tc>
          <w:tcPr>
            <w:tcW w:w="2551" w:type="dxa"/>
            <w:vAlign w:val="center"/>
          </w:tcPr>
          <w:p>
            <w:pPr>
              <w:pStyle w:val="11"/>
            </w:pPr>
          </w:p>
        </w:tc>
        <w:tc>
          <w:tcPr>
            <w:tcW w:w="2551" w:type="dxa"/>
            <w:vAlign w:val="center"/>
          </w:tcPr>
          <w:p>
            <w:pPr>
              <w:pStyle w:val="11"/>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13.54</w:t>
            </w:r>
          </w:p>
        </w:tc>
        <w:tc>
          <w:tcPr>
            <w:tcW w:w="2551" w:type="dxa"/>
            <w:vAlign w:val="center"/>
          </w:tcPr>
          <w:p>
            <w:pPr>
              <w:pStyle w:val="11"/>
            </w:pPr>
          </w:p>
        </w:tc>
        <w:tc>
          <w:tcPr>
            <w:tcW w:w="2551" w:type="dxa"/>
            <w:vAlign w:val="center"/>
          </w:tcPr>
          <w:p>
            <w:pPr>
              <w:pStyle w:val="11"/>
            </w:pPr>
            <w:r>
              <w:t>13.54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0.07</w:t>
            </w:r>
          </w:p>
        </w:tc>
        <w:tc>
          <w:tcPr>
            <w:tcW w:w="2551" w:type="dxa"/>
            <w:vAlign w:val="center"/>
          </w:tcPr>
          <w:p>
            <w:pPr>
              <w:pStyle w:val="11"/>
            </w:pPr>
          </w:p>
        </w:tc>
        <w:tc>
          <w:tcPr>
            <w:tcW w:w="2551" w:type="dxa"/>
            <w:vAlign w:val="center"/>
          </w:tcPr>
          <w:p>
            <w:pPr>
              <w:pStyle w:val="11"/>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4.46</w:t>
            </w:r>
          </w:p>
        </w:tc>
        <w:tc>
          <w:tcPr>
            <w:tcW w:w="2551" w:type="dxa"/>
            <w:vAlign w:val="center"/>
          </w:tcPr>
          <w:p>
            <w:pPr>
              <w:pStyle w:val="11"/>
            </w:pPr>
          </w:p>
        </w:tc>
        <w:tc>
          <w:tcPr>
            <w:tcW w:w="2551" w:type="dxa"/>
            <w:vAlign w:val="center"/>
          </w:tcPr>
          <w:p>
            <w:pPr>
              <w:pStyle w:val="11"/>
            </w:pPr>
            <w:r>
              <w:t>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3.72</w:t>
            </w:r>
          </w:p>
        </w:tc>
        <w:tc>
          <w:tcPr>
            <w:tcW w:w="2551" w:type="dxa"/>
            <w:vAlign w:val="center"/>
          </w:tcPr>
          <w:p>
            <w:pPr>
              <w:pStyle w:val="11"/>
            </w:pPr>
          </w:p>
        </w:tc>
        <w:tc>
          <w:tcPr>
            <w:tcW w:w="2551" w:type="dxa"/>
            <w:vAlign w:val="center"/>
          </w:tcPr>
          <w:p>
            <w:pPr>
              <w:pStyle w:val="11"/>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14.04</w:t>
            </w:r>
          </w:p>
        </w:tc>
        <w:tc>
          <w:tcPr>
            <w:tcW w:w="2551" w:type="dxa"/>
            <w:vAlign w:val="center"/>
          </w:tcPr>
          <w:p>
            <w:pPr>
              <w:pStyle w:val="11"/>
            </w:pPr>
          </w:p>
        </w:tc>
        <w:tc>
          <w:tcPr>
            <w:tcW w:w="2551" w:type="dxa"/>
            <w:vAlign w:val="center"/>
          </w:tcPr>
          <w:p>
            <w:pPr>
              <w:pStyle w:val="11"/>
            </w:pPr>
            <w:r>
              <w:t>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77.36</w:t>
            </w:r>
          </w:p>
        </w:tc>
        <w:tc>
          <w:tcPr>
            <w:tcW w:w="2551" w:type="dxa"/>
            <w:vAlign w:val="center"/>
          </w:tcPr>
          <w:p>
            <w:pPr>
              <w:pStyle w:val="11"/>
            </w:pPr>
          </w:p>
        </w:tc>
        <w:tc>
          <w:tcPr>
            <w:tcW w:w="2551" w:type="dxa"/>
            <w:vAlign w:val="center"/>
          </w:tcPr>
          <w:p>
            <w:pPr>
              <w:pStyle w:val="11"/>
            </w:pPr>
            <w:r>
              <w:t>77.36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19.29</w:t>
            </w:r>
          </w:p>
        </w:tc>
        <w:tc>
          <w:tcPr>
            <w:tcW w:w="2551" w:type="dxa"/>
            <w:vAlign w:val="center"/>
          </w:tcPr>
          <w:p>
            <w:pPr>
              <w:pStyle w:val="11"/>
            </w:pPr>
            <w:r>
              <w:t>19.29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3.25</w:t>
            </w:r>
          </w:p>
        </w:tc>
        <w:tc>
          <w:tcPr>
            <w:tcW w:w="2551" w:type="dxa"/>
            <w:vAlign w:val="center"/>
          </w:tcPr>
          <w:p>
            <w:pPr>
              <w:pStyle w:val="11"/>
            </w:pPr>
            <w:r>
              <w:t>3.25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16.03</w:t>
            </w:r>
          </w:p>
        </w:tc>
        <w:tc>
          <w:tcPr>
            <w:tcW w:w="2551" w:type="dxa"/>
            <w:vAlign w:val="center"/>
          </w:tcPr>
          <w:p>
            <w:pPr>
              <w:pStyle w:val="11"/>
            </w:pPr>
            <w:r>
              <w:t>16.03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420.16</w:t>
            </w:r>
          </w:p>
        </w:tc>
        <w:tc>
          <w:tcPr>
            <w:tcW w:w="2551" w:type="dxa"/>
            <w:vAlign w:val="center"/>
          </w:tcPr>
          <w:p>
            <w:pPr>
              <w:pStyle w:val="15"/>
            </w:pPr>
          </w:p>
        </w:tc>
        <w:tc>
          <w:tcPr>
            <w:tcW w:w="2551" w:type="dxa"/>
            <w:vAlign w:val="center"/>
          </w:tcPr>
          <w:p>
            <w:pPr>
              <w:pStyle w:val="15"/>
            </w:pPr>
            <w:r>
              <w:t>420.16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420.16</w:t>
            </w:r>
          </w:p>
        </w:tc>
        <w:tc>
          <w:tcPr>
            <w:tcW w:w="2551" w:type="dxa"/>
            <w:vAlign w:val="center"/>
          </w:tcPr>
          <w:p>
            <w:pPr>
              <w:pStyle w:val="11"/>
            </w:pPr>
          </w:p>
        </w:tc>
        <w:tc>
          <w:tcPr>
            <w:tcW w:w="2551" w:type="dxa"/>
            <w:vAlign w:val="center"/>
          </w:tcPr>
          <w:p>
            <w:pPr>
              <w:pStyle w:val="11"/>
            </w:pPr>
            <w:r>
              <w:t>420.16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420.16</w:t>
            </w:r>
          </w:p>
        </w:tc>
        <w:tc>
          <w:tcPr>
            <w:tcW w:w="2551" w:type="dxa"/>
            <w:vAlign w:val="center"/>
          </w:tcPr>
          <w:p>
            <w:pPr>
              <w:pStyle w:val="11"/>
            </w:pPr>
          </w:p>
        </w:tc>
        <w:tc>
          <w:tcPr>
            <w:tcW w:w="2551" w:type="dxa"/>
            <w:vAlign w:val="center"/>
          </w:tcPr>
          <w:p>
            <w:pPr>
              <w:pStyle w:val="11"/>
            </w:pPr>
            <w:r>
              <w:t>420.16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18.16</w:t>
            </w:r>
          </w:p>
        </w:tc>
        <w:tc>
          <w:tcPr>
            <w:tcW w:w="2551" w:type="dxa"/>
            <w:vAlign w:val="center"/>
          </w:tcPr>
          <w:p>
            <w:pPr>
              <w:pStyle w:val="11"/>
            </w:pPr>
          </w:p>
        </w:tc>
        <w:tc>
          <w:tcPr>
            <w:tcW w:w="2551" w:type="dxa"/>
            <w:vAlign w:val="center"/>
          </w:tcPr>
          <w:p>
            <w:pPr>
              <w:pStyle w:val="11"/>
            </w:pPr>
            <w:r>
              <w:t>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402.00</w:t>
            </w:r>
          </w:p>
        </w:tc>
        <w:tc>
          <w:tcPr>
            <w:tcW w:w="2551" w:type="dxa"/>
            <w:vAlign w:val="center"/>
          </w:tcPr>
          <w:p>
            <w:pPr>
              <w:pStyle w:val="11"/>
            </w:pPr>
          </w:p>
        </w:tc>
        <w:tc>
          <w:tcPr>
            <w:tcW w:w="2551" w:type="dxa"/>
            <w:vAlign w:val="center"/>
          </w:tcPr>
          <w:p>
            <w:pPr>
              <w:pStyle w:val="11"/>
            </w:pPr>
            <w:r>
              <w:t>402.00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50.32</w:t>
            </w:r>
          </w:p>
        </w:tc>
        <w:tc>
          <w:tcPr>
            <w:tcW w:w="2381" w:type="dxa"/>
            <w:vAlign w:val="center"/>
          </w:tcPr>
          <w:p>
            <w:pPr>
              <w:pStyle w:val="15"/>
            </w:pPr>
            <w:r>
              <w:t>18.52</w:t>
            </w:r>
          </w:p>
        </w:tc>
        <w:tc>
          <w:tcPr>
            <w:tcW w:w="2381" w:type="dxa"/>
            <w:vAlign w:val="center"/>
          </w:tcPr>
          <w:p>
            <w:pPr>
              <w:pStyle w:val="15"/>
            </w:pPr>
            <w:r>
              <w:t>31.80</w:t>
            </w: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w:t>
            </w:r>
          </w:p>
        </w:tc>
        <w:tc>
          <w:tcPr>
            <w:tcW w:w="2382" w:type="dxa"/>
            <w:vAlign w:val="center"/>
          </w:tcPr>
          <w:p>
            <w:pPr>
              <w:pStyle w:val="11"/>
            </w:pPr>
            <w:r>
              <w:t>50.32</w:t>
            </w:r>
          </w:p>
        </w:tc>
        <w:tc>
          <w:tcPr>
            <w:tcW w:w="2381" w:type="dxa"/>
            <w:vAlign w:val="center"/>
          </w:tcPr>
          <w:p>
            <w:pPr>
              <w:pStyle w:val="11"/>
            </w:pPr>
            <w:r>
              <w:t>18.52</w:t>
            </w:r>
          </w:p>
        </w:tc>
        <w:tc>
          <w:tcPr>
            <w:tcW w:w="2381" w:type="dxa"/>
            <w:vAlign w:val="center"/>
          </w:tcPr>
          <w:p>
            <w:pPr>
              <w:pStyle w:val="11"/>
            </w:pPr>
            <w:r>
              <w:t>31.80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其中：教育科研人员因公出国（境）费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 </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r>
              <w:t>41.84</w:t>
            </w:r>
          </w:p>
        </w:tc>
        <w:tc>
          <w:tcPr>
            <w:tcW w:w="2381" w:type="dxa"/>
            <w:vAlign w:val="center"/>
          </w:tcPr>
          <w:p>
            <w:pPr>
              <w:pStyle w:val="11"/>
            </w:pPr>
            <w:r>
              <w:t>14.04</w:t>
            </w:r>
          </w:p>
        </w:tc>
        <w:tc>
          <w:tcPr>
            <w:tcW w:w="2381" w:type="dxa"/>
            <w:vAlign w:val="center"/>
          </w:tcPr>
          <w:p>
            <w:pPr>
              <w:pStyle w:val="11"/>
            </w:pPr>
            <w:r>
              <w:t>27.80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 </w:t>
            </w:r>
          </w:p>
        </w:tc>
        <w:tc>
          <w:tcPr>
            <w:tcW w:w="2382" w:type="dxa"/>
            <w:vAlign w:val="center"/>
          </w:tcPr>
          <w:p>
            <w:pPr>
              <w:pStyle w:val="11"/>
            </w:pPr>
            <w:r>
              <w:t>41.84</w:t>
            </w:r>
          </w:p>
        </w:tc>
        <w:tc>
          <w:tcPr>
            <w:tcW w:w="2381" w:type="dxa"/>
            <w:vAlign w:val="center"/>
          </w:tcPr>
          <w:p>
            <w:pPr>
              <w:pStyle w:val="11"/>
            </w:pPr>
            <w:r>
              <w:t>14.04</w:t>
            </w:r>
          </w:p>
        </w:tc>
        <w:tc>
          <w:tcPr>
            <w:tcW w:w="2381" w:type="dxa"/>
            <w:vAlign w:val="center"/>
          </w:tcPr>
          <w:p>
            <w:pPr>
              <w:pStyle w:val="11"/>
            </w:pPr>
            <w:r>
              <w:t>27.80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r>
              <w:t>8.48</w:t>
            </w:r>
          </w:p>
        </w:tc>
        <w:tc>
          <w:tcPr>
            <w:tcW w:w="2381" w:type="dxa"/>
            <w:vAlign w:val="center"/>
          </w:tcPr>
          <w:p>
            <w:pPr>
              <w:pStyle w:val="11"/>
            </w:pPr>
            <w:r>
              <w:t>4.48</w:t>
            </w:r>
          </w:p>
        </w:tc>
        <w:tc>
          <w:tcPr>
            <w:tcW w:w="2381" w:type="dxa"/>
            <w:vAlign w:val="center"/>
          </w:tcPr>
          <w:p>
            <w:pPr>
              <w:pStyle w:val="11"/>
            </w:pPr>
            <w:r>
              <w:t>4.00</w:t>
            </w: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青龙满族自治县人民政府办公室2022年部门预算信息公开情况说明</w:t>
      </w:r>
    </w:p>
    <w:p>
      <w:pPr>
        <w:jc w:val="center"/>
      </w:pPr>
      <w:r>
        <w:rPr>
          <w:rFonts w:ascii="方正小标宋_GBK" w:hAnsi="方正小标宋_GBK" w:eastAsia="方正小标宋_GBK" w:cs="方正小标宋_GBK"/>
          <w:color w:val="000000"/>
          <w:sz w:val="44"/>
        </w:rPr>
        <w:t>青龙满族自治县人民政府办公室2022年部门预算信息公开情况说明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、《地方预决算公开操作规程》和《关于进一步推进预算公开工作的实施意见》规定，现将青龙满族自治县人民政府办公室2022年部门预算公开如下：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一、青龙满族自治县人民政府办公室职责</w:t>
      </w:r>
    </w:p>
    <w:p>
      <w:pPr>
        <w:pStyle w:val="17"/>
      </w:pPr>
      <w:r>
        <w:t>（一）协助县政府领导组织起草或审核上报省政府、省政府办公厅，市政府、市政府办公室和致函省、市政府各部门的公文，以及以县政府、县政府办公室名义发布的公文；负责县政府、县政府办公室日常公文办理。</w:t>
      </w:r>
    </w:p>
    <w:p>
      <w:pPr>
        <w:pStyle w:val="17"/>
      </w:pPr>
      <w:r>
        <w:t>（二）负责县政府领导活动的组织和协调工作；负责县政府会议的准备和服务工作，协助县政府领导组织落实会议决定事项。</w:t>
      </w:r>
    </w:p>
    <w:p>
      <w:pPr>
        <w:pStyle w:val="17"/>
      </w:pPr>
      <w:r>
        <w:t>（三）研究县政府各部门和各乡镇、河北青龙经济技术开发区管委会、河北青龙物流产业聚集区管委会、都阳路街道办处等请示县政府的事项，提出审核意见，报县政府领导审批。</w:t>
      </w:r>
    </w:p>
    <w:p>
      <w:pPr>
        <w:pStyle w:val="17"/>
      </w:pPr>
      <w:r>
        <w:t>（四）根据县政府领导的批示，对县政府各部门间出现的争议问题提出处理意见，报县政府领导决定。</w:t>
      </w:r>
    </w:p>
    <w:p>
      <w:pPr>
        <w:pStyle w:val="17"/>
      </w:pPr>
      <w:r>
        <w:t>（五）组织起草县政府领导重要讲话及其他重要文稿。</w:t>
      </w:r>
    </w:p>
    <w:p>
      <w:pPr>
        <w:pStyle w:val="17"/>
      </w:pPr>
      <w:r>
        <w:t>（六）督促检查县政府各部门和各乡镇、河北青龙经济技术开发区管委会、河北青龙物流产业聚集区管委会、都阳路街道办处对市政府、县政府决定事项及市政府、县政府领导重要批示的执行落实情况并跟踪调研，及时向县政府领导报告。</w:t>
      </w:r>
    </w:p>
    <w:p>
      <w:pPr>
        <w:pStyle w:val="17"/>
      </w:pPr>
      <w:r>
        <w:t>（七）组织承办人大代表建议和政协提案工作。</w:t>
      </w:r>
    </w:p>
    <w:p>
      <w:pPr>
        <w:pStyle w:val="17"/>
      </w:pPr>
      <w:r>
        <w:t>（八）负责承办县政府提请县人大常委会任免议案和提请县政府任命工作人员的行政任免有关手续；负责承办县政府任命工作人员的宪法宣誓工作。</w:t>
      </w:r>
    </w:p>
    <w:p>
      <w:pPr>
        <w:pStyle w:val="17"/>
      </w:pPr>
      <w:r>
        <w:t>（九）负责县政府值班工作，及时报告重要情况，传达和督促落实县政府领导工作要求。</w:t>
      </w:r>
    </w:p>
    <w:p>
      <w:pPr>
        <w:pStyle w:val="17"/>
      </w:pPr>
      <w:r>
        <w:t>（十）根据县政府工作部署和县政府领导要求，组织专题调研，及时反映情况，提出建议。</w:t>
      </w:r>
    </w:p>
    <w:p>
      <w:pPr>
        <w:pStyle w:val="17"/>
      </w:pPr>
      <w:r>
        <w:t>（十一）负责推进、指导、协调、监督、考核评估全县政务公开和政府信息公开工作。</w:t>
      </w:r>
    </w:p>
    <w:p>
      <w:pPr>
        <w:pStyle w:val="17"/>
      </w:pPr>
      <w:r>
        <w:t>（十二）负责政务信息（包括舆情信息）服务工作。</w:t>
      </w:r>
    </w:p>
    <w:p>
      <w:pPr>
        <w:pStyle w:val="17"/>
      </w:pPr>
      <w:r>
        <w:t>（十三）协同有关部门统筹协调县政府新闻宣传、舆情回应等工作。</w:t>
      </w:r>
    </w:p>
    <w:p>
      <w:pPr>
        <w:pStyle w:val="17"/>
      </w:pPr>
      <w:r>
        <w:t>（十四）负责全县政府系统电子政务工作。</w:t>
      </w:r>
    </w:p>
    <w:p>
      <w:pPr>
        <w:pStyle w:val="17"/>
      </w:pPr>
      <w:r>
        <w:t>（十五）组织协调全县“放管服”改革工作。指导、督促贯彻落实党中央、国务院和省委、省政府，市委、市政府关于“放管服”改革重要领域、关键环节重大政策措施，承担县推进政府职能转变和“放管服”改革协调小组的日常工作。</w:t>
      </w:r>
    </w:p>
    <w:p>
      <w:pPr>
        <w:pStyle w:val="17"/>
      </w:pPr>
      <w:r>
        <w:t>（十六）负责县政府办公室所属单位的管理工作。</w:t>
      </w:r>
    </w:p>
    <w:p>
      <w:pPr>
        <w:pStyle w:val="17"/>
      </w:pPr>
      <w:r>
        <w:t>（十七）根据县委县政府工作部署，对我县改革开放和经济社会发展中重大问题进行调查研究，提出政策性建议；组织各部门政策研究机构围绕县委县政府确定的重要课题协作攻关。</w:t>
      </w:r>
    </w:p>
    <w:p>
      <w:pPr>
        <w:pStyle w:val="17"/>
      </w:pPr>
      <w:r>
        <w:t>（十八）贯彻执行国家、省、市金融方针政策和法律法规，制定全县金融业发展规划并组织实施。</w:t>
      </w:r>
    </w:p>
    <w:p>
      <w:pPr>
        <w:pStyle w:val="17"/>
      </w:pPr>
      <w:r>
        <w:t>（十九）负责协调引导各类金融机构支持服务我县实体经济发展，组织做好全县金融生态环境建设、地方金融改革创新等工作。</w:t>
      </w:r>
    </w:p>
    <w:p>
      <w:pPr>
        <w:pStyle w:val="17"/>
      </w:pPr>
      <w:r>
        <w:t>（二十）负责全县地方金融机构的市场准入、监督管理和规范发展工作。</w:t>
      </w:r>
    </w:p>
    <w:p>
      <w:pPr>
        <w:pStyle w:val="17"/>
      </w:pPr>
      <w:r>
        <w:t>（二十一）负责牵头全县金融风险的监测预警、防范和处置化解工作。</w:t>
      </w:r>
    </w:p>
    <w:p>
      <w:pPr>
        <w:pStyle w:val="17"/>
      </w:pPr>
      <w:r>
        <w:t>（二十二）负责全县外事工作谋划、协调。负责拟订全县外事工作中长期规划，统筹协调县领导参加重要涉外活动的外事工作安排；负责县外事工作委员会各项决定和工作部署的督办和落实；承担县委外事工作委员会的日常工作。</w:t>
      </w:r>
    </w:p>
    <w:p>
      <w:pPr>
        <w:pStyle w:val="17"/>
      </w:pPr>
      <w:r>
        <w:t>（二十三）完成县委、县政府交办的其他任务。</w:t>
      </w:r>
    </w:p>
    <w:p>
      <w:pPr>
        <w:pStyle w:val="17"/>
      </w:pPr>
      <w:r>
        <w:t>二、青龙满族自治县矿业企业税源监控中心职责</w:t>
      </w:r>
    </w:p>
    <w:p>
      <w:pPr>
        <w:pStyle w:val="17"/>
      </w:pPr>
      <w:r>
        <w:t>（一）负责对全县出入境冶金矿产品和砂石进行监督管理，在县境主要出入口设置计量站和监测站，实行票卡计量监控，掌握出入境矿产品和砂石情况。</w:t>
      </w:r>
    </w:p>
    <w:p>
      <w:pPr>
        <w:pStyle w:val="17"/>
      </w:pPr>
      <w:r>
        <w:t>（二）负责统计全县各企业铁精粉和砂石销售量情况，为税收征管提供依据。</w:t>
      </w:r>
    </w:p>
    <w:p>
      <w:pPr>
        <w:pStyle w:val="17"/>
      </w:pPr>
      <w:r>
        <w:t>（三）对县境内从事冶金矿产品和砂石运输车辆进行信息录入，发放车辆信息IC卡，实行持卡运输制度，规范冶金矿产品和砂石流通秩序。</w:t>
      </w:r>
    </w:p>
    <w:p>
      <w:pPr>
        <w:pStyle w:val="17"/>
      </w:pPr>
      <w:r>
        <w:t>（四）对矿产品实行运输许可证、对砂石实行运输单和计量监控制度，查扣违规非法外运铁精粉等冶金矿产品和砂石行为，堵塞税收漏洞。</w:t>
      </w:r>
    </w:p>
    <w:p>
      <w:pPr>
        <w:pStyle w:val="17"/>
      </w:pPr>
      <w:r>
        <w:t>（五）统计全县各企业矿产品和砂石销量，并与相关部门对数据进行比对分析，对企业纳税情况进行评估稽查。</w:t>
      </w:r>
    </w:p>
    <w:p>
      <w:pPr>
        <w:pStyle w:val="17"/>
      </w:pPr>
      <w:r>
        <w:t>（六）根据各企业销售情况和国家相关税收政策，为县政府资源整合、铁业链条延伸、砂石综合开发和税收办法调整提供决策参考。</w:t>
      </w:r>
    </w:p>
    <w:p>
      <w:pPr>
        <w:pStyle w:val="17"/>
      </w:pPr>
      <w:r>
        <w:t>（七）完成县政府交办的其它工作。</w:t>
      </w:r>
    </w:p>
    <w:p>
      <w:pPr>
        <w:pStyle w:val="17"/>
      </w:pPr>
      <w:r>
        <w:t>三、青龙满族自治县城市棚户区改造建设中心职责</w:t>
      </w:r>
    </w:p>
    <w:p>
      <w:pPr>
        <w:pStyle w:val="17"/>
      </w:pPr>
      <w:r>
        <w:t>（一）负责全县县城建设的总体指导、综合协调、督导考核、统计部门、阶段总结、跟踪问效、政策宣传等工作。</w:t>
      </w:r>
    </w:p>
    <w:p>
      <w:pPr>
        <w:pStyle w:val="17"/>
      </w:pPr>
      <w:r>
        <w:t>（二）负责县城规划区内（指青龙镇六个村：大杖子村、三杈榆树村、前庄村、土坎子村、拉马沟村、逃军山村，下同）职工、农民居住的平房和危、旧楼房改造，城中村改造，新民居建设，以及拆迁安置政策和其他相关政策研究。</w:t>
      </w:r>
    </w:p>
    <w:p>
      <w:pPr>
        <w:pStyle w:val="17"/>
      </w:pPr>
      <w:r>
        <w:t>（三）根据《城市房屋拆迁管理条例》，负责对县城规划区内房屋拆迁实施监督管理，按照有关政策负责县城区的房屋征收和补偿。县城乡规划局仍负责呈现违章建筑的拆迁工作。</w:t>
      </w:r>
    </w:p>
    <w:p>
      <w:pPr>
        <w:pStyle w:val="17"/>
      </w:pPr>
      <w:r>
        <w:t>（四）会同县规划部门组织编制县城规划区内棚户区改造、城中村改造、新民居建设的总体规划和详细规划，报县规委会审查通过。县委农工委仍负责全县新民居建设的牵头抓总、宏观指导、综合协调、工作部门、统计等工作。</w:t>
      </w:r>
    </w:p>
    <w:p>
      <w:pPr>
        <w:pStyle w:val="17"/>
      </w:pPr>
      <w:r>
        <w:t>（五）负责县城规划区内改造工程和新民居建设工程项目的立项呈报、招商引资。</w:t>
      </w:r>
    </w:p>
    <w:p>
      <w:pPr>
        <w:pStyle w:val="17"/>
      </w:pPr>
      <w:r>
        <w:t>（六）负责组织、推动并实施棚户区改造、城中村改造和新民居建设，督导工程落实，协调解决项目实施过程中的相关问题。</w:t>
      </w:r>
    </w:p>
    <w:p>
      <w:pPr>
        <w:pStyle w:val="17"/>
      </w:pPr>
      <w:r>
        <w:t>（七）完成上级和县委、县政府交办的其他工作。</w:t>
      </w:r>
    </w:p>
    <w:p>
      <w:pPr>
        <w:pStyle w:val="17"/>
      </w:pPr>
      <w:r>
        <w:t>四、青龙满族自治县社会公益项目建设服务中心职责</w:t>
      </w:r>
    </w:p>
    <w:p>
      <w:pPr>
        <w:pStyle w:val="17"/>
      </w:pPr>
      <w:r>
        <w:t>（一）参与可行性研究报告，初步设计及投资计划的报批；</w:t>
      </w:r>
    </w:p>
    <w:p>
      <w:pPr>
        <w:pStyle w:val="17"/>
      </w:pPr>
      <w:r>
        <w:t>（二）负责办理建设用地规划许可证、建设工程规划许可证、国有土地使用证、建筑工程施工许可证及绿化、人防、消防、地震等开工前各项手续；</w:t>
      </w:r>
    </w:p>
    <w:p>
      <w:pPr>
        <w:pStyle w:val="17"/>
      </w:pPr>
      <w:r>
        <w:t>（三）组织开展施工图设计、勘察设计、试工、监理和设备材料选购招标；</w:t>
      </w:r>
    </w:p>
    <w:p>
      <w:pPr>
        <w:pStyle w:val="17"/>
      </w:pPr>
      <w:r>
        <w:t>（四）负责工程合同的洽谈、签订和管理工作，对工程建设施工现场和质量实行全过程管理；</w:t>
      </w:r>
    </w:p>
    <w:p>
      <w:pPr>
        <w:pStyle w:val="17"/>
      </w:pPr>
      <w:r>
        <w:t>（五）负责按项目进度申请资金及拨付工程款项，并及时向发展改革局、财政局报送报表；</w:t>
      </w:r>
    </w:p>
    <w:p>
      <w:pPr>
        <w:pStyle w:val="17"/>
      </w:pPr>
      <w:r>
        <w:t>（六）负责组织工程验收，对工程质量实行终身负责制；</w:t>
      </w:r>
    </w:p>
    <w:p>
      <w:pPr>
        <w:pStyle w:val="17"/>
      </w:pPr>
      <w:r>
        <w:t>（七）负责编制工程决算报告；负责项目竣工后有关技术材料的整理、移交工作。</w:t>
      </w:r>
    </w:p>
    <w:p>
      <w:pPr>
        <w:pStyle w:val="17"/>
      </w:pPr>
      <w:r>
        <w:t>五、青龙满族自治县防贫中心职责</w:t>
      </w:r>
    </w:p>
    <w:p>
      <w:pPr>
        <w:pStyle w:val="17"/>
      </w:pPr>
      <w:r>
        <w:t>承担防贫监测对象认定和标注退出、防贫监测和帮扶工作绩效考核的事务性、辅助性工作；负责组织建立防贫监测对象和帮扶工作台账；接待各级部门对防贫工作的调研、考核、检查、验收、督查等活动；做好防贫监测对象的抽查、复核；对乡镇防贫工作站、协查部门定期培训。</w:t>
      </w:r>
    </w:p>
    <w:p>
      <w:pPr>
        <w:pStyle w:val="17"/>
      </w:pPr>
      <w:r>
        <w:t>六、秦皇岛经济技术开发区青龙园区政务服务中心职责</w:t>
      </w:r>
    </w:p>
    <w:p>
      <w:pPr>
        <w:pStyle w:val="17"/>
      </w:pPr>
      <w:r>
        <w:t>(一）编制园区发展规划，经批准后，组织实施。</w:t>
      </w:r>
    </w:p>
    <w:p>
      <w:pPr>
        <w:pStyle w:val="17"/>
      </w:pPr>
      <w:r>
        <w:t>(二）依照法律、法规和规章，制订和发布园区管理规定。</w:t>
      </w:r>
    </w:p>
    <w:p>
      <w:pPr>
        <w:pStyle w:val="17"/>
      </w:pPr>
      <w:r>
        <w:t>（三）按规定的权限审批项目。</w:t>
      </w:r>
    </w:p>
    <w:p>
      <w:pPr>
        <w:pStyle w:val="17"/>
      </w:pPr>
      <w:r>
        <w:t>（四）对园区项目和建设实施统一管理。</w:t>
      </w:r>
    </w:p>
    <w:p>
      <w:pPr>
        <w:pStyle w:val="17"/>
      </w:pPr>
      <w:r>
        <w:t>（五）负责管理园区内各项基础设施和公用设施。</w:t>
      </w:r>
    </w:p>
    <w:p>
      <w:pPr>
        <w:pStyle w:val="17"/>
      </w:pPr>
      <w:r>
        <w:t>（六）对园区投资形成的国有资产运营情况实施管理和监督。</w:t>
      </w:r>
    </w:p>
    <w:p>
      <w:pPr>
        <w:pStyle w:val="17"/>
      </w:pPr>
      <w:r>
        <w:t>（七）管理园区进出口贸易、对外经济技术合作及涉外经济活动。</w:t>
      </w:r>
    </w:p>
    <w:p>
      <w:pPr>
        <w:pStyle w:val="17"/>
      </w:pPr>
      <w:r>
        <w:t>（八）负责向县直有关部门和开发区有关部门联系、报告工作。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青龙满族自治县人民政府办公室本级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青龙满族自治县矿业企业税源监控中心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青龙满族自治县防贫中心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青龙满族自治县人民政府办公室事业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青龙满族自治县城市棚户区改造建设中心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秦皇岛经济技术开发区青龙园区政务服务中心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青龙满族自治县社会公益项目建设服务中心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按照预算管理有关规定，目前我县部门预算的编制实行综合预算制度，即全部收入和支出都反映在预算中。政府办部门机关及所属事业单位的收支包含在部门预算中。</w:t>
      </w:r>
    </w:p>
    <w:p>
      <w:pPr>
        <w:pStyle w:val="18"/>
      </w:pPr>
      <w:r>
        <w:t>1、收入说明</w:t>
      </w:r>
    </w:p>
    <w:p>
      <w:pPr>
        <w:pStyle w:val="18"/>
      </w:pPr>
      <w:r>
        <w:t>反映本部门当年全部收入。2022年预算收入2774.82万元，其中：一般公共预算收入2354.66万元，基金预算收入420.16万元，财政专户核拨收入0万元，国有资本经营收入0万元，其他来源收入0万元。</w:t>
      </w:r>
    </w:p>
    <w:p>
      <w:pPr>
        <w:pStyle w:val="18"/>
      </w:pPr>
      <w:r>
        <w:t>2、支出说明</w:t>
      </w:r>
    </w:p>
    <w:p>
      <w:pPr>
        <w:pStyle w:val="18"/>
      </w:pPr>
      <w:r>
        <w:t>收支预算总表支出栏、基本支出表、项目支出表按经济分类和支出功能分类科目编制，反映政府办年度部门预算中支出预算的总体情况。2022年支出预算2774.82万元，其中基本支出1544.38万元，包括人员经费1351.32万元和日常公用经费193.06万元；项目支出1230.44万元，主要为:青龙满族自治县人民政府办公室(本级)167.17万元；青龙满族自治县矿业企业税源监控中心75.33万元；青龙满族自治县防贫中心35万元；青龙满族自治县城市棚户区改造建设中心901.66万元；青龙满族自治县社会公益项目建设服务中心51.28万元。</w:t>
      </w:r>
    </w:p>
    <w:p>
      <w:pPr>
        <w:pStyle w:val="18"/>
      </w:pPr>
      <w:r>
        <w:t>3、比上年增减情况</w:t>
      </w:r>
    </w:p>
    <w:p>
      <w:pPr>
        <w:pStyle w:val="18"/>
      </w:pPr>
      <w:r>
        <w:t>2022年预算收支安排2774.82万元，较2021年预算增加960.6万元，其中：基本支出增加129.24万元，主要原因为：上年度人员经费和日常公用支出结转；项目支出增加831.36万元，主要原因为：青龙满族自治县城市棚户区改造建设中心</w:t>
      </w:r>
      <w:r>
        <w:rPr>
          <w:rFonts w:hint="eastAsia"/>
          <w:lang w:val="en-US" w:eastAsia="zh-CN"/>
        </w:rPr>
        <w:t>的</w:t>
      </w:r>
      <w:r>
        <w:rPr>
          <w:rFonts w:hint="eastAsia"/>
        </w:rPr>
        <w:t>医药公司、水务局家属院片区改造项目</w:t>
      </w:r>
      <w:r>
        <w:rPr>
          <w:rFonts w:hint="eastAsia"/>
          <w:lang w:val="en-US" w:eastAsia="zh-CN"/>
        </w:rPr>
        <w:t>及</w:t>
      </w:r>
      <w:r>
        <w:rPr>
          <w:rFonts w:hint="eastAsia"/>
        </w:rPr>
        <w:t>原农业局、畜牧局家属院改造项目上级补助资金</w:t>
      </w:r>
      <w:r>
        <w:rPr>
          <w:rFonts w:hint="eastAsia"/>
          <w:lang w:val="en-US" w:eastAsia="zh-CN"/>
        </w:rPr>
        <w:t>增加</w:t>
      </w:r>
      <w: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2022年，我部门机关运行经费共计安排</w:t>
      </w:r>
      <w:r>
        <w:rPr>
          <w:rFonts w:hint="eastAsia" w:eastAsiaTheme="minorEastAsia"/>
          <w:lang w:eastAsia="zh-CN"/>
        </w:rPr>
        <w:t>193.06</w:t>
      </w:r>
      <w:r>
        <w:t>万元，主要用于办公费</w:t>
      </w:r>
      <w:r>
        <w:rPr>
          <w:rFonts w:hint="eastAsia" w:eastAsiaTheme="minorEastAsia"/>
          <w:lang w:eastAsia="zh-CN"/>
        </w:rPr>
        <w:t>28.16</w:t>
      </w:r>
      <w:r>
        <w:t>万元、</w:t>
      </w:r>
      <w:r>
        <w:rPr>
          <w:rFonts w:hint="eastAsia" w:eastAsiaTheme="minorEastAsia"/>
          <w:lang w:eastAsia="zh-CN"/>
        </w:rPr>
        <w:t>手续费0.24万元、水费0.58万元、电费12.51万元、</w:t>
      </w:r>
      <w:r>
        <w:t>邮电费</w:t>
      </w:r>
      <w:r>
        <w:rPr>
          <w:rFonts w:hint="eastAsia" w:eastAsiaTheme="minorEastAsia"/>
          <w:lang w:eastAsia="zh-CN"/>
        </w:rPr>
        <w:t>12.9</w:t>
      </w:r>
      <w:r>
        <w:t>万元、</w:t>
      </w:r>
      <w:r>
        <w:rPr>
          <w:rFonts w:hint="eastAsia" w:eastAsiaTheme="minorEastAsia"/>
          <w:lang w:eastAsia="zh-CN"/>
        </w:rPr>
        <w:t>取暖费3万元、物业管理费0.3万元、</w:t>
      </w:r>
      <w:r>
        <w:t>差旅费</w:t>
      </w:r>
      <w:r>
        <w:rPr>
          <w:rFonts w:hint="eastAsia" w:eastAsiaTheme="minorEastAsia"/>
          <w:lang w:eastAsia="zh-CN"/>
        </w:rPr>
        <w:t>14.4</w:t>
      </w:r>
      <w:r>
        <w:t>万元、</w:t>
      </w:r>
      <w:r>
        <w:rPr>
          <w:rFonts w:hint="eastAsia" w:eastAsiaTheme="minorEastAsia"/>
          <w:lang w:eastAsia="zh-CN"/>
        </w:rPr>
        <w:t>维修（</w:t>
      </w:r>
      <w:r>
        <w:t>护</w:t>
      </w:r>
      <w:r>
        <w:rPr>
          <w:rFonts w:hint="eastAsia" w:eastAsiaTheme="minorEastAsia"/>
          <w:lang w:eastAsia="zh-CN"/>
        </w:rPr>
        <w:t>）</w:t>
      </w:r>
      <w:r>
        <w:t>费</w:t>
      </w:r>
      <w:r>
        <w:rPr>
          <w:rFonts w:hint="eastAsia" w:eastAsiaTheme="minorEastAsia"/>
          <w:lang w:eastAsia="zh-CN"/>
        </w:rPr>
        <w:t>13.54</w:t>
      </w:r>
      <w:r>
        <w:t>万元、</w:t>
      </w:r>
      <w:r>
        <w:rPr>
          <w:rFonts w:hint="eastAsia" w:eastAsiaTheme="minorEastAsia"/>
          <w:lang w:eastAsia="zh-CN"/>
        </w:rPr>
        <w:t>租赁费2万元、会议费0.15万元、培训费0.07万元、</w:t>
      </w:r>
      <w:r>
        <w:t>公务接待费</w:t>
      </w:r>
      <w:r>
        <w:rPr>
          <w:rFonts w:hint="eastAsia" w:eastAsiaTheme="minorEastAsia"/>
          <w:lang w:eastAsia="zh-CN"/>
        </w:rPr>
        <w:t>4.46</w:t>
      </w:r>
      <w:r>
        <w:t>万元、公务用车运行维护费</w:t>
      </w:r>
      <w:r>
        <w:rPr>
          <w:rFonts w:hint="eastAsia" w:eastAsiaTheme="minorEastAsia"/>
          <w:lang w:eastAsia="zh-CN"/>
        </w:rPr>
        <w:t>14.04</w:t>
      </w:r>
      <w:r>
        <w:t>万元、印刷费3.13万元、公务交通补贴（其他交通费）</w:t>
      </w:r>
      <w:r>
        <w:rPr>
          <w:rFonts w:hint="eastAsia" w:eastAsiaTheme="minorEastAsia"/>
          <w:lang w:eastAsia="zh-CN"/>
        </w:rPr>
        <w:t>77.36</w:t>
      </w:r>
      <w:r>
        <w:t>万元、办公室设备购置</w:t>
      </w:r>
      <w:r>
        <w:rPr>
          <w:rFonts w:hint="eastAsia" w:eastAsiaTheme="minorEastAsia"/>
          <w:lang w:eastAsia="zh-CN"/>
        </w:rPr>
        <w:t>2.5</w:t>
      </w:r>
      <w:r>
        <w:t>万元、劳务费</w:t>
      </w:r>
      <w:r>
        <w:rPr>
          <w:rFonts w:hint="eastAsia" w:eastAsiaTheme="minorEastAsia"/>
          <w:lang w:eastAsia="zh-CN"/>
        </w:rPr>
        <w:t>3.72</w:t>
      </w:r>
      <w:r>
        <w:t>万元等日常运行支出。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我部门财政拨款“三公”经费预算安排50.32万元，其中因公出国（境）费0万元，同比无变化，原因是各部门无因公出国（境）预算安排；公务用车购置及运维费41.84万元（其中：公务用车购置费为0万元，公务用车运维费41.84万元)，同比者增加1.24万元，增加了3.05%，主要原因是：上年结转指标</w:t>
      </w:r>
      <w:r>
        <w:rPr>
          <w:rFonts w:hint="eastAsia"/>
          <w:lang w:val="en-US" w:eastAsia="zh-CN"/>
        </w:rPr>
        <w:t>1.24万元</w:t>
      </w:r>
      <w:r>
        <w:t>，我</w:t>
      </w:r>
      <w:r>
        <w:rPr>
          <w:rFonts w:hint="eastAsia"/>
          <w:lang w:val="en-US" w:eastAsia="zh-CN"/>
        </w:rPr>
        <w:t>部门</w:t>
      </w:r>
      <w:r>
        <w:t>严格执行中央八项规定文件要求，严格公务用车使用管理，做到定点加油、定点维修；公务接待费8.48万元，同比增加0.78万元，增加10.13%，增加的主要原因是：上年结转指标</w:t>
      </w:r>
      <w:r>
        <w:rPr>
          <w:rFonts w:hint="eastAsia"/>
          <w:lang w:val="en-US" w:eastAsia="zh-CN"/>
        </w:rPr>
        <w:t>0.78万元，我部门严格</w:t>
      </w:r>
      <w:r>
        <w:t>按照中央八项规定要求，</w:t>
      </w:r>
      <w:r>
        <w:rPr>
          <w:rFonts w:hint="eastAsia"/>
          <w:lang w:val="en-US" w:eastAsia="zh-CN"/>
        </w:rPr>
        <w:t>严控公务接待标准，</w:t>
      </w:r>
      <w:r>
        <w:t>公务接待费一直保持在</w:t>
      </w:r>
      <w:r>
        <w:rPr>
          <w:rFonts w:hint="eastAsia"/>
          <w:lang w:val="en-US" w:eastAsia="zh-CN"/>
        </w:rPr>
        <w:t>低</w:t>
      </w:r>
      <w:r>
        <w:t xml:space="preserve">位运行。           </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总体绩效目标</w:t>
      </w:r>
    </w:p>
    <w:p>
      <w:pPr>
        <w:pStyle w:val="21"/>
      </w:pPr>
      <w:r>
        <w:t>（一）精益求精，着力提升辅政能力;严谨务实，切实提高服务质量；凝神聚力，统筹推进各项工作；创先争优，建设过硬干部队伍。</w:t>
      </w:r>
    </w:p>
    <w:p>
      <w:pPr>
        <w:pStyle w:val="21"/>
      </w:pPr>
      <w:r>
        <w:t>（二）做好民盟调研、党派提案、信息、统战理论研究工作。</w:t>
      </w:r>
    </w:p>
    <w:p>
      <w:pPr>
        <w:pStyle w:val="21"/>
      </w:pPr>
      <w:r>
        <w:t>（三）开展金融扶贫，通过“政、银、企、户保”合作贷款，解决贫困户、农业企业经济发展资金短缺问题，为全县金融脱贫攻坚提供金融支撑。</w:t>
      </w:r>
    </w:p>
    <w:p>
      <w:pPr>
        <w:pStyle w:val="21"/>
      </w:pPr>
      <w:r>
        <w:t>（四）实现路警联合执法制度化常态化，让企业了解遵守治超相关法律法规，提高执法人员素质及廉洁自律意识。</w:t>
      </w:r>
    </w:p>
    <w:p>
      <w:pPr>
        <w:pStyle w:val="21"/>
      </w:pPr>
      <w:r>
        <w:t>（五）做好项目前期工作，保障项目按时开工建设，推动各项目尽早落地。</w:t>
      </w:r>
    </w:p>
    <w:p>
      <w:pPr>
        <w:pStyle w:val="21"/>
      </w:pPr>
      <w:r>
        <w:t>（六）严厉打击非法外运行为，强化主体税收源头监管，防止税款流失；强化企业纳税与监测销量比对分析，打击偷逃税行为。</w:t>
      </w:r>
    </w:p>
    <w:p>
      <w:pPr>
        <w:pStyle w:val="21"/>
      </w:pPr>
      <w:r>
        <w:t>（七）健全棚户区改造工作体系，全力向上争取棚改贷款，稳步推进棚户区改造工作。</w:t>
      </w:r>
    </w:p>
    <w:p>
      <w:pPr>
        <w:pStyle w:val="21"/>
      </w:pPr>
      <w:r>
        <w:t>（八）组织起草县政府领导重要讲话及其他重要文稿。</w:t>
      </w:r>
    </w:p>
    <w:p>
      <w:pPr>
        <w:pStyle w:val="21"/>
      </w:pPr>
      <w:r>
        <w:t>（九）组织承办人大代表建议和政协提案工作。</w:t>
      </w:r>
    </w:p>
    <w:p>
      <w:pPr>
        <w:pStyle w:val="21"/>
      </w:pPr>
      <w:r>
        <w:t>（十）负责推进、指导、协调、监督、考核评估全县政务公开和政府信息公开工作。</w:t>
      </w:r>
    </w:p>
    <w:p>
      <w:pPr>
        <w:pStyle w:val="21"/>
      </w:pPr>
      <w:r>
        <w:t>（十一）组织协调全县“放管服”改革工作。指导、督促贯彻落实党中央、国务院和省委、省政府，市委、市政府关于“放管服”改革重要领域、关键环节重大政策措施，承担县推进政府职能转变和“放管服”改革协调小组的日常工作。</w:t>
      </w:r>
    </w:p>
    <w:p>
      <w:pPr>
        <w:pStyle w:val="21"/>
      </w:pPr>
      <w:r>
        <w:t>(十二) 做好项目前期工作，保障项目按时开工建设，推动各项目尽早落地。</w:t>
      </w:r>
    </w:p>
    <w:p>
      <w:pPr>
        <w:pStyle w:val="21"/>
      </w:pPr>
      <w:r>
        <w:t>（十三）严厉打击非法外运行为，强化主体税收源头监管，防止税款流失；强化企业纳税与监测销量比对分析，打击偷逃税行为。同时，配合公安、交通、国土、林业、质检等部门加强对运输散煤、沙子、木材等车辆进行监督管理。</w:t>
      </w:r>
    </w:p>
    <w:p>
      <w:pPr>
        <w:pStyle w:val="21"/>
      </w:pPr>
      <w:r>
        <w:t>（十四）全面贯彻党的十九大精神、习近平新时代中国特色社会主义思想及中央扶贫开发工作会议精神，承担防贫监测对象认定和标注退出、防贫监测和帮扶工作绩效考核的事务性、辅助性工作；负责组织建立防贫监测对象和帮扶工作台账；接待各级部门对防贫工作的调研、考核、检查、验收、督查等活动；做好防贫监测对象的抽查、复核；对乡镇防贫工作站、协查部门定期培训，巩固我县脱贫成果。</w:t>
      </w:r>
    </w:p>
    <w:p>
      <w:pPr>
        <w:spacing w:line="500" w:lineRule="exact"/>
        <w:ind w:firstLine="560"/>
      </w:pPr>
      <w:r>
        <w:rPr>
          <w:rFonts w:eastAsia="方正仿宋_GBK"/>
          <w:color w:val="000000"/>
          <w:sz w:val="28"/>
        </w:rPr>
        <w:t>（二）分项绩效目标</w:t>
      </w:r>
    </w:p>
    <w:p>
      <w:pPr>
        <w:pStyle w:val="22"/>
      </w:pPr>
      <w:r>
        <w:t>（一）政务督查管理</w:t>
      </w:r>
    </w:p>
    <w:p>
      <w:pPr>
        <w:pStyle w:val="22"/>
      </w:pPr>
      <w:r>
        <w:t>绩效目标：通过创新机制，真督实查，保障县政府重大决策部署及领导交办事项真正落到实处，助推县城经济又好又快发展。</w:t>
      </w:r>
    </w:p>
    <w:p>
      <w:pPr>
        <w:pStyle w:val="22"/>
      </w:pPr>
      <w:r>
        <w:t>绩效指标: 决策部署督查反馈率90%以上；重点工作督导检查率90%以上；专项督导次数3次以上下发督办卡件25次以上。</w:t>
      </w:r>
    </w:p>
    <w:p>
      <w:pPr>
        <w:pStyle w:val="22"/>
      </w:pPr>
      <w:r>
        <w:t>（二）综合业务、事务管理</w:t>
      </w:r>
    </w:p>
    <w:p>
      <w:pPr>
        <w:pStyle w:val="22"/>
      </w:pPr>
      <w:r>
        <w:t>绩效目标：以服务领导和机关保障有力为目标，通过加强公务用车和公务（商务）接待管理，降低运行成本，为创建节约型机关打下了良好的基础；进一步提升保障服务管理水平，保障机关工作的正常运转。</w:t>
      </w:r>
    </w:p>
    <w:p>
      <w:pPr>
        <w:pStyle w:val="22"/>
      </w:pPr>
      <w:r>
        <w:t>绩效指标: 综合事务工作完成率90%以上；重大活动参与率90%以上；工作完成率90%以上；建议采纳率90%以上；保障单位日常事务正常运转。</w:t>
      </w:r>
    </w:p>
    <w:p>
      <w:pPr>
        <w:pStyle w:val="22"/>
      </w:pPr>
      <w:r>
        <w:t>（三）地方志事务管理</w:t>
      </w:r>
    </w:p>
    <w:p>
      <w:pPr>
        <w:pStyle w:val="22"/>
      </w:pPr>
      <w:r>
        <w:t>绩效目标：传承优秀文化传统，充分发挥志书“资政、存史、教化”的综合功能；为社会各界快捷提供青龙县情，为县域经济社会建设服务，为地方志工作者提供资料和工具；客观、全面、真实反映2020年全县经济社会各项事业发展成果。</w:t>
      </w:r>
    </w:p>
    <w:p>
      <w:pPr>
        <w:pStyle w:val="22"/>
      </w:pPr>
      <w:r>
        <w:t>绩效指标: 村志编纂任务完成率90%以上；年鉴编纂任务完成率90%以上；内容、编校、设计差错率0.2‰以内。</w:t>
      </w:r>
    </w:p>
    <w:p>
      <w:pPr>
        <w:pStyle w:val="22"/>
      </w:pPr>
      <w:r>
        <w:t>（四）法制专家及法律顾问</w:t>
      </w:r>
    </w:p>
    <w:p>
      <w:pPr>
        <w:pStyle w:val="22"/>
      </w:pPr>
      <w:r>
        <w:t>绩效目标：认真履行工作职责，坚持以防范、控制法律风险为主，法律补救为辅的原则，严格依据事实和法律提供法律咨询和法律服务；协助草拟和审查各类法律事务文书及政府文件；代理政府参加国内各类纠纷调解、仲裁和诉讼。</w:t>
      </w:r>
    </w:p>
    <w:p>
      <w:pPr>
        <w:pStyle w:val="22"/>
      </w:pPr>
      <w:r>
        <w:t>绩效指标: 合同合法性审查次数5次以上；无因合同条款审核不严出现的法律纠纷情况；建议采纳率90%以上；通过咨询，合同纠纷等法律问题减少。</w:t>
      </w:r>
    </w:p>
    <w:p>
      <w:pPr>
        <w:pStyle w:val="22"/>
      </w:pPr>
      <w:r>
        <w:t>（五）金融事务管理</w:t>
      </w:r>
    </w:p>
    <w:p>
      <w:pPr>
        <w:pStyle w:val="22"/>
      </w:pPr>
      <w:r>
        <w:t>绩效目标：依法加强金融监管，整顿和规范金融市场秩序，加大对非法集资、非法证券、非法保险等案件的查处、善后处置和维护金融稳定；指导全县金融生态环境和社会信用体系</w:t>
      </w:r>
      <w:r>
        <w:rPr>
          <w:rFonts w:hint="eastAsia"/>
          <w:lang w:eastAsia="zh-CN"/>
        </w:rPr>
        <w:t>建设</w:t>
      </w:r>
      <w:r>
        <w:t>良好的金融环境，做好银企对接工作；推进企业上市工作，做好金融运行及分析工作，指导做好“政、银、企、户”联保工作。</w:t>
      </w:r>
    </w:p>
    <w:p>
      <w:pPr>
        <w:pStyle w:val="22"/>
      </w:pPr>
      <w:r>
        <w:t>绩效指标:银企对接活动举办1次以上；宣传次数2次以上；银企对接活动完成率90%以上；督导巡查完成率90%以上；；非法集资排查率90%以上。</w:t>
      </w:r>
    </w:p>
    <w:p>
      <w:pPr>
        <w:pStyle w:val="22"/>
      </w:pPr>
      <w:r>
        <w:t>（六）金融扶贫管理</w:t>
      </w:r>
    </w:p>
    <w:p>
      <w:pPr>
        <w:pStyle w:val="22"/>
      </w:pPr>
      <w:r>
        <w:t>绩效目标：通过开展“政、银、企、户保”合作贷款，解决贫困户、农业企业经济发展资金短缺问题；协调银行放贷及贷款贴息；保障金融服务中心正常运转</w:t>
      </w:r>
    </w:p>
    <w:p>
      <w:pPr>
        <w:pStyle w:val="22"/>
      </w:pPr>
      <w:r>
        <w:t>绩效指标: 深入乡镇贫困村宣传指导24次以上；召开评审会议6次以上；贷款申请满足率90%以上；存入风险补偿金， 撬动银行发入贷款的累计比例40%以上；撬动银行发放贷款100万元以上。</w:t>
      </w:r>
    </w:p>
    <w:p>
      <w:pPr>
        <w:pStyle w:val="22"/>
      </w:pPr>
      <w:r>
        <w:t>（七）联合超限超载治理</w:t>
      </w:r>
    </w:p>
    <w:p>
      <w:pPr>
        <w:pStyle w:val="22"/>
      </w:pPr>
      <w:r>
        <w:t>绩效目标：实现路警联合执法制度化常态化，让企业了解遵守治超相关法律法规；提高执法人员素质及廉洁自律意识，确保在我县辖区内货物运输全部达到国家标准；减少交通事故的发生，确保人民群众生命财产安全。</w:t>
      </w:r>
    </w:p>
    <w:p>
      <w:pPr>
        <w:pStyle w:val="22"/>
      </w:pPr>
      <w:r>
        <w:t>绩效指标: 深入本土企业宣传次数2次以上；组织交通交警联合上路执法次数15次以上；超限超载率0.02%以下；确保人民群众生命财产安全。</w:t>
      </w:r>
    </w:p>
    <w:p>
      <w:pPr>
        <w:pStyle w:val="22"/>
      </w:pPr>
      <w:r>
        <w:t>（八）建管中心代建项目管理</w:t>
      </w:r>
    </w:p>
    <w:p>
      <w:pPr>
        <w:pStyle w:val="22"/>
      </w:pPr>
      <w:r>
        <w:t>绩效目标：做好项目前期工作，保障项目按时开工建设。</w:t>
      </w:r>
    </w:p>
    <w:p>
      <w:pPr>
        <w:pStyle w:val="22"/>
      </w:pPr>
      <w:r>
        <w:t>绩效指标: 手续办理及时3天以内; 办理手续资料存档率90%以上。</w:t>
      </w:r>
    </w:p>
    <w:p>
      <w:pPr>
        <w:pStyle w:val="22"/>
      </w:pPr>
      <w:r>
        <w:t>（九）矿业企业税源监控监测管理</w:t>
      </w:r>
    </w:p>
    <w:p>
      <w:pPr>
        <w:pStyle w:val="22"/>
      </w:pPr>
      <w:r>
        <w:t>绩效目标：对出境销售铁精粉车辆进行管理，监督计量全县铁精粉销量，阻止铁精粉非法外运；加强对散煤运输车辆管理，防止不符合标准的散煤进入我县；全天候监控，定期召开联席会议，实行数据比对分析，为税务部门提供数据支撑，堵塞税收漏洞。</w:t>
      </w:r>
    </w:p>
    <w:p>
      <w:pPr>
        <w:pStyle w:val="22"/>
      </w:pPr>
      <w:r>
        <w:t xml:space="preserve">绩效指标: 阻止铁精粉非法外运6车次以上；阻止、劝返不符合标准散煤运输比率100%；防止税收流失数额50万元以上；监测数据有效利用率80%以上。 </w:t>
      </w:r>
    </w:p>
    <w:p>
      <w:pPr>
        <w:pStyle w:val="22"/>
      </w:pPr>
      <w:r>
        <w:t>（十）棚户区改造管理</w:t>
      </w:r>
    </w:p>
    <w:p>
      <w:pPr>
        <w:pStyle w:val="22"/>
      </w:pPr>
      <w:r>
        <w:t>绩效目标：做好棚改项目前期的调查、测算、申报及管理工作；费用补贴资金及时拨付；补偿西城区被征收人过渡安置费，资金及时到位，保障被征收人的利益。</w:t>
      </w:r>
    </w:p>
    <w:p>
      <w:pPr>
        <w:pStyle w:val="22"/>
      </w:pPr>
      <w:r>
        <w:t>绩效指标: 调查完成率90%以上，损失补偿款支付次数1次，过渡安置费支付次数1次。</w:t>
      </w:r>
    </w:p>
    <w:p>
      <w:pPr>
        <w:pStyle w:val="22"/>
      </w:pPr>
      <w:r>
        <w:t>（十一）组织开展防贫监测工作</w:t>
      </w:r>
    </w:p>
    <w:p>
      <w:pPr>
        <w:pStyle w:val="22"/>
      </w:pPr>
      <w:r>
        <w:t>绩效目标：做好防贫监测对象认定和标注退出、防贫监测和帮扶工作绩效考核的事务性、辅助性工作，增加扶贫政策的宣传次数，保证工作任务按计划完成。</w:t>
      </w:r>
    </w:p>
    <w:p>
      <w:pPr>
        <w:pStyle w:val="22"/>
      </w:pPr>
      <w:r>
        <w:t>绩效指标：防贫监测全覆盖，涉及全县396个行政村。</w:t>
      </w:r>
    </w:p>
    <w:p>
      <w:pPr>
        <w:pStyle w:val="22"/>
      </w:pPr>
      <w:r>
        <w:t>（十二）建立帮扶工作台账。</w:t>
      </w:r>
    </w:p>
    <w:p>
      <w:pPr>
        <w:pStyle w:val="22"/>
      </w:pPr>
      <w:r>
        <w:t>绩效目标：组织建立防贫监测对象和帮扶工作台账。</w:t>
      </w:r>
    </w:p>
    <w:p>
      <w:pPr>
        <w:pStyle w:val="22"/>
      </w:pPr>
      <w:r>
        <w:t>绩效指标：防贫监测对象实际抽查、复核数量占应抽查、复核数量的比重不低于100%。，对防贫对象全部建立帮扶工作台账。</w:t>
      </w:r>
    </w:p>
    <w:p>
      <w:pPr>
        <w:pStyle w:val="22"/>
      </w:pPr>
      <w:r>
        <w:t>（十三）组织开展扶贫、防贫政策宣传</w:t>
      </w:r>
    </w:p>
    <w:p>
      <w:pPr>
        <w:pStyle w:val="22"/>
      </w:pPr>
      <w:r>
        <w:t>绩效目标：对乡镇防贫工作站、协查部门定期培训；防贫手册的宣传、材料印发。</w:t>
      </w:r>
    </w:p>
    <w:p>
      <w:pPr>
        <w:pStyle w:val="22"/>
      </w:pPr>
      <w:r>
        <w:t>绩效指标：对县乡村扶贫干部进行培训，提升扶贫开发水平，培训不少于4次，发放防贫材料不少于14万册。</w:t>
      </w:r>
    </w:p>
    <w:p>
      <w:pPr>
        <w:spacing w:line="500" w:lineRule="exact"/>
        <w:ind w:firstLine="560"/>
      </w:pPr>
      <w:r>
        <w:rPr>
          <w:rFonts w:eastAsia="方正仿宋_GBK"/>
          <w:color w:val="000000"/>
          <w:sz w:val="28"/>
        </w:rPr>
        <w:t>（三）工作保障措施</w:t>
      </w:r>
    </w:p>
    <w:p>
      <w:pPr>
        <w:pStyle w:val="23"/>
      </w:pPr>
      <w:r>
        <w:t>工作保障措施</w:t>
      </w:r>
    </w:p>
    <w:p>
      <w:pPr>
        <w:pStyle w:val="23"/>
      </w:pPr>
      <w:r>
        <w:t>（一）完善制度建设。制定完善部门预算绩效管理制度、财政资金使用管理办法、工作保障制度等，为全年预算绩效目标的实现奠定制度基础。</w:t>
      </w:r>
    </w:p>
    <w:p>
      <w:pPr>
        <w:pStyle w:val="23"/>
      </w:pPr>
      <w:r>
        <w:t>（二）加强支出管理。优化支出结构，编细编实部门预算，规范采购流程，提高资金使用效率，确保支出进度达标。</w:t>
      </w:r>
    </w:p>
    <w:p>
      <w:pPr>
        <w:pStyle w:val="23"/>
      </w:pPr>
      <w:r>
        <w:t>（三）加强绩效运行监控。开展部门预算绩效运行监控，发现问题及时采取措施，确保绩效目标如期保质实现。</w:t>
      </w:r>
    </w:p>
    <w:p>
      <w:pPr>
        <w:pStyle w:val="23"/>
      </w:pPr>
      <w:r>
        <w:t>（四）做好绩效自评。按要求开展上年度部门预算绩效自评和重点评价工作，对评价中发现的问题及时整改，调整优化支出结构，提高财政资金使用效益。</w:t>
      </w:r>
    </w:p>
    <w:p>
      <w:pPr>
        <w:pStyle w:val="23"/>
      </w:pPr>
      <w:r>
        <w:t>（五）规范财务资产管理。完善部门内部财务管理制度，严格审批程序，加强固定资产登记、使用和报废处置管理，做到支出合理，物尽其用。</w:t>
      </w:r>
    </w:p>
    <w:p>
      <w:pPr>
        <w:pStyle w:val="23"/>
      </w:pPr>
      <w:r>
        <w:t>（六）加强内部监督。加强部门内部监督制度建设，对绩效运行情况、重大支出决策、资产处置及其他重要经济业务事项的决策和执行进行督导，对会计资料进行内部审计，确保财政资金安全有效。</w:t>
      </w:r>
    </w:p>
    <w:p>
      <w:pPr>
        <w:pStyle w:val="23"/>
      </w:pPr>
      <w:r>
        <w:t>（七）加强业务培训学习等。加强业务学习，提高职工业务素质；加强调研，提出优化财政资金配置、提高资金使用效益的</w:t>
      </w:r>
      <w:r>
        <w:rPr>
          <w:rFonts w:hint="eastAsia"/>
          <w:lang w:eastAsia="zh-CN"/>
        </w:rPr>
        <w:t>意见</w:t>
      </w:r>
      <w:r>
        <w:t>；加大宣传力度，强化预算绩效管理意识，促进预算绩效管理水平进一步提升。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1、地方志年鉴编纂出版专项经费绩效目标表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1.通过开展地方志编纂工作，传承优秀文化传统，充分发挥志书“资政、存史、教化”的综合功能。</w:t>
            </w:r>
          </w:p>
          <w:p>
            <w:pPr>
              <w:pStyle w:val="12"/>
            </w:pPr>
            <w:r>
              <w:t>2.为社会各界方便快捷提供青龙县情，为县域经济社会建设服务，为地方志工作者提供资料和工具。</w:t>
            </w:r>
          </w:p>
          <w:p>
            <w:pPr>
              <w:pStyle w:val="12"/>
            </w:pPr>
            <w:r>
              <w:t>3.客观、全面、真实反映2022年全县经济社会各项事业发展成果。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出版数量</w:t>
            </w:r>
          </w:p>
        </w:tc>
        <w:tc>
          <w:tcPr>
            <w:tcW w:w="2835" w:type="dxa"/>
            <w:vAlign w:val="center"/>
          </w:tcPr>
          <w:p>
            <w:pPr>
              <w:pStyle w:val="12"/>
            </w:pPr>
            <w:r>
              <w:t>出版印刷年鉴及村志书数量</w:t>
            </w:r>
          </w:p>
        </w:tc>
        <w:tc>
          <w:tcPr>
            <w:tcW w:w="2551" w:type="dxa"/>
            <w:vAlign w:val="center"/>
          </w:tcPr>
          <w:p>
            <w:pPr>
              <w:pStyle w:val="12"/>
            </w:pPr>
            <w:r>
              <w:t>≤2250册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村志编纂任务完成率</w:t>
            </w:r>
          </w:p>
        </w:tc>
        <w:tc>
          <w:tcPr>
            <w:tcW w:w="2835" w:type="dxa"/>
            <w:vAlign w:val="center"/>
          </w:tcPr>
          <w:p>
            <w:pPr>
              <w:pStyle w:val="12"/>
            </w:pPr>
            <w:r>
              <w:t>村志编纂任务完成率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年鉴编纂任务完成率</w:t>
            </w:r>
          </w:p>
        </w:tc>
        <w:tc>
          <w:tcPr>
            <w:tcW w:w="2835" w:type="dxa"/>
            <w:vAlign w:val="center"/>
          </w:tcPr>
          <w:p>
            <w:pPr>
              <w:pStyle w:val="12"/>
            </w:pPr>
            <w:r>
              <w:t>年鉴编纂任务完成率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内容、编校、设计差错率</w:t>
            </w:r>
          </w:p>
        </w:tc>
        <w:tc>
          <w:tcPr>
            <w:tcW w:w="2835" w:type="dxa"/>
            <w:vAlign w:val="center"/>
          </w:tcPr>
          <w:p>
            <w:pPr>
              <w:pStyle w:val="12"/>
            </w:pPr>
            <w:r>
              <w:t>差错率</w:t>
            </w:r>
          </w:p>
        </w:tc>
        <w:tc>
          <w:tcPr>
            <w:tcW w:w="2551" w:type="dxa"/>
            <w:vAlign w:val="center"/>
          </w:tcPr>
          <w:p>
            <w:pPr>
              <w:pStyle w:val="12"/>
            </w:pPr>
            <w:r>
              <w:t>≤0.2‰</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出版时间</w:t>
            </w:r>
          </w:p>
        </w:tc>
        <w:tc>
          <w:tcPr>
            <w:tcW w:w="2835" w:type="dxa"/>
            <w:vAlign w:val="center"/>
          </w:tcPr>
          <w:p>
            <w:pPr>
              <w:pStyle w:val="12"/>
            </w:pPr>
            <w:r>
              <w:t>年底前完成审核及出版发行工作</w:t>
            </w:r>
          </w:p>
        </w:tc>
        <w:tc>
          <w:tcPr>
            <w:tcW w:w="2551" w:type="dxa"/>
            <w:vAlign w:val="center"/>
          </w:tcPr>
          <w:p>
            <w:pPr>
              <w:pStyle w:val="12"/>
            </w:pPr>
            <w:r>
              <w:t>2022年底前公开出版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印刷费用</w:t>
            </w:r>
          </w:p>
        </w:tc>
        <w:tc>
          <w:tcPr>
            <w:tcW w:w="2835" w:type="dxa"/>
            <w:vAlign w:val="center"/>
          </w:tcPr>
          <w:p>
            <w:pPr>
              <w:pStyle w:val="12"/>
            </w:pPr>
            <w:r>
              <w:t>《青龙满族自治县湾杖子村志》及《青龙满族自治县年鉴2021卷》、《青龙满族自治县年鉴2022卷》单位印刷成本</w:t>
            </w:r>
          </w:p>
        </w:tc>
        <w:tc>
          <w:tcPr>
            <w:tcW w:w="2551" w:type="dxa"/>
            <w:vAlign w:val="center"/>
          </w:tcPr>
          <w:p>
            <w:pPr>
              <w:pStyle w:val="12"/>
            </w:pPr>
            <w:r>
              <w:t>≤200元/册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资料收集及沟通印刷厂等办公经费及出版管理费</w:t>
            </w:r>
          </w:p>
        </w:tc>
        <w:tc>
          <w:tcPr>
            <w:tcW w:w="2551" w:type="dxa"/>
            <w:vAlign w:val="center"/>
          </w:tcPr>
          <w:p>
            <w:pPr>
              <w:pStyle w:val="12"/>
            </w:pPr>
            <w:r>
              <w:t>≤10万元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提供史志资料</w:t>
            </w:r>
          </w:p>
        </w:tc>
        <w:tc>
          <w:tcPr>
            <w:tcW w:w="2835" w:type="dxa"/>
            <w:vAlign w:val="center"/>
          </w:tcPr>
          <w:p>
            <w:pPr>
              <w:pStyle w:val="12"/>
            </w:pPr>
            <w:r>
              <w:t>客观、全面、真实反映2022年全县经济社会各项事业发展成果</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使用及参与对象对地方志编修工作的满意程度</w:t>
            </w:r>
          </w:p>
        </w:tc>
        <w:tc>
          <w:tcPr>
            <w:tcW w:w="2551" w:type="dxa"/>
            <w:vAlign w:val="center"/>
          </w:tcPr>
          <w:p>
            <w:pPr>
              <w:pStyle w:val="12"/>
            </w:pPr>
            <w:r>
              <w:t>≥90%</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rPr>
          <w:rFonts w:eastAsiaTheme="minorEastAsia"/>
          <w:lang w:eastAsia="zh-CN"/>
        </w:rPr>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 xml:space="preserve"> (涉密项目)</w:t>
      </w:r>
    </w:p>
    <w:p>
      <w:pPr>
        <w:spacing w:line="2" w:lineRule="exact"/>
        <w:jc w:val="center"/>
      </w:pPr>
    </w:p>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3、调研工作经费绩效目标表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1.通过紧紧围绕县政府中心工作开展调研，为县领导做好参谋，提供切实可行的合理化建议，助推县政府重点工作顺利开展。</w:t>
            </w:r>
          </w:p>
          <w:p>
            <w:pPr>
              <w:pStyle w:val="12"/>
            </w:pPr>
            <w:r>
              <w:t>2.对政府在对外交往、经济项目谈判、招商引资中涉及的重要问题提供参考意见。</w:t>
            </w:r>
          </w:p>
          <w:p>
            <w:pPr>
              <w:pStyle w:val="12"/>
            </w:pPr>
            <w:r>
              <w:t>3.对全县经济形势跟踪研究，收集、分析、整理和报送经济与社会生活中的重要综合信息、动态，为县政府决策提供建议。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调研、督导、检查次数</w:t>
            </w:r>
          </w:p>
        </w:tc>
        <w:tc>
          <w:tcPr>
            <w:tcW w:w="2835" w:type="dxa"/>
            <w:vAlign w:val="center"/>
          </w:tcPr>
          <w:p>
            <w:pPr>
              <w:pStyle w:val="12"/>
            </w:pPr>
            <w:r>
              <w:t>下乡调研、督导、检查次数</w:t>
            </w:r>
          </w:p>
        </w:tc>
        <w:tc>
          <w:tcPr>
            <w:tcW w:w="2551" w:type="dxa"/>
            <w:vAlign w:val="center"/>
          </w:tcPr>
          <w:p>
            <w:pPr>
              <w:pStyle w:val="12"/>
            </w:pPr>
            <w:r>
              <w:t>≥10次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业务保障率</w:t>
            </w:r>
          </w:p>
        </w:tc>
        <w:tc>
          <w:tcPr>
            <w:tcW w:w="2835" w:type="dxa"/>
            <w:vAlign w:val="center"/>
          </w:tcPr>
          <w:p>
            <w:pPr>
              <w:pStyle w:val="12"/>
            </w:pPr>
            <w:r>
              <w:t>反映工作业务保障、处理及时情况</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项目参与率</w:t>
            </w:r>
          </w:p>
        </w:tc>
        <w:tc>
          <w:tcPr>
            <w:tcW w:w="2835" w:type="dxa"/>
            <w:vAlign w:val="center"/>
          </w:tcPr>
          <w:p>
            <w:pPr>
              <w:pStyle w:val="12"/>
            </w:pPr>
            <w:r>
              <w:t>参与项目占项目总量的比率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反映业务完成情况</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建议采纳率</w:t>
            </w:r>
          </w:p>
        </w:tc>
        <w:tc>
          <w:tcPr>
            <w:tcW w:w="2835" w:type="dxa"/>
            <w:vAlign w:val="center"/>
          </w:tcPr>
          <w:p>
            <w:pPr>
              <w:pStyle w:val="12"/>
            </w:pPr>
            <w:r>
              <w:t>建议采纳数量占提出总数量的比率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按各项工作计划在全年内有计划完成</w:t>
            </w:r>
          </w:p>
        </w:tc>
        <w:tc>
          <w:tcPr>
            <w:tcW w:w="2551" w:type="dxa"/>
            <w:vAlign w:val="center"/>
          </w:tcPr>
          <w:p>
            <w:pPr>
              <w:pStyle w:val="12"/>
            </w:pPr>
            <w:r>
              <w:t>2022年6月30日前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2835" w:type="dxa"/>
            <w:vAlign w:val="center"/>
          </w:tcPr>
          <w:p>
            <w:pPr>
              <w:pStyle w:val="12"/>
            </w:pPr>
            <w:r>
              <w:t>反映差旅费年初预算金额</w:t>
            </w:r>
          </w:p>
        </w:tc>
        <w:tc>
          <w:tcPr>
            <w:tcW w:w="2551" w:type="dxa"/>
            <w:vAlign w:val="center"/>
          </w:tcPr>
          <w:p>
            <w:pPr>
              <w:pStyle w:val="12"/>
            </w:pPr>
            <w:r>
              <w:t>≤0.4万元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助推县政府重点工作顺利开展</w:t>
            </w:r>
          </w:p>
        </w:tc>
        <w:tc>
          <w:tcPr>
            <w:tcW w:w="2835" w:type="dxa"/>
            <w:vAlign w:val="center"/>
          </w:tcPr>
          <w:p>
            <w:pPr>
              <w:pStyle w:val="12"/>
            </w:pPr>
            <w:r>
              <w:t>为县领导做好参谋，提供切实可行的合理化建议</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反映服务对象满意度</w:t>
            </w:r>
          </w:p>
        </w:tc>
        <w:tc>
          <w:tcPr>
            <w:tcW w:w="2551" w:type="dxa"/>
            <w:vAlign w:val="center"/>
          </w:tcPr>
          <w:p>
            <w:pPr>
              <w:pStyle w:val="12"/>
            </w:pPr>
            <w:r>
              <w:t>≥90%</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4、调研工作经费绩效目标表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1.通过紧紧围绕县政府中心工作开展调研，为县领导做好参谋，提供切实可行的合理化建议，助推县政府重点工作顺利开展。</w:t>
            </w:r>
          </w:p>
          <w:p>
            <w:pPr>
              <w:pStyle w:val="12"/>
            </w:pPr>
            <w:r>
              <w:t>2.对政府在对外交往、经济项目谈判、招商引资中涉及的重要问题提供参考意见。</w:t>
            </w:r>
          </w:p>
          <w:p>
            <w:pPr>
              <w:pStyle w:val="12"/>
            </w:pPr>
            <w:r>
              <w:t>3.对全县经济形势跟踪研究，收集、分析、整理和报送经济与社会生活中的重要综合信息、动态，为县政府决策提供建议。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调研、督导、检查次数</w:t>
            </w:r>
          </w:p>
        </w:tc>
        <w:tc>
          <w:tcPr>
            <w:tcW w:w="2835" w:type="dxa"/>
            <w:vAlign w:val="center"/>
          </w:tcPr>
          <w:p>
            <w:pPr>
              <w:pStyle w:val="12"/>
            </w:pPr>
            <w:r>
              <w:t>下乡调研、督导、检查次数</w:t>
            </w:r>
          </w:p>
        </w:tc>
        <w:tc>
          <w:tcPr>
            <w:tcW w:w="2551" w:type="dxa"/>
            <w:vAlign w:val="center"/>
          </w:tcPr>
          <w:p>
            <w:pPr>
              <w:pStyle w:val="12"/>
            </w:pPr>
            <w:r>
              <w:t>≥10次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业务保障率</w:t>
            </w:r>
          </w:p>
        </w:tc>
        <w:tc>
          <w:tcPr>
            <w:tcW w:w="2835" w:type="dxa"/>
            <w:vAlign w:val="center"/>
          </w:tcPr>
          <w:p>
            <w:pPr>
              <w:pStyle w:val="12"/>
            </w:pPr>
            <w:r>
              <w:t>反映工作业务保障、处理及时情况</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项目参与率</w:t>
            </w:r>
          </w:p>
        </w:tc>
        <w:tc>
          <w:tcPr>
            <w:tcW w:w="2835" w:type="dxa"/>
            <w:vAlign w:val="center"/>
          </w:tcPr>
          <w:p>
            <w:pPr>
              <w:pStyle w:val="12"/>
            </w:pPr>
            <w:r>
              <w:t>参与项目占项目总量的比率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反映业务完成情况</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建议采纳率</w:t>
            </w:r>
          </w:p>
        </w:tc>
        <w:tc>
          <w:tcPr>
            <w:tcW w:w="2835" w:type="dxa"/>
            <w:vAlign w:val="center"/>
          </w:tcPr>
          <w:p>
            <w:pPr>
              <w:pStyle w:val="12"/>
            </w:pPr>
            <w:r>
              <w:t>建议采纳数量占提出总数量的比率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按各项工作计划在全年内有计划完成</w:t>
            </w:r>
          </w:p>
        </w:tc>
        <w:tc>
          <w:tcPr>
            <w:tcW w:w="2551" w:type="dxa"/>
            <w:vAlign w:val="center"/>
          </w:tcPr>
          <w:p>
            <w:pPr>
              <w:pStyle w:val="12"/>
            </w:pPr>
            <w:r>
              <w:t>2022年12月20日前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2835" w:type="dxa"/>
            <w:vAlign w:val="center"/>
          </w:tcPr>
          <w:p>
            <w:pPr>
              <w:pStyle w:val="12"/>
            </w:pPr>
            <w:r>
              <w:t>反映差旅费年初预算金额</w:t>
            </w:r>
          </w:p>
        </w:tc>
        <w:tc>
          <w:tcPr>
            <w:tcW w:w="2551" w:type="dxa"/>
            <w:vAlign w:val="center"/>
          </w:tcPr>
          <w:p>
            <w:pPr>
              <w:pStyle w:val="12"/>
            </w:pPr>
            <w:r>
              <w:t>≤2万元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2835" w:type="dxa"/>
            <w:vAlign w:val="center"/>
          </w:tcPr>
          <w:p>
            <w:pPr>
              <w:pStyle w:val="12"/>
            </w:pPr>
            <w:r>
              <w:t>反映其他交通费用年初预算金额</w:t>
            </w:r>
          </w:p>
        </w:tc>
        <w:tc>
          <w:tcPr>
            <w:tcW w:w="2551" w:type="dxa"/>
            <w:vAlign w:val="center"/>
          </w:tcPr>
          <w:p>
            <w:pPr>
              <w:pStyle w:val="12"/>
            </w:pPr>
            <w:r>
              <w:t>≤3万元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邮电费</w:t>
            </w:r>
          </w:p>
        </w:tc>
        <w:tc>
          <w:tcPr>
            <w:tcW w:w="2835" w:type="dxa"/>
            <w:vAlign w:val="center"/>
          </w:tcPr>
          <w:p>
            <w:pPr>
              <w:pStyle w:val="12"/>
            </w:pPr>
            <w:r>
              <w:t>反映邮电费年初预算金额</w:t>
            </w:r>
          </w:p>
        </w:tc>
        <w:tc>
          <w:tcPr>
            <w:tcW w:w="2551" w:type="dxa"/>
            <w:vAlign w:val="center"/>
          </w:tcPr>
          <w:p>
            <w:pPr>
              <w:pStyle w:val="12"/>
            </w:pPr>
            <w:r>
              <w:t>≤2万元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反映办公费年初预算金额</w:t>
            </w:r>
          </w:p>
        </w:tc>
        <w:tc>
          <w:tcPr>
            <w:tcW w:w="2551" w:type="dxa"/>
            <w:vAlign w:val="center"/>
          </w:tcPr>
          <w:p>
            <w:pPr>
              <w:pStyle w:val="12"/>
            </w:pPr>
            <w:r>
              <w:t>≤8万元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助推县政府重点工作顺利开展</w:t>
            </w:r>
          </w:p>
        </w:tc>
        <w:tc>
          <w:tcPr>
            <w:tcW w:w="2835" w:type="dxa"/>
            <w:vAlign w:val="center"/>
          </w:tcPr>
          <w:p>
            <w:pPr>
              <w:pStyle w:val="12"/>
            </w:pPr>
            <w:r>
              <w:t>为县领导做好参谋，提供切实可行的合理化建议</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反映服务对象满意度</w:t>
            </w:r>
          </w:p>
        </w:tc>
        <w:tc>
          <w:tcPr>
            <w:tcW w:w="2551" w:type="dxa"/>
            <w:vAlign w:val="center"/>
          </w:tcPr>
          <w:p>
            <w:pPr>
              <w:pStyle w:val="12"/>
            </w:pPr>
            <w:r>
              <w:t>≥90%</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5、金融服务中心工作经费绩效目标表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1.通过与银行合作发放脱贫人口小额信贷，达到巩固拓展脱贫攻坚成果。</w:t>
            </w:r>
          </w:p>
          <w:p>
            <w:pPr>
              <w:pStyle w:val="12"/>
            </w:pPr>
            <w:r>
              <w:t>2.通过审核乡镇报送贴息卷宗，给与符合贷款贴息条件的借款主体贴息，实现降低融资成本。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深入乡镇贫困村宣传指导（次）</w:t>
            </w:r>
          </w:p>
        </w:tc>
        <w:tc>
          <w:tcPr>
            <w:tcW w:w="2835" w:type="dxa"/>
            <w:vAlign w:val="center"/>
          </w:tcPr>
          <w:p>
            <w:pPr>
              <w:pStyle w:val="12"/>
            </w:pPr>
            <w:r>
              <w:t>深入乡镇贫困村宣传指导</w:t>
            </w:r>
          </w:p>
        </w:tc>
        <w:tc>
          <w:tcPr>
            <w:tcW w:w="2551" w:type="dxa"/>
            <w:vAlign w:val="center"/>
          </w:tcPr>
          <w:p>
            <w:pPr>
              <w:pStyle w:val="12"/>
            </w:pPr>
            <w:r>
              <w:t>≥24次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召开评审会议</w:t>
            </w:r>
          </w:p>
        </w:tc>
        <w:tc>
          <w:tcPr>
            <w:tcW w:w="2835" w:type="dxa"/>
            <w:vAlign w:val="center"/>
          </w:tcPr>
          <w:p>
            <w:pPr>
              <w:pStyle w:val="12"/>
            </w:pPr>
            <w:r>
              <w:t>召开评审会议，评审贷款项目</w:t>
            </w:r>
          </w:p>
        </w:tc>
        <w:tc>
          <w:tcPr>
            <w:tcW w:w="2551" w:type="dxa"/>
            <w:vAlign w:val="center"/>
          </w:tcPr>
          <w:p>
            <w:pPr>
              <w:pStyle w:val="12"/>
            </w:pPr>
            <w:r>
              <w:t>≥6次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贷款申请满足率</w:t>
            </w:r>
          </w:p>
        </w:tc>
        <w:tc>
          <w:tcPr>
            <w:tcW w:w="2835" w:type="dxa"/>
            <w:vAlign w:val="center"/>
          </w:tcPr>
          <w:p>
            <w:pPr>
              <w:pStyle w:val="12"/>
            </w:pPr>
            <w:r>
              <w:t>反映申贷通过比率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存入风险补偿金， 撬动银行发入贷款的累计比例</w:t>
            </w:r>
          </w:p>
        </w:tc>
        <w:tc>
          <w:tcPr>
            <w:tcW w:w="2835" w:type="dxa"/>
            <w:vAlign w:val="center"/>
          </w:tcPr>
          <w:p>
            <w:pPr>
              <w:pStyle w:val="12"/>
            </w:pPr>
            <w:r>
              <w:t>风险补偿金与贷款发放的累计比例</w:t>
            </w:r>
          </w:p>
        </w:tc>
        <w:tc>
          <w:tcPr>
            <w:tcW w:w="2551" w:type="dxa"/>
            <w:vAlign w:val="center"/>
          </w:tcPr>
          <w:p>
            <w:pPr>
              <w:pStyle w:val="12"/>
            </w:pPr>
            <w:r>
              <w:t>≥40%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计划完成时限</w:t>
            </w:r>
          </w:p>
        </w:tc>
        <w:tc>
          <w:tcPr>
            <w:tcW w:w="2835" w:type="dxa"/>
            <w:vAlign w:val="center"/>
          </w:tcPr>
          <w:p>
            <w:pPr>
              <w:pStyle w:val="12"/>
            </w:pPr>
            <w:r>
              <w:t>按计划推进金融服务中心各项工作的完成时间</w:t>
            </w:r>
          </w:p>
        </w:tc>
        <w:tc>
          <w:tcPr>
            <w:tcW w:w="2551" w:type="dxa"/>
            <w:vAlign w:val="center"/>
          </w:tcPr>
          <w:p>
            <w:pPr>
              <w:pStyle w:val="12"/>
            </w:pPr>
            <w:r>
              <w:t>2022年12月底前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办公费预算控制数</w:t>
            </w:r>
          </w:p>
        </w:tc>
        <w:tc>
          <w:tcPr>
            <w:tcW w:w="2835" w:type="dxa"/>
            <w:vAlign w:val="center"/>
          </w:tcPr>
          <w:p>
            <w:pPr>
              <w:pStyle w:val="12"/>
            </w:pPr>
            <w:r>
              <w:t>办公费控制在预算额度内</w:t>
            </w:r>
          </w:p>
        </w:tc>
        <w:tc>
          <w:tcPr>
            <w:tcW w:w="2551" w:type="dxa"/>
            <w:vAlign w:val="center"/>
          </w:tcPr>
          <w:p>
            <w:pPr>
              <w:pStyle w:val="12"/>
            </w:pPr>
            <w:r>
              <w:t>≤1.5万元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差旅费预算控制数</w:t>
            </w:r>
          </w:p>
        </w:tc>
        <w:tc>
          <w:tcPr>
            <w:tcW w:w="2835" w:type="dxa"/>
            <w:vAlign w:val="center"/>
          </w:tcPr>
          <w:p>
            <w:pPr>
              <w:pStyle w:val="12"/>
            </w:pPr>
            <w:r>
              <w:t>差旅费控制在预算额度内</w:t>
            </w:r>
          </w:p>
        </w:tc>
        <w:tc>
          <w:tcPr>
            <w:tcW w:w="2551" w:type="dxa"/>
            <w:vAlign w:val="center"/>
          </w:tcPr>
          <w:p>
            <w:pPr>
              <w:pStyle w:val="12"/>
            </w:pPr>
            <w:r>
              <w:t>≤0.4万元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水费预算控制数</w:t>
            </w:r>
          </w:p>
        </w:tc>
        <w:tc>
          <w:tcPr>
            <w:tcW w:w="2835" w:type="dxa"/>
            <w:vAlign w:val="center"/>
          </w:tcPr>
          <w:p>
            <w:pPr>
              <w:pStyle w:val="12"/>
            </w:pPr>
            <w:r>
              <w:t>水费控制在预算额度内</w:t>
            </w:r>
          </w:p>
        </w:tc>
        <w:tc>
          <w:tcPr>
            <w:tcW w:w="2551" w:type="dxa"/>
            <w:vAlign w:val="center"/>
          </w:tcPr>
          <w:p>
            <w:pPr>
              <w:pStyle w:val="12"/>
            </w:pPr>
            <w:r>
              <w:t>≤0.1万元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电费预算控制数</w:t>
            </w:r>
          </w:p>
        </w:tc>
        <w:tc>
          <w:tcPr>
            <w:tcW w:w="2835" w:type="dxa"/>
            <w:vAlign w:val="center"/>
          </w:tcPr>
          <w:p>
            <w:pPr>
              <w:pStyle w:val="12"/>
            </w:pPr>
            <w:r>
              <w:t>电费控制在预算额度内</w:t>
            </w:r>
          </w:p>
        </w:tc>
        <w:tc>
          <w:tcPr>
            <w:tcW w:w="2551" w:type="dxa"/>
            <w:vAlign w:val="center"/>
          </w:tcPr>
          <w:p>
            <w:pPr>
              <w:pStyle w:val="12"/>
            </w:pPr>
            <w:r>
              <w:t>≤1.5万元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劳务费预算控制数</w:t>
            </w:r>
          </w:p>
        </w:tc>
        <w:tc>
          <w:tcPr>
            <w:tcW w:w="2835" w:type="dxa"/>
            <w:vAlign w:val="center"/>
          </w:tcPr>
          <w:p>
            <w:pPr>
              <w:pStyle w:val="12"/>
            </w:pPr>
            <w:r>
              <w:t>劳务费控制在预算额度内</w:t>
            </w:r>
          </w:p>
        </w:tc>
        <w:tc>
          <w:tcPr>
            <w:tcW w:w="2551" w:type="dxa"/>
            <w:vAlign w:val="center"/>
          </w:tcPr>
          <w:p>
            <w:pPr>
              <w:pStyle w:val="12"/>
            </w:pPr>
            <w:r>
              <w:t>≤0.6万元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撬动银行发放贷款</w:t>
            </w:r>
          </w:p>
        </w:tc>
        <w:tc>
          <w:tcPr>
            <w:tcW w:w="2835" w:type="dxa"/>
            <w:vAlign w:val="center"/>
          </w:tcPr>
          <w:p>
            <w:pPr>
              <w:pStyle w:val="12"/>
            </w:pPr>
            <w:r>
              <w:t>撬动银行发放贷款</w:t>
            </w:r>
          </w:p>
        </w:tc>
        <w:tc>
          <w:tcPr>
            <w:tcW w:w="2551" w:type="dxa"/>
            <w:vAlign w:val="center"/>
          </w:tcPr>
          <w:p>
            <w:pPr>
              <w:pStyle w:val="12"/>
            </w:pPr>
            <w:r>
              <w:t>≥100万元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保障金融服务中心正常运转</w:t>
            </w:r>
          </w:p>
        </w:tc>
        <w:tc>
          <w:tcPr>
            <w:tcW w:w="2835" w:type="dxa"/>
            <w:vAlign w:val="center"/>
          </w:tcPr>
          <w:p>
            <w:pPr>
              <w:pStyle w:val="12"/>
            </w:pPr>
            <w:r>
              <w:t>保障金融服务中心正常运转</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2835" w:type="dxa"/>
            <w:vAlign w:val="center"/>
          </w:tcPr>
          <w:p>
            <w:pPr>
              <w:pStyle w:val="12"/>
            </w:pPr>
            <w:r>
              <w:t>反映中心工作人员对中心运转的满意度</w:t>
            </w:r>
          </w:p>
        </w:tc>
        <w:tc>
          <w:tcPr>
            <w:tcW w:w="2551" w:type="dxa"/>
            <w:vAlign w:val="center"/>
          </w:tcPr>
          <w:p>
            <w:pPr>
              <w:pStyle w:val="12"/>
            </w:pPr>
            <w:r>
              <w:t>≥90%</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6、金融服务中心工作经费绩效目标表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1.通过与银行合作发放脱贫人口小额信贷，达到巩固拓展脱贫攻坚成果。</w:t>
            </w:r>
          </w:p>
          <w:p>
            <w:pPr>
              <w:pStyle w:val="12"/>
            </w:pPr>
            <w:r>
              <w:t>2.通过审核乡镇报送贴息卷宗，给与符合贷款贴息条件的借款主体贴息，实现降低融资成本。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深入乡镇贫困村宣传指导（次）</w:t>
            </w:r>
          </w:p>
        </w:tc>
        <w:tc>
          <w:tcPr>
            <w:tcW w:w="2835" w:type="dxa"/>
            <w:vAlign w:val="center"/>
          </w:tcPr>
          <w:p>
            <w:pPr>
              <w:pStyle w:val="12"/>
            </w:pPr>
            <w:r>
              <w:t>深入乡镇贫困村宣传指导</w:t>
            </w:r>
          </w:p>
        </w:tc>
        <w:tc>
          <w:tcPr>
            <w:tcW w:w="2551" w:type="dxa"/>
            <w:vAlign w:val="center"/>
          </w:tcPr>
          <w:p>
            <w:pPr>
              <w:pStyle w:val="12"/>
            </w:pPr>
            <w:r>
              <w:t>≥24次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推荐合作贷款（次）</w:t>
            </w:r>
          </w:p>
        </w:tc>
        <w:tc>
          <w:tcPr>
            <w:tcW w:w="2835" w:type="dxa"/>
            <w:vAlign w:val="center"/>
          </w:tcPr>
          <w:p>
            <w:pPr>
              <w:pStyle w:val="12"/>
            </w:pPr>
            <w:r>
              <w:t>向合作银行推荐贷款</w:t>
            </w:r>
          </w:p>
        </w:tc>
        <w:tc>
          <w:tcPr>
            <w:tcW w:w="2551" w:type="dxa"/>
            <w:vAlign w:val="center"/>
          </w:tcPr>
          <w:p>
            <w:pPr>
              <w:pStyle w:val="12"/>
            </w:pPr>
            <w:r>
              <w:t>≥6次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贷款申请满足率</w:t>
            </w:r>
          </w:p>
        </w:tc>
        <w:tc>
          <w:tcPr>
            <w:tcW w:w="2835" w:type="dxa"/>
            <w:vAlign w:val="center"/>
          </w:tcPr>
          <w:p>
            <w:pPr>
              <w:pStyle w:val="12"/>
            </w:pPr>
            <w:r>
              <w:t>反映申贷通过比率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存入风险补偿金， 撬动银行发入贷款的累计比例</w:t>
            </w:r>
          </w:p>
        </w:tc>
        <w:tc>
          <w:tcPr>
            <w:tcW w:w="2835" w:type="dxa"/>
            <w:vAlign w:val="center"/>
          </w:tcPr>
          <w:p>
            <w:pPr>
              <w:pStyle w:val="12"/>
            </w:pPr>
            <w:r>
              <w:t>风险补偿金与贷款发放的累计比例</w:t>
            </w:r>
          </w:p>
        </w:tc>
        <w:tc>
          <w:tcPr>
            <w:tcW w:w="2551" w:type="dxa"/>
            <w:vAlign w:val="center"/>
          </w:tcPr>
          <w:p>
            <w:pPr>
              <w:pStyle w:val="12"/>
            </w:pPr>
            <w:r>
              <w:t>≥40%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计划完成时限</w:t>
            </w:r>
          </w:p>
        </w:tc>
        <w:tc>
          <w:tcPr>
            <w:tcW w:w="2835" w:type="dxa"/>
            <w:vAlign w:val="center"/>
          </w:tcPr>
          <w:p>
            <w:pPr>
              <w:pStyle w:val="12"/>
            </w:pPr>
            <w:r>
              <w:t>按计划推进金融服务中心各项工作的完成时间</w:t>
            </w:r>
          </w:p>
        </w:tc>
        <w:tc>
          <w:tcPr>
            <w:tcW w:w="2551" w:type="dxa"/>
            <w:vAlign w:val="center"/>
          </w:tcPr>
          <w:p>
            <w:pPr>
              <w:pStyle w:val="12"/>
            </w:pPr>
            <w:r>
              <w:t>2022年12月底前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办公费预算控制数</w:t>
            </w:r>
          </w:p>
        </w:tc>
        <w:tc>
          <w:tcPr>
            <w:tcW w:w="2835" w:type="dxa"/>
            <w:vAlign w:val="center"/>
          </w:tcPr>
          <w:p>
            <w:pPr>
              <w:pStyle w:val="12"/>
            </w:pPr>
            <w:r>
              <w:t>办公费控制在预算额度内</w:t>
            </w:r>
          </w:p>
        </w:tc>
        <w:tc>
          <w:tcPr>
            <w:tcW w:w="2551" w:type="dxa"/>
            <w:vAlign w:val="center"/>
          </w:tcPr>
          <w:p>
            <w:pPr>
              <w:pStyle w:val="12"/>
            </w:pPr>
            <w:r>
              <w:t>≤4.7万元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差旅费预算控制数</w:t>
            </w:r>
          </w:p>
        </w:tc>
        <w:tc>
          <w:tcPr>
            <w:tcW w:w="2835" w:type="dxa"/>
            <w:vAlign w:val="center"/>
          </w:tcPr>
          <w:p>
            <w:pPr>
              <w:pStyle w:val="12"/>
            </w:pPr>
            <w:r>
              <w:t>差旅费控制在预算额度内</w:t>
            </w:r>
          </w:p>
        </w:tc>
        <w:tc>
          <w:tcPr>
            <w:tcW w:w="2551" w:type="dxa"/>
            <w:vAlign w:val="center"/>
          </w:tcPr>
          <w:p>
            <w:pPr>
              <w:pStyle w:val="12"/>
            </w:pPr>
            <w:r>
              <w:t>≤0.4万元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水费预算控制数</w:t>
            </w:r>
          </w:p>
        </w:tc>
        <w:tc>
          <w:tcPr>
            <w:tcW w:w="2835" w:type="dxa"/>
            <w:vAlign w:val="center"/>
          </w:tcPr>
          <w:p>
            <w:pPr>
              <w:pStyle w:val="12"/>
            </w:pPr>
            <w:r>
              <w:t>水费控制在预算额度内</w:t>
            </w:r>
          </w:p>
        </w:tc>
        <w:tc>
          <w:tcPr>
            <w:tcW w:w="2551" w:type="dxa"/>
            <w:vAlign w:val="center"/>
          </w:tcPr>
          <w:p>
            <w:pPr>
              <w:pStyle w:val="12"/>
            </w:pPr>
            <w:r>
              <w:t>≤0.1万元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电费预算控制数</w:t>
            </w:r>
          </w:p>
        </w:tc>
        <w:tc>
          <w:tcPr>
            <w:tcW w:w="2835" w:type="dxa"/>
            <w:vAlign w:val="center"/>
          </w:tcPr>
          <w:p>
            <w:pPr>
              <w:pStyle w:val="12"/>
            </w:pPr>
            <w:r>
              <w:t>电费控制在预算额度内</w:t>
            </w:r>
          </w:p>
        </w:tc>
        <w:tc>
          <w:tcPr>
            <w:tcW w:w="2551" w:type="dxa"/>
            <w:vAlign w:val="center"/>
          </w:tcPr>
          <w:p>
            <w:pPr>
              <w:pStyle w:val="12"/>
            </w:pPr>
            <w:r>
              <w:t>≤1.5万元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其他交通费用预算控制数</w:t>
            </w:r>
          </w:p>
        </w:tc>
        <w:tc>
          <w:tcPr>
            <w:tcW w:w="2835" w:type="dxa"/>
            <w:vAlign w:val="center"/>
          </w:tcPr>
          <w:p>
            <w:pPr>
              <w:pStyle w:val="12"/>
            </w:pPr>
            <w:r>
              <w:t>其他交通费用控制在预算额度内</w:t>
            </w:r>
          </w:p>
        </w:tc>
        <w:tc>
          <w:tcPr>
            <w:tcW w:w="2551" w:type="dxa"/>
            <w:vAlign w:val="center"/>
          </w:tcPr>
          <w:p>
            <w:pPr>
              <w:pStyle w:val="12"/>
            </w:pPr>
            <w:r>
              <w:t>≤0.3万元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撬动银行发放贷款</w:t>
            </w:r>
          </w:p>
        </w:tc>
        <w:tc>
          <w:tcPr>
            <w:tcW w:w="2835" w:type="dxa"/>
            <w:vAlign w:val="center"/>
          </w:tcPr>
          <w:p>
            <w:pPr>
              <w:pStyle w:val="12"/>
            </w:pPr>
            <w:r>
              <w:t>撬动银行发放贷款</w:t>
            </w:r>
          </w:p>
        </w:tc>
        <w:tc>
          <w:tcPr>
            <w:tcW w:w="2551" w:type="dxa"/>
            <w:vAlign w:val="center"/>
          </w:tcPr>
          <w:p>
            <w:pPr>
              <w:pStyle w:val="12"/>
            </w:pPr>
            <w:r>
              <w:t>≥100万元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保障金融服务中心正常运转</w:t>
            </w:r>
          </w:p>
        </w:tc>
        <w:tc>
          <w:tcPr>
            <w:tcW w:w="2835" w:type="dxa"/>
            <w:vAlign w:val="center"/>
          </w:tcPr>
          <w:p>
            <w:pPr>
              <w:pStyle w:val="12"/>
            </w:pPr>
            <w:r>
              <w:t>保障金融服务中心正常运转</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2835" w:type="dxa"/>
            <w:vAlign w:val="center"/>
          </w:tcPr>
          <w:p>
            <w:pPr>
              <w:pStyle w:val="12"/>
            </w:pPr>
            <w:r>
              <w:t>反映中心工作人员对中心运转的满意度</w:t>
            </w:r>
          </w:p>
        </w:tc>
        <w:tc>
          <w:tcPr>
            <w:tcW w:w="2551" w:type="dxa"/>
            <w:vAlign w:val="center"/>
          </w:tcPr>
          <w:p>
            <w:pPr>
              <w:pStyle w:val="12"/>
            </w:pPr>
            <w:r>
              <w:t>≥90%</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7、金融事务管理工作经费绩效目标表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1.通过依法加强金融监管，整顿和规范金融市场秩序，加大对非法集资、非法证券、非法保险等案件的查处、善后处置和维护金融稳定。</w:t>
            </w:r>
          </w:p>
          <w:p>
            <w:pPr>
              <w:pStyle w:val="12"/>
            </w:pPr>
            <w:r>
              <w:t>2.指导全县金融生态环境和社会信用体系</w:t>
            </w:r>
            <w:r>
              <w:rPr>
                <w:rFonts w:hint="eastAsia"/>
                <w:lang w:eastAsia="zh-CN"/>
              </w:rPr>
              <w:t>建设</w:t>
            </w:r>
            <w:r>
              <w:t>良好的金融环境，做好银企对接工作。</w:t>
            </w:r>
          </w:p>
          <w:p>
            <w:pPr>
              <w:pStyle w:val="12"/>
            </w:pPr>
            <w:r>
              <w:t>3.推进企业上市工作，做好金融运行及分析工作，指导做好“政、银、企、户”联保工作。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银企对接会次数</w:t>
            </w:r>
          </w:p>
        </w:tc>
        <w:tc>
          <w:tcPr>
            <w:tcW w:w="2835" w:type="dxa"/>
            <w:vAlign w:val="center"/>
          </w:tcPr>
          <w:p>
            <w:pPr>
              <w:pStyle w:val="12"/>
            </w:pPr>
            <w:r>
              <w:t>提高银企对接频次，协助企业融资。</w:t>
            </w:r>
          </w:p>
        </w:tc>
        <w:tc>
          <w:tcPr>
            <w:tcW w:w="2551" w:type="dxa"/>
            <w:vAlign w:val="center"/>
          </w:tcPr>
          <w:p>
            <w:pPr>
              <w:pStyle w:val="12"/>
            </w:pPr>
            <w:r>
              <w:t>≥1次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2835" w:type="dxa"/>
            <w:vAlign w:val="center"/>
          </w:tcPr>
          <w:p>
            <w:pPr>
              <w:pStyle w:val="12"/>
            </w:pPr>
            <w:r>
              <w:t>打击非法集资宣传次数</w:t>
            </w:r>
          </w:p>
        </w:tc>
        <w:tc>
          <w:tcPr>
            <w:tcW w:w="2551" w:type="dxa"/>
            <w:vAlign w:val="center"/>
          </w:tcPr>
          <w:p>
            <w:pPr>
              <w:pStyle w:val="12"/>
            </w:pPr>
            <w:r>
              <w:t>≥2次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银企对接活动完成率</w:t>
            </w:r>
          </w:p>
        </w:tc>
        <w:tc>
          <w:tcPr>
            <w:tcW w:w="2835" w:type="dxa"/>
            <w:vAlign w:val="center"/>
          </w:tcPr>
          <w:p>
            <w:pPr>
              <w:pStyle w:val="12"/>
            </w:pPr>
            <w:r>
              <w:t>组织驻县投融资机构与相关产业和重点项目对接活动次数占计划总量的比例</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督导巡查完成率</w:t>
            </w:r>
          </w:p>
        </w:tc>
        <w:tc>
          <w:tcPr>
            <w:tcW w:w="2835" w:type="dxa"/>
            <w:vAlign w:val="center"/>
          </w:tcPr>
          <w:p>
            <w:pPr>
              <w:pStyle w:val="12"/>
            </w:pPr>
            <w:r>
              <w:t>对小额贷款公司督导巡查次数占年初计划的比例</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非法集资排查率</w:t>
            </w:r>
          </w:p>
        </w:tc>
        <w:tc>
          <w:tcPr>
            <w:tcW w:w="2835" w:type="dxa"/>
            <w:vAlign w:val="center"/>
          </w:tcPr>
          <w:p>
            <w:pPr>
              <w:pStyle w:val="12"/>
            </w:pPr>
            <w:r>
              <w:t>打击和处置非法集资专项排查占年应排查总数的比率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计划完成时限</w:t>
            </w:r>
          </w:p>
        </w:tc>
        <w:tc>
          <w:tcPr>
            <w:tcW w:w="2835" w:type="dxa"/>
            <w:vAlign w:val="center"/>
          </w:tcPr>
          <w:p>
            <w:pPr>
              <w:pStyle w:val="12"/>
            </w:pPr>
            <w:r>
              <w:t>按计划推进各项工作，年底前完成</w:t>
            </w:r>
          </w:p>
        </w:tc>
        <w:tc>
          <w:tcPr>
            <w:tcW w:w="2551" w:type="dxa"/>
            <w:vAlign w:val="center"/>
          </w:tcPr>
          <w:p>
            <w:pPr>
              <w:pStyle w:val="12"/>
            </w:pPr>
            <w:r>
              <w:t>2022年6月前常态化进行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2835" w:type="dxa"/>
            <w:vAlign w:val="center"/>
          </w:tcPr>
          <w:p>
            <w:pPr>
              <w:pStyle w:val="12"/>
            </w:pPr>
            <w:r>
              <w:t>反映差旅费成本控制情况</w:t>
            </w:r>
          </w:p>
        </w:tc>
        <w:tc>
          <w:tcPr>
            <w:tcW w:w="2551" w:type="dxa"/>
            <w:vAlign w:val="center"/>
          </w:tcPr>
          <w:p>
            <w:pPr>
              <w:pStyle w:val="12"/>
            </w:pPr>
            <w:r>
              <w:t>≤0.09万元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银企对接促进企业融资</w:t>
            </w:r>
          </w:p>
        </w:tc>
        <w:tc>
          <w:tcPr>
            <w:tcW w:w="2835" w:type="dxa"/>
            <w:vAlign w:val="center"/>
          </w:tcPr>
          <w:p>
            <w:pPr>
              <w:pStyle w:val="12"/>
            </w:pPr>
            <w:r>
              <w:t>打破银企双方信息不对称难题，提高获贷率。</w:t>
            </w:r>
          </w:p>
        </w:tc>
        <w:tc>
          <w:tcPr>
            <w:tcW w:w="2551" w:type="dxa"/>
            <w:vAlign w:val="center"/>
          </w:tcPr>
          <w:p>
            <w:pPr>
              <w:pStyle w:val="12"/>
            </w:pPr>
            <w:r>
              <w:t>≥10%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银企对接</w:t>
            </w:r>
          </w:p>
        </w:tc>
        <w:tc>
          <w:tcPr>
            <w:tcW w:w="2835" w:type="dxa"/>
            <w:vAlign w:val="center"/>
          </w:tcPr>
          <w:p>
            <w:pPr>
              <w:pStyle w:val="12"/>
            </w:pPr>
            <w:r>
              <w:t>建立银企互动机制，实现双方互动交流，普及金融知识、宣传金融产品。</w:t>
            </w:r>
          </w:p>
        </w:tc>
        <w:tc>
          <w:tcPr>
            <w:tcW w:w="2551" w:type="dxa"/>
            <w:vAlign w:val="center"/>
          </w:tcPr>
          <w:p>
            <w:pPr>
              <w:pStyle w:val="12"/>
            </w:pPr>
            <w:r>
              <w:t>≥90%</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8、金融事务管理工作经费绩效目标表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1.通过依法加强金融监管，整顿和规范金融市场秩序，加大对非法集资、非法证券、非法保险等案件的查处、善后处置和维护金融稳定。</w:t>
            </w:r>
          </w:p>
          <w:p>
            <w:pPr>
              <w:pStyle w:val="12"/>
            </w:pPr>
            <w:r>
              <w:t>2.指导全县金融生态环境和社会信用体系</w:t>
            </w:r>
            <w:r>
              <w:rPr>
                <w:rFonts w:hint="eastAsia"/>
                <w:lang w:eastAsia="zh-CN"/>
              </w:rPr>
              <w:t>建设</w:t>
            </w:r>
            <w:r>
              <w:t>良好的金融环境，做好银企对接工作。</w:t>
            </w:r>
          </w:p>
          <w:p>
            <w:pPr>
              <w:pStyle w:val="12"/>
            </w:pPr>
            <w:r>
              <w:t>3.推进企业上市工作，做好金融运行及分析工作，指导做好“政、银、企、户”联保工作。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企业上市融资工作会议（次）</w:t>
            </w:r>
          </w:p>
        </w:tc>
        <w:tc>
          <w:tcPr>
            <w:tcW w:w="2835" w:type="dxa"/>
            <w:vAlign w:val="center"/>
          </w:tcPr>
          <w:p>
            <w:pPr>
              <w:pStyle w:val="12"/>
            </w:pPr>
            <w:r>
              <w:t>推动企业上市挂牌召开培训会</w:t>
            </w:r>
          </w:p>
        </w:tc>
        <w:tc>
          <w:tcPr>
            <w:tcW w:w="2551" w:type="dxa"/>
            <w:vAlign w:val="center"/>
          </w:tcPr>
          <w:p>
            <w:pPr>
              <w:pStyle w:val="12"/>
            </w:pPr>
            <w:r>
              <w:t>≥1次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2835" w:type="dxa"/>
            <w:vAlign w:val="center"/>
          </w:tcPr>
          <w:p>
            <w:pPr>
              <w:pStyle w:val="12"/>
            </w:pPr>
            <w:r>
              <w:t>金融风险排查宣传次数</w:t>
            </w:r>
          </w:p>
        </w:tc>
        <w:tc>
          <w:tcPr>
            <w:tcW w:w="2551" w:type="dxa"/>
            <w:vAlign w:val="center"/>
          </w:tcPr>
          <w:p>
            <w:pPr>
              <w:pStyle w:val="12"/>
            </w:pPr>
            <w:r>
              <w:t>≥2次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银企对接活动完成率</w:t>
            </w:r>
          </w:p>
        </w:tc>
        <w:tc>
          <w:tcPr>
            <w:tcW w:w="2835" w:type="dxa"/>
            <w:vAlign w:val="center"/>
          </w:tcPr>
          <w:p>
            <w:pPr>
              <w:pStyle w:val="12"/>
            </w:pPr>
            <w:r>
              <w:t>组织驻县投融资机构与相关产业和重点项目对接活动次数占计划总量的比例</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督导巡查完成率</w:t>
            </w:r>
          </w:p>
        </w:tc>
        <w:tc>
          <w:tcPr>
            <w:tcW w:w="2835" w:type="dxa"/>
            <w:vAlign w:val="center"/>
          </w:tcPr>
          <w:p>
            <w:pPr>
              <w:pStyle w:val="12"/>
            </w:pPr>
            <w:r>
              <w:t>对小额贷款公司督导巡查次数占年初计划的比例</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金融风险排查率</w:t>
            </w:r>
          </w:p>
        </w:tc>
        <w:tc>
          <w:tcPr>
            <w:tcW w:w="2835" w:type="dxa"/>
            <w:vAlign w:val="center"/>
          </w:tcPr>
          <w:p>
            <w:pPr>
              <w:pStyle w:val="12"/>
            </w:pPr>
            <w:r>
              <w:t>金融风险排查占年应排查总数的比率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计划完成时限</w:t>
            </w:r>
          </w:p>
        </w:tc>
        <w:tc>
          <w:tcPr>
            <w:tcW w:w="2835" w:type="dxa"/>
            <w:vAlign w:val="center"/>
          </w:tcPr>
          <w:p>
            <w:pPr>
              <w:pStyle w:val="12"/>
            </w:pPr>
            <w:r>
              <w:t>按计划推进各项工作，年底前完成</w:t>
            </w:r>
          </w:p>
        </w:tc>
        <w:tc>
          <w:tcPr>
            <w:tcW w:w="2551" w:type="dxa"/>
            <w:vAlign w:val="center"/>
          </w:tcPr>
          <w:p>
            <w:pPr>
              <w:pStyle w:val="12"/>
            </w:pPr>
            <w:r>
              <w:t>2022年12月前常态化进行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反映办公费成本控制情况</w:t>
            </w:r>
          </w:p>
        </w:tc>
        <w:tc>
          <w:tcPr>
            <w:tcW w:w="2551" w:type="dxa"/>
            <w:vAlign w:val="center"/>
          </w:tcPr>
          <w:p>
            <w:pPr>
              <w:pStyle w:val="12"/>
            </w:pPr>
            <w:r>
              <w:t>≤0.8万元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2835" w:type="dxa"/>
            <w:vAlign w:val="center"/>
          </w:tcPr>
          <w:p>
            <w:pPr>
              <w:pStyle w:val="12"/>
            </w:pPr>
            <w:r>
              <w:t>反映差旅费成本控制情况</w:t>
            </w:r>
          </w:p>
        </w:tc>
        <w:tc>
          <w:tcPr>
            <w:tcW w:w="2551" w:type="dxa"/>
            <w:vAlign w:val="center"/>
          </w:tcPr>
          <w:p>
            <w:pPr>
              <w:pStyle w:val="12"/>
            </w:pPr>
            <w:r>
              <w:t>≤0.5万元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2835" w:type="dxa"/>
            <w:vAlign w:val="center"/>
          </w:tcPr>
          <w:p>
            <w:pPr>
              <w:pStyle w:val="12"/>
            </w:pPr>
            <w:r>
              <w:t>反映其他交通费成本控制情况</w:t>
            </w:r>
          </w:p>
        </w:tc>
        <w:tc>
          <w:tcPr>
            <w:tcW w:w="2551" w:type="dxa"/>
            <w:vAlign w:val="center"/>
          </w:tcPr>
          <w:p>
            <w:pPr>
              <w:pStyle w:val="12"/>
            </w:pPr>
            <w:r>
              <w:t>≤0.5万元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银企对接促进企业融资</w:t>
            </w:r>
          </w:p>
        </w:tc>
        <w:tc>
          <w:tcPr>
            <w:tcW w:w="2835" w:type="dxa"/>
            <w:vAlign w:val="center"/>
          </w:tcPr>
          <w:p>
            <w:pPr>
              <w:pStyle w:val="12"/>
            </w:pPr>
            <w:r>
              <w:t>打破银企双方信息不对称难题，提高获贷率。</w:t>
            </w:r>
          </w:p>
        </w:tc>
        <w:tc>
          <w:tcPr>
            <w:tcW w:w="2551" w:type="dxa"/>
            <w:vAlign w:val="center"/>
          </w:tcPr>
          <w:p>
            <w:pPr>
              <w:pStyle w:val="12"/>
            </w:pPr>
            <w:r>
              <w:t>≥10%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银行企业满意度</w:t>
            </w:r>
          </w:p>
        </w:tc>
        <w:tc>
          <w:tcPr>
            <w:tcW w:w="2835" w:type="dxa"/>
            <w:vAlign w:val="center"/>
          </w:tcPr>
          <w:p>
            <w:pPr>
              <w:pStyle w:val="12"/>
            </w:pPr>
            <w:r>
              <w:t>建立银企互动机制，实现双方互动交流，普及金融知识、宣传金融产品。</w:t>
            </w:r>
          </w:p>
        </w:tc>
        <w:tc>
          <w:tcPr>
            <w:tcW w:w="2551" w:type="dxa"/>
            <w:vAlign w:val="center"/>
          </w:tcPr>
          <w:p>
            <w:pPr>
              <w:pStyle w:val="12"/>
            </w:pPr>
            <w:r>
              <w:t>≥90%</w:t>
            </w:r>
          </w:p>
        </w:tc>
        <w:tc>
          <w:tcPr>
            <w:tcW w:w="2268"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9、民盟工作经费绩效目标表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1.把民盟建设成为与中国共产党长期亲密合作、致力于中国特色社会主义事业的高素质参政党。</w:t>
            </w:r>
          </w:p>
          <w:p>
            <w:pPr>
              <w:pStyle w:val="12"/>
            </w:pPr>
            <w:r>
              <w:t>2.坚持中国共产党的领导与充分发扬社会主义民主；体现政治联盟的特点；体现进步性与广泛性的统一。</w:t>
            </w:r>
          </w:p>
          <w:p>
            <w:pPr>
              <w:pStyle w:val="12"/>
            </w:pPr>
            <w:r>
              <w:t>3.完成好民盟的日常工作。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调研报告数量</w:t>
            </w:r>
          </w:p>
        </w:tc>
        <w:tc>
          <w:tcPr>
            <w:tcW w:w="2835" w:type="dxa"/>
            <w:vAlign w:val="center"/>
          </w:tcPr>
          <w:p>
            <w:pPr>
              <w:pStyle w:val="12"/>
            </w:pPr>
            <w:r>
              <w:t>反映统战部报送调研报告数量</w:t>
            </w:r>
          </w:p>
        </w:tc>
        <w:tc>
          <w:tcPr>
            <w:tcW w:w="2551" w:type="dxa"/>
            <w:vAlign w:val="center"/>
          </w:tcPr>
          <w:p>
            <w:pPr>
              <w:pStyle w:val="12"/>
            </w:pPr>
            <w:r>
              <w:t>≥1个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党派提案数量</w:t>
            </w:r>
          </w:p>
        </w:tc>
        <w:tc>
          <w:tcPr>
            <w:tcW w:w="2835" w:type="dxa"/>
            <w:vAlign w:val="center"/>
          </w:tcPr>
          <w:p>
            <w:pPr>
              <w:pStyle w:val="12"/>
            </w:pPr>
            <w:r>
              <w:t>反映向县政协全会提交党派提案数量</w:t>
            </w:r>
          </w:p>
        </w:tc>
        <w:tc>
          <w:tcPr>
            <w:tcW w:w="2551" w:type="dxa"/>
            <w:vAlign w:val="center"/>
          </w:tcPr>
          <w:p>
            <w:pPr>
              <w:pStyle w:val="12"/>
            </w:pPr>
            <w:r>
              <w:t>≥5个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社情民意信息</w:t>
            </w:r>
          </w:p>
        </w:tc>
        <w:tc>
          <w:tcPr>
            <w:tcW w:w="2835" w:type="dxa"/>
            <w:vAlign w:val="center"/>
          </w:tcPr>
          <w:p>
            <w:pPr>
              <w:pStyle w:val="12"/>
            </w:pPr>
            <w:r>
              <w:t>反映社日常收集报送社情民意信息数量</w:t>
            </w:r>
          </w:p>
        </w:tc>
        <w:tc>
          <w:tcPr>
            <w:tcW w:w="2551" w:type="dxa"/>
            <w:vAlign w:val="center"/>
          </w:tcPr>
          <w:p>
            <w:pPr>
              <w:pStyle w:val="12"/>
            </w:pPr>
            <w:r>
              <w:t>≥2条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培训次数</w:t>
            </w:r>
          </w:p>
        </w:tc>
        <w:tc>
          <w:tcPr>
            <w:tcW w:w="2835" w:type="dxa"/>
            <w:vAlign w:val="center"/>
          </w:tcPr>
          <w:p>
            <w:pPr>
              <w:pStyle w:val="12"/>
            </w:pPr>
            <w:r>
              <w:t>送“科技下乡”培训活动</w:t>
            </w:r>
          </w:p>
        </w:tc>
        <w:tc>
          <w:tcPr>
            <w:tcW w:w="2551" w:type="dxa"/>
            <w:vAlign w:val="center"/>
          </w:tcPr>
          <w:p>
            <w:pPr>
              <w:pStyle w:val="12"/>
            </w:pPr>
            <w:r>
              <w:t>≥6次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赠送书籍</w:t>
            </w:r>
          </w:p>
        </w:tc>
        <w:tc>
          <w:tcPr>
            <w:tcW w:w="2835" w:type="dxa"/>
            <w:vAlign w:val="center"/>
          </w:tcPr>
          <w:p>
            <w:pPr>
              <w:pStyle w:val="12"/>
            </w:pPr>
            <w:r>
              <w:t>赠送贫困村农民养殖书籍</w:t>
            </w:r>
          </w:p>
        </w:tc>
        <w:tc>
          <w:tcPr>
            <w:tcW w:w="2551" w:type="dxa"/>
            <w:vAlign w:val="center"/>
          </w:tcPr>
          <w:p>
            <w:pPr>
              <w:pStyle w:val="12"/>
            </w:pPr>
            <w:r>
              <w:t>≥5000册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社情民意采纳率</w:t>
            </w:r>
          </w:p>
        </w:tc>
        <w:tc>
          <w:tcPr>
            <w:tcW w:w="2835" w:type="dxa"/>
            <w:vAlign w:val="center"/>
          </w:tcPr>
          <w:p>
            <w:pPr>
              <w:pStyle w:val="12"/>
            </w:pPr>
            <w:r>
              <w:t>社情民意上报后形成的建议上级及有关部门采纳率</w:t>
            </w:r>
          </w:p>
        </w:tc>
        <w:tc>
          <w:tcPr>
            <w:tcW w:w="2551" w:type="dxa"/>
            <w:vAlign w:val="center"/>
          </w:tcPr>
          <w:p>
            <w:pPr>
              <w:pStyle w:val="12"/>
            </w:pPr>
            <w:r>
              <w:t>≥80%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提案交办率</w:t>
            </w:r>
          </w:p>
        </w:tc>
        <w:tc>
          <w:tcPr>
            <w:tcW w:w="2835" w:type="dxa"/>
            <w:vAlign w:val="center"/>
          </w:tcPr>
          <w:p>
            <w:pPr>
              <w:pStyle w:val="12"/>
            </w:pPr>
            <w:r>
              <w:t>年度内已完成的提案交办数量占立案提案总量的比例</w:t>
            </w:r>
          </w:p>
        </w:tc>
        <w:tc>
          <w:tcPr>
            <w:tcW w:w="2551" w:type="dxa"/>
            <w:vAlign w:val="center"/>
          </w:tcPr>
          <w:p>
            <w:pPr>
              <w:pStyle w:val="12"/>
            </w:pPr>
            <w:r>
              <w:t>≥80%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调研结果和政策建议采纳率（%）</w:t>
            </w:r>
          </w:p>
        </w:tc>
        <w:tc>
          <w:tcPr>
            <w:tcW w:w="2835" w:type="dxa"/>
            <w:vAlign w:val="center"/>
          </w:tcPr>
          <w:p>
            <w:pPr>
              <w:pStyle w:val="12"/>
            </w:pPr>
            <w:r>
              <w:t>调研结果和政策建议采纳数量占调研结果和政策建议数量的比例</w:t>
            </w:r>
          </w:p>
        </w:tc>
        <w:tc>
          <w:tcPr>
            <w:tcW w:w="2551" w:type="dxa"/>
            <w:vAlign w:val="center"/>
          </w:tcPr>
          <w:p>
            <w:pPr>
              <w:pStyle w:val="12"/>
            </w:pPr>
            <w:r>
              <w:t>≥80%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工作完成率</w:t>
            </w:r>
          </w:p>
        </w:tc>
        <w:tc>
          <w:tcPr>
            <w:tcW w:w="2835" w:type="dxa"/>
            <w:vAlign w:val="center"/>
          </w:tcPr>
          <w:p>
            <w:pPr>
              <w:pStyle w:val="12"/>
            </w:pPr>
            <w:r>
              <w:t>反映向县政协全会提交党派提案工作完成时间</w:t>
            </w:r>
          </w:p>
        </w:tc>
        <w:tc>
          <w:tcPr>
            <w:tcW w:w="2551" w:type="dxa"/>
            <w:vAlign w:val="center"/>
          </w:tcPr>
          <w:p>
            <w:pPr>
              <w:pStyle w:val="12"/>
            </w:pPr>
            <w:r>
              <w:t>2022年6月</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工作完成率</w:t>
            </w:r>
          </w:p>
        </w:tc>
        <w:tc>
          <w:tcPr>
            <w:tcW w:w="2835" w:type="dxa"/>
            <w:vAlign w:val="center"/>
          </w:tcPr>
          <w:p>
            <w:pPr>
              <w:pStyle w:val="12"/>
            </w:pPr>
            <w:r>
              <w:t>反映其他各项工作完成时间</w:t>
            </w:r>
          </w:p>
        </w:tc>
        <w:tc>
          <w:tcPr>
            <w:tcW w:w="2551" w:type="dxa"/>
            <w:vAlign w:val="center"/>
          </w:tcPr>
          <w:p>
            <w:pPr>
              <w:pStyle w:val="12"/>
            </w:pPr>
            <w:r>
              <w:t>2022年12月30日前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办公费控制数</w:t>
            </w:r>
          </w:p>
        </w:tc>
        <w:tc>
          <w:tcPr>
            <w:tcW w:w="2835" w:type="dxa"/>
            <w:vAlign w:val="center"/>
          </w:tcPr>
          <w:p>
            <w:pPr>
              <w:pStyle w:val="12"/>
            </w:pPr>
            <w:r>
              <w:t>办公费控制在预算额度内</w:t>
            </w:r>
          </w:p>
        </w:tc>
        <w:tc>
          <w:tcPr>
            <w:tcW w:w="2551" w:type="dxa"/>
            <w:vAlign w:val="center"/>
          </w:tcPr>
          <w:p>
            <w:pPr>
              <w:pStyle w:val="12"/>
            </w:pPr>
            <w:r>
              <w:t>≤0.2万元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印刷费控制数</w:t>
            </w:r>
          </w:p>
        </w:tc>
        <w:tc>
          <w:tcPr>
            <w:tcW w:w="2835" w:type="dxa"/>
            <w:vAlign w:val="center"/>
          </w:tcPr>
          <w:p>
            <w:pPr>
              <w:pStyle w:val="12"/>
            </w:pPr>
            <w:r>
              <w:t>印刷费控制在预算额度内</w:t>
            </w:r>
          </w:p>
        </w:tc>
        <w:tc>
          <w:tcPr>
            <w:tcW w:w="2551" w:type="dxa"/>
            <w:vAlign w:val="center"/>
          </w:tcPr>
          <w:p>
            <w:pPr>
              <w:pStyle w:val="12"/>
            </w:pPr>
            <w:r>
              <w:t>≤0.5万元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其他交通费控制数</w:t>
            </w:r>
          </w:p>
        </w:tc>
        <w:tc>
          <w:tcPr>
            <w:tcW w:w="2835" w:type="dxa"/>
            <w:vAlign w:val="center"/>
          </w:tcPr>
          <w:p>
            <w:pPr>
              <w:pStyle w:val="12"/>
            </w:pPr>
            <w:r>
              <w:t>其他交通费控制在预算额度内</w:t>
            </w:r>
          </w:p>
        </w:tc>
        <w:tc>
          <w:tcPr>
            <w:tcW w:w="2551" w:type="dxa"/>
            <w:vAlign w:val="center"/>
          </w:tcPr>
          <w:p>
            <w:pPr>
              <w:pStyle w:val="12"/>
            </w:pPr>
            <w:r>
              <w:t>≤0.8万元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提案采纳率</w:t>
            </w:r>
          </w:p>
        </w:tc>
        <w:tc>
          <w:tcPr>
            <w:tcW w:w="2835" w:type="dxa"/>
            <w:vAlign w:val="center"/>
          </w:tcPr>
          <w:p>
            <w:pPr>
              <w:pStyle w:val="12"/>
            </w:pPr>
            <w:r>
              <w:t>县政协全会提交党派提案采纳率</w:t>
            </w:r>
          </w:p>
        </w:tc>
        <w:tc>
          <w:tcPr>
            <w:tcW w:w="2551" w:type="dxa"/>
            <w:vAlign w:val="center"/>
          </w:tcPr>
          <w:p>
            <w:pPr>
              <w:pStyle w:val="12"/>
            </w:pPr>
            <w:r>
              <w:t>≥80%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调查服务对象满意和较满意数占调查总数比例</w:t>
            </w:r>
          </w:p>
        </w:tc>
        <w:tc>
          <w:tcPr>
            <w:tcW w:w="2551" w:type="dxa"/>
            <w:vAlign w:val="center"/>
          </w:tcPr>
          <w:p>
            <w:pPr>
              <w:pStyle w:val="12"/>
            </w:pPr>
            <w:r>
              <w:t>≥90%</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10、政府法制专家及法律顾问工作经费绩效目标表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1.通过聘请法律顾问提供法律提供法律咨询和法律服务，协助草拟和审查各类法律事务文书及政府文件。</w:t>
            </w:r>
          </w:p>
          <w:p>
            <w:pPr>
              <w:pStyle w:val="12"/>
            </w:pPr>
            <w:r>
              <w:t>2.代理政府参加国内各类纠纷调解、仲裁和诉讼。达到防范、控制法律风险、减少法律纠纷的效果。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法律顾问人数</w:t>
            </w:r>
          </w:p>
        </w:tc>
        <w:tc>
          <w:tcPr>
            <w:tcW w:w="2835" w:type="dxa"/>
            <w:vAlign w:val="center"/>
          </w:tcPr>
          <w:p>
            <w:pPr>
              <w:pStyle w:val="12"/>
            </w:pPr>
            <w:r>
              <w:t>聘请法律顾问人数</w:t>
            </w:r>
          </w:p>
        </w:tc>
        <w:tc>
          <w:tcPr>
            <w:tcW w:w="2551" w:type="dxa"/>
            <w:vAlign w:val="center"/>
          </w:tcPr>
          <w:p>
            <w:pPr>
              <w:pStyle w:val="12"/>
            </w:pPr>
            <w:r>
              <w:t>1人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合法性审查次数</w:t>
            </w:r>
          </w:p>
        </w:tc>
        <w:tc>
          <w:tcPr>
            <w:tcW w:w="2835" w:type="dxa"/>
            <w:vAlign w:val="center"/>
          </w:tcPr>
          <w:p>
            <w:pPr>
              <w:pStyle w:val="12"/>
            </w:pPr>
            <w:r>
              <w:t>反映合同合法性审查次数</w:t>
            </w:r>
          </w:p>
        </w:tc>
        <w:tc>
          <w:tcPr>
            <w:tcW w:w="2551" w:type="dxa"/>
            <w:vAlign w:val="center"/>
          </w:tcPr>
          <w:p>
            <w:pPr>
              <w:pStyle w:val="12"/>
            </w:pPr>
            <w:r>
              <w:t>≥5次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建议次数</w:t>
            </w:r>
          </w:p>
        </w:tc>
        <w:tc>
          <w:tcPr>
            <w:tcW w:w="2835" w:type="dxa"/>
            <w:vAlign w:val="center"/>
          </w:tcPr>
          <w:p>
            <w:pPr>
              <w:pStyle w:val="12"/>
            </w:pPr>
            <w:r>
              <w:t>反映政府行政决策建议次数</w:t>
            </w:r>
          </w:p>
        </w:tc>
        <w:tc>
          <w:tcPr>
            <w:tcW w:w="2551" w:type="dxa"/>
            <w:vAlign w:val="center"/>
          </w:tcPr>
          <w:p>
            <w:pPr>
              <w:pStyle w:val="12"/>
            </w:pPr>
            <w:r>
              <w:t>≥5次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合同合法性差错次数</w:t>
            </w:r>
          </w:p>
        </w:tc>
        <w:tc>
          <w:tcPr>
            <w:tcW w:w="2835" w:type="dxa"/>
            <w:vAlign w:val="center"/>
          </w:tcPr>
          <w:p>
            <w:pPr>
              <w:pStyle w:val="12"/>
            </w:pPr>
            <w:r>
              <w:t>因合同条款审核不严出现的法律纠纷次数</w:t>
            </w:r>
          </w:p>
        </w:tc>
        <w:tc>
          <w:tcPr>
            <w:tcW w:w="2551" w:type="dxa"/>
            <w:vAlign w:val="center"/>
          </w:tcPr>
          <w:p>
            <w:pPr>
              <w:pStyle w:val="12"/>
            </w:pPr>
            <w:r>
              <w:t>0次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建议采纳率</w:t>
            </w:r>
          </w:p>
        </w:tc>
        <w:tc>
          <w:tcPr>
            <w:tcW w:w="2835" w:type="dxa"/>
            <w:vAlign w:val="center"/>
          </w:tcPr>
          <w:p>
            <w:pPr>
              <w:pStyle w:val="12"/>
            </w:pPr>
            <w:r>
              <w:t>建议采纳数量占提出总数量的比率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业务完成率</w:t>
            </w:r>
          </w:p>
        </w:tc>
        <w:tc>
          <w:tcPr>
            <w:tcW w:w="2835" w:type="dxa"/>
            <w:vAlign w:val="center"/>
          </w:tcPr>
          <w:p>
            <w:pPr>
              <w:pStyle w:val="12"/>
            </w:pPr>
            <w:r>
              <w:t>完成业务占总业务的比率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律师咨询时间</w:t>
            </w:r>
          </w:p>
        </w:tc>
        <w:tc>
          <w:tcPr>
            <w:tcW w:w="2835" w:type="dxa"/>
            <w:vAlign w:val="center"/>
          </w:tcPr>
          <w:p>
            <w:pPr>
              <w:pStyle w:val="12"/>
            </w:pPr>
            <w:r>
              <w:t>向法律顾问进行咨询时间</w:t>
            </w:r>
          </w:p>
        </w:tc>
        <w:tc>
          <w:tcPr>
            <w:tcW w:w="2551" w:type="dxa"/>
            <w:vAlign w:val="center"/>
          </w:tcPr>
          <w:p>
            <w:pPr>
              <w:pStyle w:val="12"/>
            </w:pPr>
            <w:r>
              <w:t>2022年全年常态化咨询</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咨询费控制数</w:t>
            </w:r>
          </w:p>
        </w:tc>
        <w:tc>
          <w:tcPr>
            <w:tcW w:w="2835" w:type="dxa"/>
            <w:vAlign w:val="center"/>
          </w:tcPr>
          <w:p>
            <w:pPr>
              <w:pStyle w:val="12"/>
            </w:pPr>
            <w:r>
              <w:t>聘请常年法律顾问合同金额</w:t>
            </w:r>
          </w:p>
        </w:tc>
        <w:tc>
          <w:tcPr>
            <w:tcW w:w="2551" w:type="dxa"/>
            <w:vAlign w:val="center"/>
          </w:tcPr>
          <w:p>
            <w:pPr>
              <w:pStyle w:val="12"/>
            </w:pPr>
            <w:r>
              <w:t>≤5万元/年</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法律问题减少</w:t>
            </w:r>
          </w:p>
        </w:tc>
        <w:tc>
          <w:tcPr>
            <w:tcW w:w="2835" w:type="dxa"/>
            <w:vAlign w:val="center"/>
          </w:tcPr>
          <w:p>
            <w:pPr>
              <w:pStyle w:val="12"/>
            </w:pPr>
            <w:r>
              <w:t>通过咨询，合同纠纷等法律问题减少</w:t>
            </w:r>
          </w:p>
        </w:tc>
        <w:tc>
          <w:tcPr>
            <w:tcW w:w="2551" w:type="dxa"/>
            <w:vAlign w:val="center"/>
          </w:tcPr>
          <w:p>
            <w:pPr>
              <w:pStyle w:val="12"/>
            </w:pPr>
            <w:r>
              <w:t>≥60%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调查服务对象满意和较满意数占调查总数比例</w:t>
            </w:r>
          </w:p>
        </w:tc>
        <w:tc>
          <w:tcPr>
            <w:tcW w:w="2551" w:type="dxa"/>
            <w:vAlign w:val="center"/>
          </w:tcPr>
          <w:p>
            <w:pPr>
              <w:pStyle w:val="12"/>
            </w:pPr>
            <w:r>
              <w:t>≥90%</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11、政务督查工作经费绩效目标表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1.通过创新机制，真督实查，保障重大决策部署落实，领导交办事项落实，助推县城经济又好又快发展。</w:t>
            </w:r>
          </w:p>
          <w:p>
            <w:pPr>
              <w:pStyle w:val="12"/>
            </w:pPr>
            <w:r>
              <w:t>2.推动政府重大决策部署的贯彻，进一步提高政府执行力。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下发督办卡件次</w:t>
            </w:r>
          </w:p>
        </w:tc>
        <w:tc>
          <w:tcPr>
            <w:tcW w:w="2835" w:type="dxa"/>
            <w:vAlign w:val="center"/>
          </w:tcPr>
          <w:p>
            <w:pPr>
              <w:pStyle w:val="12"/>
            </w:pPr>
            <w:r>
              <w:t>下发督办卡件次</w:t>
            </w:r>
          </w:p>
        </w:tc>
        <w:tc>
          <w:tcPr>
            <w:tcW w:w="2551" w:type="dxa"/>
            <w:vAlign w:val="center"/>
          </w:tcPr>
          <w:p>
            <w:pPr>
              <w:pStyle w:val="12"/>
            </w:pPr>
            <w:r>
              <w:t>≥25次</w:t>
            </w:r>
          </w:p>
        </w:tc>
        <w:tc>
          <w:tcPr>
            <w:tcW w:w="2268" w:type="dxa"/>
            <w:vAlign w:val="center"/>
          </w:tcPr>
          <w:p>
            <w:pPr>
              <w:pStyle w:val="12"/>
            </w:pPr>
            <w:r>
              <w:t>领导签批和会议交办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专项督导次数</w:t>
            </w:r>
          </w:p>
        </w:tc>
        <w:tc>
          <w:tcPr>
            <w:tcW w:w="2835" w:type="dxa"/>
            <w:vAlign w:val="center"/>
          </w:tcPr>
          <w:p>
            <w:pPr>
              <w:pStyle w:val="12"/>
            </w:pPr>
            <w:r>
              <w:t>进行专项督导次数</w:t>
            </w:r>
          </w:p>
        </w:tc>
        <w:tc>
          <w:tcPr>
            <w:tcW w:w="2551" w:type="dxa"/>
            <w:vAlign w:val="center"/>
          </w:tcPr>
          <w:p>
            <w:pPr>
              <w:pStyle w:val="12"/>
            </w:pPr>
            <w:r>
              <w:t>≥3次</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决策部署督查反馈率</w:t>
            </w:r>
          </w:p>
        </w:tc>
        <w:tc>
          <w:tcPr>
            <w:tcW w:w="2835" w:type="dxa"/>
            <w:vAlign w:val="center"/>
          </w:tcPr>
          <w:p>
            <w:pPr>
              <w:pStyle w:val="12"/>
            </w:pPr>
            <w:r>
              <w:t>对市、县政府领导重要指示批示落实情况的督查反馈</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重点工作督导检查率</w:t>
            </w:r>
          </w:p>
        </w:tc>
        <w:tc>
          <w:tcPr>
            <w:tcW w:w="2835" w:type="dxa"/>
            <w:vAlign w:val="center"/>
          </w:tcPr>
          <w:p>
            <w:pPr>
              <w:pStyle w:val="12"/>
            </w:pPr>
            <w:r>
              <w:t>重点工作督导占全年督导工作的比率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承办省、市、县人大代表建议和政协提案工作完成时间</w:t>
            </w:r>
          </w:p>
        </w:tc>
        <w:tc>
          <w:tcPr>
            <w:tcW w:w="2551" w:type="dxa"/>
            <w:vAlign w:val="center"/>
          </w:tcPr>
          <w:p>
            <w:pPr>
              <w:pStyle w:val="12"/>
            </w:pPr>
            <w:r>
              <w:t>2022年10月底完成</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政务督查的其他工作完成时间</w:t>
            </w:r>
          </w:p>
        </w:tc>
        <w:tc>
          <w:tcPr>
            <w:tcW w:w="2551" w:type="dxa"/>
            <w:vAlign w:val="center"/>
          </w:tcPr>
          <w:p>
            <w:pPr>
              <w:pStyle w:val="12"/>
            </w:pPr>
            <w:r>
              <w:t>2022年12月底前常态进行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反映办公费成本控制情况</w:t>
            </w:r>
          </w:p>
        </w:tc>
        <w:tc>
          <w:tcPr>
            <w:tcW w:w="2551" w:type="dxa"/>
            <w:vAlign w:val="center"/>
          </w:tcPr>
          <w:p>
            <w:pPr>
              <w:pStyle w:val="12"/>
            </w:pPr>
            <w:r>
              <w:t>≤4.5万元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2835" w:type="dxa"/>
            <w:vAlign w:val="center"/>
          </w:tcPr>
          <w:p>
            <w:pPr>
              <w:pStyle w:val="12"/>
            </w:pPr>
            <w:r>
              <w:t>反映差旅费成本控制情况</w:t>
            </w:r>
          </w:p>
        </w:tc>
        <w:tc>
          <w:tcPr>
            <w:tcW w:w="2551" w:type="dxa"/>
            <w:vAlign w:val="center"/>
          </w:tcPr>
          <w:p>
            <w:pPr>
              <w:pStyle w:val="12"/>
            </w:pPr>
            <w:r>
              <w:t>≤2万元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2835" w:type="dxa"/>
            <w:vAlign w:val="center"/>
          </w:tcPr>
          <w:p>
            <w:pPr>
              <w:pStyle w:val="12"/>
            </w:pPr>
            <w:r>
              <w:t>反映其他交通费成本控制情况</w:t>
            </w:r>
          </w:p>
        </w:tc>
        <w:tc>
          <w:tcPr>
            <w:tcW w:w="2551" w:type="dxa"/>
            <w:vAlign w:val="center"/>
          </w:tcPr>
          <w:p>
            <w:pPr>
              <w:pStyle w:val="12"/>
            </w:pPr>
            <w:r>
              <w:t>≤3万元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督查督办按时办结率</w:t>
            </w:r>
          </w:p>
        </w:tc>
        <w:tc>
          <w:tcPr>
            <w:tcW w:w="2835" w:type="dxa"/>
            <w:vAlign w:val="center"/>
          </w:tcPr>
          <w:p>
            <w:pPr>
              <w:pStyle w:val="12"/>
            </w:pPr>
            <w:r>
              <w:t>围绕县领导重要批示和指示，围绕热点难点问题的督察督办工作按时办结情况</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领导满意程度</w:t>
            </w:r>
          </w:p>
        </w:tc>
        <w:tc>
          <w:tcPr>
            <w:tcW w:w="2835" w:type="dxa"/>
            <w:vAlign w:val="center"/>
          </w:tcPr>
          <w:p>
            <w:pPr>
              <w:pStyle w:val="12"/>
            </w:pPr>
            <w:r>
              <w:t>领导对政务督查工作满意数占调查总数比率</w:t>
            </w:r>
          </w:p>
        </w:tc>
        <w:tc>
          <w:tcPr>
            <w:tcW w:w="2551" w:type="dxa"/>
            <w:vAlign w:val="center"/>
          </w:tcPr>
          <w:p>
            <w:pPr>
              <w:pStyle w:val="12"/>
            </w:pPr>
            <w:r>
              <w:t>≥90%</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12、政务服务活动工作经费绩效目标表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1.通过积极协调组织相关部门各单位，保障县政府重点会议、各类项目洽谈会、调度会以及扶贫成效考核、三方评估等专项活动期顺利举办。</w:t>
            </w:r>
          </w:p>
          <w:p>
            <w:pPr>
              <w:pStyle w:val="12"/>
            </w:pPr>
            <w:r>
              <w:t>2.做好各专项活动、会议的服务接待工作。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承办场次</w:t>
            </w:r>
          </w:p>
        </w:tc>
        <w:tc>
          <w:tcPr>
            <w:tcW w:w="2835" w:type="dxa"/>
            <w:vAlign w:val="center"/>
          </w:tcPr>
          <w:p>
            <w:pPr>
              <w:pStyle w:val="12"/>
            </w:pPr>
            <w:r>
              <w:t>当年承办的大型会议（活动）场次</w:t>
            </w:r>
          </w:p>
        </w:tc>
        <w:tc>
          <w:tcPr>
            <w:tcW w:w="2551" w:type="dxa"/>
            <w:vAlign w:val="center"/>
          </w:tcPr>
          <w:p>
            <w:pPr>
              <w:pStyle w:val="12"/>
            </w:pPr>
            <w:r>
              <w:t>≥1场次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重大活动参与率</w:t>
            </w:r>
          </w:p>
        </w:tc>
        <w:tc>
          <w:tcPr>
            <w:tcW w:w="2835" w:type="dxa"/>
            <w:vAlign w:val="center"/>
          </w:tcPr>
          <w:p>
            <w:pPr>
              <w:pStyle w:val="12"/>
            </w:pPr>
            <w:r>
              <w:t>反映参与活动单位占应参加单位的经率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大型会议控制率</w:t>
            </w:r>
          </w:p>
        </w:tc>
        <w:tc>
          <w:tcPr>
            <w:tcW w:w="2835" w:type="dxa"/>
            <w:vAlign w:val="center"/>
          </w:tcPr>
          <w:p>
            <w:pPr>
              <w:pStyle w:val="12"/>
            </w:pPr>
            <w:r>
              <w:t>减少的大型会议数量占年度大型会议数量的比例</w:t>
            </w:r>
          </w:p>
        </w:tc>
        <w:tc>
          <w:tcPr>
            <w:tcW w:w="2551" w:type="dxa"/>
            <w:vAlign w:val="center"/>
          </w:tcPr>
          <w:p>
            <w:pPr>
              <w:pStyle w:val="12"/>
            </w:pPr>
            <w:r>
              <w:t>≥0.3%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会务接待工作完成率</w:t>
            </w:r>
          </w:p>
        </w:tc>
        <w:tc>
          <w:tcPr>
            <w:tcW w:w="2835" w:type="dxa"/>
            <w:vAlign w:val="center"/>
          </w:tcPr>
          <w:p>
            <w:pPr>
              <w:pStyle w:val="12"/>
            </w:pPr>
            <w:r>
              <w:t>已完成的会务接待工作量占计划量的比例</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政务服务活动工作完成时间</w:t>
            </w:r>
          </w:p>
        </w:tc>
        <w:tc>
          <w:tcPr>
            <w:tcW w:w="2551" w:type="dxa"/>
            <w:vAlign w:val="center"/>
          </w:tcPr>
          <w:p>
            <w:pPr>
              <w:pStyle w:val="12"/>
            </w:pPr>
            <w:r>
              <w:t>2022年12月20日前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反映办公费年初预算金额</w:t>
            </w:r>
          </w:p>
        </w:tc>
        <w:tc>
          <w:tcPr>
            <w:tcW w:w="2551" w:type="dxa"/>
            <w:vAlign w:val="center"/>
          </w:tcPr>
          <w:p>
            <w:pPr>
              <w:pStyle w:val="12"/>
            </w:pPr>
            <w:r>
              <w:t>≤2万元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邮电费</w:t>
            </w:r>
          </w:p>
        </w:tc>
        <w:tc>
          <w:tcPr>
            <w:tcW w:w="2835" w:type="dxa"/>
            <w:vAlign w:val="center"/>
          </w:tcPr>
          <w:p>
            <w:pPr>
              <w:pStyle w:val="12"/>
            </w:pPr>
            <w:r>
              <w:t>反映邮电费年初预算金额</w:t>
            </w:r>
          </w:p>
        </w:tc>
        <w:tc>
          <w:tcPr>
            <w:tcW w:w="2551" w:type="dxa"/>
            <w:vAlign w:val="center"/>
          </w:tcPr>
          <w:p>
            <w:pPr>
              <w:pStyle w:val="12"/>
            </w:pPr>
            <w:r>
              <w:t>≤1万元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公务接待</w:t>
            </w:r>
          </w:p>
        </w:tc>
        <w:tc>
          <w:tcPr>
            <w:tcW w:w="2835" w:type="dxa"/>
            <w:vAlign w:val="center"/>
          </w:tcPr>
          <w:p>
            <w:pPr>
              <w:pStyle w:val="12"/>
            </w:pPr>
            <w:r>
              <w:t>反映公务接待年初预算金额</w:t>
            </w:r>
          </w:p>
        </w:tc>
        <w:tc>
          <w:tcPr>
            <w:tcW w:w="2551" w:type="dxa"/>
            <w:vAlign w:val="center"/>
          </w:tcPr>
          <w:p>
            <w:pPr>
              <w:pStyle w:val="12"/>
            </w:pPr>
            <w:r>
              <w:t>≤2万元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公务用车运行维护费</w:t>
            </w:r>
          </w:p>
        </w:tc>
        <w:tc>
          <w:tcPr>
            <w:tcW w:w="2835" w:type="dxa"/>
            <w:vAlign w:val="center"/>
          </w:tcPr>
          <w:p>
            <w:pPr>
              <w:pStyle w:val="12"/>
            </w:pPr>
            <w:r>
              <w:t>反映公务用车运行维护费年初预算金额</w:t>
            </w:r>
          </w:p>
        </w:tc>
        <w:tc>
          <w:tcPr>
            <w:tcW w:w="2551" w:type="dxa"/>
            <w:vAlign w:val="center"/>
          </w:tcPr>
          <w:p>
            <w:pPr>
              <w:pStyle w:val="12"/>
            </w:pPr>
            <w:r>
              <w:t>≤15万元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为工作开展提供服务</w:t>
            </w:r>
          </w:p>
        </w:tc>
        <w:tc>
          <w:tcPr>
            <w:tcW w:w="2835" w:type="dxa"/>
            <w:vAlign w:val="center"/>
          </w:tcPr>
          <w:p>
            <w:pPr>
              <w:pStyle w:val="12"/>
            </w:pPr>
            <w:r>
              <w:t>为重点工作、重要活动及时汇报与总结讨论提供服务的场次占应服务场次的比重</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参会人员满意程度</w:t>
            </w:r>
          </w:p>
        </w:tc>
        <w:tc>
          <w:tcPr>
            <w:tcW w:w="2835" w:type="dxa"/>
            <w:vAlign w:val="center"/>
          </w:tcPr>
          <w:p>
            <w:pPr>
              <w:pStyle w:val="12"/>
            </w:pPr>
            <w:r>
              <w:t>参与会议人员对会议接待服务满意数占调查总数比率</w:t>
            </w:r>
          </w:p>
        </w:tc>
        <w:tc>
          <w:tcPr>
            <w:tcW w:w="2551" w:type="dxa"/>
            <w:vAlign w:val="center"/>
          </w:tcPr>
          <w:p>
            <w:pPr>
              <w:pStyle w:val="12"/>
            </w:pPr>
            <w:r>
              <w:t>≥90%</w:t>
            </w:r>
          </w:p>
        </w:tc>
        <w:tc>
          <w:tcPr>
            <w:tcW w:w="2268"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13、政务事务综合管理工作经费绩效目标表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1.通过加强公务用车和公务（商务）接待管理，降低运行成本，为创建节约型机关打下了良好的基础。</w:t>
            </w:r>
          </w:p>
          <w:p>
            <w:pPr>
              <w:pStyle w:val="12"/>
            </w:pPr>
            <w:r>
              <w:t>2.进一步提升保障服务管理水平，保障县领导和机关工作的正常运转。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机关公务用车数量</w:t>
            </w:r>
          </w:p>
        </w:tc>
        <w:tc>
          <w:tcPr>
            <w:tcW w:w="2835" w:type="dxa"/>
            <w:vAlign w:val="center"/>
          </w:tcPr>
          <w:p>
            <w:pPr>
              <w:pStyle w:val="12"/>
            </w:pPr>
            <w:r>
              <w:t>机关公务用车的数量</w:t>
            </w:r>
          </w:p>
        </w:tc>
        <w:tc>
          <w:tcPr>
            <w:tcW w:w="2551" w:type="dxa"/>
            <w:vAlign w:val="center"/>
          </w:tcPr>
          <w:p>
            <w:pPr>
              <w:pStyle w:val="12"/>
            </w:pPr>
            <w:r>
              <w:t>6辆</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协调次数</w:t>
            </w:r>
          </w:p>
        </w:tc>
        <w:tc>
          <w:tcPr>
            <w:tcW w:w="2835" w:type="dxa"/>
            <w:vAlign w:val="center"/>
          </w:tcPr>
          <w:p>
            <w:pPr>
              <w:pStyle w:val="12"/>
            </w:pPr>
            <w:r>
              <w:t>协调各部门的接待服务次数</w:t>
            </w:r>
          </w:p>
        </w:tc>
        <w:tc>
          <w:tcPr>
            <w:tcW w:w="2551" w:type="dxa"/>
            <w:vAlign w:val="center"/>
          </w:tcPr>
          <w:p>
            <w:pPr>
              <w:pStyle w:val="12"/>
            </w:pPr>
            <w:r>
              <w:t>≥1次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2835" w:type="dxa"/>
            <w:vAlign w:val="center"/>
          </w:tcPr>
          <w:p>
            <w:pPr>
              <w:pStyle w:val="12"/>
            </w:pPr>
            <w:r>
              <w:t>反映各项事务工作完成情况</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公务（商务）接待标准率</w:t>
            </w:r>
          </w:p>
        </w:tc>
        <w:tc>
          <w:tcPr>
            <w:tcW w:w="2835" w:type="dxa"/>
            <w:vAlign w:val="center"/>
          </w:tcPr>
          <w:p>
            <w:pPr>
              <w:pStyle w:val="12"/>
            </w:pPr>
            <w:r>
              <w:t>反映按标准进行公务（商务）接待数占接待总数的比率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工作按计划完成时间</w:t>
            </w:r>
          </w:p>
        </w:tc>
        <w:tc>
          <w:tcPr>
            <w:tcW w:w="2835" w:type="dxa"/>
            <w:vAlign w:val="center"/>
          </w:tcPr>
          <w:p>
            <w:pPr>
              <w:pStyle w:val="12"/>
            </w:pPr>
            <w:r>
              <w:t>协调公务活动的接待工作完成时间</w:t>
            </w:r>
          </w:p>
        </w:tc>
        <w:tc>
          <w:tcPr>
            <w:tcW w:w="2551" w:type="dxa"/>
            <w:vAlign w:val="center"/>
          </w:tcPr>
          <w:p>
            <w:pPr>
              <w:pStyle w:val="12"/>
            </w:pPr>
            <w:r>
              <w:t>2022年12月底前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机关公务用车经费</w:t>
            </w:r>
          </w:p>
        </w:tc>
        <w:tc>
          <w:tcPr>
            <w:tcW w:w="2835" w:type="dxa"/>
            <w:vAlign w:val="center"/>
          </w:tcPr>
          <w:p>
            <w:pPr>
              <w:pStyle w:val="12"/>
            </w:pPr>
            <w:r>
              <w:t>反映机关公务用车经费成本控制情况</w:t>
            </w:r>
          </w:p>
        </w:tc>
        <w:tc>
          <w:tcPr>
            <w:tcW w:w="2551" w:type="dxa"/>
            <w:vAlign w:val="center"/>
          </w:tcPr>
          <w:p>
            <w:pPr>
              <w:pStyle w:val="12"/>
            </w:pPr>
            <w:r>
              <w:t>≤12.8万元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其他各项经费</w:t>
            </w:r>
          </w:p>
        </w:tc>
        <w:tc>
          <w:tcPr>
            <w:tcW w:w="2835" w:type="dxa"/>
            <w:vAlign w:val="center"/>
          </w:tcPr>
          <w:p>
            <w:pPr>
              <w:pStyle w:val="12"/>
            </w:pPr>
            <w:r>
              <w:t>反映机关其他各项经费成本控制情况</w:t>
            </w:r>
          </w:p>
        </w:tc>
        <w:tc>
          <w:tcPr>
            <w:tcW w:w="2551" w:type="dxa"/>
            <w:vAlign w:val="center"/>
          </w:tcPr>
          <w:p>
            <w:pPr>
              <w:pStyle w:val="12"/>
            </w:pPr>
            <w:r>
              <w:t>≤15.2万元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公务接待费</w:t>
            </w:r>
          </w:p>
        </w:tc>
        <w:tc>
          <w:tcPr>
            <w:tcW w:w="2835" w:type="dxa"/>
            <w:vAlign w:val="center"/>
          </w:tcPr>
          <w:p>
            <w:pPr>
              <w:pStyle w:val="12"/>
            </w:pPr>
            <w:r>
              <w:t>反映机关公务接待经费成本控制情况</w:t>
            </w:r>
          </w:p>
        </w:tc>
        <w:tc>
          <w:tcPr>
            <w:tcW w:w="2551" w:type="dxa"/>
            <w:vAlign w:val="center"/>
          </w:tcPr>
          <w:p>
            <w:pPr>
              <w:pStyle w:val="12"/>
            </w:pPr>
            <w:r>
              <w:t>≤2万元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综合事务保障</w:t>
            </w:r>
          </w:p>
        </w:tc>
        <w:tc>
          <w:tcPr>
            <w:tcW w:w="2835" w:type="dxa"/>
            <w:vAlign w:val="center"/>
          </w:tcPr>
          <w:p>
            <w:pPr>
              <w:pStyle w:val="12"/>
            </w:pPr>
            <w:r>
              <w:t>保障单位日常事务正常运转</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单位领导满意程度</w:t>
            </w:r>
          </w:p>
        </w:tc>
        <w:tc>
          <w:tcPr>
            <w:tcW w:w="2835" w:type="dxa"/>
            <w:vAlign w:val="center"/>
          </w:tcPr>
          <w:p>
            <w:pPr>
              <w:pStyle w:val="12"/>
            </w:pPr>
            <w:r>
              <w:t>单位领导对服务满意数占调查总数比率</w:t>
            </w:r>
          </w:p>
        </w:tc>
        <w:tc>
          <w:tcPr>
            <w:tcW w:w="2551" w:type="dxa"/>
            <w:vAlign w:val="center"/>
          </w:tcPr>
          <w:p>
            <w:pPr>
              <w:pStyle w:val="12"/>
            </w:pPr>
            <w:r>
              <w:t>≥95%</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14、政务事务综合管理工作经费绩效目标表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1.通过加强公务用车和公务（商务）接待管理，降低运行成本，为创建节约型机关打下了良好的基础。</w:t>
            </w:r>
          </w:p>
          <w:p>
            <w:pPr>
              <w:pStyle w:val="12"/>
            </w:pPr>
            <w:r>
              <w:t>2.进一步提升保障服务管理水平，保障县领导和机关工作的正常运转。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机关公务用车数量</w:t>
            </w:r>
          </w:p>
        </w:tc>
        <w:tc>
          <w:tcPr>
            <w:tcW w:w="2835" w:type="dxa"/>
            <w:vAlign w:val="center"/>
          </w:tcPr>
          <w:p>
            <w:pPr>
              <w:pStyle w:val="12"/>
            </w:pPr>
            <w:r>
              <w:t>机关公务用车数量</w:t>
            </w:r>
          </w:p>
        </w:tc>
        <w:tc>
          <w:tcPr>
            <w:tcW w:w="2551" w:type="dxa"/>
            <w:vAlign w:val="center"/>
          </w:tcPr>
          <w:p>
            <w:pPr>
              <w:pStyle w:val="12"/>
            </w:pPr>
            <w:r>
              <w:t>6辆</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协调次数</w:t>
            </w:r>
          </w:p>
        </w:tc>
        <w:tc>
          <w:tcPr>
            <w:tcW w:w="2835" w:type="dxa"/>
            <w:vAlign w:val="center"/>
          </w:tcPr>
          <w:p>
            <w:pPr>
              <w:pStyle w:val="12"/>
            </w:pPr>
            <w:r>
              <w:t>协调各部门的接待服务次数</w:t>
            </w:r>
          </w:p>
        </w:tc>
        <w:tc>
          <w:tcPr>
            <w:tcW w:w="2551" w:type="dxa"/>
            <w:vAlign w:val="center"/>
          </w:tcPr>
          <w:p>
            <w:pPr>
              <w:pStyle w:val="12"/>
            </w:pPr>
            <w:r>
              <w:t>≥1次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2835" w:type="dxa"/>
            <w:vAlign w:val="center"/>
          </w:tcPr>
          <w:p>
            <w:pPr>
              <w:pStyle w:val="12"/>
            </w:pPr>
            <w:r>
              <w:t>反映各项事务工作完成情况</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公务（商务)接待标准率</w:t>
            </w:r>
          </w:p>
        </w:tc>
        <w:tc>
          <w:tcPr>
            <w:tcW w:w="2835" w:type="dxa"/>
            <w:vAlign w:val="center"/>
          </w:tcPr>
          <w:p>
            <w:pPr>
              <w:pStyle w:val="12"/>
            </w:pPr>
            <w:r>
              <w:t>反映按标准进行公务（商务）接待数占接待总数的比率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工作按计划完成时间</w:t>
            </w:r>
          </w:p>
        </w:tc>
        <w:tc>
          <w:tcPr>
            <w:tcW w:w="2835" w:type="dxa"/>
            <w:vAlign w:val="center"/>
          </w:tcPr>
          <w:p>
            <w:pPr>
              <w:pStyle w:val="12"/>
            </w:pPr>
            <w:r>
              <w:t>协调公务活动的接待工作完成时间</w:t>
            </w:r>
          </w:p>
        </w:tc>
        <w:tc>
          <w:tcPr>
            <w:tcW w:w="2551" w:type="dxa"/>
            <w:vAlign w:val="center"/>
          </w:tcPr>
          <w:p>
            <w:pPr>
              <w:pStyle w:val="12"/>
            </w:pPr>
            <w:r>
              <w:t>2022年12月30日前完成</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机关公务接待经费</w:t>
            </w:r>
          </w:p>
        </w:tc>
        <w:tc>
          <w:tcPr>
            <w:tcW w:w="2835" w:type="dxa"/>
            <w:vAlign w:val="center"/>
          </w:tcPr>
          <w:p>
            <w:pPr>
              <w:pStyle w:val="12"/>
            </w:pPr>
            <w:r>
              <w:t>反映公务接待经费成本控制情况</w:t>
            </w:r>
          </w:p>
        </w:tc>
        <w:tc>
          <w:tcPr>
            <w:tcW w:w="2551" w:type="dxa"/>
            <w:vAlign w:val="center"/>
          </w:tcPr>
          <w:p>
            <w:pPr>
              <w:pStyle w:val="12"/>
            </w:pPr>
            <w:r>
              <w:t>≤0.02万元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机关差旅经费</w:t>
            </w:r>
          </w:p>
        </w:tc>
        <w:tc>
          <w:tcPr>
            <w:tcW w:w="2835" w:type="dxa"/>
            <w:vAlign w:val="center"/>
          </w:tcPr>
          <w:p>
            <w:pPr>
              <w:pStyle w:val="12"/>
            </w:pPr>
            <w:r>
              <w:t>反映差旅经费成本控制情况</w:t>
            </w:r>
          </w:p>
        </w:tc>
        <w:tc>
          <w:tcPr>
            <w:tcW w:w="2551" w:type="dxa"/>
            <w:vAlign w:val="center"/>
          </w:tcPr>
          <w:p>
            <w:pPr>
              <w:pStyle w:val="12"/>
            </w:pPr>
            <w:r>
              <w:t>≤0.6万元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综合事务保障率</w:t>
            </w:r>
          </w:p>
        </w:tc>
        <w:tc>
          <w:tcPr>
            <w:tcW w:w="2835" w:type="dxa"/>
            <w:vAlign w:val="center"/>
          </w:tcPr>
          <w:p>
            <w:pPr>
              <w:pStyle w:val="12"/>
            </w:pPr>
            <w:r>
              <w:t>保障单位日常事务正常运转</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单位领导满意程度</w:t>
            </w:r>
          </w:p>
        </w:tc>
        <w:tc>
          <w:tcPr>
            <w:tcW w:w="2835" w:type="dxa"/>
            <w:vAlign w:val="center"/>
          </w:tcPr>
          <w:p>
            <w:pPr>
              <w:pStyle w:val="12"/>
            </w:pPr>
            <w:r>
              <w:t>单位领导对服务满意数占调查总数比率</w:t>
            </w:r>
          </w:p>
        </w:tc>
        <w:tc>
          <w:tcPr>
            <w:tcW w:w="2551" w:type="dxa"/>
            <w:vAlign w:val="center"/>
          </w:tcPr>
          <w:p>
            <w:pPr>
              <w:pStyle w:val="12"/>
            </w:pPr>
            <w:r>
              <w:t>≥95%</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15、治超工作经费绩效目标表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1.通过开展治超工作，实现路警联合执法制度化常态化，让企业了解遵守治超相关法律法规。</w:t>
            </w:r>
          </w:p>
          <w:p>
            <w:pPr>
              <w:pStyle w:val="12"/>
            </w:pPr>
            <w:r>
              <w:t>2.通过提高执法人员素质及廉洁自律意识，确保在我县辖区内货物运输全部达到国家标准。</w:t>
            </w:r>
          </w:p>
          <w:p>
            <w:pPr>
              <w:pStyle w:val="12"/>
            </w:pPr>
            <w:r>
              <w:t>3.减少交通事故的发生，确保人民群众生命财产安全。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深入本土企业宣传次数</w:t>
            </w:r>
          </w:p>
        </w:tc>
        <w:tc>
          <w:tcPr>
            <w:tcW w:w="2835" w:type="dxa"/>
            <w:vAlign w:val="center"/>
          </w:tcPr>
          <w:p>
            <w:pPr>
              <w:pStyle w:val="12"/>
            </w:pPr>
            <w:r>
              <w:t>反映年内深入本土企业宣传情况</w:t>
            </w:r>
          </w:p>
        </w:tc>
        <w:tc>
          <w:tcPr>
            <w:tcW w:w="2551" w:type="dxa"/>
            <w:vAlign w:val="center"/>
          </w:tcPr>
          <w:p>
            <w:pPr>
              <w:pStyle w:val="12"/>
            </w:pPr>
            <w:r>
              <w:t>≥2次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组织交通交警联合上路执法次数</w:t>
            </w:r>
          </w:p>
        </w:tc>
        <w:tc>
          <w:tcPr>
            <w:tcW w:w="2835" w:type="dxa"/>
            <w:vAlign w:val="center"/>
          </w:tcPr>
          <w:p>
            <w:pPr>
              <w:pStyle w:val="12"/>
            </w:pPr>
            <w:r>
              <w:t>反映年内组织交通交警联合上路执法情况</w:t>
            </w:r>
          </w:p>
        </w:tc>
        <w:tc>
          <w:tcPr>
            <w:tcW w:w="2551" w:type="dxa"/>
            <w:vAlign w:val="center"/>
          </w:tcPr>
          <w:p>
            <w:pPr>
              <w:pStyle w:val="12"/>
            </w:pPr>
            <w:r>
              <w:t>≥15次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督导检查治超次数</w:t>
            </w:r>
          </w:p>
        </w:tc>
        <w:tc>
          <w:tcPr>
            <w:tcW w:w="2835" w:type="dxa"/>
            <w:vAlign w:val="center"/>
          </w:tcPr>
          <w:p>
            <w:pPr>
              <w:pStyle w:val="12"/>
            </w:pPr>
            <w:r>
              <w:t>反映年内督导检查治超情况</w:t>
            </w:r>
          </w:p>
        </w:tc>
        <w:tc>
          <w:tcPr>
            <w:tcW w:w="2551" w:type="dxa"/>
            <w:vAlign w:val="center"/>
          </w:tcPr>
          <w:p>
            <w:pPr>
              <w:pStyle w:val="12"/>
            </w:pPr>
            <w:r>
              <w:t>≥12次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超限超载率</w:t>
            </w:r>
          </w:p>
        </w:tc>
        <w:tc>
          <w:tcPr>
            <w:tcW w:w="2835" w:type="dxa"/>
            <w:vAlign w:val="center"/>
          </w:tcPr>
          <w:p>
            <w:pPr>
              <w:pStyle w:val="12"/>
            </w:pPr>
            <w:r>
              <w:t>反映超限超载数量占被检查车辆总量的比率</w:t>
            </w:r>
          </w:p>
        </w:tc>
        <w:tc>
          <w:tcPr>
            <w:tcW w:w="2551" w:type="dxa"/>
            <w:vAlign w:val="center"/>
          </w:tcPr>
          <w:p>
            <w:pPr>
              <w:pStyle w:val="12"/>
            </w:pPr>
            <w:r>
              <w:t>≤0.02%</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治超工作按计划完成时间</w:t>
            </w:r>
          </w:p>
        </w:tc>
        <w:tc>
          <w:tcPr>
            <w:tcW w:w="2551" w:type="dxa"/>
            <w:vAlign w:val="center"/>
          </w:tcPr>
          <w:p>
            <w:pPr>
              <w:pStyle w:val="12"/>
            </w:pPr>
            <w:r>
              <w:t>2022年6月30日前</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其他交通费用控制数</w:t>
            </w:r>
          </w:p>
        </w:tc>
        <w:tc>
          <w:tcPr>
            <w:tcW w:w="2835" w:type="dxa"/>
            <w:vAlign w:val="center"/>
          </w:tcPr>
          <w:p>
            <w:pPr>
              <w:pStyle w:val="12"/>
            </w:pPr>
            <w:r>
              <w:t>反映其他交通费用预算控制情况</w:t>
            </w:r>
          </w:p>
        </w:tc>
        <w:tc>
          <w:tcPr>
            <w:tcW w:w="2551" w:type="dxa"/>
            <w:vAlign w:val="center"/>
          </w:tcPr>
          <w:p>
            <w:pPr>
              <w:pStyle w:val="12"/>
            </w:pPr>
            <w:r>
              <w:t>≤7.5万元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办公费控制数</w:t>
            </w:r>
          </w:p>
        </w:tc>
        <w:tc>
          <w:tcPr>
            <w:tcW w:w="2835" w:type="dxa"/>
            <w:vAlign w:val="center"/>
          </w:tcPr>
          <w:p>
            <w:pPr>
              <w:pStyle w:val="12"/>
            </w:pPr>
            <w:r>
              <w:t>反映办公费预算控制情况</w:t>
            </w:r>
          </w:p>
        </w:tc>
        <w:tc>
          <w:tcPr>
            <w:tcW w:w="2551" w:type="dxa"/>
            <w:vAlign w:val="center"/>
          </w:tcPr>
          <w:p>
            <w:pPr>
              <w:pStyle w:val="12"/>
            </w:pPr>
            <w:r>
              <w:t>≤0.5万元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确保人民群众生命财产安全</w:t>
            </w:r>
          </w:p>
        </w:tc>
        <w:tc>
          <w:tcPr>
            <w:tcW w:w="2835" w:type="dxa"/>
            <w:vAlign w:val="center"/>
          </w:tcPr>
          <w:p>
            <w:pPr>
              <w:pStyle w:val="12"/>
            </w:pPr>
            <w:r>
              <w:t>减少交通事故的发生，确保人民群众生命财产安全</w:t>
            </w:r>
          </w:p>
        </w:tc>
        <w:tc>
          <w:tcPr>
            <w:tcW w:w="2551" w:type="dxa"/>
            <w:vAlign w:val="center"/>
          </w:tcPr>
          <w:p>
            <w:pPr>
              <w:pStyle w:val="12"/>
            </w:pPr>
            <w:r>
              <w:t>≥30%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调查服务对象满意和较满意数占调查总数比例</w:t>
            </w:r>
          </w:p>
        </w:tc>
        <w:tc>
          <w:tcPr>
            <w:tcW w:w="2551" w:type="dxa"/>
            <w:vAlign w:val="center"/>
          </w:tcPr>
          <w:p>
            <w:pPr>
              <w:pStyle w:val="12"/>
            </w:pPr>
            <w:r>
              <w:t>≥90%</w:t>
            </w:r>
          </w:p>
        </w:tc>
        <w:tc>
          <w:tcPr>
            <w:tcW w:w="2268"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16、治超工作经费绩效目标表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1.通过开展治超工作，实现路警联合执法制度化常态化，让企业了解遵守治超相关法律法规。</w:t>
            </w:r>
          </w:p>
          <w:p>
            <w:pPr>
              <w:pStyle w:val="12"/>
            </w:pPr>
            <w:r>
              <w:t>2.通过提高执法人员素质及廉洁自律意识，确保在我县辖区内货物运输全部达到国家标准。</w:t>
            </w:r>
          </w:p>
          <w:p>
            <w:pPr>
              <w:pStyle w:val="12"/>
            </w:pPr>
            <w:r>
              <w:t>3.减少交通事故的发生，确保人民群众生命财产安全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深入本土企业宣传次数</w:t>
            </w:r>
          </w:p>
        </w:tc>
        <w:tc>
          <w:tcPr>
            <w:tcW w:w="2835" w:type="dxa"/>
            <w:vAlign w:val="center"/>
          </w:tcPr>
          <w:p>
            <w:pPr>
              <w:pStyle w:val="12"/>
            </w:pPr>
            <w:r>
              <w:t>反映年内深入本土企业宣传情况</w:t>
            </w:r>
          </w:p>
        </w:tc>
        <w:tc>
          <w:tcPr>
            <w:tcW w:w="2551" w:type="dxa"/>
            <w:vAlign w:val="center"/>
          </w:tcPr>
          <w:p>
            <w:pPr>
              <w:pStyle w:val="12"/>
            </w:pPr>
            <w:r>
              <w:t>≥2次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组织交通交警联合上路执法次数</w:t>
            </w:r>
          </w:p>
        </w:tc>
        <w:tc>
          <w:tcPr>
            <w:tcW w:w="2835" w:type="dxa"/>
            <w:vAlign w:val="center"/>
          </w:tcPr>
          <w:p>
            <w:pPr>
              <w:pStyle w:val="12"/>
            </w:pPr>
            <w:r>
              <w:t>反映年内组织交通交警联合上路执法情况</w:t>
            </w:r>
          </w:p>
        </w:tc>
        <w:tc>
          <w:tcPr>
            <w:tcW w:w="2551" w:type="dxa"/>
            <w:vAlign w:val="center"/>
          </w:tcPr>
          <w:p>
            <w:pPr>
              <w:pStyle w:val="12"/>
            </w:pPr>
            <w:r>
              <w:t>≥15次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督导检查治超次数</w:t>
            </w:r>
          </w:p>
        </w:tc>
        <w:tc>
          <w:tcPr>
            <w:tcW w:w="2835" w:type="dxa"/>
            <w:vAlign w:val="center"/>
          </w:tcPr>
          <w:p>
            <w:pPr>
              <w:pStyle w:val="12"/>
            </w:pPr>
            <w:r>
              <w:t>反映年内督导检查治超情况</w:t>
            </w:r>
          </w:p>
        </w:tc>
        <w:tc>
          <w:tcPr>
            <w:tcW w:w="2551" w:type="dxa"/>
            <w:vAlign w:val="center"/>
          </w:tcPr>
          <w:p>
            <w:pPr>
              <w:pStyle w:val="12"/>
            </w:pPr>
            <w:r>
              <w:t>≥12次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超限超载率</w:t>
            </w:r>
          </w:p>
        </w:tc>
        <w:tc>
          <w:tcPr>
            <w:tcW w:w="2835" w:type="dxa"/>
            <w:vAlign w:val="center"/>
          </w:tcPr>
          <w:p>
            <w:pPr>
              <w:pStyle w:val="12"/>
            </w:pPr>
            <w:r>
              <w:t>反映超限超载数量占被检查车辆总量的比率</w:t>
            </w:r>
          </w:p>
        </w:tc>
        <w:tc>
          <w:tcPr>
            <w:tcW w:w="2551" w:type="dxa"/>
            <w:vAlign w:val="center"/>
          </w:tcPr>
          <w:p>
            <w:pPr>
              <w:pStyle w:val="12"/>
            </w:pPr>
            <w:r>
              <w:t>≤0.02%</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治超工作按计划完成时间</w:t>
            </w:r>
          </w:p>
        </w:tc>
        <w:tc>
          <w:tcPr>
            <w:tcW w:w="2551" w:type="dxa"/>
            <w:vAlign w:val="center"/>
          </w:tcPr>
          <w:p>
            <w:pPr>
              <w:pStyle w:val="12"/>
            </w:pPr>
            <w:r>
              <w:t>2022年12月31日前</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办公费控制数</w:t>
            </w:r>
          </w:p>
        </w:tc>
        <w:tc>
          <w:tcPr>
            <w:tcW w:w="2835" w:type="dxa"/>
            <w:vAlign w:val="center"/>
          </w:tcPr>
          <w:p>
            <w:pPr>
              <w:pStyle w:val="12"/>
            </w:pPr>
            <w:r>
              <w:t>反映办公费预算控制情况</w:t>
            </w:r>
          </w:p>
        </w:tc>
        <w:tc>
          <w:tcPr>
            <w:tcW w:w="2551" w:type="dxa"/>
            <w:vAlign w:val="center"/>
          </w:tcPr>
          <w:p>
            <w:pPr>
              <w:pStyle w:val="12"/>
            </w:pPr>
            <w:r>
              <w:t>≤1.5万元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印刷费控制数</w:t>
            </w:r>
          </w:p>
        </w:tc>
        <w:tc>
          <w:tcPr>
            <w:tcW w:w="2835" w:type="dxa"/>
            <w:vAlign w:val="center"/>
          </w:tcPr>
          <w:p>
            <w:pPr>
              <w:pStyle w:val="12"/>
            </w:pPr>
            <w:r>
              <w:t>反映印刷费预算控制情况</w:t>
            </w:r>
          </w:p>
        </w:tc>
        <w:tc>
          <w:tcPr>
            <w:tcW w:w="2551" w:type="dxa"/>
            <w:vAlign w:val="center"/>
          </w:tcPr>
          <w:p>
            <w:pPr>
              <w:pStyle w:val="12"/>
            </w:pPr>
            <w:r>
              <w:t>≤1万元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其他交通费用控制数</w:t>
            </w:r>
          </w:p>
        </w:tc>
        <w:tc>
          <w:tcPr>
            <w:tcW w:w="2835" w:type="dxa"/>
            <w:vAlign w:val="center"/>
          </w:tcPr>
          <w:p>
            <w:pPr>
              <w:pStyle w:val="12"/>
            </w:pPr>
            <w:r>
              <w:t>反映其他交通费用预算控制情况</w:t>
            </w:r>
          </w:p>
        </w:tc>
        <w:tc>
          <w:tcPr>
            <w:tcW w:w="2551" w:type="dxa"/>
            <w:vAlign w:val="center"/>
          </w:tcPr>
          <w:p>
            <w:pPr>
              <w:pStyle w:val="12"/>
            </w:pPr>
            <w:r>
              <w:t>≤7.5万元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确保人民群众生命财产安全</w:t>
            </w:r>
          </w:p>
        </w:tc>
        <w:tc>
          <w:tcPr>
            <w:tcW w:w="2835" w:type="dxa"/>
            <w:vAlign w:val="center"/>
          </w:tcPr>
          <w:p>
            <w:pPr>
              <w:pStyle w:val="12"/>
            </w:pPr>
            <w:r>
              <w:t>减少交通事故的发生，确保人民群众生命财产安全</w:t>
            </w:r>
          </w:p>
        </w:tc>
        <w:tc>
          <w:tcPr>
            <w:tcW w:w="2551" w:type="dxa"/>
            <w:vAlign w:val="center"/>
          </w:tcPr>
          <w:p>
            <w:pPr>
              <w:pStyle w:val="12"/>
            </w:pPr>
            <w:r>
              <w:t>≥30%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调查服务对象满意和较满意数占调查总数比例</w:t>
            </w:r>
          </w:p>
        </w:tc>
        <w:tc>
          <w:tcPr>
            <w:tcW w:w="2551" w:type="dxa"/>
            <w:vAlign w:val="center"/>
          </w:tcPr>
          <w:p>
            <w:pPr>
              <w:pStyle w:val="12"/>
            </w:pPr>
            <w:r>
              <w:t>≥90%</w:t>
            </w:r>
          </w:p>
        </w:tc>
        <w:tc>
          <w:tcPr>
            <w:tcW w:w="2268"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17、14个计量监测站日常运行经费绩效目标表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1.全天候监控，阻止铁精粉非法外运，有效防止税收流失。</w:t>
            </w:r>
          </w:p>
          <w:p>
            <w:pPr>
              <w:pStyle w:val="12"/>
            </w:pPr>
            <w:r>
              <w:t>2.监督计量全县铁精粉销量，为税务部门提供数据支撑.堵塞税收漏洞。</w:t>
            </w:r>
          </w:p>
          <w:p>
            <w:pPr>
              <w:pStyle w:val="12"/>
            </w:pPr>
            <w:r>
              <w:t>3.配合交管部门对出入境铁精粉车辆进行监督管理，让司机遵守相关法律法规。</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阻止铁精粉非法外运车次</w:t>
            </w:r>
          </w:p>
        </w:tc>
        <w:tc>
          <w:tcPr>
            <w:tcW w:w="2835" w:type="dxa"/>
            <w:vAlign w:val="center"/>
          </w:tcPr>
          <w:p>
            <w:pPr>
              <w:pStyle w:val="12"/>
            </w:pPr>
            <w:r>
              <w:t>阻止铁精粉非法外运车次</w:t>
            </w:r>
          </w:p>
        </w:tc>
        <w:tc>
          <w:tcPr>
            <w:tcW w:w="2551" w:type="dxa"/>
            <w:vAlign w:val="center"/>
          </w:tcPr>
          <w:p>
            <w:pPr>
              <w:pStyle w:val="12"/>
            </w:pPr>
            <w:r>
              <w:t>≥6车次</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计量监测站个数</w:t>
            </w:r>
          </w:p>
        </w:tc>
        <w:tc>
          <w:tcPr>
            <w:tcW w:w="2835" w:type="dxa"/>
            <w:vAlign w:val="center"/>
          </w:tcPr>
          <w:p>
            <w:pPr>
              <w:pStyle w:val="12"/>
            </w:pPr>
            <w:r>
              <w:t>计量监测站的建立个数</w:t>
            </w:r>
          </w:p>
        </w:tc>
        <w:tc>
          <w:tcPr>
            <w:tcW w:w="2551" w:type="dxa"/>
            <w:vAlign w:val="center"/>
          </w:tcPr>
          <w:p>
            <w:pPr>
              <w:pStyle w:val="12"/>
            </w:pPr>
            <w:r>
              <w:t>14个</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2835" w:type="dxa"/>
            <w:vAlign w:val="center"/>
          </w:tcPr>
          <w:p>
            <w:pPr>
              <w:pStyle w:val="12"/>
            </w:pPr>
            <w:r>
              <w:t>计量监测站每天的工作时效</w:t>
            </w:r>
          </w:p>
        </w:tc>
        <w:tc>
          <w:tcPr>
            <w:tcW w:w="2551" w:type="dxa"/>
            <w:vAlign w:val="center"/>
          </w:tcPr>
          <w:p>
            <w:pPr>
              <w:pStyle w:val="12"/>
            </w:pPr>
            <w:r>
              <w:t>24小时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监测数据有效利用率</w:t>
            </w:r>
          </w:p>
        </w:tc>
        <w:tc>
          <w:tcPr>
            <w:tcW w:w="2835" w:type="dxa"/>
            <w:vAlign w:val="center"/>
          </w:tcPr>
          <w:p>
            <w:pPr>
              <w:pStyle w:val="12"/>
            </w:pPr>
            <w:r>
              <w:t>有效利用的监测数据数占监测数据总数的比率</w:t>
            </w:r>
          </w:p>
        </w:tc>
        <w:tc>
          <w:tcPr>
            <w:tcW w:w="2551" w:type="dxa"/>
            <w:vAlign w:val="center"/>
          </w:tcPr>
          <w:p>
            <w:pPr>
              <w:pStyle w:val="12"/>
            </w:pPr>
            <w:r>
              <w:t>≥80%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日常运行经费</w:t>
            </w:r>
          </w:p>
        </w:tc>
        <w:tc>
          <w:tcPr>
            <w:tcW w:w="2835" w:type="dxa"/>
            <w:vAlign w:val="center"/>
          </w:tcPr>
          <w:p>
            <w:pPr>
              <w:pStyle w:val="12"/>
            </w:pPr>
            <w:r>
              <w:t>反映日常运行经费成本控制情况</w:t>
            </w:r>
          </w:p>
        </w:tc>
        <w:tc>
          <w:tcPr>
            <w:tcW w:w="2551" w:type="dxa"/>
            <w:vAlign w:val="center"/>
          </w:tcPr>
          <w:p>
            <w:pPr>
              <w:pStyle w:val="12"/>
            </w:pPr>
            <w:r>
              <w:t>≤44万元</w:t>
            </w:r>
          </w:p>
        </w:tc>
        <w:tc>
          <w:tcPr>
            <w:tcW w:w="2268" w:type="dxa"/>
            <w:vAlign w:val="center"/>
          </w:tcPr>
          <w:p>
            <w:pPr>
              <w:pStyle w:val="12"/>
            </w:pPr>
            <w:r>
              <w:t>年初预算数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防止税收流失</w:t>
            </w:r>
          </w:p>
        </w:tc>
        <w:tc>
          <w:tcPr>
            <w:tcW w:w="2835" w:type="dxa"/>
            <w:vAlign w:val="center"/>
          </w:tcPr>
          <w:p>
            <w:pPr>
              <w:pStyle w:val="12"/>
            </w:pPr>
            <w:r>
              <w:t>阻止铁精粉非法外运，防止税收流失数额</w:t>
            </w:r>
          </w:p>
        </w:tc>
        <w:tc>
          <w:tcPr>
            <w:tcW w:w="2551" w:type="dxa"/>
            <w:vAlign w:val="center"/>
          </w:tcPr>
          <w:p>
            <w:pPr>
              <w:pStyle w:val="12"/>
            </w:pPr>
            <w:r>
              <w:t>≥50万元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计量监测站工作有效运转率</w:t>
            </w:r>
          </w:p>
        </w:tc>
        <w:tc>
          <w:tcPr>
            <w:tcW w:w="2835" w:type="dxa"/>
            <w:vAlign w:val="center"/>
          </w:tcPr>
          <w:p>
            <w:pPr>
              <w:pStyle w:val="12"/>
            </w:pPr>
            <w:r>
              <w:t>通过及时支付运转经费，有效保证计量监测站各项日常工作顺利开展</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司机满意程度</w:t>
            </w:r>
          </w:p>
        </w:tc>
        <w:tc>
          <w:tcPr>
            <w:tcW w:w="2835" w:type="dxa"/>
            <w:vAlign w:val="center"/>
          </w:tcPr>
          <w:p>
            <w:pPr>
              <w:pStyle w:val="12"/>
            </w:pPr>
            <w:r>
              <w:t>司机对计量监测站工作满意、较满意数占调查人员总数比率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18、监控中心、计量监测站运行维护费绩效目标表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1.实行数据比对分析，为税务部门提供数据支撑.堵塞税收漏洞。</w:t>
            </w:r>
          </w:p>
          <w:p>
            <w:pPr>
              <w:pStyle w:val="12"/>
            </w:pPr>
            <w:r>
              <w:t>2.全天候监控，阻止铁精粉非法外运，有效防止税收流失。</w:t>
            </w:r>
          </w:p>
          <w:p>
            <w:pPr>
              <w:pStyle w:val="12"/>
            </w:pPr>
            <w:r>
              <w:t>3.全天候监控，定期召开联席会议,查找税收征管漏洞，确保应收尽收。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召开联席会议次数</w:t>
            </w:r>
          </w:p>
        </w:tc>
        <w:tc>
          <w:tcPr>
            <w:tcW w:w="2835" w:type="dxa"/>
            <w:vAlign w:val="center"/>
          </w:tcPr>
          <w:p>
            <w:pPr>
              <w:pStyle w:val="12"/>
            </w:pPr>
            <w:r>
              <w:t>实行信息共享，召开联席会议，查找税收征管漏洞，确保应收尽收</w:t>
            </w:r>
          </w:p>
        </w:tc>
        <w:tc>
          <w:tcPr>
            <w:tcW w:w="2551" w:type="dxa"/>
            <w:vAlign w:val="center"/>
          </w:tcPr>
          <w:p>
            <w:pPr>
              <w:pStyle w:val="12"/>
            </w:pPr>
            <w:r>
              <w:t>≥5次数</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数据比对次数</w:t>
            </w:r>
          </w:p>
        </w:tc>
        <w:tc>
          <w:tcPr>
            <w:tcW w:w="2835" w:type="dxa"/>
            <w:vAlign w:val="center"/>
          </w:tcPr>
          <w:p>
            <w:pPr>
              <w:pStyle w:val="12"/>
            </w:pPr>
            <w:r>
              <w:t>与税务部门进行数据比对工作的次数</w:t>
            </w:r>
          </w:p>
        </w:tc>
        <w:tc>
          <w:tcPr>
            <w:tcW w:w="2551" w:type="dxa"/>
            <w:vAlign w:val="center"/>
          </w:tcPr>
          <w:p>
            <w:pPr>
              <w:pStyle w:val="12"/>
            </w:pPr>
            <w:r>
              <w:t>≥1次/月</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联席会议人员出勤率</w:t>
            </w:r>
          </w:p>
        </w:tc>
        <w:tc>
          <w:tcPr>
            <w:tcW w:w="2835" w:type="dxa"/>
            <w:vAlign w:val="center"/>
          </w:tcPr>
          <w:p>
            <w:pPr>
              <w:pStyle w:val="12"/>
            </w:pPr>
            <w:r>
              <w:t>召开联席会议人员出勤率</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监测数据有效利用率</w:t>
            </w:r>
          </w:p>
        </w:tc>
        <w:tc>
          <w:tcPr>
            <w:tcW w:w="2835" w:type="dxa"/>
            <w:vAlign w:val="center"/>
          </w:tcPr>
          <w:p>
            <w:pPr>
              <w:pStyle w:val="12"/>
            </w:pPr>
            <w:r>
              <w:t>有效利用的监测数据数占监测数据总数的比率</w:t>
            </w:r>
          </w:p>
        </w:tc>
        <w:tc>
          <w:tcPr>
            <w:tcW w:w="2551" w:type="dxa"/>
            <w:vAlign w:val="center"/>
          </w:tcPr>
          <w:p>
            <w:pPr>
              <w:pStyle w:val="12"/>
            </w:pPr>
            <w:r>
              <w:t>≥80%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工作计划执行情况</w:t>
            </w:r>
          </w:p>
        </w:tc>
        <w:tc>
          <w:tcPr>
            <w:tcW w:w="2835" w:type="dxa"/>
            <w:vAlign w:val="center"/>
          </w:tcPr>
          <w:p>
            <w:pPr>
              <w:pStyle w:val="12"/>
            </w:pPr>
            <w:r>
              <w:t>工作计划执行及时率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设备维护率</w:t>
            </w:r>
          </w:p>
        </w:tc>
        <w:tc>
          <w:tcPr>
            <w:tcW w:w="2835" w:type="dxa"/>
            <w:vAlign w:val="center"/>
          </w:tcPr>
          <w:p>
            <w:pPr>
              <w:pStyle w:val="12"/>
            </w:pPr>
            <w:r>
              <w:t>计量监测站设备维护数量占总设备的比重</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维修维护费</w:t>
            </w:r>
          </w:p>
        </w:tc>
        <w:tc>
          <w:tcPr>
            <w:tcW w:w="2835" w:type="dxa"/>
            <w:vAlign w:val="center"/>
          </w:tcPr>
          <w:p>
            <w:pPr>
              <w:pStyle w:val="12"/>
            </w:pPr>
            <w:r>
              <w:t>反映维修维护费成本控制情况</w:t>
            </w:r>
          </w:p>
        </w:tc>
        <w:tc>
          <w:tcPr>
            <w:tcW w:w="2551" w:type="dxa"/>
            <w:vAlign w:val="center"/>
          </w:tcPr>
          <w:p>
            <w:pPr>
              <w:pStyle w:val="12"/>
            </w:pPr>
            <w:r>
              <w:t>≤8.34万元</w:t>
            </w:r>
          </w:p>
        </w:tc>
        <w:tc>
          <w:tcPr>
            <w:tcW w:w="2268" w:type="dxa"/>
            <w:vAlign w:val="center"/>
          </w:tcPr>
          <w:p>
            <w:pPr>
              <w:pStyle w:val="12"/>
            </w:pPr>
            <w:r>
              <w:t>年初预算数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防止税收流失</w:t>
            </w:r>
          </w:p>
        </w:tc>
        <w:tc>
          <w:tcPr>
            <w:tcW w:w="2835" w:type="dxa"/>
            <w:vAlign w:val="center"/>
          </w:tcPr>
          <w:p>
            <w:pPr>
              <w:pStyle w:val="12"/>
            </w:pPr>
            <w:r>
              <w:t>阻止铁精粉非法外运，防止税收流失数额</w:t>
            </w:r>
          </w:p>
        </w:tc>
        <w:tc>
          <w:tcPr>
            <w:tcW w:w="2551" w:type="dxa"/>
            <w:vAlign w:val="center"/>
          </w:tcPr>
          <w:p>
            <w:pPr>
              <w:pStyle w:val="12"/>
            </w:pPr>
            <w:r>
              <w:t>≥50万元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销售监控系统使用程度</w:t>
            </w:r>
          </w:p>
        </w:tc>
        <w:tc>
          <w:tcPr>
            <w:tcW w:w="2835" w:type="dxa"/>
            <w:vAlign w:val="center"/>
          </w:tcPr>
          <w:p>
            <w:pPr>
              <w:pStyle w:val="12"/>
            </w:pPr>
            <w:r>
              <w:t>销售监控系统使用程度</w:t>
            </w:r>
          </w:p>
        </w:tc>
        <w:tc>
          <w:tcPr>
            <w:tcW w:w="2551" w:type="dxa"/>
            <w:vAlign w:val="center"/>
          </w:tcPr>
          <w:p>
            <w:pPr>
              <w:pStyle w:val="12"/>
            </w:pPr>
            <w:r>
              <w:t>≥98%</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税务部门满意程度</w:t>
            </w:r>
          </w:p>
        </w:tc>
        <w:tc>
          <w:tcPr>
            <w:tcW w:w="2835" w:type="dxa"/>
            <w:vAlign w:val="center"/>
          </w:tcPr>
          <w:p>
            <w:pPr>
              <w:pStyle w:val="12"/>
            </w:pPr>
            <w:r>
              <w:t>税务部门对提供数据的满意比率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19、监控中心、计量监测站运行维护费绩效目标表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1.实行数据比对分析，为税务部门提供数据支撑.堵塞税收漏洞。</w:t>
            </w:r>
          </w:p>
          <w:p>
            <w:pPr>
              <w:pStyle w:val="12"/>
            </w:pPr>
            <w:r>
              <w:t>2.全天候监控，阻止铁精粉非法外运，有效防止税收流失。</w:t>
            </w:r>
          </w:p>
          <w:p>
            <w:pPr>
              <w:pStyle w:val="12"/>
            </w:pPr>
            <w:r>
              <w:t>3.全天候监控，定期召开联席会议,查找税收征管漏洞，确保应收尽收。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召开联席会议次数</w:t>
            </w:r>
          </w:p>
        </w:tc>
        <w:tc>
          <w:tcPr>
            <w:tcW w:w="2835" w:type="dxa"/>
            <w:vAlign w:val="center"/>
          </w:tcPr>
          <w:p>
            <w:pPr>
              <w:pStyle w:val="12"/>
            </w:pPr>
            <w:r>
              <w:t>实行信息共享，召开联席会议，查找税收征管漏洞，确保应收尽收</w:t>
            </w:r>
          </w:p>
        </w:tc>
        <w:tc>
          <w:tcPr>
            <w:tcW w:w="2551" w:type="dxa"/>
            <w:vAlign w:val="center"/>
          </w:tcPr>
          <w:p>
            <w:pPr>
              <w:pStyle w:val="12"/>
            </w:pPr>
            <w:r>
              <w:t>≥5次数</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数据比对次数</w:t>
            </w:r>
          </w:p>
        </w:tc>
        <w:tc>
          <w:tcPr>
            <w:tcW w:w="2835" w:type="dxa"/>
            <w:vAlign w:val="center"/>
          </w:tcPr>
          <w:p>
            <w:pPr>
              <w:pStyle w:val="12"/>
            </w:pPr>
            <w:r>
              <w:t>与税务部门进行数据比对工作的次数</w:t>
            </w:r>
          </w:p>
        </w:tc>
        <w:tc>
          <w:tcPr>
            <w:tcW w:w="2551" w:type="dxa"/>
            <w:vAlign w:val="center"/>
          </w:tcPr>
          <w:p>
            <w:pPr>
              <w:pStyle w:val="12"/>
            </w:pPr>
            <w:r>
              <w:t>≥1次/月</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联席会议人员出勤率</w:t>
            </w:r>
          </w:p>
        </w:tc>
        <w:tc>
          <w:tcPr>
            <w:tcW w:w="2835" w:type="dxa"/>
            <w:vAlign w:val="center"/>
          </w:tcPr>
          <w:p>
            <w:pPr>
              <w:pStyle w:val="12"/>
            </w:pPr>
            <w:r>
              <w:t>召开联席会议人员出勤率</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监测数据有效利用率</w:t>
            </w:r>
          </w:p>
        </w:tc>
        <w:tc>
          <w:tcPr>
            <w:tcW w:w="2835" w:type="dxa"/>
            <w:vAlign w:val="center"/>
          </w:tcPr>
          <w:p>
            <w:pPr>
              <w:pStyle w:val="12"/>
            </w:pPr>
            <w:r>
              <w:t>有效利用的监测数据数占监测数据总数的比率</w:t>
            </w:r>
          </w:p>
        </w:tc>
        <w:tc>
          <w:tcPr>
            <w:tcW w:w="2551" w:type="dxa"/>
            <w:vAlign w:val="center"/>
          </w:tcPr>
          <w:p>
            <w:pPr>
              <w:pStyle w:val="12"/>
            </w:pPr>
            <w:r>
              <w:t>≥80%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工作计划执行情况</w:t>
            </w:r>
          </w:p>
        </w:tc>
        <w:tc>
          <w:tcPr>
            <w:tcW w:w="2835" w:type="dxa"/>
            <w:vAlign w:val="center"/>
          </w:tcPr>
          <w:p>
            <w:pPr>
              <w:pStyle w:val="12"/>
            </w:pPr>
            <w:r>
              <w:t>工作计划执行及时率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设备维护率</w:t>
            </w:r>
          </w:p>
        </w:tc>
        <w:tc>
          <w:tcPr>
            <w:tcW w:w="2835" w:type="dxa"/>
            <w:vAlign w:val="center"/>
          </w:tcPr>
          <w:p>
            <w:pPr>
              <w:pStyle w:val="12"/>
            </w:pPr>
            <w:r>
              <w:t>计量监测站设备维护数量占总设备的比重</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维修维护费</w:t>
            </w:r>
          </w:p>
        </w:tc>
        <w:tc>
          <w:tcPr>
            <w:tcW w:w="2835" w:type="dxa"/>
            <w:vAlign w:val="center"/>
          </w:tcPr>
          <w:p>
            <w:pPr>
              <w:pStyle w:val="12"/>
            </w:pPr>
            <w:r>
              <w:t>反映维修维护费成本控制情况</w:t>
            </w:r>
          </w:p>
        </w:tc>
        <w:tc>
          <w:tcPr>
            <w:tcW w:w="2551" w:type="dxa"/>
            <w:vAlign w:val="center"/>
          </w:tcPr>
          <w:p>
            <w:pPr>
              <w:pStyle w:val="12"/>
            </w:pPr>
            <w:r>
              <w:t>≤23万元</w:t>
            </w:r>
          </w:p>
        </w:tc>
        <w:tc>
          <w:tcPr>
            <w:tcW w:w="2268" w:type="dxa"/>
            <w:vAlign w:val="center"/>
          </w:tcPr>
          <w:p>
            <w:pPr>
              <w:pStyle w:val="12"/>
            </w:pPr>
            <w:r>
              <w:t>年初预算数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防止税收流失</w:t>
            </w:r>
          </w:p>
        </w:tc>
        <w:tc>
          <w:tcPr>
            <w:tcW w:w="2835" w:type="dxa"/>
            <w:vAlign w:val="center"/>
          </w:tcPr>
          <w:p>
            <w:pPr>
              <w:pStyle w:val="12"/>
            </w:pPr>
            <w:r>
              <w:t>阻止铁精粉非法外运，防止税收流失数额</w:t>
            </w:r>
          </w:p>
        </w:tc>
        <w:tc>
          <w:tcPr>
            <w:tcW w:w="2551" w:type="dxa"/>
            <w:vAlign w:val="center"/>
          </w:tcPr>
          <w:p>
            <w:pPr>
              <w:pStyle w:val="12"/>
            </w:pPr>
            <w:r>
              <w:t>≥50万元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销售监控系统使用程度</w:t>
            </w:r>
          </w:p>
        </w:tc>
        <w:tc>
          <w:tcPr>
            <w:tcW w:w="2835" w:type="dxa"/>
            <w:vAlign w:val="center"/>
          </w:tcPr>
          <w:p>
            <w:pPr>
              <w:pStyle w:val="12"/>
            </w:pPr>
            <w:r>
              <w:t>销售监控系统使用程度</w:t>
            </w:r>
          </w:p>
        </w:tc>
        <w:tc>
          <w:tcPr>
            <w:tcW w:w="2551" w:type="dxa"/>
            <w:vAlign w:val="center"/>
          </w:tcPr>
          <w:p>
            <w:pPr>
              <w:pStyle w:val="12"/>
            </w:pPr>
            <w:r>
              <w:t>≥98%</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税务部门满意程度</w:t>
            </w:r>
          </w:p>
        </w:tc>
        <w:tc>
          <w:tcPr>
            <w:tcW w:w="2835" w:type="dxa"/>
            <w:vAlign w:val="center"/>
          </w:tcPr>
          <w:p>
            <w:pPr>
              <w:pStyle w:val="12"/>
            </w:pPr>
            <w:r>
              <w:t>税务部门对提供数据的满意比率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20、防贫工作及防贫系统维护费绩效目标表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1.通过对当年返贫和新致贫人口进行监测识别，做到年底要稳定脱贫，确保全面完成脱贫任务。</w:t>
            </w:r>
          </w:p>
          <w:p>
            <w:pPr>
              <w:pStyle w:val="12"/>
            </w:pPr>
            <w:r>
              <w:t>2.通过防贫监测，确保因病、因学、因灾和意外事故达到防贫保险赔付政策的均应享受。</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监测户数量</w:t>
            </w:r>
          </w:p>
        </w:tc>
        <w:tc>
          <w:tcPr>
            <w:tcW w:w="2835" w:type="dxa"/>
            <w:vAlign w:val="center"/>
          </w:tcPr>
          <w:p>
            <w:pPr>
              <w:pStyle w:val="12"/>
            </w:pPr>
            <w:r>
              <w:t>防贫监测户数量</w:t>
            </w:r>
          </w:p>
        </w:tc>
        <w:tc>
          <w:tcPr>
            <w:tcW w:w="2551" w:type="dxa"/>
            <w:vAlign w:val="center"/>
          </w:tcPr>
          <w:p>
            <w:pPr>
              <w:pStyle w:val="12"/>
            </w:pPr>
            <w:r>
              <w:t>≥1200人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人均收入超扶贫标准</w:t>
            </w:r>
          </w:p>
        </w:tc>
        <w:tc>
          <w:tcPr>
            <w:tcW w:w="2835" w:type="dxa"/>
            <w:vAlign w:val="center"/>
          </w:tcPr>
          <w:p>
            <w:pPr>
              <w:pStyle w:val="12"/>
            </w:pPr>
            <w:r>
              <w:t>监测户人均可支配收入超过当年国家扶贫标准</w:t>
            </w:r>
          </w:p>
        </w:tc>
        <w:tc>
          <w:tcPr>
            <w:tcW w:w="2551" w:type="dxa"/>
            <w:vAlign w:val="center"/>
          </w:tcPr>
          <w:p>
            <w:pPr>
              <w:pStyle w:val="12"/>
            </w:pPr>
            <w:r>
              <w:t>≥1.5倍</w:t>
            </w:r>
          </w:p>
        </w:tc>
        <w:tc>
          <w:tcPr>
            <w:tcW w:w="2268" w:type="dxa"/>
            <w:vAlign w:val="center"/>
          </w:tcPr>
          <w:p>
            <w:pPr>
              <w:pStyle w:val="12"/>
            </w:pPr>
            <w:r>
              <w:t>青扶贫脱贫组[2020]21号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提高监测户生活水平</w:t>
            </w:r>
          </w:p>
        </w:tc>
        <w:tc>
          <w:tcPr>
            <w:tcW w:w="2835" w:type="dxa"/>
            <w:vAlign w:val="center"/>
          </w:tcPr>
          <w:p>
            <w:pPr>
              <w:pStyle w:val="12"/>
            </w:pPr>
            <w:r>
              <w:t>促进贫困家庭生产、生活环境改善</w:t>
            </w:r>
          </w:p>
        </w:tc>
        <w:tc>
          <w:tcPr>
            <w:tcW w:w="2551" w:type="dxa"/>
            <w:vAlign w:val="center"/>
          </w:tcPr>
          <w:p>
            <w:pPr>
              <w:pStyle w:val="12"/>
            </w:pPr>
            <w:r>
              <w:t>≥15%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监测户申请上报工作日</w:t>
            </w:r>
          </w:p>
        </w:tc>
        <w:tc>
          <w:tcPr>
            <w:tcW w:w="2835" w:type="dxa"/>
            <w:vAlign w:val="center"/>
          </w:tcPr>
          <w:p>
            <w:pPr>
              <w:pStyle w:val="12"/>
            </w:pPr>
            <w:r>
              <w:t>监测户申请后，乡村初核并上报防贫中心工作日</w:t>
            </w:r>
          </w:p>
        </w:tc>
        <w:tc>
          <w:tcPr>
            <w:tcW w:w="2551" w:type="dxa"/>
            <w:vAlign w:val="center"/>
          </w:tcPr>
          <w:p>
            <w:pPr>
              <w:pStyle w:val="12"/>
            </w:pPr>
            <w:r>
              <w:t>≤2天</w:t>
            </w:r>
          </w:p>
        </w:tc>
        <w:tc>
          <w:tcPr>
            <w:tcW w:w="2268" w:type="dxa"/>
            <w:vAlign w:val="center"/>
          </w:tcPr>
          <w:p>
            <w:pPr>
              <w:pStyle w:val="12"/>
            </w:pPr>
            <w:r>
              <w:t>青扶贫脱贫组[2020]21号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系统维护费</w:t>
            </w:r>
          </w:p>
        </w:tc>
        <w:tc>
          <w:tcPr>
            <w:tcW w:w="2835" w:type="dxa"/>
            <w:vAlign w:val="center"/>
          </w:tcPr>
          <w:p>
            <w:pPr>
              <w:pStyle w:val="12"/>
            </w:pPr>
            <w:r>
              <w:t>系统维护年费用</w:t>
            </w:r>
          </w:p>
        </w:tc>
        <w:tc>
          <w:tcPr>
            <w:tcW w:w="2551" w:type="dxa"/>
            <w:vAlign w:val="center"/>
          </w:tcPr>
          <w:p>
            <w:pPr>
              <w:pStyle w:val="12"/>
            </w:pPr>
            <w:r>
              <w:t>≤0.5万元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调研、检查费用</w:t>
            </w:r>
          </w:p>
        </w:tc>
        <w:tc>
          <w:tcPr>
            <w:tcW w:w="2835" w:type="dxa"/>
            <w:vAlign w:val="center"/>
          </w:tcPr>
          <w:p>
            <w:pPr>
              <w:pStyle w:val="12"/>
            </w:pPr>
            <w:r>
              <w:t>对防贫工作的调研、考核、检查、验收、督查等活动所需费用</w:t>
            </w:r>
          </w:p>
        </w:tc>
        <w:tc>
          <w:tcPr>
            <w:tcW w:w="2551" w:type="dxa"/>
            <w:vAlign w:val="center"/>
          </w:tcPr>
          <w:p>
            <w:pPr>
              <w:pStyle w:val="12"/>
            </w:pPr>
            <w:r>
              <w:t>≤10万元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 xml:space="preserve"> 控制在预算范围内合理使用</w:t>
            </w:r>
          </w:p>
        </w:tc>
        <w:tc>
          <w:tcPr>
            <w:tcW w:w="2551" w:type="dxa"/>
            <w:vAlign w:val="center"/>
          </w:tcPr>
          <w:p>
            <w:pPr>
              <w:pStyle w:val="12"/>
            </w:pPr>
            <w:r>
              <w:t>≤35万元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保持工作连续性</w:t>
            </w:r>
          </w:p>
        </w:tc>
        <w:tc>
          <w:tcPr>
            <w:tcW w:w="2835" w:type="dxa"/>
            <w:vAlign w:val="center"/>
          </w:tcPr>
          <w:p>
            <w:pPr>
              <w:pStyle w:val="12"/>
            </w:pPr>
            <w:r>
              <w:t>根据调查核实情况，按时拨付保险赔付资金</w:t>
            </w:r>
          </w:p>
        </w:tc>
        <w:tc>
          <w:tcPr>
            <w:tcW w:w="2551" w:type="dxa"/>
            <w:vAlign w:val="center"/>
          </w:tcPr>
          <w:p>
            <w:pPr>
              <w:pStyle w:val="12"/>
            </w:pPr>
            <w:r>
              <w:t>≥1年</w:t>
            </w:r>
          </w:p>
        </w:tc>
        <w:tc>
          <w:tcPr>
            <w:tcW w:w="2268" w:type="dxa"/>
            <w:vAlign w:val="center"/>
          </w:tcPr>
          <w:p>
            <w:pPr>
              <w:pStyle w:val="12"/>
            </w:pPr>
            <w:r>
              <w:t>青扶贫脱贫组[2020]21号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监测户减少支出比例</w:t>
            </w:r>
          </w:p>
        </w:tc>
        <w:tc>
          <w:tcPr>
            <w:tcW w:w="2835" w:type="dxa"/>
            <w:vAlign w:val="center"/>
          </w:tcPr>
          <w:p>
            <w:pPr>
              <w:pStyle w:val="12"/>
            </w:pPr>
            <w:r>
              <w:t>监测户每年减少医疗教育支出比例</w:t>
            </w:r>
          </w:p>
        </w:tc>
        <w:tc>
          <w:tcPr>
            <w:tcW w:w="2551" w:type="dxa"/>
            <w:vAlign w:val="center"/>
          </w:tcPr>
          <w:p>
            <w:pPr>
              <w:pStyle w:val="12"/>
            </w:pPr>
            <w:r>
              <w:t>≥15%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受理监测户比例</w:t>
            </w:r>
          </w:p>
        </w:tc>
        <w:tc>
          <w:tcPr>
            <w:tcW w:w="2835" w:type="dxa"/>
            <w:vAlign w:val="center"/>
          </w:tcPr>
          <w:p>
            <w:pPr>
              <w:pStyle w:val="12"/>
            </w:pPr>
            <w:r>
              <w:t>受理申请监测户占申请监测户的比例</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享受赔付监测户满意度</w:t>
            </w:r>
          </w:p>
        </w:tc>
        <w:tc>
          <w:tcPr>
            <w:tcW w:w="2835" w:type="dxa"/>
            <w:vAlign w:val="center"/>
          </w:tcPr>
          <w:p>
            <w:pPr>
              <w:pStyle w:val="12"/>
            </w:pPr>
            <w:r>
              <w:t>享受赔付监测户对所享受赔付标准满意度</w:t>
            </w:r>
          </w:p>
        </w:tc>
        <w:tc>
          <w:tcPr>
            <w:tcW w:w="2551" w:type="dxa"/>
            <w:vAlign w:val="center"/>
          </w:tcPr>
          <w:p>
            <w:pPr>
              <w:pStyle w:val="12"/>
            </w:pPr>
            <w:r>
              <w:t>≥95%</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21、棚改前期费用绩效目标表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1.通过做好棚改项目前期的调查、测算、申报及管理工作，确保项目顺利进行。</w:t>
            </w:r>
          </w:p>
          <w:p>
            <w:pPr>
              <w:pStyle w:val="12"/>
            </w:pPr>
            <w:r>
              <w:t>2.通过保证资金及时到位，保障项目顺利实施。</w:t>
            </w:r>
          </w:p>
          <w:p>
            <w:pPr>
              <w:pStyle w:val="12"/>
            </w:pPr>
            <w:r>
              <w:t>3.通过做好前期工作，保障项目顺利进行。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棚改前期调查数量</w:t>
            </w:r>
          </w:p>
        </w:tc>
        <w:tc>
          <w:tcPr>
            <w:tcW w:w="2835" w:type="dxa"/>
            <w:vAlign w:val="center"/>
          </w:tcPr>
          <w:p>
            <w:pPr>
              <w:pStyle w:val="12"/>
            </w:pPr>
            <w:r>
              <w:t>需要改造的棚户区前期调查测算的数量</w:t>
            </w:r>
          </w:p>
        </w:tc>
        <w:tc>
          <w:tcPr>
            <w:tcW w:w="2551" w:type="dxa"/>
            <w:vAlign w:val="center"/>
          </w:tcPr>
          <w:p>
            <w:pPr>
              <w:pStyle w:val="12"/>
            </w:pPr>
            <w:r>
              <w:t>≥5个</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棚改前期每片区调查次数</w:t>
            </w:r>
          </w:p>
        </w:tc>
        <w:tc>
          <w:tcPr>
            <w:tcW w:w="2835" w:type="dxa"/>
            <w:vAlign w:val="center"/>
          </w:tcPr>
          <w:p>
            <w:pPr>
              <w:pStyle w:val="12"/>
            </w:pPr>
            <w:r>
              <w:t>需要改造的棚户区前期调查测算的次数</w:t>
            </w:r>
          </w:p>
        </w:tc>
        <w:tc>
          <w:tcPr>
            <w:tcW w:w="2551" w:type="dxa"/>
            <w:vAlign w:val="center"/>
          </w:tcPr>
          <w:p>
            <w:pPr>
              <w:pStyle w:val="12"/>
            </w:pPr>
            <w:r>
              <w:t>≥2次</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调查完成率</w:t>
            </w:r>
          </w:p>
        </w:tc>
        <w:tc>
          <w:tcPr>
            <w:tcW w:w="2835" w:type="dxa"/>
            <w:vAlign w:val="center"/>
          </w:tcPr>
          <w:p>
            <w:pPr>
              <w:pStyle w:val="12"/>
            </w:pPr>
            <w:r>
              <w:t>调查数量占总调查数量的比率</w:t>
            </w:r>
          </w:p>
        </w:tc>
        <w:tc>
          <w:tcPr>
            <w:tcW w:w="2551" w:type="dxa"/>
            <w:vAlign w:val="center"/>
          </w:tcPr>
          <w:p>
            <w:pPr>
              <w:pStyle w:val="12"/>
            </w:pPr>
            <w:r>
              <w:t>≥100％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每片区调查完成率</w:t>
            </w:r>
          </w:p>
        </w:tc>
        <w:tc>
          <w:tcPr>
            <w:tcW w:w="2835" w:type="dxa"/>
            <w:vAlign w:val="center"/>
          </w:tcPr>
          <w:p>
            <w:pPr>
              <w:pStyle w:val="12"/>
            </w:pPr>
            <w:r>
              <w:t>调查次数占总次数比率</w:t>
            </w:r>
          </w:p>
        </w:tc>
        <w:tc>
          <w:tcPr>
            <w:tcW w:w="2551" w:type="dxa"/>
            <w:vAlign w:val="center"/>
          </w:tcPr>
          <w:p>
            <w:pPr>
              <w:pStyle w:val="12"/>
            </w:pPr>
            <w:r>
              <w:t>≥100％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前期调查完成时间</w:t>
            </w:r>
          </w:p>
        </w:tc>
        <w:tc>
          <w:tcPr>
            <w:tcW w:w="2835" w:type="dxa"/>
            <w:vAlign w:val="center"/>
          </w:tcPr>
          <w:p>
            <w:pPr>
              <w:pStyle w:val="12"/>
            </w:pPr>
            <w:r>
              <w:t>棚户区项目前期调查完成时间</w:t>
            </w:r>
          </w:p>
        </w:tc>
        <w:tc>
          <w:tcPr>
            <w:tcW w:w="2551" w:type="dxa"/>
            <w:vAlign w:val="center"/>
          </w:tcPr>
          <w:p>
            <w:pPr>
              <w:pStyle w:val="12"/>
            </w:pPr>
            <w:r>
              <w:t>≥9510月31日前完成</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2835" w:type="dxa"/>
            <w:vAlign w:val="center"/>
          </w:tcPr>
          <w:p>
            <w:pPr>
              <w:pStyle w:val="12"/>
            </w:pPr>
            <w:r>
              <w:t>总体支出控制在预算额度内</w:t>
            </w:r>
          </w:p>
        </w:tc>
        <w:tc>
          <w:tcPr>
            <w:tcW w:w="2551" w:type="dxa"/>
            <w:vAlign w:val="center"/>
          </w:tcPr>
          <w:p>
            <w:pPr>
              <w:pStyle w:val="12"/>
            </w:pPr>
            <w:r>
              <w:t>≤7.5万元</w:t>
            </w:r>
          </w:p>
        </w:tc>
        <w:tc>
          <w:tcPr>
            <w:tcW w:w="2268" w:type="dxa"/>
            <w:vAlign w:val="center"/>
          </w:tcPr>
          <w:p>
            <w:pPr>
              <w:pStyle w:val="12"/>
            </w:pPr>
            <w:r>
              <w:t>2022年预算批复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成本测算</w:t>
            </w:r>
          </w:p>
        </w:tc>
        <w:tc>
          <w:tcPr>
            <w:tcW w:w="2835" w:type="dxa"/>
            <w:vAlign w:val="center"/>
          </w:tcPr>
          <w:p>
            <w:pPr>
              <w:pStyle w:val="12"/>
            </w:pPr>
            <w:r>
              <w:t>掌握棚改计划项目人口、面积，完成改造成本测算</w:t>
            </w:r>
          </w:p>
        </w:tc>
        <w:tc>
          <w:tcPr>
            <w:tcW w:w="2551" w:type="dxa"/>
            <w:vAlign w:val="center"/>
          </w:tcPr>
          <w:p>
            <w:pPr>
              <w:pStyle w:val="12"/>
            </w:pPr>
            <w:r>
              <w:t>100％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经济发展的可持续</w:t>
            </w:r>
          </w:p>
        </w:tc>
        <w:tc>
          <w:tcPr>
            <w:tcW w:w="2835" w:type="dxa"/>
            <w:vAlign w:val="center"/>
          </w:tcPr>
          <w:p>
            <w:pPr>
              <w:pStyle w:val="12"/>
            </w:pPr>
            <w:r>
              <w:t>掌握棚改计划项目人口、面积，完成改造成本测算</w:t>
            </w:r>
          </w:p>
        </w:tc>
        <w:tc>
          <w:tcPr>
            <w:tcW w:w="2551" w:type="dxa"/>
            <w:vAlign w:val="center"/>
          </w:tcPr>
          <w:p>
            <w:pPr>
              <w:pStyle w:val="12"/>
            </w:pPr>
            <w:r>
              <w:t>100％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棚户区改造前期相关员工满意度</w:t>
            </w:r>
          </w:p>
        </w:tc>
        <w:tc>
          <w:tcPr>
            <w:tcW w:w="2835" w:type="dxa"/>
            <w:vAlign w:val="center"/>
          </w:tcPr>
          <w:p>
            <w:pPr>
              <w:pStyle w:val="12"/>
            </w:pPr>
            <w:r>
              <w:t>棚户区改造前期相关员工满意度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22、棚户区改造前期费用绩效目标表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1.通过做好棚改项目前期的调查、测算、申报及管理工作，保障项目顺利实施。</w:t>
            </w:r>
          </w:p>
          <w:p>
            <w:pPr>
              <w:pStyle w:val="12"/>
            </w:pPr>
            <w:r>
              <w:t>2.通过完成棚改计划项目人口、面积、改造成本的测算，确保为制定棚户区改造计划提供基础数据。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棚改前期调查数量</w:t>
            </w:r>
          </w:p>
        </w:tc>
        <w:tc>
          <w:tcPr>
            <w:tcW w:w="2835" w:type="dxa"/>
            <w:vAlign w:val="center"/>
          </w:tcPr>
          <w:p>
            <w:pPr>
              <w:pStyle w:val="12"/>
            </w:pPr>
            <w:r>
              <w:t>需要改造的棚户区前期调查测算的数量</w:t>
            </w:r>
          </w:p>
        </w:tc>
        <w:tc>
          <w:tcPr>
            <w:tcW w:w="2551" w:type="dxa"/>
            <w:vAlign w:val="center"/>
          </w:tcPr>
          <w:p>
            <w:pPr>
              <w:pStyle w:val="12"/>
            </w:pPr>
            <w:r>
              <w:t>≥2个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棚改前期调查次数</w:t>
            </w:r>
          </w:p>
        </w:tc>
        <w:tc>
          <w:tcPr>
            <w:tcW w:w="2835" w:type="dxa"/>
            <w:vAlign w:val="center"/>
          </w:tcPr>
          <w:p>
            <w:pPr>
              <w:pStyle w:val="12"/>
            </w:pPr>
            <w:r>
              <w:t>需要改造的棚户区前期调查的次数</w:t>
            </w:r>
          </w:p>
        </w:tc>
        <w:tc>
          <w:tcPr>
            <w:tcW w:w="2551" w:type="dxa"/>
            <w:vAlign w:val="center"/>
          </w:tcPr>
          <w:p>
            <w:pPr>
              <w:pStyle w:val="12"/>
            </w:pPr>
            <w:r>
              <w:t>≥2次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棚户区改造会</w:t>
            </w:r>
          </w:p>
        </w:tc>
        <w:tc>
          <w:tcPr>
            <w:tcW w:w="2835" w:type="dxa"/>
            <w:vAlign w:val="center"/>
          </w:tcPr>
          <w:p>
            <w:pPr>
              <w:pStyle w:val="12"/>
            </w:pPr>
            <w:r>
              <w:t>反映参加棚户区改造的会议次数</w:t>
            </w:r>
          </w:p>
        </w:tc>
        <w:tc>
          <w:tcPr>
            <w:tcW w:w="2551" w:type="dxa"/>
            <w:vAlign w:val="center"/>
          </w:tcPr>
          <w:p>
            <w:pPr>
              <w:pStyle w:val="12"/>
            </w:pPr>
            <w:r>
              <w:t>≥6次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参加招商引资</w:t>
            </w:r>
          </w:p>
        </w:tc>
        <w:tc>
          <w:tcPr>
            <w:tcW w:w="2835" w:type="dxa"/>
            <w:vAlign w:val="center"/>
          </w:tcPr>
          <w:p>
            <w:pPr>
              <w:pStyle w:val="12"/>
            </w:pPr>
            <w:r>
              <w:t>反映参加棚改项目招商引资的次数</w:t>
            </w:r>
          </w:p>
        </w:tc>
        <w:tc>
          <w:tcPr>
            <w:tcW w:w="2551" w:type="dxa"/>
            <w:vAlign w:val="center"/>
          </w:tcPr>
          <w:p>
            <w:pPr>
              <w:pStyle w:val="12"/>
            </w:pPr>
            <w:r>
              <w:t>≥2次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棚改项目规划制定的数量</w:t>
            </w:r>
          </w:p>
        </w:tc>
        <w:tc>
          <w:tcPr>
            <w:tcW w:w="2835" w:type="dxa"/>
            <w:vAlign w:val="center"/>
          </w:tcPr>
          <w:p>
            <w:pPr>
              <w:pStyle w:val="12"/>
            </w:pPr>
            <w:r>
              <w:t>反映棚改项目规划制定的数量</w:t>
            </w:r>
          </w:p>
        </w:tc>
        <w:tc>
          <w:tcPr>
            <w:tcW w:w="2551" w:type="dxa"/>
            <w:vAlign w:val="center"/>
          </w:tcPr>
          <w:p>
            <w:pPr>
              <w:pStyle w:val="12"/>
            </w:pPr>
            <w:r>
              <w:t>1个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棚改项目规划制定完成率</w:t>
            </w:r>
          </w:p>
        </w:tc>
        <w:tc>
          <w:tcPr>
            <w:tcW w:w="2835" w:type="dxa"/>
            <w:vAlign w:val="center"/>
          </w:tcPr>
          <w:p>
            <w:pPr>
              <w:pStyle w:val="12"/>
            </w:pPr>
            <w:r>
              <w:t>反映棚改项目规划制定完成率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调查完成率</w:t>
            </w:r>
          </w:p>
        </w:tc>
        <w:tc>
          <w:tcPr>
            <w:tcW w:w="2835" w:type="dxa"/>
            <w:vAlign w:val="center"/>
          </w:tcPr>
          <w:p>
            <w:pPr>
              <w:pStyle w:val="12"/>
            </w:pPr>
            <w:r>
              <w:t>调查数量占总调查数量的比率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前期调查完成时间</w:t>
            </w:r>
          </w:p>
        </w:tc>
        <w:tc>
          <w:tcPr>
            <w:tcW w:w="2835" w:type="dxa"/>
            <w:vAlign w:val="center"/>
          </w:tcPr>
          <w:p>
            <w:pPr>
              <w:pStyle w:val="12"/>
            </w:pPr>
            <w:r>
              <w:t>棚户区项目前期调查完成时间</w:t>
            </w:r>
          </w:p>
        </w:tc>
        <w:tc>
          <w:tcPr>
            <w:tcW w:w="2551" w:type="dxa"/>
            <w:vAlign w:val="center"/>
          </w:tcPr>
          <w:p>
            <w:pPr>
              <w:pStyle w:val="12"/>
            </w:pPr>
            <w:r>
              <w:t>10月底</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2835" w:type="dxa"/>
            <w:vAlign w:val="center"/>
          </w:tcPr>
          <w:p>
            <w:pPr>
              <w:pStyle w:val="12"/>
            </w:pPr>
            <w:r>
              <w:t>总体支出控制在预算额度内</w:t>
            </w:r>
          </w:p>
        </w:tc>
        <w:tc>
          <w:tcPr>
            <w:tcW w:w="2551" w:type="dxa"/>
            <w:vAlign w:val="center"/>
          </w:tcPr>
          <w:p>
            <w:pPr>
              <w:pStyle w:val="12"/>
            </w:pPr>
            <w:r>
              <w:t>≤8万元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为棚改计划提供基础数据</w:t>
            </w:r>
          </w:p>
        </w:tc>
        <w:tc>
          <w:tcPr>
            <w:tcW w:w="2835" w:type="dxa"/>
            <w:vAlign w:val="center"/>
          </w:tcPr>
          <w:p>
            <w:pPr>
              <w:pStyle w:val="12"/>
            </w:pPr>
            <w:r>
              <w:t>掌握棚改计划项目人口、面积，完成改造成本测算</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2835" w:type="dxa"/>
            <w:vAlign w:val="center"/>
          </w:tcPr>
          <w:p>
            <w:pPr>
              <w:pStyle w:val="12"/>
            </w:pPr>
            <w:r>
              <w:t>工作人员对棚改工作条件的满意度</w:t>
            </w:r>
          </w:p>
        </w:tc>
        <w:tc>
          <w:tcPr>
            <w:tcW w:w="2551" w:type="dxa"/>
            <w:vAlign w:val="center"/>
          </w:tcPr>
          <w:p>
            <w:pPr>
              <w:pStyle w:val="12"/>
            </w:pPr>
            <w:r>
              <w:t>≥95%</w:t>
            </w:r>
          </w:p>
        </w:tc>
        <w:tc>
          <w:tcPr>
            <w:tcW w:w="2268" w:type="dxa"/>
            <w:vAlign w:val="center"/>
          </w:tcPr>
          <w:p>
            <w:pPr>
              <w:pStyle w:val="12"/>
            </w:pPr>
            <w:r>
              <w:t>调查文件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23、关于提前下达2022年部分中央财政城镇保障性安居工程补助资金预算的通知（冀财综【2021】31号）绩效目标表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1.通过棚户区改造工程建设，改善居民居住环境</w:t>
            </w:r>
          </w:p>
          <w:p>
            <w:pPr>
              <w:pStyle w:val="12"/>
            </w:pPr>
            <w:r>
              <w:t>2.通过项目按约定工期完工并投入使用，提高入住率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改造面积</w:t>
            </w:r>
          </w:p>
        </w:tc>
        <w:tc>
          <w:tcPr>
            <w:tcW w:w="2835" w:type="dxa"/>
            <w:vAlign w:val="center"/>
          </w:tcPr>
          <w:p>
            <w:pPr>
              <w:pStyle w:val="12"/>
            </w:pPr>
            <w:r>
              <w:t>需要改造的建筑面积</w:t>
            </w:r>
          </w:p>
        </w:tc>
        <w:tc>
          <w:tcPr>
            <w:tcW w:w="2551" w:type="dxa"/>
            <w:vAlign w:val="center"/>
          </w:tcPr>
          <w:p>
            <w:pPr>
              <w:pStyle w:val="12"/>
            </w:pPr>
            <w:r>
              <w:t>20476平方米</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改造的居民住宅数量</w:t>
            </w:r>
          </w:p>
        </w:tc>
        <w:tc>
          <w:tcPr>
            <w:tcW w:w="2835" w:type="dxa"/>
            <w:vAlign w:val="center"/>
          </w:tcPr>
          <w:p>
            <w:pPr>
              <w:pStyle w:val="12"/>
            </w:pPr>
            <w:r>
              <w:t>改造的居民住宅数量</w:t>
            </w:r>
          </w:p>
        </w:tc>
        <w:tc>
          <w:tcPr>
            <w:tcW w:w="2551" w:type="dxa"/>
            <w:vAlign w:val="center"/>
          </w:tcPr>
          <w:p>
            <w:pPr>
              <w:pStyle w:val="12"/>
            </w:pPr>
            <w:r>
              <w:t>159户</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开工率</w:t>
            </w:r>
          </w:p>
        </w:tc>
        <w:tc>
          <w:tcPr>
            <w:tcW w:w="2835" w:type="dxa"/>
            <w:vAlign w:val="center"/>
          </w:tcPr>
          <w:p>
            <w:pPr>
              <w:pStyle w:val="12"/>
            </w:pPr>
            <w:r>
              <w:t>地基建造完成率</w:t>
            </w:r>
          </w:p>
        </w:tc>
        <w:tc>
          <w:tcPr>
            <w:tcW w:w="2551" w:type="dxa"/>
            <w:vAlign w:val="center"/>
          </w:tcPr>
          <w:p>
            <w:pPr>
              <w:pStyle w:val="12"/>
            </w:pPr>
            <w:r>
              <w:t>100%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施工进度达标率</w:t>
            </w:r>
          </w:p>
        </w:tc>
        <w:tc>
          <w:tcPr>
            <w:tcW w:w="2835" w:type="dxa"/>
            <w:vAlign w:val="center"/>
          </w:tcPr>
          <w:p>
            <w:pPr>
              <w:pStyle w:val="12"/>
            </w:pPr>
            <w:r>
              <w:t>按施工进度，分阶段达到合同要求的比率</w:t>
            </w:r>
          </w:p>
        </w:tc>
        <w:tc>
          <w:tcPr>
            <w:tcW w:w="2551" w:type="dxa"/>
            <w:vAlign w:val="center"/>
          </w:tcPr>
          <w:p>
            <w:pPr>
              <w:pStyle w:val="12"/>
            </w:pPr>
            <w:r>
              <w:t>100%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2835" w:type="dxa"/>
            <w:vAlign w:val="center"/>
          </w:tcPr>
          <w:p>
            <w:pPr>
              <w:pStyle w:val="12"/>
            </w:pPr>
            <w:r>
              <w:t>工程施工进度工作量占工程完工总量的比率</w:t>
            </w:r>
          </w:p>
        </w:tc>
        <w:tc>
          <w:tcPr>
            <w:tcW w:w="2551" w:type="dxa"/>
            <w:vAlign w:val="center"/>
          </w:tcPr>
          <w:p>
            <w:pPr>
              <w:pStyle w:val="12"/>
            </w:pPr>
            <w:r>
              <w:t>≥20%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成本控制支出</w:t>
            </w:r>
          </w:p>
        </w:tc>
        <w:tc>
          <w:tcPr>
            <w:tcW w:w="2835" w:type="dxa"/>
            <w:vAlign w:val="center"/>
          </w:tcPr>
          <w:p>
            <w:pPr>
              <w:pStyle w:val="12"/>
            </w:pPr>
            <w:r>
              <w:t>严格进行成本控制，按合同规定进行资金的支付</w:t>
            </w:r>
          </w:p>
        </w:tc>
        <w:tc>
          <w:tcPr>
            <w:tcW w:w="2551" w:type="dxa"/>
            <w:vAlign w:val="center"/>
          </w:tcPr>
          <w:p>
            <w:pPr>
              <w:pStyle w:val="12"/>
            </w:pPr>
            <w:r>
              <w:t>≤562万元</w:t>
            </w:r>
          </w:p>
        </w:tc>
        <w:tc>
          <w:tcPr>
            <w:tcW w:w="2268" w:type="dxa"/>
            <w:vAlign w:val="center"/>
          </w:tcPr>
          <w:p>
            <w:pPr>
              <w:pStyle w:val="12"/>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居民居住环境改善率</w:t>
            </w:r>
          </w:p>
        </w:tc>
        <w:tc>
          <w:tcPr>
            <w:tcW w:w="2835" w:type="dxa"/>
            <w:vAlign w:val="center"/>
          </w:tcPr>
          <w:p>
            <w:pPr>
              <w:pStyle w:val="12"/>
            </w:pPr>
            <w:r>
              <w:t>推动安置房的建设进度，改善居民的居住环境，提升居住水平。</w:t>
            </w:r>
          </w:p>
        </w:tc>
        <w:tc>
          <w:tcPr>
            <w:tcW w:w="2551" w:type="dxa"/>
            <w:vAlign w:val="center"/>
          </w:tcPr>
          <w:p>
            <w:pPr>
              <w:pStyle w:val="12"/>
            </w:pPr>
            <w:r>
              <w:t>≥95%</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增加房屋使用年限，降低安全隐患</w:t>
            </w:r>
          </w:p>
        </w:tc>
        <w:tc>
          <w:tcPr>
            <w:tcW w:w="2835" w:type="dxa"/>
            <w:vAlign w:val="center"/>
          </w:tcPr>
          <w:p>
            <w:pPr>
              <w:pStyle w:val="12"/>
            </w:pPr>
            <w:r>
              <w:t>增加居民住房使用年限，降低安全隐患，提升居民幸福感</w:t>
            </w:r>
          </w:p>
        </w:tc>
        <w:tc>
          <w:tcPr>
            <w:tcW w:w="2551" w:type="dxa"/>
            <w:vAlign w:val="center"/>
          </w:tcPr>
          <w:p>
            <w:pPr>
              <w:pStyle w:val="12"/>
            </w:pPr>
            <w:r>
              <w:t>≥70年</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居民的满意度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24、关于提前下达2022年县级城镇保障性安居工程补助资金的通知（冀财综【2021】33号）绩效目标表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1.通过棚户区改造工程建设，改善居民居住环境</w:t>
            </w:r>
          </w:p>
          <w:p>
            <w:pPr>
              <w:pStyle w:val="12"/>
            </w:pPr>
            <w:r>
              <w:t>2.通过项目按约定工期完工并投入使用，提高入住率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改造住宅数量</w:t>
            </w:r>
          </w:p>
        </w:tc>
        <w:tc>
          <w:tcPr>
            <w:tcW w:w="2835" w:type="dxa"/>
            <w:vAlign w:val="center"/>
          </w:tcPr>
          <w:p>
            <w:pPr>
              <w:pStyle w:val="12"/>
            </w:pPr>
            <w:r>
              <w:t>改造的居民的住宅数量</w:t>
            </w:r>
          </w:p>
        </w:tc>
        <w:tc>
          <w:tcPr>
            <w:tcW w:w="2551" w:type="dxa"/>
            <w:vAlign w:val="center"/>
          </w:tcPr>
          <w:p>
            <w:pPr>
              <w:pStyle w:val="12"/>
            </w:pPr>
            <w:r>
              <w:t>159户</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改造建筑面积</w:t>
            </w:r>
          </w:p>
        </w:tc>
        <w:tc>
          <w:tcPr>
            <w:tcW w:w="2835" w:type="dxa"/>
            <w:vAlign w:val="center"/>
          </w:tcPr>
          <w:p>
            <w:pPr>
              <w:pStyle w:val="12"/>
            </w:pPr>
            <w:r>
              <w:t>需要改造的建筑面积</w:t>
            </w:r>
          </w:p>
        </w:tc>
        <w:tc>
          <w:tcPr>
            <w:tcW w:w="2551" w:type="dxa"/>
            <w:vAlign w:val="center"/>
          </w:tcPr>
          <w:p>
            <w:pPr>
              <w:pStyle w:val="12"/>
            </w:pPr>
            <w:r>
              <w:t>20476平方米</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项目开工率</w:t>
            </w:r>
          </w:p>
        </w:tc>
        <w:tc>
          <w:tcPr>
            <w:tcW w:w="2835" w:type="dxa"/>
            <w:vAlign w:val="center"/>
          </w:tcPr>
          <w:p>
            <w:pPr>
              <w:pStyle w:val="12"/>
            </w:pPr>
            <w:r>
              <w:t>项目地基建造完成率</w:t>
            </w:r>
          </w:p>
        </w:tc>
        <w:tc>
          <w:tcPr>
            <w:tcW w:w="2551" w:type="dxa"/>
            <w:vAlign w:val="center"/>
          </w:tcPr>
          <w:p>
            <w:pPr>
              <w:pStyle w:val="12"/>
            </w:pPr>
            <w:r>
              <w:t>100%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项目施工进度达标率</w:t>
            </w:r>
          </w:p>
        </w:tc>
        <w:tc>
          <w:tcPr>
            <w:tcW w:w="2835" w:type="dxa"/>
            <w:vAlign w:val="center"/>
          </w:tcPr>
          <w:p>
            <w:pPr>
              <w:pStyle w:val="12"/>
            </w:pPr>
            <w:r>
              <w:t>项目按施工进度，分阶段达到合同要求的比率</w:t>
            </w:r>
          </w:p>
        </w:tc>
        <w:tc>
          <w:tcPr>
            <w:tcW w:w="2551" w:type="dxa"/>
            <w:vAlign w:val="center"/>
          </w:tcPr>
          <w:p>
            <w:pPr>
              <w:pStyle w:val="12"/>
            </w:pPr>
            <w:r>
              <w:t>100%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项目工程完工及时率</w:t>
            </w:r>
          </w:p>
        </w:tc>
        <w:tc>
          <w:tcPr>
            <w:tcW w:w="2835" w:type="dxa"/>
            <w:vAlign w:val="center"/>
          </w:tcPr>
          <w:p>
            <w:pPr>
              <w:pStyle w:val="12"/>
            </w:pPr>
            <w:r>
              <w:t>工程施工进度工作量占工程完工总量的比率</w:t>
            </w:r>
          </w:p>
        </w:tc>
        <w:tc>
          <w:tcPr>
            <w:tcW w:w="2551" w:type="dxa"/>
            <w:vAlign w:val="center"/>
          </w:tcPr>
          <w:p>
            <w:pPr>
              <w:pStyle w:val="12"/>
            </w:pPr>
            <w:r>
              <w:t>≥20%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项目成本控制支出</w:t>
            </w:r>
          </w:p>
        </w:tc>
        <w:tc>
          <w:tcPr>
            <w:tcW w:w="2835" w:type="dxa"/>
            <w:vAlign w:val="center"/>
          </w:tcPr>
          <w:p>
            <w:pPr>
              <w:pStyle w:val="12"/>
            </w:pPr>
            <w:r>
              <w:t>项目严格进行成本控制，按合同规定进行资金的支付</w:t>
            </w:r>
          </w:p>
        </w:tc>
        <w:tc>
          <w:tcPr>
            <w:tcW w:w="2551" w:type="dxa"/>
            <w:vAlign w:val="center"/>
          </w:tcPr>
          <w:p>
            <w:pPr>
              <w:pStyle w:val="12"/>
            </w:pPr>
            <w:r>
              <w:t>≤210万元</w:t>
            </w:r>
          </w:p>
        </w:tc>
        <w:tc>
          <w:tcPr>
            <w:tcW w:w="2268" w:type="dxa"/>
            <w:vAlign w:val="center"/>
          </w:tcPr>
          <w:p>
            <w:pPr>
              <w:pStyle w:val="12"/>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居民居住环境改善率</w:t>
            </w:r>
          </w:p>
        </w:tc>
        <w:tc>
          <w:tcPr>
            <w:tcW w:w="2835" w:type="dxa"/>
            <w:vAlign w:val="center"/>
          </w:tcPr>
          <w:p>
            <w:pPr>
              <w:pStyle w:val="12"/>
            </w:pPr>
            <w:r>
              <w:t>推动安置房的建设进度，改善居民的居住环境，提升居住水平。</w:t>
            </w:r>
          </w:p>
        </w:tc>
        <w:tc>
          <w:tcPr>
            <w:tcW w:w="2551" w:type="dxa"/>
            <w:vAlign w:val="center"/>
          </w:tcPr>
          <w:p>
            <w:pPr>
              <w:pStyle w:val="12"/>
            </w:pPr>
            <w:r>
              <w:t>≥95%</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增加住房使用年限，降低安全隐患</w:t>
            </w:r>
          </w:p>
        </w:tc>
        <w:tc>
          <w:tcPr>
            <w:tcW w:w="2835" w:type="dxa"/>
            <w:vAlign w:val="center"/>
          </w:tcPr>
          <w:p>
            <w:pPr>
              <w:pStyle w:val="12"/>
            </w:pPr>
            <w:r>
              <w:t>增加居民的房屋使用年限，降低安全隐患，提升居民幸福感</w:t>
            </w:r>
          </w:p>
        </w:tc>
        <w:tc>
          <w:tcPr>
            <w:tcW w:w="2551" w:type="dxa"/>
            <w:vAlign w:val="center"/>
          </w:tcPr>
          <w:p>
            <w:pPr>
              <w:pStyle w:val="12"/>
            </w:pPr>
            <w:r>
              <w:t>≥70年</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居民的满意度</w:t>
            </w:r>
          </w:p>
        </w:tc>
        <w:tc>
          <w:tcPr>
            <w:tcW w:w="2835" w:type="dxa"/>
            <w:vAlign w:val="center"/>
          </w:tcPr>
          <w:p>
            <w:pPr>
              <w:pStyle w:val="12"/>
            </w:pPr>
            <w:r>
              <w:t>受益群体调查中，满意和较满意的人数占全部调查人数的比率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25、商贸中心北侧六个棚厅租金绩效目标表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1.通过此项目建成地上停车场及地下商铺，有利于县区经济的可持续发展。</w:t>
            </w:r>
          </w:p>
          <w:p>
            <w:pPr>
              <w:pStyle w:val="12"/>
            </w:pPr>
            <w:r>
              <w:t>2.通过费用补贴资金及时拨付，提高受补贴单位满意度。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补偿款支付次数</w:t>
            </w:r>
          </w:p>
        </w:tc>
        <w:tc>
          <w:tcPr>
            <w:tcW w:w="2835" w:type="dxa"/>
            <w:vAlign w:val="center"/>
          </w:tcPr>
          <w:p>
            <w:pPr>
              <w:pStyle w:val="12"/>
            </w:pPr>
            <w:r>
              <w:t>损失补偿款支付次数</w:t>
            </w:r>
          </w:p>
        </w:tc>
        <w:tc>
          <w:tcPr>
            <w:tcW w:w="2551" w:type="dxa"/>
            <w:vAlign w:val="center"/>
          </w:tcPr>
          <w:p>
            <w:pPr>
              <w:pStyle w:val="12"/>
            </w:pPr>
            <w:r>
              <w:t>1次/年</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补偿棚厅的个数</w:t>
            </w:r>
          </w:p>
        </w:tc>
        <w:tc>
          <w:tcPr>
            <w:tcW w:w="2835" w:type="dxa"/>
            <w:vAlign w:val="center"/>
          </w:tcPr>
          <w:p>
            <w:pPr>
              <w:pStyle w:val="12"/>
            </w:pPr>
            <w:r>
              <w:t>补偿大杖子村棚厅的个数</w:t>
            </w:r>
          </w:p>
        </w:tc>
        <w:tc>
          <w:tcPr>
            <w:tcW w:w="2551" w:type="dxa"/>
            <w:vAlign w:val="center"/>
          </w:tcPr>
          <w:p>
            <w:pPr>
              <w:pStyle w:val="12"/>
            </w:pPr>
            <w:r>
              <w:t>6个</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补偿款到位率</w:t>
            </w:r>
          </w:p>
        </w:tc>
        <w:tc>
          <w:tcPr>
            <w:tcW w:w="2835" w:type="dxa"/>
            <w:vAlign w:val="center"/>
          </w:tcPr>
          <w:p>
            <w:pPr>
              <w:pStyle w:val="12"/>
            </w:pPr>
            <w:r>
              <w:t>财政及时拨付拆迁补偿款的数量占应补偿数比率</w:t>
            </w:r>
          </w:p>
        </w:tc>
        <w:tc>
          <w:tcPr>
            <w:tcW w:w="2551" w:type="dxa"/>
            <w:vAlign w:val="center"/>
          </w:tcPr>
          <w:p>
            <w:pPr>
              <w:pStyle w:val="12"/>
            </w:pPr>
            <w:r>
              <w:t>100%</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补偿款发放率</w:t>
            </w:r>
          </w:p>
        </w:tc>
        <w:tc>
          <w:tcPr>
            <w:tcW w:w="2835" w:type="dxa"/>
            <w:vAlign w:val="center"/>
          </w:tcPr>
          <w:p>
            <w:pPr>
              <w:pStyle w:val="12"/>
            </w:pPr>
            <w:r>
              <w:t>补偿款到位后及时发放额度占总补偿款的比率</w:t>
            </w:r>
          </w:p>
        </w:tc>
        <w:tc>
          <w:tcPr>
            <w:tcW w:w="2551" w:type="dxa"/>
            <w:vAlign w:val="center"/>
          </w:tcPr>
          <w:p>
            <w:pPr>
              <w:pStyle w:val="12"/>
            </w:pPr>
            <w:r>
              <w:t>100%</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补偿款发放时间</w:t>
            </w:r>
          </w:p>
        </w:tc>
        <w:tc>
          <w:tcPr>
            <w:tcW w:w="2835" w:type="dxa"/>
            <w:vAlign w:val="center"/>
          </w:tcPr>
          <w:p>
            <w:pPr>
              <w:pStyle w:val="12"/>
            </w:pPr>
            <w:r>
              <w:t>补偿款到位时间，并于收到补偿款时开具村的收款收据</w:t>
            </w:r>
          </w:p>
        </w:tc>
        <w:tc>
          <w:tcPr>
            <w:tcW w:w="2551" w:type="dxa"/>
            <w:vAlign w:val="center"/>
          </w:tcPr>
          <w:p>
            <w:pPr>
              <w:pStyle w:val="12"/>
            </w:pPr>
            <w:r>
              <w:t>3月底前</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2835" w:type="dxa"/>
            <w:vAlign w:val="center"/>
          </w:tcPr>
          <w:p>
            <w:pPr>
              <w:pStyle w:val="12"/>
            </w:pPr>
            <w:r>
              <w:t>支付补偿款金额</w:t>
            </w:r>
          </w:p>
        </w:tc>
        <w:tc>
          <w:tcPr>
            <w:tcW w:w="2551" w:type="dxa"/>
            <w:vAlign w:val="center"/>
          </w:tcPr>
          <w:p>
            <w:pPr>
              <w:pStyle w:val="12"/>
            </w:pPr>
            <w:r>
              <w:t>48万元</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提高合同</w:t>
            </w:r>
            <w:r>
              <w:rPr>
                <w:rFonts w:hint="eastAsia"/>
                <w:lang w:eastAsia="zh-CN"/>
              </w:rPr>
              <w:t>履行</w:t>
            </w:r>
            <w:r>
              <w:t>率</w:t>
            </w:r>
          </w:p>
        </w:tc>
        <w:tc>
          <w:tcPr>
            <w:tcW w:w="2835" w:type="dxa"/>
            <w:vAlign w:val="center"/>
          </w:tcPr>
          <w:p>
            <w:pPr>
              <w:pStyle w:val="12"/>
            </w:pPr>
            <w:r>
              <w:t>及时发放补偿款，保障承租人每年按合同要求，</w:t>
            </w:r>
            <w:r>
              <w:rPr>
                <w:rFonts w:hint="eastAsia"/>
                <w:lang w:eastAsia="zh-CN"/>
              </w:rPr>
              <w:t>履行</w:t>
            </w:r>
            <w:r>
              <w:t>合同义务</w:t>
            </w:r>
          </w:p>
        </w:tc>
        <w:tc>
          <w:tcPr>
            <w:tcW w:w="2551" w:type="dxa"/>
            <w:vAlign w:val="center"/>
          </w:tcPr>
          <w:p>
            <w:pPr>
              <w:pStyle w:val="12"/>
            </w:pPr>
            <w:r>
              <w:t>≥95%</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经济发展的可持续</w:t>
            </w:r>
          </w:p>
        </w:tc>
        <w:tc>
          <w:tcPr>
            <w:tcW w:w="2835" w:type="dxa"/>
            <w:vAlign w:val="center"/>
          </w:tcPr>
          <w:p>
            <w:pPr>
              <w:pStyle w:val="12"/>
            </w:pPr>
            <w:r>
              <w:t>通过此项目建成地上停车场及地下商铺，有利于县区经济的可持续发展</w:t>
            </w:r>
          </w:p>
        </w:tc>
        <w:tc>
          <w:tcPr>
            <w:tcW w:w="2551" w:type="dxa"/>
            <w:vAlign w:val="center"/>
          </w:tcPr>
          <w:p>
            <w:pPr>
              <w:pStyle w:val="12"/>
            </w:pPr>
            <w:r>
              <w:t>长期可持续</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受补贴单位满意度</w:t>
            </w:r>
          </w:p>
        </w:tc>
        <w:tc>
          <w:tcPr>
            <w:tcW w:w="2835" w:type="dxa"/>
            <w:vAlign w:val="center"/>
          </w:tcPr>
          <w:p>
            <w:pPr>
              <w:pStyle w:val="12"/>
            </w:pPr>
            <w:r>
              <w:t>受补贴单位对补贴工作的满意程度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26、西城区拆迁过渡安置费用绩效目标表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1.通过及时补偿西城区被征收人过渡安置费，保障被征收人的利益。</w:t>
            </w:r>
          </w:p>
          <w:p>
            <w:pPr>
              <w:pStyle w:val="12"/>
            </w:pPr>
            <w:r>
              <w:t>2.通过妥善安置过渡居民，进一步推进征拆扫尾工作。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未能安置选房的面积</w:t>
            </w:r>
          </w:p>
        </w:tc>
        <w:tc>
          <w:tcPr>
            <w:tcW w:w="2835" w:type="dxa"/>
            <w:vAlign w:val="center"/>
          </w:tcPr>
          <w:p>
            <w:pPr>
              <w:pStyle w:val="12"/>
            </w:pPr>
            <w:r>
              <w:t>反映未能安置选房的面积</w:t>
            </w:r>
          </w:p>
        </w:tc>
        <w:tc>
          <w:tcPr>
            <w:tcW w:w="2551" w:type="dxa"/>
            <w:vAlign w:val="center"/>
          </w:tcPr>
          <w:p>
            <w:pPr>
              <w:pStyle w:val="12"/>
            </w:pPr>
            <w:r>
              <w:t>105平方米</w:t>
            </w:r>
          </w:p>
        </w:tc>
        <w:tc>
          <w:tcPr>
            <w:tcW w:w="2268" w:type="dxa"/>
            <w:vAlign w:val="center"/>
          </w:tcPr>
          <w:p>
            <w:pPr>
              <w:pStyle w:val="12"/>
            </w:pPr>
            <w:r>
              <w:t>青棚发[2020]4号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安置费支付次数</w:t>
            </w:r>
          </w:p>
        </w:tc>
        <w:tc>
          <w:tcPr>
            <w:tcW w:w="2835" w:type="dxa"/>
            <w:vAlign w:val="center"/>
          </w:tcPr>
          <w:p>
            <w:pPr>
              <w:pStyle w:val="12"/>
            </w:pPr>
            <w:r>
              <w:t>过渡安置费支付次数</w:t>
            </w:r>
          </w:p>
        </w:tc>
        <w:tc>
          <w:tcPr>
            <w:tcW w:w="2551" w:type="dxa"/>
            <w:vAlign w:val="center"/>
          </w:tcPr>
          <w:p>
            <w:pPr>
              <w:pStyle w:val="12"/>
            </w:pPr>
            <w:r>
              <w:t>1年/次</w:t>
            </w:r>
          </w:p>
        </w:tc>
        <w:tc>
          <w:tcPr>
            <w:tcW w:w="2268"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安置费发放率</w:t>
            </w:r>
          </w:p>
        </w:tc>
        <w:tc>
          <w:tcPr>
            <w:tcW w:w="2835" w:type="dxa"/>
            <w:vAlign w:val="center"/>
          </w:tcPr>
          <w:p>
            <w:pPr>
              <w:pStyle w:val="12"/>
            </w:pPr>
            <w:r>
              <w:t>过渡安置费到位后及时安置额度占总额度比率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安置费计算准确率</w:t>
            </w:r>
          </w:p>
        </w:tc>
        <w:tc>
          <w:tcPr>
            <w:tcW w:w="2835" w:type="dxa"/>
            <w:vAlign w:val="center"/>
          </w:tcPr>
          <w:p>
            <w:pPr>
              <w:pStyle w:val="12"/>
            </w:pPr>
            <w:r>
              <w:t>反映安置费计算的准确率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补偿期限</w:t>
            </w:r>
          </w:p>
        </w:tc>
        <w:tc>
          <w:tcPr>
            <w:tcW w:w="2835" w:type="dxa"/>
            <w:vAlign w:val="center"/>
          </w:tcPr>
          <w:p>
            <w:pPr>
              <w:pStyle w:val="12"/>
            </w:pPr>
            <w:r>
              <w:t>反映补偿的确认期限（2016年5月1日至2021年10月30日）</w:t>
            </w:r>
          </w:p>
        </w:tc>
        <w:tc>
          <w:tcPr>
            <w:tcW w:w="2551" w:type="dxa"/>
            <w:vAlign w:val="center"/>
          </w:tcPr>
          <w:p>
            <w:pPr>
              <w:pStyle w:val="12"/>
            </w:pPr>
            <w:r>
              <w:t>≥5年</w:t>
            </w:r>
          </w:p>
        </w:tc>
        <w:tc>
          <w:tcPr>
            <w:tcW w:w="2268"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安置费发放时间</w:t>
            </w:r>
          </w:p>
        </w:tc>
        <w:tc>
          <w:tcPr>
            <w:tcW w:w="2835" w:type="dxa"/>
            <w:vAlign w:val="center"/>
          </w:tcPr>
          <w:p>
            <w:pPr>
              <w:pStyle w:val="12"/>
            </w:pPr>
            <w:r>
              <w:t>反映补偿确认支付的时间</w:t>
            </w:r>
          </w:p>
        </w:tc>
        <w:tc>
          <w:tcPr>
            <w:tcW w:w="2551" w:type="dxa"/>
            <w:vAlign w:val="center"/>
          </w:tcPr>
          <w:p>
            <w:pPr>
              <w:pStyle w:val="12"/>
            </w:pPr>
            <w:r>
              <w:t>12月底前</w:t>
            </w:r>
          </w:p>
        </w:tc>
        <w:tc>
          <w:tcPr>
            <w:tcW w:w="2268"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2835" w:type="dxa"/>
            <w:vAlign w:val="center"/>
          </w:tcPr>
          <w:p>
            <w:pPr>
              <w:pStyle w:val="12"/>
            </w:pPr>
            <w:r>
              <w:t>反映每年补助金额</w:t>
            </w:r>
          </w:p>
        </w:tc>
        <w:tc>
          <w:tcPr>
            <w:tcW w:w="2551" w:type="dxa"/>
            <w:vAlign w:val="center"/>
          </w:tcPr>
          <w:p>
            <w:pPr>
              <w:pStyle w:val="12"/>
            </w:pPr>
            <w:r>
              <w:t>16元/月/平方米</w:t>
            </w:r>
          </w:p>
        </w:tc>
        <w:tc>
          <w:tcPr>
            <w:tcW w:w="2268"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进一步推进征拆扫尾工作</w:t>
            </w:r>
          </w:p>
        </w:tc>
        <w:tc>
          <w:tcPr>
            <w:tcW w:w="2835" w:type="dxa"/>
            <w:vAlign w:val="center"/>
          </w:tcPr>
          <w:p>
            <w:pPr>
              <w:pStyle w:val="12"/>
            </w:pPr>
            <w:r>
              <w:t>妥善安置过渡居民安置率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被征收人满意度</w:t>
            </w:r>
          </w:p>
        </w:tc>
        <w:tc>
          <w:tcPr>
            <w:tcW w:w="2835" w:type="dxa"/>
            <w:vAlign w:val="center"/>
          </w:tcPr>
          <w:p>
            <w:pPr>
              <w:pStyle w:val="12"/>
            </w:pPr>
            <w:r>
              <w:t>被征收人对征收安置工作的满意度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27、“一案两书”等前期费用绩效目标表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1.通过开展“一案两书”编制工作，合规合法申请专项债券资金。</w:t>
            </w:r>
          </w:p>
          <w:p>
            <w:pPr>
              <w:pStyle w:val="12"/>
            </w:pPr>
            <w:r>
              <w:t>2.通过开展“一案两书”编制工作，保障县医院整体迁建项目按时完工。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服务项目数量</w:t>
            </w:r>
          </w:p>
        </w:tc>
        <w:tc>
          <w:tcPr>
            <w:tcW w:w="2835" w:type="dxa"/>
            <w:vAlign w:val="center"/>
          </w:tcPr>
          <w:p>
            <w:pPr>
              <w:pStyle w:val="12"/>
            </w:pPr>
            <w:r>
              <w:t>代建项目数量</w:t>
            </w:r>
          </w:p>
        </w:tc>
        <w:tc>
          <w:tcPr>
            <w:tcW w:w="2551" w:type="dxa"/>
            <w:vAlign w:val="center"/>
          </w:tcPr>
          <w:p>
            <w:pPr>
              <w:pStyle w:val="12"/>
            </w:pPr>
            <w:r>
              <w:t>≥1个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编制一案两书数</w:t>
            </w:r>
          </w:p>
        </w:tc>
        <w:tc>
          <w:tcPr>
            <w:tcW w:w="2835" w:type="dxa"/>
            <w:vAlign w:val="center"/>
          </w:tcPr>
          <w:p>
            <w:pPr>
              <w:pStyle w:val="12"/>
            </w:pPr>
            <w:r>
              <w:t>编制一案两书次数</w:t>
            </w:r>
          </w:p>
        </w:tc>
        <w:tc>
          <w:tcPr>
            <w:tcW w:w="2551" w:type="dxa"/>
            <w:vAlign w:val="center"/>
          </w:tcPr>
          <w:p>
            <w:pPr>
              <w:pStyle w:val="12"/>
            </w:pPr>
            <w:r>
              <w:t>≥2次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手续办理完结率</w:t>
            </w:r>
          </w:p>
        </w:tc>
        <w:tc>
          <w:tcPr>
            <w:tcW w:w="2835" w:type="dxa"/>
            <w:vAlign w:val="center"/>
          </w:tcPr>
          <w:p>
            <w:pPr>
              <w:pStyle w:val="12"/>
            </w:pPr>
            <w:r>
              <w:t>已办理手续与应办理手续比例</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支付合规率</w:t>
            </w:r>
          </w:p>
        </w:tc>
        <w:tc>
          <w:tcPr>
            <w:tcW w:w="2835" w:type="dxa"/>
            <w:vAlign w:val="center"/>
          </w:tcPr>
          <w:p>
            <w:pPr>
              <w:pStyle w:val="12"/>
            </w:pPr>
            <w:r>
              <w:t>合法，合规及时准确进行资金支付</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项目档案资料完备性</w:t>
            </w:r>
          </w:p>
        </w:tc>
        <w:tc>
          <w:tcPr>
            <w:tcW w:w="2835" w:type="dxa"/>
            <w:vAlign w:val="center"/>
          </w:tcPr>
          <w:p>
            <w:pPr>
              <w:pStyle w:val="12"/>
            </w:pPr>
            <w:r>
              <w:t>项目合同书、验收报告、技术鉴定、过程记录等资料是否齐全并及时归档</w:t>
            </w:r>
          </w:p>
        </w:tc>
        <w:tc>
          <w:tcPr>
            <w:tcW w:w="2551" w:type="dxa"/>
            <w:vAlign w:val="center"/>
          </w:tcPr>
          <w:p>
            <w:pPr>
              <w:pStyle w:val="12"/>
            </w:pPr>
            <w:r>
              <w:t>100%</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手续办理及时率</w:t>
            </w:r>
          </w:p>
        </w:tc>
        <w:tc>
          <w:tcPr>
            <w:tcW w:w="2835" w:type="dxa"/>
            <w:vAlign w:val="center"/>
          </w:tcPr>
          <w:p>
            <w:pPr>
              <w:pStyle w:val="12"/>
            </w:pPr>
            <w:r>
              <w:t>实际办理天数与应办理天数对比</w:t>
            </w:r>
          </w:p>
        </w:tc>
        <w:tc>
          <w:tcPr>
            <w:tcW w:w="2551" w:type="dxa"/>
            <w:vAlign w:val="center"/>
          </w:tcPr>
          <w:p>
            <w:pPr>
              <w:pStyle w:val="12"/>
            </w:pPr>
            <w:r>
              <w:t>≤3天</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咨询费成本</w:t>
            </w:r>
          </w:p>
        </w:tc>
        <w:tc>
          <w:tcPr>
            <w:tcW w:w="2835" w:type="dxa"/>
            <w:vAlign w:val="center"/>
          </w:tcPr>
          <w:p>
            <w:pPr>
              <w:pStyle w:val="12"/>
            </w:pPr>
            <w:r>
              <w:t>一案两书编制成本</w:t>
            </w:r>
          </w:p>
        </w:tc>
        <w:tc>
          <w:tcPr>
            <w:tcW w:w="2551" w:type="dxa"/>
            <w:vAlign w:val="center"/>
          </w:tcPr>
          <w:p>
            <w:pPr>
              <w:pStyle w:val="12"/>
            </w:pPr>
            <w:r>
              <w:t>≤25万元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社会效益影响</w:t>
            </w:r>
          </w:p>
        </w:tc>
        <w:tc>
          <w:tcPr>
            <w:tcW w:w="2835" w:type="dxa"/>
            <w:vAlign w:val="center"/>
          </w:tcPr>
          <w:p>
            <w:pPr>
              <w:pStyle w:val="12"/>
            </w:pPr>
            <w:r>
              <w:t>为代建项目依法合规高效推进提供有力支撑。</w:t>
            </w:r>
          </w:p>
        </w:tc>
        <w:tc>
          <w:tcPr>
            <w:tcW w:w="2551" w:type="dxa"/>
            <w:vAlign w:val="center"/>
          </w:tcPr>
          <w:p>
            <w:pPr>
              <w:pStyle w:val="12"/>
            </w:pPr>
            <w:r>
              <w:t>≥10年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服务对象满意数与全部服务对象数比例</w:t>
            </w:r>
          </w:p>
        </w:tc>
        <w:tc>
          <w:tcPr>
            <w:tcW w:w="2551" w:type="dxa"/>
            <w:vAlign w:val="center"/>
          </w:tcPr>
          <w:p>
            <w:pPr>
              <w:pStyle w:val="12"/>
            </w:pPr>
            <w:r>
              <w:t>≥95%</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28、代建项目管理经费绩效目标表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1.通过开展项目前期工作，手续办理合格率达到90%以上、手续办理资料存档率达到100%。</w:t>
            </w:r>
          </w:p>
          <w:p>
            <w:pPr>
              <w:pStyle w:val="12"/>
            </w:pPr>
            <w:r>
              <w:t>2.通过做好项目前期工作，保障项目按时开工建设。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服务项目数量</w:t>
            </w:r>
          </w:p>
        </w:tc>
        <w:tc>
          <w:tcPr>
            <w:tcW w:w="2835" w:type="dxa"/>
            <w:vAlign w:val="center"/>
          </w:tcPr>
          <w:p>
            <w:pPr>
              <w:pStyle w:val="12"/>
            </w:pPr>
            <w:r>
              <w:t>预计代建项目数量</w:t>
            </w:r>
          </w:p>
        </w:tc>
        <w:tc>
          <w:tcPr>
            <w:tcW w:w="2551" w:type="dxa"/>
            <w:vAlign w:val="center"/>
          </w:tcPr>
          <w:p>
            <w:pPr>
              <w:pStyle w:val="12"/>
            </w:pPr>
            <w:r>
              <w:t>≥2个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手续办理完结率</w:t>
            </w:r>
          </w:p>
        </w:tc>
        <w:tc>
          <w:tcPr>
            <w:tcW w:w="2835" w:type="dxa"/>
            <w:vAlign w:val="center"/>
          </w:tcPr>
          <w:p>
            <w:pPr>
              <w:pStyle w:val="12"/>
            </w:pPr>
            <w:r>
              <w:t>已办理手续与应办理手续比例</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项目调整手续完备性</w:t>
            </w:r>
          </w:p>
        </w:tc>
        <w:tc>
          <w:tcPr>
            <w:tcW w:w="2835" w:type="dxa"/>
            <w:vAlign w:val="center"/>
          </w:tcPr>
          <w:p>
            <w:pPr>
              <w:pStyle w:val="12"/>
            </w:pPr>
            <w:r>
              <w:t>项目调整及支出调整手续是否完备</w:t>
            </w:r>
          </w:p>
        </w:tc>
        <w:tc>
          <w:tcPr>
            <w:tcW w:w="2551" w:type="dxa"/>
            <w:vAlign w:val="center"/>
          </w:tcPr>
          <w:p>
            <w:pPr>
              <w:pStyle w:val="12"/>
            </w:pPr>
            <w:r>
              <w:t>100%</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项目档案资料完备性</w:t>
            </w:r>
          </w:p>
        </w:tc>
        <w:tc>
          <w:tcPr>
            <w:tcW w:w="2835" w:type="dxa"/>
            <w:vAlign w:val="center"/>
          </w:tcPr>
          <w:p>
            <w:pPr>
              <w:pStyle w:val="12"/>
            </w:pPr>
            <w:r>
              <w:t>项目合同书、验收报告、技术鉴定、过程记录等资料是否齐全并及时归档</w:t>
            </w:r>
          </w:p>
        </w:tc>
        <w:tc>
          <w:tcPr>
            <w:tcW w:w="2551" w:type="dxa"/>
            <w:vAlign w:val="center"/>
          </w:tcPr>
          <w:p>
            <w:pPr>
              <w:pStyle w:val="12"/>
            </w:pPr>
            <w:r>
              <w:t>100%</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支付合规率</w:t>
            </w:r>
          </w:p>
        </w:tc>
        <w:tc>
          <w:tcPr>
            <w:tcW w:w="2835" w:type="dxa"/>
            <w:vAlign w:val="center"/>
          </w:tcPr>
          <w:p>
            <w:pPr>
              <w:pStyle w:val="12"/>
            </w:pPr>
            <w:r>
              <w:t>合法，合规及时准确进行资金支付</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手续办理及时率</w:t>
            </w:r>
          </w:p>
        </w:tc>
        <w:tc>
          <w:tcPr>
            <w:tcW w:w="2835" w:type="dxa"/>
            <w:vAlign w:val="center"/>
          </w:tcPr>
          <w:p>
            <w:pPr>
              <w:pStyle w:val="12"/>
            </w:pPr>
            <w:r>
              <w:t>实际办理天数与应办理天数对比</w:t>
            </w:r>
          </w:p>
        </w:tc>
        <w:tc>
          <w:tcPr>
            <w:tcW w:w="2551" w:type="dxa"/>
            <w:vAlign w:val="center"/>
          </w:tcPr>
          <w:p>
            <w:pPr>
              <w:pStyle w:val="12"/>
            </w:pPr>
            <w:r>
              <w:t>≤3天</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其他办公经费</w:t>
            </w:r>
          </w:p>
        </w:tc>
        <w:tc>
          <w:tcPr>
            <w:tcW w:w="2835" w:type="dxa"/>
            <w:vAlign w:val="center"/>
          </w:tcPr>
          <w:p>
            <w:pPr>
              <w:pStyle w:val="12"/>
            </w:pPr>
            <w:r>
              <w:t>印刷费、差旅费、办公费、维修费、劳务费及其他交通费用全年合计数</w:t>
            </w:r>
          </w:p>
        </w:tc>
        <w:tc>
          <w:tcPr>
            <w:tcW w:w="2551" w:type="dxa"/>
            <w:vAlign w:val="center"/>
          </w:tcPr>
          <w:p>
            <w:pPr>
              <w:pStyle w:val="12"/>
            </w:pPr>
            <w:r>
              <w:t>≤10.28万元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长期影响</w:t>
            </w:r>
          </w:p>
        </w:tc>
        <w:tc>
          <w:tcPr>
            <w:tcW w:w="2835" w:type="dxa"/>
            <w:vAlign w:val="center"/>
          </w:tcPr>
          <w:p>
            <w:pPr>
              <w:pStyle w:val="12"/>
            </w:pPr>
            <w:r>
              <w:t>为代建项目依法合规高效推进提供有力支撑。</w:t>
            </w:r>
          </w:p>
        </w:tc>
        <w:tc>
          <w:tcPr>
            <w:tcW w:w="2551" w:type="dxa"/>
            <w:vAlign w:val="center"/>
          </w:tcPr>
          <w:p>
            <w:pPr>
              <w:pStyle w:val="12"/>
            </w:pPr>
            <w:r>
              <w:t>≥10年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服务对象满意数与全部服务对象数比例</w:t>
            </w:r>
          </w:p>
        </w:tc>
        <w:tc>
          <w:tcPr>
            <w:tcW w:w="2551" w:type="dxa"/>
            <w:vAlign w:val="center"/>
          </w:tcPr>
          <w:p>
            <w:pPr>
              <w:pStyle w:val="12"/>
            </w:pPr>
            <w:r>
              <w:t>≥95%</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29、代建项目管理经费绩效目标表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1.通过开展项目前期工作，手续办理合格率达到90%以上、手续办理资料存档率达到100%。</w:t>
            </w:r>
            <w:r>
              <w:tab/>
            </w:r>
            <w:r>
              <w:tab/>
            </w:r>
            <w:r>
              <w:tab/>
            </w:r>
            <w:r>
              <w:tab/>
            </w:r>
            <w:r>
              <w:tab/>
            </w:r>
            <w:r>
              <w:tab/>
            </w:r>
          </w:p>
          <w:p>
            <w:pPr>
              <w:pStyle w:val="12"/>
            </w:pPr>
            <w:r>
              <w:t>2.通过做好项目前期工作，保障项目按时开工建设。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服务项目数量</w:t>
            </w:r>
          </w:p>
        </w:tc>
        <w:tc>
          <w:tcPr>
            <w:tcW w:w="2835" w:type="dxa"/>
            <w:vAlign w:val="center"/>
          </w:tcPr>
          <w:p>
            <w:pPr>
              <w:pStyle w:val="12"/>
            </w:pPr>
            <w:r>
              <w:t>预计代建项目数量</w:t>
            </w:r>
          </w:p>
        </w:tc>
        <w:tc>
          <w:tcPr>
            <w:tcW w:w="2551" w:type="dxa"/>
            <w:vAlign w:val="center"/>
          </w:tcPr>
          <w:p>
            <w:pPr>
              <w:pStyle w:val="12"/>
            </w:pPr>
            <w:r>
              <w:t>≥2个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手续办理完结率</w:t>
            </w:r>
          </w:p>
        </w:tc>
        <w:tc>
          <w:tcPr>
            <w:tcW w:w="2835" w:type="dxa"/>
            <w:vAlign w:val="center"/>
          </w:tcPr>
          <w:p>
            <w:pPr>
              <w:pStyle w:val="12"/>
            </w:pPr>
            <w:r>
              <w:t>已办理手续与应办理手续比例</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项目调整手续完备性</w:t>
            </w:r>
          </w:p>
        </w:tc>
        <w:tc>
          <w:tcPr>
            <w:tcW w:w="2835" w:type="dxa"/>
            <w:vAlign w:val="center"/>
          </w:tcPr>
          <w:p>
            <w:pPr>
              <w:pStyle w:val="12"/>
            </w:pPr>
            <w:r>
              <w:t>项目调整及支出调整手续是否完备</w:t>
            </w:r>
          </w:p>
        </w:tc>
        <w:tc>
          <w:tcPr>
            <w:tcW w:w="2551" w:type="dxa"/>
            <w:vAlign w:val="center"/>
          </w:tcPr>
          <w:p>
            <w:pPr>
              <w:pStyle w:val="12"/>
            </w:pPr>
            <w:r>
              <w:t>100%</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项目档案资料完备性</w:t>
            </w:r>
          </w:p>
        </w:tc>
        <w:tc>
          <w:tcPr>
            <w:tcW w:w="2835" w:type="dxa"/>
            <w:vAlign w:val="center"/>
          </w:tcPr>
          <w:p>
            <w:pPr>
              <w:pStyle w:val="12"/>
            </w:pPr>
            <w:r>
              <w:t>项目合同书、验收报告、技术鉴定、过程记录等资料是否齐全并及时归档</w:t>
            </w:r>
          </w:p>
        </w:tc>
        <w:tc>
          <w:tcPr>
            <w:tcW w:w="2551" w:type="dxa"/>
            <w:vAlign w:val="center"/>
          </w:tcPr>
          <w:p>
            <w:pPr>
              <w:pStyle w:val="12"/>
            </w:pPr>
            <w:r>
              <w:t>100%</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支付合规率</w:t>
            </w:r>
          </w:p>
        </w:tc>
        <w:tc>
          <w:tcPr>
            <w:tcW w:w="2835" w:type="dxa"/>
            <w:vAlign w:val="center"/>
          </w:tcPr>
          <w:p>
            <w:pPr>
              <w:pStyle w:val="12"/>
            </w:pPr>
            <w:r>
              <w:t>合法，合规及时准确进行资金支付</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手续办理及时率</w:t>
            </w:r>
          </w:p>
        </w:tc>
        <w:tc>
          <w:tcPr>
            <w:tcW w:w="2835" w:type="dxa"/>
            <w:vAlign w:val="center"/>
          </w:tcPr>
          <w:p>
            <w:pPr>
              <w:pStyle w:val="12"/>
            </w:pPr>
            <w:r>
              <w:t>实际办理天数与应办理天数对比</w:t>
            </w:r>
          </w:p>
        </w:tc>
        <w:tc>
          <w:tcPr>
            <w:tcW w:w="2551" w:type="dxa"/>
            <w:vAlign w:val="center"/>
          </w:tcPr>
          <w:p>
            <w:pPr>
              <w:pStyle w:val="12"/>
            </w:pPr>
            <w:r>
              <w:t>≤3天</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咨询费单位成本</w:t>
            </w:r>
          </w:p>
        </w:tc>
        <w:tc>
          <w:tcPr>
            <w:tcW w:w="2835" w:type="dxa"/>
            <w:vAlign w:val="center"/>
          </w:tcPr>
          <w:p>
            <w:pPr>
              <w:pStyle w:val="12"/>
            </w:pPr>
            <w:r>
              <w:t>律师咨询费单位成本</w:t>
            </w:r>
          </w:p>
        </w:tc>
        <w:tc>
          <w:tcPr>
            <w:tcW w:w="2551" w:type="dxa"/>
            <w:vAlign w:val="center"/>
          </w:tcPr>
          <w:p>
            <w:pPr>
              <w:pStyle w:val="12"/>
            </w:pPr>
            <w:r>
              <w:t>≤0.5万元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其他办公经费</w:t>
            </w:r>
          </w:p>
        </w:tc>
        <w:tc>
          <w:tcPr>
            <w:tcW w:w="2835" w:type="dxa"/>
            <w:vAlign w:val="center"/>
          </w:tcPr>
          <w:p>
            <w:pPr>
              <w:pStyle w:val="12"/>
            </w:pPr>
            <w:r>
              <w:t>印刷费、差旅费、办公费、维修费、劳务费及其他交通费用全年合计数</w:t>
            </w:r>
          </w:p>
        </w:tc>
        <w:tc>
          <w:tcPr>
            <w:tcW w:w="2551" w:type="dxa"/>
            <w:vAlign w:val="center"/>
          </w:tcPr>
          <w:p>
            <w:pPr>
              <w:pStyle w:val="12"/>
            </w:pPr>
            <w:r>
              <w:t>≤15.5万元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社会效益影响</w:t>
            </w:r>
          </w:p>
        </w:tc>
        <w:tc>
          <w:tcPr>
            <w:tcW w:w="2835" w:type="dxa"/>
            <w:vAlign w:val="center"/>
          </w:tcPr>
          <w:p>
            <w:pPr>
              <w:pStyle w:val="12"/>
            </w:pPr>
            <w:r>
              <w:t>为代建项目依法合规高效推进提供有力支撑。</w:t>
            </w:r>
          </w:p>
        </w:tc>
        <w:tc>
          <w:tcPr>
            <w:tcW w:w="2551" w:type="dxa"/>
            <w:vAlign w:val="center"/>
          </w:tcPr>
          <w:p>
            <w:pPr>
              <w:pStyle w:val="12"/>
            </w:pPr>
            <w:r>
              <w:t>≥10年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服务对象满意数与全部服务对象数比例</w:t>
            </w:r>
          </w:p>
        </w:tc>
        <w:tc>
          <w:tcPr>
            <w:tcW w:w="2551" w:type="dxa"/>
            <w:vAlign w:val="center"/>
          </w:tcPr>
          <w:p>
            <w:pPr>
              <w:pStyle w:val="12"/>
            </w:pPr>
            <w:r>
              <w:t>≥95%</w:t>
            </w:r>
          </w:p>
        </w:tc>
        <w:tc>
          <w:tcPr>
            <w:tcW w:w="2268"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2022年，青龙满族自治县人民政府办公室安排政府采购预算45.00万元。具体内容见下表。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45.00</w:t>
            </w:r>
          </w:p>
        </w:tc>
        <w:tc>
          <w:tcPr>
            <w:tcW w:w="964" w:type="dxa"/>
            <w:vAlign w:val="center"/>
          </w:tcPr>
          <w:p>
            <w:pPr>
              <w:pStyle w:val="15"/>
            </w:pPr>
          </w:p>
        </w:tc>
        <w:tc>
          <w:tcPr>
            <w:tcW w:w="964" w:type="dxa"/>
            <w:vAlign w:val="center"/>
          </w:tcPr>
          <w:p>
            <w:pPr>
              <w:pStyle w:val="15"/>
            </w:pPr>
            <w:r>
              <w:t>45.00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青龙满族自治县人民政府办公室本级小计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45.00</w:t>
            </w:r>
          </w:p>
        </w:tc>
        <w:tc>
          <w:tcPr>
            <w:tcW w:w="964" w:type="dxa"/>
            <w:vAlign w:val="center"/>
          </w:tcPr>
          <w:p>
            <w:pPr>
              <w:pStyle w:val="15"/>
            </w:pPr>
          </w:p>
        </w:tc>
        <w:tc>
          <w:tcPr>
            <w:tcW w:w="964" w:type="dxa"/>
            <w:vAlign w:val="center"/>
          </w:tcPr>
          <w:p>
            <w:pPr>
              <w:pStyle w:val="15"/>
            </w:pPr>
            <w:r>
              <w:t>45.00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地方志年鉴编纂出版专项经费</w:t>
            </w:r>
          </w:p>
        </w:tc>
        <w:tc>
          <w:tcPr>
            <w:tcW w:w="964" w:type="dxa"/>
            <w:vAlign w:val="center"/>
          </w:tcPr>
          <w:p>
            <w:pPr>
              <w:pStyle w:val="11"/>
            </w:pPr>
            <w:r>
              <w:t>55.00</w:t>
            </w:r>
          </w:p>
        </w:tc>
        <w:tc>
          <w:tcPr>
            <w:tcW w:w="1134" w:type="dxa"/>
            <w:vAlign w:val="center"/>
          </w:tcPr>
          <w:p>
            <w:pPr>
              <w:pStyle w:val="12"/>
            </w:pPr>
            <w:r>
              <w:t>年鉴及系列丛书</w:t>
            </w:r>
          </w:p>
        </w:tc>
        <w:tc>
          <w:tcPr>
            <w:tcW w:w="1134" w:type="dxa"/>
            <w:vAlign w:val="center"/>
          </w:tcPr>
          <w:p>
            <w:pPr>
              <w:pStyle w:val="12"/>
            </w:pPr>
            <w:r>
              <w:t>A05010104</w:t>
            </w:r>
          </w:p>
        </w:tc>
        <w:tc>
          <w:tcPr>
            <w:tcW w:w="709" w:type="dxa"/>
            <w:vAlign w:val="center"/>
          </w:tcPr>
          <w:p>
            <w:pPr>
              <w:pStyle w:val="13"/>
            </w:pPr>
            <w:r>
              <w:t>万元</w:t>
            </w:r>
          </w:p>
        </w:tc>
        <w:tc>
          <w:tcPr>
            <w:tcW w:w="850" w:type="dxa"/>
            <w:vAlign w:val="center"/>
          </w:tcPr>
          <w:p>
            <w:pPr>
              <w:pStyle w:val="11"/>
            </w:pPr>
            <w:r>
              <w:t>2250</w:t>
            </w:r>
          </w:p>
        </w:tc>
        <w:tc>
          <w:tcPr>
            <w:tcW w:w="850" w:type="dxa"/>
            <w:vAlign w:val="center"/>
          </w:tcPr>
          <w:p>
            <w:pPr>
              <w:pStyle w:val="11"/>
            </w:pPr>
            <w:r>
              <w:t>0.02</w:t>
            </w:r>
          </w:p>
        </w:tc>
        <w:tc>
          <w:tcPr>
            <w:tcW w:w="964" w:type="dxa"/>
            <w:vAlign w:val="center"/>
          </w:tcPr>
          <w:p>
            <w:pPr>
              <w:pStyle w:val="11"/>
            </w:pPr>
            <w:r>
              <w:t>45.00</w:t>
            </w:r>
          </w:p>
        </w:tc>
        <w:tc>
          <w:tcPr>
            <w:tcW w:w="964" w:type="dxa"/>
            <w:vAlign w:val="center"/>
          </w:tcPr>
          <w:p>
            <w:pPr>
              <w:pStyle w:val="11"/>
            </w:pPr>
          </w:p>
        </w:tc>
        <w:tc>
          <w:tcPr>
            <w:tcW w:w="964" w:type="dxa"/>
            <w:vAlign w:val="center"/>
          </w:tcPr>
          <w:p>
            <w:pPr>
              <w:pStyle w:val="11"/>
            </w:pPr>
            <w:r>
              <w:t>45.00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青龙满族自治县人民政府办公室（含所属单位）上年末固定资产金额为1057.49万元（详见下表）。本年度拟购置固定资产总额为2.80万元，</w:t>
      </w:r>
      <w:r>
        <w:rPr>
          <w:rFonts w:hint="eastAsia" w:eastAsia="方正仿宋_GBK"/>
          <w:color w:val="000000"/>
          <w:sz w:val="28"/>
          <w:lang w:val="en-US" w:eastAsia="zh-CN"/>
        </w:rPr>
        <w:t>主要购置资产有办公电脑、打印机、碎纸机等2万元；办公桌椅等用品0.8万元，</w:t>
      </w:r>
      <w:r>
        <w:rPr>
          <w:rFonts w:eastAsia="方正仿宋_GBK"/>
          <w:color w:val="000000"/>
          <w:sz w:val="28"/>
        </w:rPr>
        <w:t>已按要求列入</w:t>
      </w:r>
      <w:r>
        <w:rPr>
          <w:rFonts w:hint="eastAsia" w:eastAsia="方正仿宋_GBK"/>
          <w:color w:val="000000"/>
          <w:sz w:val="28"/>
          <w:lang w:val="en-US" w:eastAsia="zh-CN"/>
        </w:rPr>
        <w:t>年初</w:t>
      </w:r>
      <w:r>
        <w:rPr>
          <w:rFonts w:eastAsia="方正仿宋_GBK"/>
          <w:color w:val="000000"/>
          <w:sz w:val="28"/>
        </w:rPr>
        <w:t>预算。</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434青龙满族自治县人民政府办公室</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1057.49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76</w:t>
            </w:r>
          </w:p>
        </w:tc>
        <w:tc>
          <w:tcPr>
            <w:tcW w:w="2835" w:type="dxa"/>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10</w:t>
            </w:r>
          </w:p>
        </w:tc>
        <w:tc>
          <w:tcPr>
            <w:tcW w:w="2835" w:type="dxa"/>
            <w:vAlign w:val="center"/>
          </w:tcPr>
          <w:p>
            <w:pPr>
              <w:pStyle w:val="11"/>
            </w:pPr>
            <w:r>
              <w:t>237.03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695</w:t>
            </w:r>
          </w:p>
        </w:tc>
        <w:tc>
          <w:tcPr>
            <w:tcW w:w="2835" w:type="dxa"/>
            <w:vAlign w:val="center"/>
          </w:tcPr>
          <w:p>
            <w:pPr>
              <w:pStyle w:val="11"/>
            </w:pPr>
            <w:r>
              <w:t>812.76</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我门无其他需要说明的事项。</w:t>
      </w:r>
    </w:p>
    <w:p>
      <w:pPr>
        <w:jc w:val="cente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WJhYThmMDM1YmZjODZhZjM1YjRhZjU5NTg2MmVhMTEifQ=="/>
  </w:docVars>
  <w:rsids>
    <w:rsidRoot w:val="005736E1"/>
    <w:rsid w:val="001510AC"/>
    <w:rsid w:val="001A608D"/>
    <w:rsid w:val="00261B73"/>
    <w:rsid w:val="0028406E"/>
    <w:rsid w:val="002C5308"/>
    <w:rsid w:val="003C678F"/>
    <w:rsid w:val="0048188B"/>
    <w:rsid w:val="005736E1"/>
    <w:rsid w:val="00663E91"/>
    <w:rsid w:val="00D75FD0"/>
    <w:rsid w:val="00E70C7D"/>
    <w:rsid w:val="00FC4F85"/>
    <w:rsid w:val="06743DBC"/>
    <w:rsid w:val="085915D8"/>
    <w:rsid w:val="09E81BCC"/>
    <w:rsid w:val="11BC387F"/>
    <w:rsid w:val="19CC4471"/>
    <w:rsid w:val="1C0B2700"/>
    <w:rsid w:val="20AC3CE5"/>
    <w:rsid w:val="364E72B1"/>
    <w:rsid w:val="443C3A0C"/>
    <w:rsid w:val="4CDC7349"/>
    <w:rsid w:val="55D84087"/>
    <w:rsid w:val="561B7289"/>
    <w:rsid w:val="5F4227B8"/>
    <w:rsid w:val="69515DEF"/>
    <w:rsid w:val="73800994"/>
    <w:rsid w:val="7E0D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6" Type="http://schemas.openxmlformats.org/officeDocument/2006/relationships/fontTable" Target="fontTable.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2022-02-21T16:36:09Z</dcterms:created>
  <dcterms:modified xsi:type="dcterms:W3CDTF">2022-02-21T08:36:09Z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2022-02-21T16:36:09Z</dcterms:created>
  <dcterms:modified xsi:type="dcterms:W3CDTF">2022-02-21T08:36:09Z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2022-02-21T16:36:24Z</dcterms:created>
  <dcterms:modified xsi:type="dcterms:W3CDTF">2022-02-21T08:36:24Z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2022-02-21T16:36:24Z</dcterms:created>
  <dcterms:modified xsi:type="dcterms:W3CDTF">2022-02-21T08:36:24Z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2022-02-21T16:36:10Z</dcterms:created>
  <dcterms:modified xsi:type="dcterms:W3CDTF">2022-02-21T08:36:10Z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2022-02-21T16:36:10Z</dcterms:created>
  <dcterms:modified xsi:type="dcterms:W3CDTF">2022-02-21T08:36:10Z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2022-02-21T16:36:17Z</dcterms:created>
  <dcterms:modified xsi:type="dcterms:W3CDTF">2022-02-21T08:36:17Z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2022-02-21T16:36:17Z</dcterms:created>
  <dcterms:modified xsi:type="dcterms:W3CDTF">2022-02-21T08:36:17Z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2022-02-21T16:36:23Z</dcterms:created>
  <dcterms:modified xsi:type="dcterms:W3CDTF">2022-02-21T08:36:23Z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2022-02-21T16:36:08Z</dcterms:created>
  <dcterms:modified xsi:type="dcterms:W3CDTF">2022-02-21T08:36:08Z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2022-02-21T16:36:15Z</dcterms:created>
  <dcterms:modified xsi:type="dcterms:W3CDTF">2022-02-21T08:36:15Z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2022-02-21T16:36:29Z</dcterms:created>
  <dcterms:modified xsi:type="dcterms:W3CDTF">2022-02-21T08:36:29Z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2022-02-21T16:36:24Z</dcterms:created>
  <dcterms:modified xsi:type="dcterms:W3CDTF">2022-02-21T08:36:24Z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2022-02-21T16:36:14Z</dcterms:created>
  <dcterms:modified xsi:type="dcterms:W3CDTF">2022-02-21T08:36:14Z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2022-02-21T16:36:29Z</dcterms:created>
  <dcterms:modified xsi:type="dcterms:W3CDTF">2022-02-21T08:36:29Z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2022-02-21T16:36:09Z</dcterms:created>
  <dcterms:modified xsi:type="dcterms:W3CDTF">2022-02-21T08:36:09Z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2022-02-21T16:36:10Z</dcterms:created>
  <dcterms:modified xsi:type="dcterms:W3CDTF">2022-02-21T08:36:10Z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2022-02-21T16:36:10Z</dcterms:created>
  <dcterms:modified xsi:type="dcterms:W3CDTF">2022-02-21T08:36:10Z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2022-02-21T16:36:14Z</dcterms:created>
  <dcterms:modified xsi:type="dcterms:W3CDTF">2022-02-21T08:36:14Z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2022-02-21T16:36:14Z</dcterms:created>
  <dcterms:modified xsi:type="dcterms:W3CDTF">2022-02-21T08:36:14Z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2022-02-21T16:36:09Z</dcterms:created>
  <dcterms:modified xsi:type="dcterms:W3CDTF">2022-02-21T08:36:09Z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2022-02-21T16:36:09Z</dcterms:created>
  <dcterms:modified xsi:type="dcterms:W3CDTF">2022-02-21T08:36:09Z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2022-02-21T16:36:08Z</dcterms:created>
  <dcterms:modified xsi:type="dcterms:W3CDTF">2022-02-21T08:36:08Z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2022-02-21T16:36:09Z</dcterms:created>
  <dcterms:modified xsi:type="dcterms:W3CDTF">2022-02-21T08:36:09Z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2022-02-21T16:36:19Z</dcterms:created>
  <dcterms:modified xsi:type="dcterms:W3CDTF">2022-02-21T08:36:19Z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2022-02-21T16:36:09Z</dcterms:created>
  <dcterms:modified xsi:type="dcterms:W3CDTF">2022-02-21T08:36:09Z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2022-02-21T16:36:14Z</dcterms:created>
  <dcterms:modified xsi:type="dcterms:W3CDTF">2022-02-21T08:36:14Z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2022-02-21T16:36:15Z</dcterms:created>
  <dcterms:modified xsi:type="dcterms:W3CDTF">2022-02-21T08:36:15Z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2022-02-21T16:36:14Z</dcterms:created>
  <dcterms:modified xsi:type="dcterms:W3CDTF">2022-02-21T08:36:14Z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2022-02-21T16:36:26Z</dcterms:created>
  <dcterms:modified xsi:type="dcterms:W3CDTF">2022-02-21T08:36:26Z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2022-02-21T16:36:17Z</dcterms:created>
  <dcterms:modified xsi:type="dcterms:W3CDTF">2022-02-21T08:36:17Z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2022-02-21T16:36:11Z</dcterms:created>
  <dcterms:modified xsi:type="dcterms:W3CDTF">2022-02-21T08:36:11Z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2022-02-21T16:36:24Z</dcterms:created>
  <dcterms:modified xsi:type="dcterms:W3CDTF">2022-02-21T08:36:24Z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2022-02-21T16:36:10Z</dcterms:created>
  <dcterms:modified xsi:type="dcterms:W3CDTF">2022-02-21T08:36:09Z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2022-02-21T16:36:10Z</dcterms:created>
  <dcterms:modified xsi:type="dcterms:W3CDTF">2022-02-21T08:36:10Z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2022-02-21T16:36:29Z</dcterms:created>
  <dcterms:modified xsi:type="dcterms:W3CDTF">2022-02-21T08:36:29Z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2022-02-21T16:36:08Z</dcterms:created>
  <dcterms:modified xsi:type="dcterms:W3CDTF">2022-02-21T08:36:08Z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2022-02-21T16:36:09Z</dcterms:created>
  <dcterms:modified xsi:type="dcterms:W3CDTF">2022-02-21T08:36:09Z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2022-02-21T16:36:21Z</dcterms:created>
  <dcterms:modified xsi:type="dcterms:W3CDTF">2022-02-21T08:36:21Z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2022-02-21T16:36:14Z</dcterms:created>
  <dcterms:modified xsi:type="dcterms:W3CDTF">2022-02-21T08:36:14Z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2022-02-21T16:36:21Z</dcterms:created>
  <dcterms:modified xsi:type="dcterms:W3CDTF">2022-02-21T08:36:21Z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2022-02-21T16:36:10Z</dcterms:created>
  <dcterms:modified xsi:type="dcterms:W3CDTF">2022-02-21T08:36:10Z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2022-02-21T16:36:17Z</dcterms:created>
  <dcterms:modified xsi:type="dcterms:W3CDTF">2022-02-21T08:36:16Z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2022-02-21T16:36:29Z</dcterms:created>
  <dcterms:modified xsi:type="dcterms:W3CDTF">2022-02-21T08:36:28Z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2022-02-21T16:36:15Z</dcterms:created>
  <dcterms:modified xsi:type="dcterms:W3CDTF">2022-02-21T08:36:15Z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2022-02-21T16:36:08Z</dcterms:created>
  <dcterms:modified xsi:type="dcterms:W3CDTF">2022-02-21T08:36:08Z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2022-02-21T16:36:14Z</dcterms:created>
  <dcterms:modified xsi:type="dcterms:W3CDTF">2022-02-21T08:36:14Z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2022-02-21T16:36:14Z</dcterms:created>
  <dcterms:modified xsi:type="dcterms:W3CDTF">2022-02-21T08:36:14Z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2022-02-21T16:36:19Z</dcterms:created>
  <dcterms:modified xsi:type="dcterms:W3CDTF">2022-02-21T08:36:19Z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2022-02-21T16:36:09Z</dcterms:created>
  <dcterms:modified xsi:type="dcterms:W3CDTF">2022-02-21T08:36:09Z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2022-02-21T16:36:14Z</dcterms:created>
  <dcterms:modified xsi:type="dcterms:W3CDTF">2022-02-21T08:36:14Z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2022-02-21T16:36:05Z</dcterms:created>
  <dcterms:modified xsi:type="dcterms:W3CDTF">2022-02-21T08:36:05Z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2022-02-21T16:36:15Z</dcterms:created>
  <dcterms:modified xsi:type="dcterms:W3CDTF">2022-02-21T08:36:15Z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2022-02-21T16:36:19Z</dcterms:created>
  <dcterms:modified xsi:type="dcterms:W3CDTF">2022-02-21T08:36:19Z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2022-02-21T16:36:10Z</dcterms:created>
  <dcterms:modified xsi:type="dcterms:W3CDTF">2022-02-21T08:36:10Z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2022-02-21T16:36:12Z</dcterms:created>
  <dcterms:modified xsi:type="dcterms:W3CDTF">2022-02-21T08:36:12Z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2022-02-21T16:36:25Z</dcterms:created>
  <dcterms:modified xsi:type="dcterms:W3CDTF">2022-02-21T08:36:25Z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2022-02-21T16:36:10Z</dcterms:created>
  <dcterms:modified xsi:type="dcterms:W3CDTF">2022-02-21T08:36:10Z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2022-02-21T16:36:23Z</dcterms:created>
  <dcterms:modified xsi:type="dcterms:W3CDTF">2022-02-21T08:36:23Z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2022-02-21T16:36:14Z</dcterms:created>
  <dcterms:modified xsi:type="dcterms:W3CDTF">2022-02-21T08:36:14Z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2022-02-21T16:36:14Z</dcterms:created>
  <dcterms:modified xsi:type="dcterms:W3CDTF">2022-02-21T08:36:14Z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2022-02-21T16:36:10Z</dcterms:created>
  <dcterms:modified xsi:type="dcterms:W3CDTF">2022-02-21T08:36:10Z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2022-02-21T16:36:10Z</dcterms:created>
  <dcterms:modified xsi:type="dcterms:W3CDTF">2022-02-21T08:36:10Z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2022-02-21T16:36:09Z</dcterms:created>
  <dcterms:modified xsi:type="dcterms:W3CDTF">2022-02-21T08:36:09Z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2022-02-21T16:36:23Z</dcterms:created>
  <dcterms:modified xsi:type="dcterms:W3CDTF">2022-02-21T08:36:23Z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2022-02-21T16:36:09Z</dcterms:created>
  <dcterms:modified xsi:type="dcterms:W3CDTF">2022-02-21T08:36:09Z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2022-02-21T16:36:24Z</dcterms:created>
  <dcterms:modified xsi:type="dcterms:W3CDTF">2022-02-21T08:36:24Z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2022-02-21T16:36:15Z</dcterms:created>
  <dcterms:modified xsi:type="dcterms:W3CDTF">2022-02-21T08:36:15Z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2022-02-21T16:36:14Z</dcterms:created>
  <dcterms:modified xsi:type="dcterms:W3CDTF">2022-02-21T08:36:14Z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2022-02-21T16:36:17Z</dcterms:created>
  <dcterms:modified xsi:type="dcterms:W3CDTF">2022-02-21T08:36:17Z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2022-02-21T16:36:29Z</dcterms:created>
  <dcterms:modified xsi:type="dcterms:W3CDTF">2022-02-21T08:36:29Z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2022-02-21T16:36:10Z</dcterms:created>
  <dcterms:modified xsi:type="dcterms:W3CDTF">2022-02-21T08:36:10Z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2022-02-21T16:36:09Z</dcterms:created>
  <dcterms:modified xsi:type="dcterms:W3CDTF">2022-02-21T08:36:09Z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2022-02-21T16:36:09Z</dcterms:created>
  <dcterms:modified xsi:type="dcterms:W3CDTF">2022-02-21T08:36:09Z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2022-02-21T16:36:08Z</dcterms:created>
  <dcterms:modified xsi:type="dcterms:W3CDTF">2022-02-21T08:36:08Z</dcterms:modified>
</cp:coreProperties>
</file>

<file path=customXml/itemProps1.xml><?xml version="1.0" encoding="utf-8"?>
<ds:datastoreItem xmlns:ds="http://schemas.openxmlformats.org/officeDocument/2006/customXml" ds:itemID="{DA33ED05-5D7A-4F69-94C1-F89F9C92DA25}">
  <ds:schemaRefs/>
</ds:datastoreItem>
</file>

<file path=customXml/itemProps10.xml><?xml version="1.0" encoding="utf-8"?>
<ds:datastoreItem xmlns:ds="http://schemas.openxmlformats.org/officeDocument/2006/customXml" ds:itemID="{66CE8AE1-C357-4B50-B154-B59E84195838}">
  <ds:schemaRefs/>
</ds:datastoreItem>
</file>

<file path=customXml/itemProps100.xml><?xml version="1.0" encoding="utf-8"?>
<ds:datastoreItem xmlns:ds="http://schemas.openxmlformats.org/officeDocument/2006/customXml" ds:itemID="{EEE2EAE6-A888-4AF8-B560-38663D93EE93}">
  <ds:schemaRefs/>
</ds:datastoreItem>
</file>

<file path=customXml/itemProps101.xml><?xml version="1.0" encoding="utf-8"?>
<ds:datastoreItem xmlns:ds="http://schemas.openxmlformats.org/officeDocument/2006/customXml" ds:itemID="{E1DEB796-F9E2-4594-9BE0-B140AEBF0AB9}">
  <ds:schemaRefs/>
</ds:datastoreItem>
</file>

<file path=customXml/itemProps102.xml><?xml version="1.0" encoding="utf-8"?>
<ds:datastoreItem xmlns:ds="http://schemas.openxmlformats.org/officeDocument/2006/customXml" ds:itemID="{6C35ACDC-5A18-4019-B6B4-B01544BF32E5}">
  <ds:schemaRefs/>
</ds:datastoreItem>
</file>

<file path=customXml/itemProps103.xml><?xml version="1.0" encoding="utf-8"?>
<ds:datastoreItem xmlns:ds="http://schemas.openxmlformats.org/officeDocument/2006/customXml" ds:itemID="{89E7AD55-F2FC-4A70-B080-70290F7F24D7}">
  <ds:schemaRefs/>
</ds:datastoreItem>
</file>

<file path=customXml/itemProps104.xml><?xml version="1.0" encoding="utf-8"?>
<ds:datastoreItem xmlns:ds="http://schemas.openxmlformats.org/officeDocument/2006/customXml" ds:itemID="{24C3FFB4-01D8-49E2-93D3-A37634A3D8B6}">
  <ds:schemaRefs/>
</ds:datastoreItem>
</file>

<file path=customXml/itemProps105.xml><?xml version="1.0" encoding="utf-8"?>
<ds:datastoreItem xmlns:ds="http://schemas.openxmlformats.org/officeDocument/2006/customXml" ds:itemID="{F4FF78A0-96EF-4750-B20E-F2777DB6074C}">
  <ds:schemaRefs/>
</ds:datastoreItem>
</file>

<file path=customXml/itemProps106.xml><?xml version="1.0" encoding="utf-8"?>
<ds:datastoreItem xmlns:ds="http://schemas.openxmlformats.org/officeDocument/2006/customXml" ds:itemID="{1E0EA4E9-5E8C-45FE-8B1F-C71DA53D317B}">
  <ds:schemaRefs/>
</ds:datastoreItem>
</file>

<file path=customXml/itemProps107.xml><?xml version="1.0" encoding="utf-8"?>
<ds:datastoreItem xmlns:ds="http://schemas.openxmlformats.org/officeDocument/2006/customXml" ds:itemID="{D0D49C17-43CC-4038-A46D-860C2F255A18}">
  <ds:schemaRefs/>
</ds:datastoreItem>
</file>

<file path=customXml/itemProps108.xml><?xml version="1.0" encoding="utf-8"?>
<ds:datastoreItem xmlns:ds="http://schemas.openxmlformats.org/officeDocument/2006/customXml" ds:itemID="{3272CC13-B950-4C54-9622-0999506FEE9F}">
  <ds:schemaRefs/>
</ds:datastoreItem>
</file>

<file path=customXml/itemProps109.xml><?xml version="1.0" encoding="utf-8"?>
<ds:datastoreItem xmlns:ds="http://schemas.openxmlformats.org/officeDocument/2006/customXml" ds:itemID="{D4B87722-B92D-4F08-B00E-D87E9E6E72D3}">
  <ds:schemaRefs/>
</ds:datastoreItem>
</file>

<file path=customXml/itemProps11.xml><?xml version="1.0" encoding="utf-8"?>
<ds:datastoreItem xmlns:ds="http://schemas.openxmlformats.org/officeDocument/2006/customXml" ds:itemID="{ED2935F8-8D92-4EAE-A7D0-3D0EE4ABAFEB}">
  <ds:schemaRefs/>
</ds:datastoreItem>
</file>

<file path=customXml/itemProps110.xml><?xml version="1.0" encoding="utf-8"?>
<ds:datastoreItem xmlns:ds="http://schemas.openxmlformats.org/officeDocument/2006/customXml" ds:itemID="{F3C04A42-EF59-4ABC-9D8A-8E106A8AF505}">
  <ds:schemaRefs/>
</ds:datastoreItem>
</file>

<file path=customXml/itemProps111.xml><?xml version="1.0" encoding="utf-8"?>
<ds:datastoreItem xmlns:ds="http://schemas.openxmlformats.org/officeDocument/2006/customXml" ds:itemID="{635D9139-9120-4953-A206-9DEB15DF8F13}">
  <ds:schemaRefs/>
</ds:datastoreItem>
</file>

<file path=customXml/itemProps112.xml><?xml version="1.0" encoding="utf-8"?>
<ds:datastoreItem xmlns:ds="http://schemas.openxmlformats.org/officeDocument/2006/customXml" ds:itemID="{CCF0EDE7-0E6A-41EB-ACAE-B5CD37D4BB25}">
  <ds:schemaRefs/>
</ds:datastoreItem>
</file>

<file path=customXml/itemProps113.xml><?xml version="1.0" encoding="utf-8"?>
<ds:datastoreItem xmlns:ds="http://schemas.openxmlformats.org/officeDocument/2006/customXml" ds:itemID="{3630CCB4-9272-4ABC-9D7D-28CD8A462F09}">
  <ds:schemaRefs/>
</ds:datastoreItem>
</file>

<file path=customXml/itemProps114.xml><?xml version="1.0" encoding="utf-8"?>
<ds:datastoreItem xmlns:ds="http://schemas.openxmlformats.org/officeDocument/2006/customXml" ds:itemID="{6A79DE3B-5CD8-441A-AC8A-62E073C6D948}">
  <ds:schemaRefs/>
</ds:datastoreItem>
</file>

<file path=customXml/itemProps115.xml><?xml version="1.0" encoding="utf-8"?>
<ds:datastoreItem xmlns:ds="http://schemas.openxmlformats.org/officeDocument/2006/customXml" ds:itemID="{058C125F-ECA3-4A5C-AC87-CD4F3ACB4BC6}">
  <ds:schemaRefs/>
</ds:datastoreItem>
</file>

<file path=customXml/itemProps116.xml><?xml version="1.0" encoding="utf-8"?>
<ds:datastoreItem xmlns:ds="http://schemas.openxmlformats.org/officeDocument/2006/customXml" ds:itemID="{60C40FD6-BCB7-40BE-A7CA-12D0A6E8C10E}">
  <ds:schemaRefs/>
</ds:datastoreItem>
</file>

<file path=customXml/itemProps117.xml><?xml version="1.0" encoding="utf-8"?>
<ds:datastoreItem xmlns:ds="http://schemas.openxmlformats.org/officeDocument/2006/customXml" ds:itemID="{39D8C943-0BCB-404F-A71B-F005E643D84A}">
  <ds:schemaRefs/>
</ds:datastoreItem>
</file>

<file path=customXml/itemProps118.xml><?xml version="1.0" encoding="utf-8"?>
<ds:datastoreItem xmlns:ds="http://schemas.openxmlformats.org/officeDocument/2006/customXml" ds:itemID="{994A3564-8A69-4A23-84DE-0CBE4A42B1A1}">
  <ds:schemaRefs/>
</ds:datastoreItem>
</file>

<file path=customXml/itemProps119.xml><?xml version="1.0" encoding="utf-8"?>
<ds:datastoreItem xmlns:ds="http://schemas.openxmlformats.org/officeDocument/2006/customXml" ds:itemID="{992C5D95-F2CC-46D0-AB20-C163D96A08C4}">
  <ds:schemaRefs/>
</ds:datastoreItem>
</file>

<file path=customXml/itemProps12.xml><?xml version="1.0" encoding="utf-8"?>
<ds:datastoreItem xmlns:ds="http://schemas.openxmlformats.org/officeDocument/2006/customXml" ds:itemID="{52C55F59-D47D-4EEC-A98F-CAA0FA8018EA}">
  <ds:schemaRefs/>
</ds:datastoreItem>
</file>

<file path=customXml/itemProps120.xml><?xml version="1.0" encoding="utf-8"?>
<ds:datastoreItem xmlns:ds="http://schemas.openxmlformats.org/officeDocument/2006/customXml" ds:itemID="{4B58367E-D26C-4752-802D-5D7E79CC9225}">
  <ds:schemaRefs/>
</ds:datastoreItem>
</file>

<file path=customXml/itemProps121.xml><?xml version="1.0" encoding="utf-8"?>
<ds:datastoreItem xmlns:ds="http://schemas.openxmlformats.org/officeDocument/2006/customXml" ds:itemID="{5EF0C835-AF19-41EE-BA51-8F7C064EB44A}">
  <ds:schemaRefs/>
</ds:datastoreItem>
</file>

<file path=customXml/itemProps122.xml><?xml version="1.0" encoding="utf-8"?>
<ds:datastoreItem xmlns:ds="http://schemas.openxmlformats.org/officeDocument/2006/customXml" ds:itemID="{3804318B-8D44-4B6A-AD97-84CE2FCB0A70}">
  <ds:schemaRefs/>
</ds:datastoreItem>
</file>

<file path=customXml/itemProps123.xml><?xml version="1.0" encoding="utf-8"?>
<ds:datastoreItem xmlns:ds="http://schemas.openxmlformats.org/officeDocument/2006/customXml" ds:itemID="{553AB4FA-4E29-495B-921F-7327A9FF4274}">
  <ds:schemaRefs/>
</ds:datastoreItem>
</file>

<file path=customXml/itemProps124.xml><?xml version="1.0" encoding="utf-8"?>
<ds:datastoreItem xmlns:ds="http://schemas.openxmlformats.org/officeDocument/2006/customXml" ds:itemID="{62803AFA-8275-4169-82CE-79F7371B8BCD}">
  <ds:schemaRefs/>
</ds:datastoreItem>
</file>

<file path=customXml/itemProps125.xml><?xml version="1.0" encoding="utf-8"?>
<ds:datastoreItem xmlns:ds="http://schemas.openxmlformats.org/officeDocument/2006/customXml" ds:itemID="{34C77644-5E23-4CA0-8110-F7B5BFA08232}">
  <ds:schemaRefs/>
</ds:datastoreItem>
</file>

<file path=customXml/itemProps126.xml><?xml version="1.0" encoding="utf-8"?>
<ds:datastoreItem xmlns:ds="http://schemas.openxmlformats.org/officeDocument/2006/customXml" ds:itemID="{4CB1787A-30DE-484D-BA16-807A9EED5EE5}">
  <ds:schemaRefs/>
</ds:datastoreItem>
</file>

<file path=customXml/itemProps127.xml><?xml version="1.0" encoding="utf-8"?>
<ds:datastoreItem xmlns:ds="http://schemas.openxmlformats.org/officeDocument/2006/customXml" ds:itemID="{17A2E13E-2BD0-4551-BBBE-2CDD21F2DAB4}">
  <ds:schemaRefs/>
</ds:datastoreItem>
</file>

<file path=customXml/itemProps128.xml><?xml version="1.0" encoding="utf-8"?>
<ds:datastoreItem xmlns:ds="http://schemas.openxmlformats.org/officeDocument/2006/customXml" ds:itemID="{00F721D0-6AF2-4CA6-A0AB-143999762D09}">
  <ds:schemaRefs/>
</ds:datastoreItem>
</file>

<file path=customXml/itemProps129.xml><?xml version="1.0" encoding="utf-8"?>
<ds:datastoreItem xmlns:ds="http://schemas.openxmlformats.org/officeDocument/2006/customXml" ds:itemID="{9CA9CD7C-552A-4E50-A732-1A9DC0D5605A}">
  <ds:schemaRefs/>
</ds:datastoreItem>
</file>

<file path=customXml/itemProps13.xml><?xml version="1.0" encoding="utf-8"?>
<ds:datastoreItem xmlns:ds="http://schemas.openxmlformats.org/officeDocument/2006/customXml" ds:itemID="{090A398C-A559-4BA7-B507-D2B1139806CF}">
  <ds:schemaRefs/>
</ds:datastoreItem>
</file>

<file path=customXml/itemProps130.xml><?xml version="1.0" encoding="utf-8"?>
<ds:datastoreItem xmlns:ds="http://schemas.openxmlformats.org/officeDocument/2006/customXml" ds:itemID="{C5AF5C1D-24CD-46B1-95AC-C9A84863606C}">
  <ds:schemaRefs/>
</ds:datastoreItem>
</file>

<file path=customXml/itemProps131.xml><?xml version="1.0" encoding="utf-8"?>
<ds:datastoreItem xmlns:ds="http://schemas.openxmlformats.org/officeDocument/2006/customXml" ds:itemID="{FE4C795A-209A-42F6-8371-B0A515BCC1FD}">
  <ds:schemaRefs/>
</ds:datastoreItem>
</file>

<file path=customXml/itemProps132.xml><?xml version="1.0" encoding="utf-8"?>
<ds:datastoreItem xmlns:ds="http://schemas.openxmlformats.org/officeDocument/2006/customXml" ds:itemID="{909AE6DE-032E-4B5F-9884-A5BAA162D644}">
  <ds:schemaRefs/>
</ds:datastoreItem>
</file>

<file path=customXml/itemProps133.xml><?xml version="1.0" encoding="utf-8"?>
<ds:datastoreItem xmlns:ds="http://schemas.openxmlformats.org/officeDocument/2006/customXml" ds:itemID="{01104FB9-5E3D-4D23-8CEC-D068C7EF89B6}">
  <ds:schemaRefs/>
</ds:datastoreItem>
</file>

<file path=customXml/itemProps134.xml><?xml version="1.0" encoding="utf-8"?>
<ds:datastoreItem xmlns:ds="http://schemas.openxmlformats.org/officeDocument/2006/customXml" ds:itemID="{A5EB8421-D644-4E41-9182-B12830B8A023}">
  <ds:schemaRefs/>
</ds:datastoreItem>
</file>

<file path=customXml/itemProps135.xml><?xml version="1.0" encoding="utf-8"?>
<ds:datastoreItem xmlns:ds="http://schemas.openxmlformats.org/officeDocument/2006/customXml" ds:itemID="{66213150-B092-480B-8936-5FF0E84D2FB6}">
  <ds:schemaRefs/>
</ds:datastoreItem>
</file>

<file path=customXml/itemProps136.xml><?xml version="1.0" encoding="utf-8"?>
<ds:datastoreItem xmlns:ds="http://schemas.openxmlformats.org/officeDocument/2006/customXml" ds:itemID="{FC1A8633-51FD-4768-9267-EAFE05D29F7A}">
  <ds:schemaRefs/>
</ds:datastoreItem>
</file>

<file path=customXml/itemProps137.xml><?xml version="1.0" encoding="utf-8"?>
<ds:datastoreItem xmlns:ds="http://schemas.openxmlformats.org/officeDocument/2006/customXml" ds:itemID="{069969D6-3975-4138-8CDE-59467B7706AA}">
  <ds:schemaRefs/>
</ds:datastoreItem>
</file>

<file path=customXml/itemProps138.xml><?xml version="1.0" encoding="utf-8"?>
<ds:datastoreItem xmlns:ds="http://schemas.openxmlformats.org/officeDocument/2006/customXml" ds:itemID="{46F7B144-F568-4063-801A-0CE4848842BF}">
  <ds:schemaRefs/>
</ds:datastoreItem>
</file>

<file path=customXml/itemProps139.xml><?xml version="1.0" encoding="utf-8"?>
<ds:datastoreItem xmlns:ds="http://schemas.openxmlformats.org/officeDocument/2006/customXml" ds:itemID="{D8A4BD2F-5117-44F6-8E1C-B1DD68357483}">
  <ds:schemaRefs/>
</ds:datastoreItem>
</file>

<file path=customXml/itemProps14.xml><?xml version="1.0" encoding="utf-8"?>
<ds:datastoreItem xmlns:ds="http://schemas.openxmlformats.org/officeDocument/2006/customXml" ds:itemID="{9C9433E8-0E34-4076-8C37-A22E994E31F8}">
  <ds:schemaRefs/>
</ds:datastoreItem>
</file>

<file path=customXml/itemProps140.xml><?xml version="1.0" encoding="utf-8"?>
<ds:datastoreItem xmlns:ds="http://schemas.openxmlformats.org/officeDocument/2006/customXml" ds:itemID="{E061F6FA-F4C8-4C50-A63B-ED2E96747384}">
  <ds:schemaRefs/>
</ds:datastoreItem>
</file>

<file path=customXml/itemProps141.xml><?xml version="1.0" encoding="utf-8"?>
<ds:datastoreItem xmlns:ds="http://schemas.openxmlformats.org/officeDocument/2006/customXml" ds:itemID="{C8EC837F-6DF6-4782-B761-6B6F89B83B42}">
  <ds:schemaRefs/>
</ds:datastoreItem>
</file>

<file path=customXml/itemProps142.xml><?xml version="1.0" encoding="utf-8"?>
<ds:datastoreItem xmlns:ds="http://schemas.openxmlformats.org/officeDocument/2006/customXml" ds:itemID="{3EE09FE9-AA5E-498E-997E-CDE6C3517731}">
  <ds:schemaRefs/>
</ds:datastoreItem>
</file>

<file path=customXml/itemProps143.xml><?xml version="1.0" encoding="utf-8"?>
<ds:datastoreItem xmlns:ds="http://schemas.openxmlformats.org/officeDocument/2006/customXml" ds:itemID="{1F416762-7D21-49B4-9D13-7F26C2FA6F36}">
  <ds:schemaRefs/>
</ds:datastoreItem>
</file>

<file path=customXml/itemProps144.xml><?xml version="1.0" encoding="utf-8"?>
<ds:datastoreItem xmlns:ds="http://schemas.openxmlformats.org/officeDocument/2006/customXml" ds:itemID="{4F9C5FA9-BE6A-4EA4-95EE-DC2714C7AE97}">
  <ds:schemaRefs/>
</ds:datastoreItem>
</file>

<file path=customXml/itemProps145.xml><?xml version="1.0" encoding="utf-8"?>
<ds:datastoreItem xmlns:ds="http://schemas.openxmlformats.org/officeDocument/2006/customXml" ds:itemID="{06B9C0DE-14CE-4C98-B5B6-543E6B574C2D}">
  <ds:schemaRefs/>
</ds:datastoreItem>
</file>

<file path=customXml/itemProps146.xml><?xml version="1.0" encoding="utf-8"?>
<ds:datastoreItem xmlns:ds="http://schemas.openxmlformats.org/officeDocument/2006/customXml" ds:itemID="{1893B152-149B-4F06-AF1B-F0057FD64E0D}">
  <ds:schemaRefs/>
</ds:datastoreItem>
</file>

<file path=customXml/itemProps147.xml><?xml version="1.0" encoding="utf-8"?>
<ds:datastoreItem xmlns:ds="http://schemas.openxmlformats.org/officeDocument/2006/customXml" ds:itemID="{AA940944-7B7D-4280-B852-DDC328B06361}">
  <ds:schemaRefs/>
</ds:datastoreItem>
</file>

<file path=customXml/itemProps148.xml><?xml version="1.0" encoding="utf-8"?>
<ds:datastoreItem xmlns:ds="http://schemas.openxmlformats.org/officeDocument/2006/customXml" ds:itemID="{F815CD41-EF0A-4C40-B292-C8E455999D54}">
  <ds:schemaRefs/>
</ds:datastoreItem>
</file>

<file path=customXml/itemProps149.xml><?xml version="1.0" encoding="utf-8"?>
<ds:datastoreItem xmlns:ds="http://schemas.openxmlformats.org/officeDocument/2006/customXml" ds:itemID="{D0CBACD0-C951-4BD7-B8FD-2C5853F53050}">
  <ds:schemaRefs/>
</ds:datastoreItem>
</file>

<file path=customXml/itemProps15.xml><?xml version="1.0" encoding="utf-8"?>
<ds:datastoreItem xmlns:ds="http://schemas.openxmlformats.org/officeDocument/2006/customXml" ds:itemID="{705326C1-D965-4E00-9A79-E4D8C38DBDB9}">
  <ds:schemaRefs/>
</ds:datastoreItem>
</file>

<file path=customXml/itemProps150.xml><?xml version="1.0" encoding="utf-8"?>
<ds:datastoreItem xmlns:ds="http://schemas.openxmlformats.org/officeDocument/2006/customXml" ds:itemID="{9D699B1E-A9F3-4F00-B820-2E1D7B3ADDC0}">
  <ds:schemaRefs/>
</ds:datastoreItem>
</file>

<file path=customXml/itemProps16.xml><?xml version="1.0" encoding="utf-8"?>
<ds:datastoreItem xmlns:ds="http://schemas.openxmlformats.org/officeDocument/2006/customXml" ds:itemID="{68D52EFE-DDF5-4DDE-A209-FE397D50CB14}">
  <ds:schemaRefs/>
</ds:datastoreItem>
</file>

<file path=customXml/itemProps17.xml><?xml version="1.0" encoding="utf-8"?>
<ds:datastoreItem xmlns:ds="http://schemas.openxmlformats.org/officeDocument/2006/customXml" ds:itemID="{CE69922F-47B4-49E1-80AF-55808A1787E8}">
  <ds:schemaRefs/>
</ds:datastoreItem>
</file>

<file path=customXml/itemProps18.xml><?xml version="1.0" encoding="utf-8"?>
<ds:datastoreItem xmlns:ds="http://schemas.openxmlformats.org/officeDocument/2006/customXml" ds:itemID="{AAC1F3EC-2D10-4435-8E7C-075D9B4ED5CB}">
  <ds:schemaRefs/>
</ds:datastoreItem>
</file>

<file path=customXml/itemProps19.xml><?xml version="1.0" encoding="utf-8"?>
<ds:datastoreItem xmlns:ds="http://schemas.openxmlformats.org/officeDocument/2006/customXml" ds:itemID="{9458874E-0E77-46DE-A67D-89B5D574C25E}">
  <ds:schemaRefs/>
</ds:datastoreItem>
</file>

<file path=customXml/itemProps2.xml><?xml version="1.0" encoding="utf-8"?>
<ds:datastoreItem xmlns:ds="http://schemas.openxmlformats.org/officeDocument/2006/customXml" ds:itemID="{C3B7E0F8-D498-4B99-A962-B9C7BBA0D040}">
  <ds:schemaRefs/>
</ds:datastoreItem>
</file>

<file path=customXml/itemProps20.xml><?xml version="1.0" encoding="utf-8"?>
<ds:datastoreItem xmlns:ds="http://schemas.openxmlformats.org/officeDocument/2006/customXml" ds:itemID="{24E58ABC-62F0-487D-BE81-C774985528D0}">
  <ds:schemaRefs/>
</ds:datastoreItem>
</file>

<file path=customXml/itemProps21.xml><?xml version="1.0" encoding="utf-8"?>
<ds:datastoreItem xmlns:ds="http://schemas.openxmlformats.org/officeDocument/2006/customXml" ds:itemID="{39741C2E-A7CA-44F8-89B7-E6234CA203CD}">
  <ds:schemaRefs/>
</ds:datastoreItem>
</file>

<file path=customXml/itemProps22.xml><?xml version="1.0" encoding="utf-8"?>
<ds:datastoreItem xmlns:ds="http://schemas.openxmlformats.org/officeDocument/2006/customXml" ds:itemID="{82ECC1D8-A866-44D9-AD47-CF31853D3254}">
  <ds:schemaRefs/>
</ds:datastoreItem>
</file>

<file path=customXml/itemProps23.xml><?xml version="1.0" encoding="utf-8"?>
<ds:datastoreItem xmlns:ds="http://schemas.openxmlformats.org/officeDocument/2006/customXml" ds:itemID="{EBC8409E-DED0-47C7-8D1F-88133200EAE0}">
  <ds:schemaRefs/>
</ds:datastoreItem>
</file>

<file path=customXml/itemProps24.xml><?xml version="1.0" encoding="utf-8"?>
<ds:datastoreItem xmlns:ds="http://schemas.openxmlformats.org/officeDocument/2006/customXml" ds:itemID="{F8FA5B73-8184-4672-99BA-3D764D8EF5EB}">
  <ds:schemaRefs/>
</ds:datastoreItem>
</file>

<file path=customXml/itemProps25.xml><?xml version="1.0" encoding="utf-8"?>
<ds:datastoreItem xmlns:ds="http://schemas.openxmlformats.org/officeDocument/2006/customXml" ds:itemID="{321F5085-8BCC-46CF-83FA-3FE669087500}">
  <ds:schemaRefs/>
</ds:datastoreItem>
</file>

<file path=customXml/itemProps26.xml><?xml version="1.0" encoding="utf-8"?>
<ds:datastoreItem xmlns:ds="http://schemas.openxmlformats.org/officeDocument/2006/customXml" ds:itemID="{6377FC72-7005-4BE5-8780-33F6EA8AB82B}">
  <ds:schemaRefs/>
</ds:datastoreItem>
</file>

<file path=customXml/itemProps27.xml><?xml version="1.0" encoding="utf-8"?>
<ds:datastoreItem xmlns:ds="http://schemas.openxmlformats.org/officeDocument/2006/customXml" ds:itemID="{916ACC8E-6E31-4A2D-880C-5C5909D7087B}">
  <ds:schemaRefs/>
</ds:datastoreItem>
</file>

<file path=customXml/itemProps28.xml><?xml version="1.0" encoding="utf-8"?>
<ds:datastoreItem xmlns:ds="http://schemas.openxmlformats.org/officeDocument/2006/customXml" ds:itemID="{C9FAA58F-0901-4511-97AB-306318B60029}">
  <ds:schemaRefs/>
</ds:datastoreItem>
</file>

<file path=customXml/itemProps29.xml><?xml version="1.0" encoding="utf-8"?>
<ds:datastoreItem xmlns:ds="http://schemas.openxmlformats.org/officeDocument/2006/customXml" ds:itemID="{12306E2C-03EE-4589-9FC3-0B9839C7122C}">
  <ds:schemaRefs/>
</ds:datastoreItem>
</file>

<file path=customXml/itemProps3.xml><?xml version="1.0" encoding="utf-8"?>
<ds:datastoreItem xmlns:ds="http://schemas.openxmlformats.org/officeDocument/2006/customXml" ds:itemID="{6C71CC52-28B6-4642-B977-52B643B6D6EB}">
  <ds:schemaRefs/>
</ds:datastoreItem>
</file>

<file path=customXml/itemProps30.xml><?xml version="1.0" encoding="utf-8"?>
<ds:datastoreItem xmlns:ds="http://schemas.openxmlformats.org/officeDocument/2006/customXml" ds:itemID="{5DE2FF3D-A274-4851-B43F-07FECB6936BB}">
  <ds:schemaRefs/>
</ds:datastoreItem>
</file>

<file path=customXml/itemProps31.xml><?xml version="1.0" encoding="utf-8"?>
<ds:datastoreItem xmlns:ds="http://schemas.openxmlformats.org/officeDocument/2006/customXml" ds:itemID="{F92967FB-A455-4314-A5AC-078DDE88F058}">
  <ds:schemaRefs/>
</ds:datastoreItem>
</file>

<file path=customXml/itemProps32.xml><?xml version="1.0" encoding="utf-8"?>
<ds:datastoreItem xmlns:ds="http://schemas.openxmlformats.org/officeDocument/2006/customXml" ds:itemID="{57A0644D-5E25-4AD5-B5AB-3D689C8A6528}">
  <ds:schemaRefs/>
</ds:datastoreItem>
</file>

<file path=customXml/itemProps33.xml><?xml version="1.0" encoding="utf-8"?>
<ds:datastoreItem xmlns:ds="http://schemas.openxmlformats.org/officeDocument/2006/customXml" ds:itemID="{C5C6989A-F72E-47D4-A10B-32E6F1F61AC5}">
  <ds:schemaRefs/>
</ds:datastoreItem>
</file>

<file path=customXml/itemProps34.xml><?xml version="1.0" encoding="utf-8"?>
<ds:datastoreItem xmlns:ds="http://schemas.openxmlformats.org/officeDocument/2006/customXml" ds:itemID="{4349700C-5B95-4B20-B3DC-9A2C5ACA5334}">
  <ds:schemaRefs/>
</ds:datastoreItem>
</file>

<file path=customXml/itemProps35.xml><?xml version="1.0" encoding="utf-8"?>
<ds:datastoreItem xmlns:ds="http://schemas.openxmlformats.org/officeDocument/2006/customXml" ds:itemID="{BF1B0291-6B60-46EA-8C6F-B3482A0CECF6}">
  <ds:schemaRefs/>
</ds:datastoreItem>
</file>

<file path=customXml/itemProps36.xml><?xml version="1.0" encoding="utf-8"?>
<ds:datastoreItem xmlns:ds="http://schemas.openxmlformats.org/officeDocument/2006/customXml" ds:itemID="{F6101F28-B32D-4598-8FDA-7A3819A31736}">
  <ds:schemaRefs/>
</ds:datastoreItem>
</file>

<file path=customXml/itemProps37.xml><?xml version="1.0" encoding="utf-8"?>
<ds:datastoreItem xmlns:ds="http://schemas.openxmlformats.org/officeDocument/2006/customXml" ds:itemID="{F9F7ABF0-53E9-40F7-8A55-0CB5007C228C}">
  <ds:schemaRefs/>
</ds:datastoreItem>
</file>

<file path=customXml/itemProps38.xml><?xml version="1.0" encoding="utf-8"?>
<ds:datastoreItem xmlns:ds="http://schemas.openxmlformats.org/officeDocument/2006/customXml" ds:itemID="{CE151766-54A3-4AC3-B533-EE981D309B31}">
  <ds:schemaRefs/>
</ds:datastoreItem>
</file>

<file path=customXml/itemProps39.xml><?xml version="1.0" encoding="utf-8"?>
<ds:datastoreItem xmlns:ds="http://schemas.openxmlformats.org/officeDocument/2006/customXml" ds:itemID="{295618E5-4891-4726-94A1-B4D3F6900C28}">
  <ds:schemaRefs/>
</ds:datastoreItem>
</file>

<file path=customXml/itemProps4.xml><?xml version="1.0" encoding="utf-8"?>
<ds:datastoreItem xmlns:ds="http://schemas.openxmlformats.org/officeDocument/2006/customXml" ds:itemID="{DDA81AA6-59F6-49A2-BB9B-7E508A390564}">
  <ds:schemaRefs/>
</ds:datastoreItem>
</file>

<file path=customXml/itemProps40.xml><?xml version="1.0" encoding="utf-8"?>
<ds:datastoreItem xmlns:ds="http://schemas.openxmlformats.org/officeDocument/2006/customXml" ds:itemID="{460F8F7C-0694-4BC1-8655-6DDA61D60DB9}">
  <ds:schemaRefs/>
</ds:datastoreItem>
</file>

<file path=customXml/itemProps41.xml><?xml version="1.0" encoding="utf-8"?>
<ds:datastoreItem xmlns:ds="http://schemas.openxmlformats.org/officeDocument/2006/customXml" ds:itemID="{7F33E6BB-E62D-4695-9009-481F9C9F3365}">
  <ds:schemaRefs/>
</ds:datastoreItem>
</file>

<file path=customXml/itemProps42.xml><?xml version="1.0" encoding="utf-8"?>
<ds:datastoreItem xmlns:ds="http://schemas.openxmlformats.org/officeDocument/2006/customXml" ds:itemID="{0A9969DD-60DF-4A62-96F2-56A87D5BD010}">
  <ds:schemaRefs/>
</ds:datastoreItem>
</file>

<file path=customXml/itemProps43.xml><?xml version="1.0" encoding="utf-8"?>
<ds:datastoreItem xmlns:ds="http://schemas.openxmlformats.org/officeDocument/2006/customXml" ds:itemID="{0A014FCF-B0B6-4CBF-8BF8-C74A3C9C5214}">
  <ds:schemaRefs/>
</ds:datastoreItem>
</file>

<file path=customXml/itemProps44.xml><?xml version="1.0" encoding="utf-8"?>
<ds:datastoreItem xmlns:ds="http://schemas.openxmlformats.org/officeDocument/2006/customXml" ds:itemID="{C97C7849-E591-410C-9C4F-9529DBA6B328}">
  <ds:schemaRefs/>
</ds:datastoreItem>
</file>

<file path=customXml/itemProps45.xml><?xml version="1.0" encoding="utf-8"?>
<ds:datastoreItem xmlns:ds="http://schemas.openxmlformats.org/officeDocument/2006/customXml" ds:itemID="{C4088052-FAB4-4691-B489-6187359015B7}">
  <ds:schemaRefs/>
</ds:datastoreItem>
</file>

<file path=customXml/itemProps46.xml><?xml version="1.0" encoding="utf-8"?>
<ds:datastoreItem xmlns:ds="http://schemas.openxmlformats.org/officeDocument/2006/customXml" ds:itemID="{CA10B759-A6EE-472C-92B9-E1B38B7AC29C}">
  <ds:schemaRefs/>
</ds:datastoreItem>
</file>

<file path=customXml/itemProps47.xml><?xml version="1.0" encoding="utf-8"?>
<ds:datastoreItem xmlns:ds="http://schemas.openxmlformats.org/officeDocument/2006/customXml" ds:itemID="{5982A82C-7174-4970-8EB6-297BC6FD2CBE}">
  <ds:schemaRefs/>
</ds:datastoreItem>
</file>

<file path=customXml/itemProps48.xml><?xml version="1.0" encoding="utf-8"?>
<ds:datastoreItem xmlns:ds="http://schemas.openxmlformats.org/officeDocument/2006/customXml" ds:itemID="{1EDBFC07-242A-4BF1-9770-55AB5D042259}">
  <ds:schemaRefs/>
</ds:datastoreItem>
</file>

<file path=customXml/itemProps49.xml><?xml version="1.0" encoding="utf-8"?>
<ds:datastoreItem xmlns:ds="http://schemas.openxmlformats.org/officeDocument/2006/customXml" ds:itemID="{262224F0-1264-44EE-98E0-3CF1F5F08EF9}">
  <ds:schemaRefs/>
</ds:datastoreItem>
</file>

<file path=customXml/itemProps5.xml><?xml version="1.0" encoding="utf-8"?>
<ds:datastoreItem xmlns:ds="http://schemas.openxmlformats.org/officeDocument/2006/customXml" ds:itemID="{FF31BAAA-1D70-408D-92F4-337D5A4DA598}">
  <ds:schemaRefs/>
</ds:datastoreItem>
</file>

<file path=customXml/itemProps50.xml><?xml version="1.0" encoding="utf-8"?>
<ds:datastoreItem xmlns:ds="http://schemas.openxmlformats.org/officeDocument/2006/customXml" ds:itemID="{F4D02C04-0575-4C47-9EEC-115A971733F0}">
  <ds:schemaRefs/>
</ds:datastoreItem>
</file>

<file path=customXml/itemProps51.xml><?xml version="1.0" encoding="utf-8"?>
<ds:datastoreItem xmlns:ds="http://schemas.openxmlformats.org/officeDocument/2006/customXml" ds:itemID="{B786B3CD-FED7-4D1D-A666-7D9A77A4F008}">
  <ds:schemaRefs/>
</ds:datastoreItem>
</file>

<file path=customXml/itemProps52.xml><?xml version="1.0" encoding="utf-8"?>
<ds:datastoreItem xmlns:ds="http://schemas.openxmlformats.org/officeDocument/2006/customXml" ds:itemID="{C7F492CD-96B3-4ECF-B05B-1C00CFE0C89B}">
  <ds:schemaRefs/>
</ds:datastoreItem>
</file>

<file path=customXml/itemProps53.xml><?xml version="1.0" encoding="utf-8"?>
<ds:datastoreItem xmlns:ds="http://schemas.openxmlformats.org/officeDocument/2006/customXml" ds:itemID="{3A3E0281-23C4-4A38-BA81-DB87F8DFF46D}">
  <ds:schemaRefs/>
</ds:datastoreItem>
</file>

<file path=customXml/itemProps54.xml><?xml version="1.0" encoding="utf-8"?>
<ds:datastoreItem xmlns:ds="http://schemas.openxmlformats.org/officeDocument/2006/customXml" ds:itemID="{EACCD4ED-594E-4D54-83A9-51AB37ADF398}">
  <ds:schemaRefs/>
</ds:datastoreItem>
</file>

<file path=customXml/itemProps55.xml><?xml version="1.0" encoding="utf-8"?>
<ds:datastoreItem xmlns:ds="http://schemas.openxmlformats.org/officeDocument/2006/customXml" ds:itemID="{21AEB96E-59FE-49FB-8CE7-EF4E111BB6D8}">
  <ds:schemaRefs/>
</ds:datastoreItem>
</file>

<file path=customXml/itemProps56.xml><?xml version="1.0" encoding="utf-8"?>
<ds:datastoreItem xmlns:ds="http://schemas.openxmlformats.org/officeDocument/2006/customXml" ds:itemID="{0A65323F-F3BB-4C9E-9B1E-4022EDEA3F66}">
  <ds:schemaRefs/>
</ds:datastoreItem>
</file>

<file path=customXml/itemProps57.xml><?xml version="1.0" encoding="utf-8"?>
<ds:datastoreItem xmlns:ds="http://schemas.openxmlformats.org/officeDocument/2006/customXml" ds:itemID="{DCE91C81-314D-4BB9-8016-DD0DE6655EE2}">
  <ds:schemaRefs/>
</ds:datastoreItem>
</file>

<file path=customXml/itemProps58.xml><?xml version="1.0" encoding="utf-8"?>
<ds:datastoreItem xmlns:ds="http://schemas.openxmlformats.org/officeDocument/2006/customXml" ds:itemID="{781949E2-9284-4C49-9FED-BA088061B8FA}">
  <ds:schemaRefs/>
</ds:datastoreItem>
</file>

<file path=customXml/itemProps59.xml><?xml version="1.0" encoding="utf-8"?>
<ds:datastoreItem xmlns:ds="http://schemas.openxmlformats.org/officeDocument/2006/customXml" ds:itemID="{C2D74131-4434-4D6D-9D9A-469539D3C2C6}">
  <ds:schemaRefs/>
</ds:datastoreItem>
</file>

<file path=customXml/itemProps6.xml><?xml version="1.0" encoding="utf-8"?>
<ds:datastoreItem xmlns:ds="http://schemas.openxmlformats.org/officeDocument/2006/customXml" ds:itemID="{D1C2BA96-E18F-4A29-B131-51EF1BC3E6CC}">
  <ds:schemaRefs/>
</ds:datastoreItem>
</file>

<file path=customXml/itemProps60.xml><?xml version="1.0" encoding="utf-8"?>
<ds:datastoreItem xmlns:ds="http://schemas.openxmlformats.org/officeDocument/2006/customXml" ds:itemID="{22829B1A-C51D-4D4B-8AA7-DC472BB20B8B}">
  <ds:schemaRefs/>
</ds:datastoreItem>
</file>

<file path=customXml/itemProps61.xml><?xml version="1.0" encoding="utf-8"?>
<ds:datastoreItem xmlns:ds="http://schemas.openxmlformats.org/officeDocument/2006/customXml" ds:itemID="{65770A4E-82AD-4606-B7CD-80E90E4454F5}">
  <ds:schemaRefs/>
</ds:datastoreItem>
</file>

<file path=customXml/itemProps62.xml><?xml version="1.0" encoding="utf-8"?>
<ds:datastoreItem xmlns:ds="http://schemas.openxmlformats.org/officeDocument/2006/customXml" ds:itemID="{D2EBC62A-CC6D-4962-95F7-255CA8844250}">
  <ds:schemaRefs/>
</ds:datastoreItem>
</file>

<file path=customXml/itemProps63.xml><?xml version="1.0" encoding="utf-8"?>
<ds:datastoreItem xmlns:ds="http://schemas.openxmlformats.org/officeDocument/2006/customXml" ds:itemID="{65677F30-A5FF-4F2C-AC6C-90CA43A7BF0B}">
  <ds:schemaRefs/>
</ds:datastoreItem>
</file>

<file path=customXml/itemProps64.xml><?xml version="1.0" encoding="utf-8"?>
<ds:datastoreItem xmlns:ds="http://schemas.openxmlformats.org/officeDocument/2006/customXml" ds:itemID="{279FD3DF-74C2-441F-97C7-C7AF2C684BC9}">
  <ds:schemaRefs/>
</ds:datastoreItem>
</file>

<file path=customXml/itemProps65.xml><?xml version="1.0" encoding="utf-8"?>
<ds:datastoreItem xmlns:ds="http://schemas.openxmlformats.org/officeDocument/2006/customXml" ds:itemID="{86D2A9E0-B028-4CBF-BC35-5B44FB3DC827}">
  <ds:schemaRefs/>
</ds:datastoreItem>
</file>

<file path=customXml/itemProps66.xml><?xml version="1.0" encoding="utf-8"?>
<ds:datastoreItem xmlns:ds="http://schemas.openxmlformats.org/officeDocument/2006/customXml" ds:itemID="{F3319885-7E3F-4DD3-9154-4DBD30743E7C}">
  <ds:schemaRefs/>
</ds:datastoreItem>
</file>

<file path=customXml/itemProps67.xml><?xml version="1.0" encoding="utf-8"?>
<ds:datastoreItem xmlns:ds="http://schemas.openxmlformats.org/officeDocument/2006/customXml" ds:itemID="{464D1E56-3F3F-4E0E-A8A9-5ADE7F163772}">
  <ds:schemaRefs/>
</ds:datastoreItem>
</file>

<file path=customXml/itemProps68.xml><?xml version="1.0" encoding="utf-8"?>
<ds:datastoreItem xmlns:ds="http://schemas.openxmlformats.org/officeDocument/2006/customXml" ds:itemID="{D523C762-569D-439E-9A2D-9F5582FD40B2}">
  <ds:schemaRefs/>
</ds:datastoreItem>
</file>

<file path=customXml/itemProps69.xml><?xml version="1.0" encoding="utf-8"?>
<ds:datastoreItem xmlns:ds="http://schemas.openxmlformats.org/officeDocument/2006/customXml" ds:itemID="{516F9DC7-BAB4-4C24-A6AD-DE15F4A1278A}">
  <ds:schemaRefs/>
</ds:datastoreItem>
</file>

<file path=customXml/itemProps7.xml><?xml version="1.0" encoding="utf-8"?>
<ds:datastoreItem xmlns:ds="http://schemas.openxmlformats.org/officeDocument/2006/customXml" ds:itemID="{F8906B5D-6CAB-4E72-AAA0-245318360CA4}">
  <ds:schemaRefs/>
</ds:datastoreItem>
</file>

<file path=customXml/itemProps70.xml><?xml version="1.0" encoding="utf-8"?>
<ds:datastoreItem xmlns:ds="http://schemas.openxmlformats.org/officeDocument/2006/customXml" ds:itemID="{65FC80FA-FCBA-4BD1-A8A6-02F9E9F5C928}">
  <ds:schemaRefs/>
</ds:datastoreItem>
</file>

<file path=customXml/itemProps71.xml><?xml version="1.0" encoding="utf-8"?>
<ds:datastoreItem xmlns:ds="http://schemas.openxmlformats.org/officeDocument/2006/customXml" ds:itemID="{3BDD0651-EA85-427F-9464-79F009FC7F72}">
  <ds:schemaRefs/>
</ds:datastoreItem>
</file>

<file path=customXml/itemProps72.xml><?xml version="1.0" encoding="utf-8"?>
<ds:datastoreItem xmlns:ds="http://schemas.openxmlformats.org/officeDocument/2006/customXml" ds:itemID="{44AF366A-59A6-484F-998C-987D487DC1DF}">
  <ds:schemaRefs/>
</ds:datastoreItem>
</file>

<file path=customXml/itemProps73.xml><?xml version="1.0" encoding="utf-8"?>
<ds:datastoreItem xmlns:ds="http://schemas.openxmlformats.org/officeDocument/2006/customXml" ds:itemID="{E9F7F420-CF83-43A0-8A8A-456223CD3456}">
  <ds:schemaRefs/>
</ds:datastoreItem>
</file>

<file path=customXml/itemProps74.xml><?xml version="1.0" encoding="utf-8"?>
<ds:datastoreItem xmlns:ds="http://schemas.openxmlformats.org/officeDocument/2006/customXml" ds:itemID="{946F1D75-7DB0-4EB4-9792-85933F05FE32}">
  <ds:schemaRefs/>
</ds:datastoreItem>
</file>

<file path=customXml/itemProps75.xml><?xml version="1.0" encoding="utf-8"?>
<ds:datastoreItem xmlns:ds="http://schemas.openxmlformats.org/officeDocument/2006/customXml" ds:itemID="{FCE29179-1552-4DF1-BD9D-AB8688A24A56}">
  <ds:schemaRefs/>
</ds:datastoreItem>
</file>

<file path=customXml/itemProps76.xml><?xml version="1.0" encoding="utf-8"?>
<ds:datastoreItem xmlns:ds="http://schemas.openxmlformats.org/officeDocument/2006/customXml" ds:itemID="{64C0E3C3-A544-4C42-8C8C-16AE4903C649}">
  <ds:schemaRefs/>
</ds:datastoreItem>
</file>

<file path=customXml/itemProps77.xml><?xml version="1.0" encoding="utf-8"?>
<ds:datastoreItem xmlns:ds="http://schemas.openxmlformats.org/officeDocument/2006/customXml" ds:itemID="{77355FC1-7BCE-482F-BC49-9BA04DEF679E}">
  <ds:schemaRefs/>
</ds:datastoreItem>
</file>

<file path=customXml/itemProps78.xml><?xml version="1.0" encoding="utf-8"?>
<ds:datastoreItem xmlns:ds="http://schemas.openxmlformats.org/officeDocument/2006/customXml" ds:itemID="{E93A8E53-F939-4BD2-92EB-CF49C703E803}">
  <ds:schemaRefs/>
</ds:datastoreItem>
</file>

<file path=customXml/itemProps79.xml><?xml version="1.0" encoding="utf-8"?>
<ds:datastoreItem xmlns:ds="http://schemas.openxmlformats.org/officeDocument/2006/customXml" ds:itemID="{5ED9DCCB-7997-4872-A91F-803DA025F4E7}">
  <ds:schemaRefs/>
</ds:datastoreItem>
</file>

<file path=customXml/itemProps8.xml><?xml version="1.0" encoding="utf-8"?>
<ds:datastoreItem xmlns:ds="http://schemas.openxmlformats.org/officeDocument/2006/customXml" ds:itemID="{E36B3850-FF72-418B-8F29-CF439A70BCDA}">
  <ds:schemaRefs/>
</ds:datastoreItem>
</file>

<file path=customXml/itemProps80.xml><?xml version="1.0" encoding="utf-8"?>
<ds:datastoreItem xmlns:ds="http://schemas.openxmlformats.org/officeDocument/2006/customXml" ds:itemID="{4DEAE4B8-9003-4379-814A-1B3B80E32AB2}">
  <ds:schemaRefs/>
</ds:datastoreItem>
</file>

<file path=customXml/itemProps81.xml><?xml version="1.0" encoding="utf-8"?>
<ds:datastoreItem xmlns:ds="http://schemas.openxmlformats.org/officeDocument/2006/customXml" ds:itemID="{9351D8F9-EBB2-4186-9DC1-34B22EF0CD9D}">
  <ds:schemaRefs/>
</ds:datastoreItem>
</file>

<file path=customXml/itemProps82.xml><?xml version="1.0" encoding="utf-8"?>
<ds:datastoreItem xmlns:ds="http://schemas.openxmlformats.org/officeDocument/2006/customXml" ds:itemID="{6490BE16-A58F-4C2B-B03F-4B930098218B}">
  <ds:schemaRefs/>
</ds:datastoreItem>
</file>

<file path=customXml/itemProps83.xml><?xml version="1.0" encoding="utf-8"?>
<ds:datastoreItem xmlns:ds="http://schemas.openxmlformats.org/officeDocument/2006/customXml" ds:itemID="{C0766498-184D-4847-8DFD-E18678DB09AD}">
  <ds:schemaRefs/>
</ds:datastoreItem>
</file>

<file path=customXml/itemProps84.xml><?xml version="1.0" encoding="utf-8"?>
<ds:datastoreItem xmlns:ds="http://schemas.openxmlformats.org/officeDocument/2006/customXml" ds:itemID="{FF544637-F1D4-47D8-BFEB-B5C536663CEA}">
  <ds:schemaRefs/>
</ds:datastoreItem>
</file>

<file path=customXml/itemProps85.xml><?xml version="1.0" encoding="utf-8"?>
<ds:datastoreItem xmlns:ds="http://schemas.openxmlformats.org/officeDocument/2006/customXml" ds:itemID="{1DAD60FC-C3E6-46B2-BDB6-B59D4C52AD0D}">
  <ds:schemaRefs/>
</ds:datastoreItem>
</file>

<file path=customXml/itemProps86.xml><?xml version="1.0" encoding="utf-8"?>
<ds:datastoreItem xmlns:ds="http://schemas.openxmlformats.org/officeDocument/2006/customXml" ds:itemID="{F1E9961C-1DF1-4700-BFFC-A2192C9EF950}">
  <ds:schemaRefs/>
</ds:datastoreItem>
</file>

<file path=customXml/itemProps87.xml><?xml version="1.0" encoding="utf-8"?>
<ds:datastoreItem xmlns:ds="http://schemas.openxmlformats.org/officeDocument/2006/customXml" ds:itemID="{8EC75FBE-93EF-47F1-8550-CC0B891F8BB0}">
  <ds:schemaRefs/>
</ds:datastoreItem>
</file>

<file path=customXml/itemProps88.xml><?xml version="1.0" encoding="utf-8"?>
<ds:datastoreItem xmlns:ds="http://schemas.openxmlformats.org/officeDocument/2006/customXml" ds:itemID="{B953FA35-3F40-4BDB-B3E0-D3AFBE21B1A3}">
  <ds:schemaRefs/>
</ds:datastoreItem>
</file>

<file path=customXml/itemProps89.xml><?xml version="1.0" encoding="utf-8"?>
<ds:datastoreItem xmlns:ds="http://schemas.openxmlformats.org/officeDocument/2006/customXml" ds:itemID="{A45F4657-F7DB-437D-AED9-1ABED6D261C4}">
  <ds:schemaRefs/>
</ds:datastoreItem>
</file>

<file path=customXml/itemProps9.xml><?xml version="1.0" encoding="utf-8"?>
<ds:datastoreItem xmlns:ds="http://schemas.openxmlformats.org/officeDocument/2006/customXml" ds:itemID="{4031EA0B-6EB4-4940-BDD3-3854BC37D44E}">
  <ds:schemaRefs/>
</ds:datastoreItem>
</file>

<file path=customXml/itemProps90.xml><?xml version="1.0" encoding="utf-8"?>
<ds:datastoreItem xmlns:ds="http://schemas.openxmlformats.org/officeDocument/2006/customXml" ds:itemID="{9316A497-A8D1-4457-B6B5-55EAC4403871}">
  <ds:schemaRefs/>
</ds:datastoreItem>
</file>

<file path=customXml/itemProps91.xml><?xml version="1.0" encoding="utf-8"?>
<ds:datastoreItem xmlns:ds="http://schemas.openxmlformats.org/officeDocument/2006/customXml" ds:itemID="{EB28153C-9E98-4A21-9EAE-A599D92C4A8B}">
  <ds:schemaRefs/>
</ds:datastoreItem>
</file>

<file path=customXml/itemProps92.xml><?xml version="1.0" encoding="utf-8"?>
<ds:datastoreItem xmlns:ds="http://schemas.openxmlformats.org/officeDocument/2006/customXml" ds:itemID="{F5CA5704-E9EF-42A3-9E67-E05392885A7B}">
  <ds:schemaRefs/>
</ds:datastoreItem>
</file>

<file path=customXml/itemProps93.xml><?xml version="1.0" encoding="utf-8"?>
<ds:datastoreItem xmlns:ds="http://schemas.openxmlformats.org/officeDocument/2006/customXml" ds:itemID="{E6D38D99-B34A-4DD2-AD9C-20EE70FE0F1F}">
  <ds:schemaRefs/>
</ds:datastoreItem>
</file>

<file path=customXml/itemProps94.xml><?xml version="1.0" encoding="utf-8"?>
<ds:datastoreItem xmlns:ds="http://schemas.openxmlformats.org/officeDocument/2006/customXml" ds:itemID="{E21FC211-5EEA-4082-BF4E-479EE6DA6DAD}">
  <ds:schemaRefs/>
</ds:datastoreItem>
</file>

<file path=customXml/itemProps95.xml><?xml version="1.0" encoding="utf-8"?>
<ds:datastoreItem xmlns:ds="http://schemas.openxmlformats.org/officeDocument/2006/customXml" ds:itemID="{B9F5A1F5-5023-4080-8946-BF3201102DD5}">
  <ds:schemaRefs/>
</ds:datastoreItem>
</file>

<file path=customXml/itemProps96.xml><?xml version="1.0" encoding="utf-8"?>
<ds:datastoreItem xmlns:ds="http://schemas.openxmlformats.org/officeDocument/2006/customXml" ds:itemID="{FCC61B70-27DE-425B-AAC8-637C25C4DEC8}">
  <ds:schemaRefs/>
</ds:datastoreItem>
</file>

<file path=customXml/itemProps97.xml><?xml version="1.0" encoding="utf-8"?>
<ds:datastoreItem xmlns:ds="http://schemas.openxmlformats.org/officeDocument/2006/customXml" ds:itemID="{0D157E68-3B4F-41E6-B2E0-E7B8BEF2B870}">
  <ds:schemaRefs/>
</ds:datastoreItem>
</file>

<file path=customXml/itemProps98.xml><?xml version="1.0" encoding="utf-8"?>
<ds:datastoreItem xmlns:ds="http://schemas.openxmlformats.org/officeDocument/2006/customXml" ds:itemID="{520C1C7D-4DCB-4170-AB1C-11C7FB2D7B03}">
  <ds:schemaRefs/>
</ds:datastoreItem>
</file>

<file path=customXml/itemProps99.xml><?xml version="1.0" encoding="utf-8"?>
<ds:datastoreItem xmlns:ds="http://schemas.openxmlformats.org/officeDocument/2006/customXml" ds:itemID="{EC852289-E0C0-456C-BD60-291226CFCEB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5514</Words>
  <Characters>31434</Characters>
  <Lines>261</Lines>
  <Paragraphs>73</Paragraphs>
  <TotalTime>5</TotalTime>
  <ScaleCrop>false</ScaleCrop>
  <LinksUpToDate>false</LinksUpToDate>
  <CharactersWithSpaces>36875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2022-02-21T08:55:00Z</dcterms:created>
  <dc:creator>Administrator</dc:creator>
  <cp:lastModifiedBy>Administrator</cp:lastModifiedBy>
  <dcterms:modified xsi:type="dcterms:W3CDTF">2024-04-15T02:31:44Z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BCF3795710C5428EB459025873D4AA2E</vt:lpwstr>
  </property>
</Properties>
</file>