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ascii="方正楷体_GBK" w:hAnsi="方正楷体_GBK" w:eastAsia="方正楷体_GBK" w:cs="方正楷体_GBK"/>
          <w:b/>
          <w:color w:val="000000"/>
          <w:sz w:val="28"/>
        </w:rPr>
        <w:t>单位 预算公开表</w:t>
      </w:r>
    </w:p>
    <w:p>
      <w:pPr>
        <w:pStyle w:val="26"/>
        <w:tabs>
          <w:tab w:val="right" w:leader="dot" w:pos="14562"/>
        </w:tabs>
        <w:rPr>
          <w:rFonts w:eastAsiaTheme="minorEastAsia"/>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end"/>
      </w:r>
      <w:r>
        <w:rPr>
          <w:rFonts w:hint="eastAsia" w:eastAsiaTheme="minorEastAsia"/>
          <w:lang w:eastAsia="zh-CN"/>
        </w:rPr>
        <w:t>3</w:t>
      </w:r>
    </w:p>
    <w:p>
      <w:pPr>
        <w:pStyle w:val="26"/>
        <w:tabs>
          <w:tab w:val="right" w:leader="dot" w:pos="14562"/>
        </w:tabs>
        <w:rPr>
          <w:rFonts w:eastAsiaTheme="minorEastAsia"/>
          <w:lang w:eastAsia="zh-CN"/>
        </w:rPr>
      </w:pPr>
      <w:r>
        <w:fldChar w:fldCharType="begin"/>
      </w:r>
      <w:r>
        <w:instrText xml:space="preserve"> HYPERLINK \l "_Toc_2_2_0000000002" </w:instrText>
      </w:r>
      <w:r>
        <w:fldChar w:fldCharType="separate"/>
      </w:r>
      <w:r>
        <w:t>单位预算收入总表</w:t>
      </w:r>
      <w:r>
        <w:tab/>
      </w:r>
      <w:r>
        <w:fldChar w:fldCharType="end"/>
      </w:r>
      <w:r>
        <w:rPr>
          <w:rFonts w:hint="eastAsia" w:eastAsiaTheme="minorEastAsia"/>
          <w:lang w:eastAsia="zh-CN"/>
        </w:rPr>
        <w:t>5</w:t>
      </w:r>
    </w:p>
    <w:p>
      <w:pPr>
        <w:pStyle w:val="26"/>
        <w:tabs>
          <w:tab w:val="right" w:leader="dot" w:pos="14562"/>
        </w:tabs>
      </w:pPr>
      <w:r>
        <w:fldChar w:fldCharType="begin"/>
      </w:r>
      <w:r>
        <w:instrText xml:space="preserve"> HYPERLINK \l "_Toc_2_2_0000000003" </w:instrText>
      </w:r>
      <w:r>
        <w:fldChar w:fldCharType="separate"/>
      </w:r>
      <w:r>
        <w:t>单位预算支出总表</w:t>
      </w:r>
      <w:r>
        <w:tab/>
      </w:r>
      <w:r>
        <w:rPr>
          <w:rFonts w:hint="eastAsia" w:eastAsiaTheme="minorEastAsia"/>
          <w:lang w:eastAsia="zh-CN"/>
        </w:rPr>
        <w:t>7</w:t>
      </w:r>
      <w:r>
        <w:rPr>
          <w:rFonts w:hint="eastAsia" w:eastAsiaTheme="minorEastAsia"/>
          <w:lang w:eastAsia="zh-CN"/>
        </w:rPr>
        <w:fldChar w:fldCharType="end"/>
      </w:r>
    </w:p>
    <w:p>
      <w:pPr>
        <w:pStyle w:val="26"/>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eastAsiaTheme="minorEastAsia"/>
          <w:lang w:eastAsia="zh-CN"/>
        </w:rPr>
        <w:t>9</w:t>
      </w:r>
      <w:r>
        <w:rPr>
          <w:rFonts w:hint="eastAsia" w:eastAsiaTheme="minorEastAsia"/>
          <w:lang w:eastAsia="zh-CN"/>
        </w:rPr>
        <w:fldChar w:fldCharType="end"/>
      </w:r>
    </w:p>
    <w:p>
      <w:pPr>
        <w:pStyle w:val="26"/>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eastAsiaTheme="minorEastAsia"/>
          <w:lang w:eastAsia="zh-CN"/>
        </w:rPr>
        <w:t>11</w:t>
      </w:r>
      <w:r>
        <w:rPr>
          <w:rFonts w:hint="eastAsia" w:eastAsiaTheme="minorEastAsia"/>
          <w:lang w:eastAsia="zh-CN"/>
        </w:rPr>
        <w:fldChar w:fldCharType="end"/>
      </w:r>
    </w:p>
    <w:p>
      <w:pPr>
        <w:pStyle w:val="26"/>
        <w:tabs>
          <w:tab w:val="right" w:leader="dot" w:pos="14562"/>
        </w:tabs>
        <w:rPr>
          <w:rFonts w:eastAsiaTheme="minorEastAsia"/>
          <w:lang w:eastAsia="zh-CN"/>
        </w:rPr>
      </w:pPr>
      <w:r>
        <w:fldChar w:fldCharType="begin"/>
      </w:r>
      <w:r>
        <w:instrText xml:space="preserve"> HYPERLINK \l "_Toc_2_2_0000000006" </w:instrText>
      </w:r>
      <w:r>
        <w:fldChar w:fldCharType="separate"/>
      </w:r>
      <w:r>
        <w:t>单位预算一般公共预算财政拨款基本支出表</w:t>
      </w:r>
      <w:r>
        <w:tab/>
      </w:r>
      <w:r>
        <w:rPr>
          <w:rFonts w:hint="eastAsia" w:eastAsiaTheme="minorEastAsia"/>
          <w:lang w:eastAsia="zh-CN"/>
        </w:rPr>
        <w:t>13</w:t>
      </w:r>
      <w:r>
        <w:rPr>
          <w:rFonts w:hint="eastAsia" w:eastAsiaTheme="minorEastAsia"/>
          <w:lang w:eastAsia="zh-CN"/>
        </w:rPr>
        <w:fldChar w:fldCharType="end"/>
      </w:r>
    </w:p>
    <w:p>
      <w:pPr>
        <w:pStyle w:val="26"/>
        <w:tabs>
          <w:tab w:val="right" w:leader="dot" w:pos="14562"/>
        </w:tabs>
      </w:pPr>
      <w:r>
        <w:fldChar w:fldCharType="begin"/>
      </w:r>
      <w:r>
        <w:instrText xml:space="preserve"> HYPERLINK \l "_Toc_2_2_0000000007" </w:instrText>
      </w:r>
      <w:r>
        <w:fldChar w:fldCharType="separate"/>
      </w:r>
      <w:r>
        <w:t>单位预算政府基金预算财政拨款支出表</w:t>
      </w:r>
      <w:r>
        <w:tab/>
      </w:r>
      <w:r>
        <w:rPr>
          <w:rFonts w:hint="eastAsia" w:eastAsiaTheme="minorEastAsia"/>
          <w:lang w:eastAsia="zh-CN"/>
        </w:rPr>
        <w:t>15</w:t>
      </w:r>
      <w:r>
        <w:rPr>
          <w:rFonts w:hint="eastAsia" w:eastAsiaTheme="minorEastAsia"/>
          <w:lang w:eastAsia="zh-CN"/>
        </w:rPr>
        <w:fldChar w:fldCharType="end"/>
      </w:r>
    </w:p>
    <w:p>
      <w:pPr>
        <w:pStyle w:val="26"/>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rPr>
          <w:rFonts w:hint="eastAsia" w:eastAsiaTheme="minorEastAsia"/>
          <w:lang w:eastAsia="zh-CN"/>
        </w:rPr>
        <w:t>16</w:t>
      </w:r>
      <w:r>
        <w:rPr>
          <w:rFonts w:hint="eastAsia" w:eastAsiaTheme="minorEastAsia"/>
          <w:lang w:eastAsia="zh-CN"/>
        </w:rPr>
        <w:fldChar w:fldCharType="end"/>
      </w:r>
    </w:p>
    <w:p>
      <w:pPr>
        <w:pStyle w:val="26"/>
        <w:tabs>
          <w:tab w:val="right" w:leader="dot" w:pos="14562"/>
        </w:tabs>
      </w:pPr>
      <w:r>
        <w:fldChar w:fldCharType="begin"/>
      </w:r>
      <w:r>
        <w:instrText xml:space="preserve"> HYPERLINK \l "_Toc_2_2_0000000009" </w:instrText>
      </w:r>
      <w:r>
        <w:fldChar w:fldCharType="separate"/>
      </w:r>
      <w:r>
        <w:t>单位预算财政拨款“三公”经费支出表</w:t>
      </w:r>
      <w:r>
        <w:tab/>
      </w:r>
      <w:r>
        <w:rPr>
          <w:rFonts w:hint="eastAsia" w:eastAsiaTheme="minorEastAsia"/>
          <w:lang w:eastAsia="zh-CN"/>
        </w:rPr>
        <w:t>17</w:t>
      </w:r>
      <w:r>
        <w:rPr>
          <w:rFonts w:hint="eastAsia" w:eastAsiaTheme="minorEastAsia"/>
          <w:lang w:eastAsia="zh-CN"/>
        </w:rPr>
        <w:fldChar w:fldCharType="end"/>
      </w:r>
    </w:p>
    <w:p>
      <w:pPr>
        <w:rPr>
          <w:rFonts w:eastAsiaTheme="minorEastAsia"/>
          <w:lang w:eastAsia="zh-CN"/>
        </w:rPr>
      </w:pPr>
      <w:r>
        <w:fldChar w:fldCharType="end"/>
      </w:r>
    </w:p>
    <w:p>
      <w:r>
        <w:rPr>
          <w:rFonts w:ascii="方正楷体_GBK" w:hAnsi="方正楷体_GBK" w:eastAsia="方正楷体_GBK" w:cs="方正楷体_GBK"/>
          <w:b/>
          <w:color w:val="000000"/>
          <w:sz w:val="28"/>
        </w:rPr>
        <w:t>单位 预算信息公开情况说明</w:t>
      </w:r>
    </w:p>
    <w:p>
      <w:pPr>
        <w:pStyle w:val="26"/>
        <w:tabs>
          <w:tab w:val="right" w:leader="dot" w:pos="14562"/>
        </w:tabs>
        <w:rPr>
          <w:rFonts w:eastAsiaTheme="minorEastAsia"/>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eastAsiaTheme="minorEastAsia"/>
          <w:lang w:eastAsia="zh-CN"/>
        </w:rPr>
        <w:t>18</w:t>
      </w:r>
      <w:r>
        <w:rPr>
          <w:rFonts w:hint="eastAsia" w:eastAsiaTheme="minorEastAsia"/>
          <w:lang w:eastAsia="zh-CN"/>
        </w:rPr>
        <w:fldChar w:fldCharType="end"/>
      </w:r>
    </w:p>
    <w:p>
      <w:pPr>
        <w:pStyle w:val="26"/>
        <w:tabs>
          <w:tab w:val="right" w:leader="dot" w:pos="14562"/>
        </w:tabs>
        <w:rPr>
          <w:rFonts w:eastAsiaTheme="minorEastAsia"/>
          <w:lang w:eastAsia="zh-CN"/>
        </w:rPr>
      </w:pPr>
      <w:r>
        <w:fldChar w:fldCharType="begin"/>
      </w:r>
      <w:r>
        <w:instrText xml:space="preserve"> HYPERLINK \l "_Toc_3_3_0000000011" </w:instrText>
      </w:r>
      <w:r>
        <w:fldChar w:fldCharType="separate"/>
      </w:r>
      <w:r>
        <w:t>二、单位预算安排的总体情况</w:t>
      </w:r>
      <w:r>
        <w:tab/>
      </w:r>
      <w:r>
        <w:rPr>
          <w:rFonts w:hint="eastAsia" w:eastAsiaTheme="minorEastAsia"/>
          <w:lang w:eastAsia="zh-CN"/>
        </w:rPr>
        <w:t>20</w:t>
      </w:r>
      <w:r>
        <w:rPr>
          <w:rFonts w:hint="eastAsia" w:eastAsiaTheme="minorEastAsia"/>
          <w:lang w:eastAsia="zh-CN"/>
        </w:rPr>
        <w:fldChar w:fldCharType="end"/>
      </w:r>
    </w:p>
    <w:p>
      <w:pPr>
        <w:pStyle w:val="26"/>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21</w:t>
      </w:r>
      <w:r>
        <w:rPr>
          <w:rFonts w:hint="eastAsia" w:eastAsiaTheme="minorEastAsia"/>
          <w:lang w:eastAsia="zh-CN"/>
        </w:rPr>
        <w:fldChar w:fldCharType="end"/>
      </w:r>
    </w:p>
    <w:p>
      <w:pPr>
        <w:pStyle w:val="26"/>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22</w:t>
      </w:r>
      <w:r>
        <w:rPr>
          <w:rFonts w:hint="eastAsia" w:eastAsiaTheme="minorEastAsia"/>
          <w:lang w:eastAsia="zh-CN"/>
        </w:rPr>
        <w:fldChar w:fldCharType="end"/>
      </w:r>
    </w:p>
    <w:p>
      <w:pPr>
        <w:pStyle w:val="26"/>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37</w:t>
      </w:r>
      <w:r>
        <w:rPr>
          <w:rFonts w:hint="eastAsia" w:eastAsiaTheme="minorEastAsia"/>
          <w:lang w:eastAsia="zh-CN"/>
        </w:rPr>
        <w:fldChar w:fldCharType="end"/>
      </w:r>
    </w:p>
    <w:p>
      <w:pPr>
        <w:pStyle w:val="26"/>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37</w:t>
      </w:r>
      <w:r>
        <w:rPr>
          <w:rFonts w:hint="eastAsia" w:eastAsiaTheme="minorEastAsia"/>
          <w:lang w:eastAsia="zh-CN"/>
        </w:rPr>
        <w:fldChar w:fldCharType="end"/>
      </w:r>
    </w:p>
    <w:p>
      <w:pPr>
        <w:pStyle w:val="26"/>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eastAsiaTheme="minorEastAsia"/>
          <w:lang w:eastAsia="zh-CN"/>
        </w:rPr>
        <w:t>38</w:t>
      </w:r>
      <w:r>
        <w:rPr>
          <w:rFonts w:hint="eastAsia" w:eastAsiaTheme="minorEastAsia"/>
          <w:lang w:eastAsia="zh-CN"/>
        </w:rPr>
        <w:fldChar w:fldCharType="end"/>
      </w:r>
    </w:p>
    <w:p>
      <w:pPr>
        <w:pStyle w:val="26"/>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39</w:t>
      </w:r>
      <w:r>
        <w:rPr>
          <w:rFonts w:hint="eastAsia" w:eastAsiaTheme="minorEastAsia"/>
          <w:lang w:eastAsia="zh-CN"/>
        </w:rPr>
        <w:fldChar w:fldCharType="end"/>
      </w:r>
    </w:p>
    <w:p>
      <w:pPr>
        <w:jc w:val="center"/>
        <w:outlineLvl w:val="3"/>
        <w:rPr>
          <w:rFonts w:eastAsiaTheme="minorEastAsia"/>
          <w:lang w:eastAsia="zh-CN"/>
        </w:rPr>
      </w:pPr>
      <w:r>
        <w:fldChar w:fldCharType="end"/>
      </w:r>
    </w:p>
    <w:p>
      <w:pPr>
        <w:jc w:val="center"/>
        <w:outlineLvl w:val="3"/>
        <w:rPr>
          <w:rFonts w:eastAsiaTheme="minorEastAsia"/>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pPr>
      <w:r>
        <w:rPr>
          <w:rFonts w:ascii="方正小标宋_GBK" w:hAnsi="方正小标宋_GBK" w:eastAsia="方正小标宋_GBK" w:cs="方正小标宋_GBK"/>
          <w:color w:val="000000"/>
          <w:sz w:val="44"/>
        </w:rPr>
        <w:t>一、青龙满族自治县人民政府办公室本级收支预算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598.84</w:t>
            </w:r>
          </w:p>
        </w:tc>
        <w:tc>
          <w:tcPr>
            <w:tcW w:w="4535" w:type="dxa"/>
            <w:vAlign w:val="center"/>
          </w:tcPr>
          <w:p>
            <w:pPr>
              <w:pStyle w:val="14"/>
            </w:pPr>
            <w:r>
              <w:t>一、一般公共服务支出</w:t>
            </w:r>
          </w:p>
        </w:tc>
        <w:tc>
          <w:tcPr>
            <w:tcW w:w="2126" w:type="dxa"/>
            <w:vAlign w:val="center"/>
          </w:tcPr>
          <w:p>
            <w:pPr>
              <w:pStyle w:val="13"/>
            </w:pPr>
            <w:r>
              <w:t>482.10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598.84</w:t>
            </w:r>
          </w:p>
        </w:tc>
        <w:tc>
          <w:tcPr>
            <w:tcW w:w="4535" w:type="dxa"/>
            <w:vAlign w:val="center"/>
          </w:tcPr>
          <w:p>
            <w:pPr>
              <w:pStyle w:val="16"/>
            </w:pPr>
            <w:r>
              <w:t>本年支出合计</w:t>
            </w:r>
          </w:p>
        </w:tc>
        <w:tc>
          <w:tcPr>
            <w:tcW w:w="2126" w:type="dxa"/>
            <w:vAlign w:val="center"/>
          </w:tcPr>
          <w:p>
            <w:pPr>
              <w:pStyle w:val="17"/>
            </w:pPr>
            <w:r>
              <w:t>665.52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66.68</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665.52</w:t>
            </w:r>
          </w:p>
        </w:tc>
        <w:tc>
          <w:tcPr>
            <w:tcW w:w="4535" w:type="dxa"/>
            <w:vAlign w:val="center"/>
          </w:tcPr>
          <w:p>
            <w:pPr>
              <w:pStyle w:val="16"/>
            </w:pPr>
            <w:r>
              <w:t>支出总计</w:t>
            </w:r>
          </w:p>
        </w:tc>
        <w:tc>
          <w:tcPr>
            <w:tcW w:w="2126" w:type="dxa"/>
            <w:vAlign w:val="center"/>
          </w:tcPr>
          <w:p>
            <w:pPr>
              <w:pStyle w:val="17"/>
            </w:pPr>
            <w:r>
              <w:t>665.52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665.52</w:t>
            </w:r>
          </w:p>
        </w:tc>
        <w:tc>
          <w:tcPr>
            <w:tcW w:w="1134" w:type="dxa"/>
            <w:vAlign w:val="center"/>
          </w:tcPr>
          <w:p>
            <w:pPr>
              <w:pStyle w:val="17"/>
            </w:pPr>
            <w:r>
              <w:t>598.84</w:t>
            </w:r>
          </w:p>
        </w:tc>
        <w:tc>
          <w:tcPr>
            <w:tcW w:w="1134" w:type="dxa"/>
            <w:vAlign w:val="center"/>
          </w:tcPr>
          <w:p>
            <w:pPr>
              <w:pStyle w:val="17"/>
            </w:pPr>
            <w:r>
              <w:t>598.84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66.68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482.10</w:t>
            </w:r>
          </w:p>
        </w:tc>
        <w:tc>
          <w:tcPr>
            <w:tcW w:w="1134" w:type="dxa"/>
            <w:vAlign w:val="center"/>
          </w:tcPr>
          <w:p>
            <w:pPr>
              <w:pStyle w:val="13"/>
            </w:pPr>
            <w:r>
              <w:t>472.10</w:t>
            </w:r>
          </w:p>
        </w:tc>
        <w:tc>
          <w:tcPr>
            <w:tcW w:w="1134" w:type="dxa"/>
            <w:vAlign w:val="center"/>
          </w:tcPr>
          <w:p>
            <w:pPr>
              <w:pStyle w:val="13"/>
            </w:pPr>
            <w:r>
              <w:t>472.10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482.10</w:t>
            </w:r>
          </w:p>
        </w:tc>
        <w:tc>
          <w:tcPr>
            <w:tcW w:w="1134" w:type="dxa"/>
            <w:vAlign w:val="center"/>
          </w:tcPr>
          <w:p>
            <w:pPr>
              <w:pStyle w:val="13"/>
            </w:pPr>
            <w:r>
              <w:t>472.10</w:t>
            </w:r>
          </w:p>
        </w:tc>
        <w:tc>
          <w:tcPr>
            <w:tcW w:w="1134" w:type="dxa"/>
            <w:vAlign w:val="center"/>
          </w:tcPr>
          <w:p>
            <w:pPr>
              <w:pStyle w:val="13"/>
            </w:pPr>
            <w:r>
              <w:t>472.10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267.36</w:t>
            </w:r>
          </w:p>
        </w:tc>
        <w:tc>
          <w:tcPr>
            <w:tcW w:w="1134" w:type="dxa"/>
            <w:vAlign w:val="center"/>
          </w:tcPr>
          <w:p>
            <w:pPr>
              <w:pStyle w:val="13"/>
            </w:pPr>
            <w:r>
              <w:t>267.36</w:t>
            </w:r>
          </w:p>
        </w:tc>
        <w:tc>
          <w:tcPr>
            <w:tcW w:w="1134" w:type="dxa"/>
            <w:vAlign w:val="center"/>
          </w:tcPr>
          <w:p>
            <w:pPr>
              <w:pStyle w:val="13"/>
            </w:pPr>
            <w:r>
              <w:t>267.36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2010305</w:t>
            </w:r>
          </w:p>
        </w:tc>
        <w:tc>
          <w:tcPr>
            <w:tcW w:w="1559" w:type="dxa"/>
            <w:vAlign w:val="center"/>
          </w:tcPr>
          <w:p>
            <w:pPr>
              <w:pStyle w:val="14"/>
            </w:pPr>
            <w:r>
              <w:t>专项业务及机关事务管理</w:t>
            </w:r>
          </w:p>
        </w:tc>
        <w:tc>
          <w:tcPr>
            <w:tcW w:w="1134" w:type="dxa"/>
            <w:vAlign w:val="center"/>
          </w:tcPr>
          <w:p>
            <w:pPr>
              <w:pStyle w:val="13"/>
            </w:pPr>
            <w:r>
              <w:t>84.00</w:t>
            </w:r>
          </w:p>
        </w:tc>
        <w:tc>
          <w:tcPr>
            <w:tcW w:w="1134" w:type="dxa"/>
            <w:vAlign w:val="center"/>
          </w:tcPr>
          <w:p>
            <w:pPr>
              <w:pStyle w:val="13"/>
            </w:pPr>
            <w:r>
              <w:t>84.00</w:t>
            </w:r>
          </w:p>
        </w:tc>
        <w:tc>
          <w:tcPr>
            <w:tcW w:w="1134" w:type="dxa"/>
            <w:vAlign w:val="center"/>
          </w:tcPr>
          <w:p>
            <w:pPr>
              <w:pStyle w:val="13"/>
            </w:pPr>
            <w:r>
              <w:t>84.00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120.73</w:t>
            </w:r>
          </w:p>
        </w:tc>
        <w:tc>
          <w:tcPr>
            <w:tcW w:w="1134" w:type="dxa"/>
            <w:vAlign w:val="center"/>
          </w:tcPr>
          <w:p>
            <w:pPr>
              <w:pStyle w:val="13"/>
            </w:pPr>
            <w:r>
              <w:t>120.73</w:t>
            </w:r>
          </w:p>
        </w:tc>
        <w:tc>
          <w:tcPr>
            <w:tcW w:w="1134" w:type="dxa"/>
            <w:vAlign w:val="center"/>
          </w:tcPr>
          <w:p>
            <w:pPr>
              <w:pStyle w:val="13"/>
            </w:pPr>
            <w:r>
              <w:t>120.73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125.92</w:t>
            </w:r>
          </w:p>
        </w:tc>
        <w:tc>
          <w:tcPr>
            <w:tcW w:w="1134" w:type="dxa"/>
            <w:vAlign w:val="center"/>
          </w:tcPr>
          <w:p>
            <w:pPr>
              <w:pStyle w:val="13"/>
            </w:pPr>
            <w:r>
              <w:t>69.24</w:t>
            </w:r>
          </w:p>
        </w:tc>
        <w:tc>
          <w:tcPr>
            <w:tcW w:w="1134" w:type="dxa"/>
            <w:vAlign w:val="center"/>
          </w:tcPr>
          <w:p>
            <w:pPr>
              <w:pStyle w:val="13"/>
            </w:pPr>
            <w:r>
              <w:t>69.24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55.51</w:t>
            </w:r>
          </w:p>
        </w:tc>
        <w:tc>
          <w:tcPr>
            <w:tcW w:w="1134" w:type="dxa"/>
            <w:vAlign w:val="center"/>
          </w:tcPr>
          <w:p>
            <w:pPr>
              <w:pStyle w:val="13"/>
            </w:pPr>
            <w:r>
              <w:t>55.51</w:t>
            </w:r>
          </w:p>
        </w:tc>
        <w:tc>
          <w:tcPr>
            <w:tcW w:w="1134" w:type="dxa"/>
            <w:vAlign w:val="center"/>
          </w:tcPr>
          <w:p>
            <w:pPr>
              <w:pStyle w:val="13"/>
            </w:pPr>
            <w:r>
              <w:t>55.51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10.30</w:t>
            </w:r>
          </w:p>
        </w:tc>
        <w:tc>
          <w:tcPr>
            <w:tcW w:w="1134" w:type="dxa"/>
            <w:vAlign w:val="center"/>
          </w:tcPr>
          <w:p>
            <w:pPr>
              <w:pStyle w:val="13"/>
            </w:pPr>
            <w:r>
              <w:t>10.30</w:t>
            </w:r>
          </w:p>
        </w:tc>
        <w:tc>
          <w:tcPr>
            <w:tcW w:w="1134" w:type="dxa"/>
            <w:vAlign w:val="center"/>
          </w:tcPr>
          <w:p>
            <w:pPr>
              <w:pStyle w:val="13"/>
            </w:pPr>
            <w:r>
              <w:t>10.30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45.21</w:t>
            </w:r>
          </w:p>
        </w:tc>
        <w:tc>
          <w:tcPr>
            <w:tcW w:w="1134" w:type="dxa"/>
            <w:vAlign w:val="center"/>
          </w:tcPr>
          <w:p>
            <w:pPr>
              <w:pStyle w:val="13"/>
            </w:pPr>
            <w:r>
              <w:t>45.21</w:t>
            </w:r>
          </w:p>
        </w:tc>
        <w:tc>
          <w:tcPr>
            <w:tcW w:w="1134" w:type="dxa"/>
            <w:vAlign w:val="center"/>
          </w:tcPr>
          <w:p>
            <w:pPr>
              <w:pStyle w:val="13"/>
            </w:pPr>
            <w:r>
              <w:t>45.21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70.41</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50.54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19.88</w:t>
            </w:r>
          </w:p>
        </w:tc>
        <w:tc>
          <w:tcPr>
            <w:tcW w:w="1134" w:type="dxa"/>
            <w:vAlign w:val="center"/>
          </w:tcPr>
          <w:p>
            <w:pPr>
              <w:pStyle w:val="13"/>
            </w:pPr>
            <w:r>
              <w:t>13.73</w:t>
            </w:r>
          </w:p>
        </w:tc>
        <w:tc>
          <w:tcPr>
            <w:tcW w:w="1134" w:type="dxa"/>
            <w:vAlign w:val="center"/>
          </w:tcPr>
          <w:p>
            <w:pPr>
              <w:pStyle w:val="13"/>
            </w:pPr>
            <w:r>
              <w:t>13.73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29.22</w:t>
            </w:r>
          </w:p>
        </w:tc>
        <w:tc>
          <w:tcPr>
            <w:tcW w:w="1134" w:type="dxa"/>
            <w:vAlign w:val="center"/>
          </w:tcPr>
          <w:p>
            <w:pPr>
              <w:pStyle w:val="13"/>
            </w:pPr>
            <w:r>
              <w:t>29.22</w:t>
            </w:r>
          </w:p>
        </w:tc>
        <w:tc>
          <w:tcPr>
            <w:tcW w:w="1134" w:type="dxa"/>
            <w:vAlign w:val="center"/>
          </w:tcPr>
          <w:p>
            <w:pPr>
              <w:pStyle w:val="13"/>
            </w:pPr>
            <w:r>
              <w:t>29.22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29.22</w:t>
            </w:r>
          </w:p>
        </w:tc>
        <w:tc>
          <w:tcPr>
            <w:tcW w:w="1134" w:type="dxa"/>
            <w:vAlign w:val="center"/>
          </w:tcPr>
          <w:p>
            <w:pPr>
              <w:pStyle w:val="13"/>
            </w:pPr>
            <w:r>
              <w:t>29.22</w:t>
            </w:r>
          </w:p>
        </w:tc>
        <w:tc>
          <w:tcPr>
            <w:tcW w:w="1134" w:type="dxa"/>
            <w:vAlign w:val="center"/>
          </w:tcPr>
          <w:p>
            <w:pPr>
              <w:pStyle w:val="13"/>
            </w:pPr>
            <w:r>
              <w:t>29.22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19.27</w:t>
            </w:r>
          </w:p>
        </w:tc>
        <w:tc>
          <w:tcPr>
            <w:tcW w:w="1134" w:type="dxa"/>
            <w:vAlign w:val="center"/>
          </w:tcPr>
          <w:p>
            <w:pPr>
              <w:pStyle w:val="13"/>
            </w:pPr>
            <w:r>
              <w:t>19.27</w:t>
            </w:r>
          </w:p>
        </w:tc>
        <w:tc>
          <w:tcPr>
            <w:tcW w:w="1134" w:type="dxa"/>
            <w:vAlign w:val="center"/>
          </w:tcPr>
          <w:p>
            <w:pPr>
              <w:pStyle w:val="13"/>
            </w:pPr>
            <w:r>
              <w:t>19.27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9.94</w:t>
            </w:r>
          </w:p>
        </w:tc>
        <w:tc>
          <w:tcPr>
            <w:tcW w:w="1134" w:type="dxa"/>
            <w:vAlign w:val="center"/>
          </w:tcPr>
          <w:p>
            <w:pPr>
              <w:pStyle w:val="13"/>
            </w:pPr>
            <w:r>
              <w:t>9.94</w:t>
            </w:r>
          </w:p>
        </w:tc>
        <w:tc>
          <w:tcPr>
            <w:tcW w:w="1134" w:type="dxa"/>
            <w:vAlign w:val="center"/>
          </w:tcPr>
          <w:p>
            <w:pPr>
              <w:pStyle w:val="13"/>
            </w:pPr>
            <w:r>
              <w:t>9.94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214</w:t>
            </w:r>
          </w:p>
        </w:tc>
        <w:tc>
          <w:tcPr>
            <w:tcW w:w="1559" w:type="dxa"/>
            <w:vAlign w:val="center"/>
          </w:tcPr>
          <w:p>
            <w:pPr>
              <w:pStyle w:val="14"/>
            </w:pPr>
            <w:r>
              <w:t>交通运输支出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21401</w:t>
            </w:r>
          </w:p>
        </w:tc>
        <w:tc>
          <w:tcPr>
            <w:tcW w:w="1559" w:type="dxa"/>
            <w:vAlign w:val="center"/>
          </w:tcPr>
          <w:p>
            <w:pPr>
              <w:pStyle w:val="14"/>
            </w:pPr>
            <w:r>
              <w:t>公路水路运输</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2140112</w:t>
            </w:r>
          </w:p>
        </w:tc>
        <w:tc>
          <w:tcPr>
            <w:tcW w:w="1559" w:type="dxa"/>
            <w:vAlign w:val="center"/>
          </w:tcPr>
          <w:p>
            <w:pPr>
              <w:pStyle w:val="14"/>
            </w:pPr>
            <w:r>
              <w:t>公路运输管理</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23.29</w:t>
            </w:r>
          </w:p>
        </w:tc>
        <w:tc>
          <w:tcPr>
            <w:tcW w:w="1134" w:type="dxa"/>
            <w:vAlign w:val="center"/>
          </w:tcPr>
          <w:p>
            <w:pPr>
              <w:pStyle w:val="13"/>
            </w:pPr>
            <w:r>
              <w:t>23.29</w:t>
            </w:r>
          </w:p>
        </w:tc>
        <w:tc>
          <w:tcPr>
            <w:tcW w:w="1134" w:type="dxa"/>
            <w:vAlign w:val="center"/>
          </w:tcPr>
          <w:p>
            <w:pPr>
              <w:pStyle w:val="13"/>
            </w:pPr>
            <w:r>
              <w:t>23.29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23.29</w:t>
            </w:r>
          </w:p>
        </w:tc>
        <w:tc>
          <w:tcPr>
            <w:tcW w:w="1134" w:type="dxa"/>
            <w:vAlign w:val="center"/>
          </w:tcPr>
          <w:p>
            <w:pPr>
              <w:pStyle w:val="13"/>
            </w:pPr>
            <w:r>
              <w:t>23.29</w:t>
            </w:r>
          </w:p>
        </w:tc>
        <w:tc>
          <w:tcPr>
            <w:tcW w:w="1134" w:type="dxa"/>
            <w:vAlign w:val="center"/>
          </w:tcPr>
          <w:p>
            <w:pPr>
              <w:pStyle w:val="13"/>
            </w:pPr>
            <w:r>
              <w:t>23.29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23.29</w:t>
            </w:r>
          </w:p>
        </w:tc>
        <w:tc>
          <w:tcPr>
            <w:tcW w:w="1134" w:type="dxa"/>
            <w:vAlign w:val="center"/>
          </w:tcPr>
          <w:p>
            <w:pPr>
              <w:pStyle w:val="13"/>
            </w:pPr>
            <w:r>
              <w:t>23.29</w:t>
            </w:r>
          </w:p>
        </w:tc>
        <w:tc>
          <w:tcPr>
            <w:tcW w:w="1134" w:type="dxa"/>
            <w:vAlign w:val="center"/>
          </w:tcPr>
          <w:p>
            <w:pPr>
              <w:pStyle w:val="13"/>
            </w:pPr>
            <w:r>
              <w:t>23.29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665.52</w:t>
            </w:r>
          </w:p>
        </w:tc>
        <w:tc>
          <w:tcPr>
            <w:tcW w:w="1361" w:type="dxa"/>
            <w:vAlign w:val="center"/>
          </w:tcPr>
          <w:p>
            <w:pPr>
              <w:pStyle w:val="17"/>
            </w:pPr>
            <w:r>
              <w:t>566.52</w:t>
            </w:r>
          </w:p>
        </w:tc>
        <w:tc>
          <w:tcPr>
            <w:tcW w:w="1361" w:type="dxa"/>
            <w:vAlign w:val="center"/>
          </w:tcPr>
          <w:p>
            <w:pPr>
              <w:pStyle w:val="17"/>
            </w:pPr>
            <w:r>
              <w:t>99.00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482.10</w:t>
            </w:r>
          </w:p>
        </w:tc>
        <w:tc>
          <w:tcPr>
            <w:tcW w:w="1361" w:type="dxa"/>
            <w:vAlign w:val="center"/>
          </w:tcPr>
          <w:p>
            <w:pPr>
              <w:pStyle w:val="13"/>
            </w:pPr>
            <w:r>
              <w:t>388.10</w:t>
            </w:r>
          </w:p>
        </w:tc>
        <w:tc>
          <w:tcPr>
            <w:tcW w:w="1361" w:type="dxa"/>
            <w:vAlign w:val="center"/>
          </w:tcPr>
          <w:p>
            <w:pPr>
              <w:pStyle w:val="13"/>
            </w:pPr>
            <w:r>
              <w:t>94.00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482.10</w:t>
            </w:r>
          </w:p>
        </w:tc>
        <w:tc>
          <w:tcPr>
            <w:tcW w:w="1361" w:type="dxa"/>
            <w:vAlign w:val="center"/>
          </w:tcPr>
          <w:p>
            <w:pPr>
              <w:pStyle w:val="13"/>
            </w:pPr>
            <w:r>
              <w:t>388.10</w:t>
            </w:r>
          </w:p>
        </w:tc>
        <w:tc>
          <w:tcPr>
            <w:tcW w:w="1361" w:type="dxa"/>
            <w:vAlign w:val="center"/>
          </w:tcPr>
          <w:p>
            <w:pPr>
              <w:pStyle w:val="13"/>
            </w:pPr>
            <w:r>
              <w:t>94.00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267.36</w:t>
            </w:r>
          </w:p>
        </w:tc>
        <w:tc>
          <w:tcPr>
            <w:tcW w:w="1361" w:type="dxa"/>
            <w:vAlign w:val="center"/>
          </w:tcPr>
          <w:p>
            <w:pPr>
              <w:pStyle w:val="13"/>
            </w:pPr>
            <w:r>
              <w:t>267.36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2010305</w:t>
            </w:r>
          </w:p>
        </w:tc>
        <w:tc>
          <w:tcPr>
            <w:tcW w:w="4535" w:type="dxa"/>
            <w:vAlign w:val="center"/>
          </w:tcPr>
          <w:p>
            <w:pPr>
              <w:pStyle w:val="14"/>
            </w:pPr>
            <w:r>
              <w:t>专项业务及机关事务管理</w:t>
            </w:r>
          </w:p>
        </w:tc>
        <w:tc>
          <w:tcPr>
            <w:tcW w:w="1361" w:type="dxa"/>
            <w:vAlign w:val="center"/>
          </w:tcPr>
          <w:p>
            <w:pPr>
              <w:pStyle w:val="13"/>
            </w:pPr>
            <w:r>
              <w:t>84.00</w:t>
            </w:r>
          </w:p>
        </w:tc>
        <w:tc>
          <w:tcPr>
            <w:tcW w:w="1361" w:type="dxa"/>
            <w:vAlign w:val="center"/>
          </w:tcPr>
          <w:p>
            <w:pPr>
              <w:pStyle w:val="13"/>
            </w:pPr>
          </w:p>
        </w:tc>
        <w:tc>
          <w:tcPr>
            <w:tcW w:w="1361" w:type="dxa"/>
            <w:vAlign w:val="center"/>
          </w:tcPr>
          <w:p>
            <w:pPr>
              <w:pStyle w:val="13"/>
            </w:pPr>
            <w:r>
              <w:t>84.00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120.73</w:t>
            </w:r>
          </w:p>
        </w:tc>
        <w:tc>
          <w:tcPr>
            <w:tcW w:w="1361" w:type="dxa"/>
            <w:vAlign w:val="center"/>
          </w:tcPr>
          <w:p>
            <w:pPr>
              <w:pStyle w:val="13"/>
            </w:pPr>
            <w:r>
              <w:t>120.73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125.92</w:t>
            </w:r>
          </w:p>
        </w:tc>
        <w:tc>
          <w:tcPr>
            <w:tcW w:w="1361" w:type="dxa"/>
            <w:vAlign w:val="center"/>
          </w:tcPr>
          <w:p>
            <w:pPr>
              <w:pStyle w:val="13"/>
            </w:pPr>
            <w:r>
              <w:t>125.92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55.51</w:t>
            </w:r>
          </w:p>
        </w:tc>
        <w:tc>
          <w:tcPr>
            <w:tcW w:w="1361" w:type="dxa"/>
            <w:vAlign w:val="center"/>
          </w:tcPr>
          <w:p>
            <w:pPr>
              <w:pStyle w:val="13"/>
            </w:pPr>
            <w:r>
              <w:t>55.51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10.30</w:t>
            </w:r>
          </w:p>
        </w:tc>
        <w:tc>
          <w:tcPr>
            <w:tcW w:w="1361" w:type="dxa"/>
            <w:vAlign w:val="center"/>
          </w:tcPr>
          <w:p>
            <w:pPr>
              <w:pStyle w:val="13"/>
            </w:pPr>
            <w:r>
              <w:t>10.30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45.21</w:t>
            </w:r>
          </w:p>
        </w:tc>
        <w:tc>
          <w:tcPr>
            <w:tcW w:w="1361" w:type="dxa"/>
            <w:vAlign w:val="center"/>
          </w:tcPr>
          <w:p>
            <w:pPr>
              <w:pStyle w:val="13"/>
            </w:pPr>
            <w:r>
              <w:t>45.21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70.41</w:t>
            </w:r>
          </w:p>
        </w:tc>
        <w:tc>
          <w:tcPr>
            <w:tcW w:w="1361" w:type="dxa"/>
            <w:vAlign w:val="center"/>
          </w:tcPr>
          <w:p>
            <w:pPr>
              <w:pStyle w:val="13"/>
            </w:pPr>
            <w:r>
              <w:t>70.41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50.54</w:t>
            </w:r>
          </w:p>
        </w:tc>
        <w:tc>
          <w:tcPr>
            <w:tcW w:w="1361" w:type="dxa"/>
            <w:vAlign w:val="center"/>
          </w:tcPr>
          <w:p>
            <w:pPr>
              <w:pStyle w:val="13"/>
            </w:pPr>
            <w:r>
              <w:t>50.54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19.88</w:t>
            </w:r>
          </w:p>
        </w:tc>
        <w:tc>
          <w:tcPr>
            <w:tcW w:w="1361" w:type="dxa"/>
            <w:vAlign w:val="center"/>
          </w:tcPr>
          <w:p>
            <w:pPr>
              <w:pStyle w:val="13"/>
            </w:pPr>
            <w:r>
              <w:t>19.88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29.22</w:t>
            </w:r>
          </w:p>
        </w:tc>
        <w:tc>
          <w:tcPr>
            <w:tcW w:w="1361" w:type="dxa"/>
            <w:vAlign w:val="center"/>
          </w:tcPr>
          <w:p>
            <w:pPr>
              <w:pStyle w:val="13"/>
            </w:pPr>
            <w:r>
              <w:t>29.22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29.22</w:t>
            </w:r>
          </w:p>
        </w:tc>
        <w:tc>
          <w:tcPr>
            <w:tcW w:w="1361" w:type="dxa"/>
            <w:vAlign w:val="center"/>
          </w:tcPr>
          <w:p>
            <w:pPr>
              <w:pStyle w:val="13"/>
            </w:pPr>
            <w:r>
              <w:t>29.22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19.27</w:t>
            </w:r>
          </w:p>
        </w:tc>
        <w:tc>
          <w:tcPr>
            <w:tcW w:w="1361" w:type="dxa"/>
            <w:vAlign w:val="center"/>
          </w:tcPr>
          <w:p>
            <w:pPr>
              <w:pStyle w:val="13"/>
            </w:pPr>
            <w:r>
              <w:t>19.27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9.94</w:t>
            </w:r>
          </w:p>
        </w:tc>
        <w:tc>
          <w:tcPr>
            <w:tcW w:w="1361" w:type="dxa"/>
            <w:vAlign w:val="center"/>
          </w:tcPr>
          <w:p>
            <w:pPr>
              <w:pStyle w:val="13"/>
            </w:pPr>
            <w:r>
              <w:t>9.94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214</w:t>
            </w:r>
          </w:p>
        </w:tc>
        <w:tc>
          <w:tcPr>
            <w:tcW w:w="4535" w:type="dxa"/>
            <w:vAlign w:val="center"/>
          </w:tcPr>
          <w:p>
            <w:pPr>
              <w:pStyle w:val="14"/>
            </w:pPr>
            <w:r>
              <w:t>交通运输支出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21401</w:t>
            </w:r>
          </w:p>
        </w:tc>
        <w:tc>
          <w:tcPr>
            <w:tcW w:w="4535" w:type="dxa"/>
            <w:vAlign w:val="center"/>
          </w:tcPr>
          <w:p>
            <w:pPr>
              <w:pStyle w:val="14"/>
            </w:pPr>
            <w:r>
              <w:t>公路水路运输</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2140112</w:t>
            </w:r>
          </w:p>
        </w:tc>
        <w:tc>
          <w:tcPr>
            <w:tcW w:w="4535" w:type="dxa"/>
            <w:vAlign w:val="center"/>
          </w:tcPr>
          <w:p>
            <w:pPr>
              <w:pStyle w:val="14"/>
            </w:pPr>
            <w:r>
              <w:t>公路运输管理</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23.29</w:t>
            </w:r>
          </w:p>
        </w:tc>
        <w:tc>
          <w:tcPr>
            <w:tcW w:w="1361" w:type="dxa"/>
            <w:vAlign w:val="center"/>
          </w:tcPr>
          <w:p>
            <w:pPr>
              <w:pStyle w:val="13"/>
            </w:pPr>
            <w:r>
              <w:t>23.29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23.29</w:t>
            </w:r>
          </w:p>
        </w:tc>
        <w:tc>
          <w:tcPr>
            <w:tcW w:w="1361" w:type="dxa"/>
            <w:vAlign w:val="center"/>
          </w:tcPr>
          <w:p>
            <w:pPr>
              <w:pStyle w:val="13"/>
            </w:pPr>
            <w:r>
              <w:t>23.29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23.29</w:t>
            </w:r>
          </w:p>
        </w:tc>
        <w:tc>
          <w:tcPr>
            <w:tcW w:w="1361" w:type="dxa"/>
            <w:vAlign w:val="center"/>
          </w:tcPr>
          <w:p>
            <w:pPr>
              <w:pStyle w:val="13"/>
            </w:pPr>
            <w:r>
              <w:t>23.29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598.84</w:t>
            </w:r>
          </w:p>
        </w:tc>
        <w:tc>
          <w:tcPr>
            <w:tcW w:w="3402" w:type="dxa"/>
            <w:vAlign w:val="center"/>
          </w:tcPr>
          <w:p>
            <w:pPr>
              <w:pStyle w:val="14"/>
            </w:pPr>
            <w:r>
              <w:t>一、一般公共服务支出</w:t>
            </w:r>
          </w:p>
        </w:tc>
        <w:tc>
          <w:tcPr>
            <w:tcW w:w="1474" w:type="dxa"/>
            <w:vAlign w:val="center"/>
          </w:tcPr>
          <w:p>
            <w:pPr>
              <w:pStyle w:val="13"/>
            </w:pPr>
            <w:r>
              <w:t>482.10</w:t>
            </w:r>
          </w:p>
        </w:tc>
        <w:tc>
          <w:tcPr>
            <w:tcW w:w="1474" w:type="dxa"/>
            <w:vAlign w:val="center"/>
          </w:tcPr>
          <w:p>
            <w:pPr>
              <w:pStyle w:val="13"/>
            </w:pPr>
            <w:r>
              <w:t>482.10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125.92</w:t>
            </w:r>
          </w:p>
        </w:tc>
        <w:tc>
          <w:tcPr>
            <w:tcW w:w="1474" w:type="dxa"/>
            <w:vAlign w:val="center"/>
          </w:tcPr>
          <w:p>
            <w:pPr>
              <w:pStyle w:val="13"/>
            </w:pPr>
            <w:r>
              <w:t>125.92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29.22</w:t>
            </w:r>
          </w:p>
        </w:tc>
        <w:tc>
          <w:tcPr>
            <w:tcW w:w="1474" w:type="dxa"/>
            <w:vAlign w:val="center"/>
          </w:tcPr>
          <w:p>
            <w:pPr>
              <w:pStyle w:val="13"/>
            </w:pPr>
            <w:r>
              <w:t>29.22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r>
              <w:t>5.00</w:t>
            </w:r>
          </w:p>
        </w:tc>
        <w:tc>
          <w:tcPr>
            <w:tcW w:w="1474" w:type="dxa"/>
            <w:vAlign w:val="center"/>
          </w:tcPr>
          <w:p>
            <w:pPr>
              <w:pStyle w:val="13"/>
            </w:pPr>
            <w:r>
              <w:t>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23.29</w:t>
            </w:r>
          </w:p>
        </w:tc>
        <w:tc>
          <w:tcPr>
            <w:tcW w:w="1474" w:type="dxa"/>
            <w:vAlign w:val="center"/>
          </w:tcPr>
          <w:p>
            <w:pPr>
              <w:pStyle w:val="13"/>
            </w:pPr>
            <w:r>
              <w:t>23.29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598.84</w:t>
            </w:r>
          </w:p>
        </w:tc>
        <w:tc>
          <w:tcPr>
            <w:tcW w:w="3402" w:type="dxa"/>
            <w:vAlign w:val="center"/>
          </w:tcPr>
          <w:p>
            <w:pPr>
              <w:pStyle w:val="16"/>
            </w:pPr>
            <w:r>
              <w:t>本年支出合计</w:t>
            </w:r>
          </w:p>
        </w:tc>
        <w:tc>
          <w:tcPr>
            <w:tcW w:w="1474" w:type="dxa"/>
            <w:vAlign w:val="center"/>
          </w:tcPr>
          <w:p>
            <w:pPr>
              <w:pStyle w:val="17"/>
            </w:pPr>
            <w:r>
              <w:t>665.52</w:t>
            </w:r>
          </w:p>
        </w:tc>
        <w:tc>
          <w:tcPr>
            <w:tcW w:w="1474" w:type="dxa"/>
            <w:vAlign w:val="center"/>
          </w:tcPr>
          <w:p>
            <w:pPr>
              <w:pStyle w:val="17"/>
            </w:pPr>
            <w:r>
              <w:t>665.52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66.68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66.68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665.52</w:t>
            </w:r>
          </w:p>
        </w:tc>
        <w:tc>
          <w:tcPr>
            <w:tcW w:w="3402" w:type="dxa"/>
            <w:vAlign w:val="center"/>
          </w:tcPr>
          <w:p>
            <w:pPr>
              <w:pStyle w:val="16"/>
            </w:pPr>
            <w:r>
              <w:t>支出总计</w:t>
            </w:r>
          </w:p>
        </w:tc>
        <w:tc>
          <w:tcPr>
            <w:tcW w:w="1474" w:type="dxa"/>
            <w:vAlign w:val="center"/>
          </w:tcPr>
          <w:p>
            <w:pPr>
              <w:pStyle w:val="17"/>
            </w:pPr>
            <w:r>
              <w:t>665.52</w:t>
            </w:r>
          </w:p>
        </w:tc>
        <w:tc>
          <w:tcPr>
            <w:tcW w:w="1474" w:type="dxa"/>
            <w:vAlign w:val="center"/>
          </w:tcPr>
          <w:p>
            <w:pPr>
              <w:pStyle w:val="17"/>
            </w:pPr>
            <w:r>
              <w:t>665.52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665.52</w:t>
            </w:r>
          </w:p>
        </w:tc>
        <w:tc>
          <w:tcPr>
            <w:tcW w:w="2551" w:type="dxa"/>
            <w:vAlign w:val="center"/>
          </w:tcPr>
          <w:p>
            <w:pPr>
              <w:pStyle w:val="17"/>
            </w:pPr>
            <w:r>
              <w:t>566.52</w:t>
            </w:r>
          </w:p>
        </w:tc>
        <w:tc>
          <w:tcPr>
            <w:tcW w:w="2551" w:type="dxa"/>
            <w:vAlign w:val="center"/>
          </w:tcPr>
          <w:p>
            <w:pPr>
              <w:pStyle w:val="17"/>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482.10</w:t>
            </w:r>
          </w:p>
        </w:tc>
        <w:tc>
          <w:tcPr>
            <w:tcW w:w="2551" w:type="dxa"/>
            <w:vAlign w:val="center"/>
          </w:tcPr>
          <w:p>
            <w:pPr>
              <w:pStyle w:val="13"/>
            </w:pPr>
            <w:r>
              <w:t>388.10</w:t>
            </w:r>
          </w:p>
        </w:tc>
        <w:tc>
          <w:tcPr>
            <w:tcW w:w="2551" w:type="dxa"/>
            <w:vAlign w:val="center"/>
          </w:tcPr>
          <w:p>
            <w:pPr>
              <w:pStyle w:val="13"/>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482.10</w:t>
            </w:r>
          </w:p>
        </w:tc>
        <w:tc>
          <w:tcPr>
            <w:tcW w:w="2551" w:type="dxa"/>
            <w:vAlign w:val="center"/>
          </w:tcPr>
          <w:p>
            <w:pPr>
              <w:pStyle w:val="13"/>
            </w:pPr>
            <w:r>
              <w:t>388.10</w:t>
            </w:r>
          </w:p>
        </w:tc>
        <w:tc>
          <w:tcPr>
            <w:tcW w:w="2551" w:type="dxa"/>
            <w:vAlign w:val="center"/>
          </w:tcPr>
          <w:p>
            <w:pPr>
              <w:pStyle w:val="13"/>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267.36</w:t>
            </w:r>
          </w:p>
        </w:tc>
        <w:tc>
          <w:tcPr>
            <w:tcW w:w="2551" w:type="dxa"/>
            <w:vAlign w:val="center"/>
          </w:tcPr>
          <w:p>
            <w:pPr>
              <w:pStyle w:val="13"/>
            </w:pPr>
            <w:r>
              <w:t>267.36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2010305</w:t>
            </w:r>
          </w:p>
        </w:tc>
        <w:tc>
          <w:tcPr>
            <w:tcW w:w="4535" w:type="dxa"/>
            <w:vAlign w:val="center"/>
          </w:tcPr>
          <w:p>
            <w:pPr>
              <w:pStyle w:val="14"/>
            </w:pPr>
            <w:r>
              <w:t>专项业务及机关事务管理</w:t>
            </w:r>
          </w:p>
        </w:tc>
        <w:tc>
          <w:tcPr>
            <w:tcW w:w="2551" w:type="dxa"/>
            <w:vAlign w:val="center"/>
          </w:tcPr>
          <w:p>
            <w:pPr>
              <w:pStyle w:val="13"/>
            </w:pPr>
            <w:r>
              <w:t>84.00</w:t>
            </w:r>
          </w:p>
        </w:tc>
        <w:tc>
          <w:tcPr>
            <w:tcW w:w="2551" w:type="dxa"/>
            <w:vAlign w:val="center"/>
          </w:tcPr>
          <w:p>
            <w:pPr>
              <w:pStyle w:val="13"/>
            </w:pPr>
          </w:p>
        </w:tc>
        <w:tc>
          <w:tcPr>
            <w:tcW w:w="2551"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120.73</w:t>
            </w:r>
          </w:p>
        </w:tc>
        <w:tc>
          <w:tcPr>
            <w:tcW w:w="2551" w:type="dxa"/>
            <w:vAlign w:val="center"/>
          </w:tcPr>
          <w:p>
            <w:pPr>
              <w:pStyle w:val="13"/>
            </w:pPr>
            <w:r>
              <w:t>120.73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125.92</w:t>
            </w:r>
          </w:p>
        </w:tc>
        <w:tc>
          <w:tcPr>
            <w:tcW w:w="2551" w:type="dxa"/>
            <w:vAlign w:val="center"/>
          </w:tcPr>
          <w:p>
            <w:pPr>
              <w:pStyle w:val="13"/>
            </w:pPr>
            <w:r>
              <w:t>125.92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55.51</w:t>
            </w:r>
          </w:p>
        </w:tc>
        <w:tc>
          <w:tcPr>
            <w:tcW w:w="2551" w:type="dxa"/>
            <w:vAlign w:val="center"/>
          </w:tcPr>
          <w:p>
            <w:pPr>
              <w:pStyle w:val="13"/>
            </w:pPr>
            <w:r>
              <w:t>55.51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10.30</w:t>
            </w:r>
          </w:p>
        </w:tc>
        <w:tc>
          <w:tcPr>
            <w:tcW w:w="2551" w:type="dxa"/>
            <w:vAlign w:val="center"/>
          </w:tcPr>
          <w:p>
            <w:pPr>
              <w:pStyle w:val="13"/>
            </w:pPr>
            <w:r>
              <w:t>10.30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45.21</w:t>
            </w:r>
          </w:p>
        </w:tc>
        <w:tc>
          <w:tcPr>
            <w:tcW w:w="2551" w:type="dxa"/>
            <w:vAlign w:val="center"/>
          </w:tcPr>
          <w:p>
            <w:pPr>
              <w:pStyle w:val="13"/>
            </w:pPr>
            <w:r>
              <w:t>45.21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70.41</w:t>
            </w:r>
          </w:p>
        </w:tc>
        <w:tc>
          <w:tcPr>
            <w:tcW w:w="2551" w:type="dxa"/>
            <w:vAlign w:val="center"/>
          </w:tcPr>
          <w:p>
            <w:pPr>
              <w:pStyle w:val="13"/>
            </w:pPr>
            <w:r>
              <w:t>70.41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50.54</w:t>
            </w:r>
          </w:p>
        </w:tc>
        <w:tc>
          <w:tcPr>
            <w:tcW w:w="2551" w:type="dxa"/>
            <w:vAlign w:val="center"/>
          </w:tcPr>
          <w:p>
            <w:pPr>
              <w:pStyle w:val="13"/>
            </w:pPr>
            <w:r>
              <w:t>50.54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19.88</w:t>
            </w:r>
          </w:p>
        </w:tc>
        <w:tc>
          <w:tcPr>
            <w:tcW w:w="2551" w:type="dxa"/>
            <w:vAlign w:val="center"/>
          </w:tcPr>
          <w:p>
            <w:pPr>
              <w:pStyle w:val="13"/>
            </w:pPr>
            <w:r>
              <w:t>19.88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29.22</w:t>
            </w:r>
          </w:p>
        </w:tc>
        <w:tc>
          <w:tcPr>
            <w:tcW w:w="2551" w:type="dxa"/>
            <w:vAlign w:val="center"/>
          </w:tcPr>
          <w:p>
            <w:pPr>
              <w:pStyle w:val="13"/>
            </w:pPr>
            <w:r>
              <w:t>29.22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29.22</w:t>
            </w:r>
          </w:p>
        </w:tc>
        <w:tc>
          <w:tcPr>
            <w:tcW w:w="2551" w:type="dxa"/>
            <w:vAlign w:val="center"/>
          </w:tcPr>
          <w:p>
            <w:pPr>
              <w:pStyle w:val="13"/>
            </w:pPr>
            <w:r>
              <w:t>29.22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19.27</w:t>
            </w:r>
          </w:p>
        </w:tc>
        <w:tc>
          <w:tcPr>
            <w:tcW w:w="2551" w:type="dxa"/>
            <w:vAlign w:val="center"/>
          </w:tcPr>
          <w:p>
            <w:pPr>
              <w:pStyle w:val="13"/>
            </w:pPr>
            <w:r>
              <w:t>19.27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9.94</w:t>
            </w:r>
          </w:p>
        </w:tc>
        <w:tc>
          <w:tcPr>
            <w:tcW w:w="2551" w:type="dxa"/>
            <w:vAlign w:val="center"/>
          </w:tcPr>
          <w:p>
            <w:pPr>
              <w:pStyle w:val="13"/>
            </w:pPr>
            <w:r>
              <w:t>9.94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214</w:t>
            </w:r>
          </w:p>
        </w:tc>
        <w:tc>
          <w:tcPr>
            <w:tcW w:w="4535" w:type="dxa"/>
            <w:vAlign w:val="center"/>
          </w:tcPr>
          <w:p>
            <w:pPr>
              <w:pStyle w:val="14"/>
            </w:pPr>
            <w:r>
              <w:t>交通运输支出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21401</w:t>
            </w:r>
          </w:p>
        </w:tc>
        <w:tc>
          <w:tcPr>
            <w:tcW w:w="4535" w:type="dxa"/>
            <w:vAlign w:val="center"/>
          </w:tcPr>
          <w:p>
            <w:pPr>
              <w:pStyle w:val="14"/>
            </w:pPr>
            <w:r>
              <w:t>公路水路运输</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2140112</w:t>
            </w:r>
          </w:p>
        </w:tc>
        <w:tc>
          <w:tcPr>
            <w:tcW w:w="4535" w:type="dxa"/>
            <w:vAlign w:val="center"/>
          </w:tcPr>
          <w:p>
            <w:pPr>
              <w:pStyle w:val="14"/>
            </w:pPr>
            <w:r>
              <w:t>公路运输管理</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23.29</w:t>
            </w:r>
          </w:p>
        </w:tc>
        <w:tc>
          <w:tcPr>
            <w:tcW w:w="2551" w:type="dxa"/>
            <w:vAlign w:val="center"/>
          </w:tcPr>
          <w:p>
            <w:pPr>
              <w:pStyle w:val="13"/>
            </w:pPr>
            <w:r>
              <w:t>23.29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23.29</w:t>
            </w:r>
          </w:p>
        </w:tc>
        <w:tc>
          <w:tcPr>
            <w:tcW w:w="2551" w:type="dxa"/>
            <w:vAlign w:val="center"/>
          </w:tcPr>
          <w:p>
            <w:pPr>
              <w:pStyle w:val="13"/>
            </w:pPr>
            <w:r>
              <w:t>23.29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23.29</w:t>
            </w:r>
          </w:p>
        </w:tc>
        <w:tc>
          <w:tcPr>
            <w:tcW w:w="2551" w:type="dxa"/>
            <w:vAlign w:val="center"/>
          </w:tcPr>
          <w:p>
            <w:pPr>
              <w:pStyle w:val="13"/>
            </w:pPr>
            <w:r>
              <w:t>23.29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566.52</w:t>
            </w:r>
          </w:p>
        </w:tc>
        <w:tc>
          <w:tcPr>
            <w:tcW w:w="2551" w:type="dxa"/>
            <w:vAlign w:val="center"/>
          </w:tcPr>
          <w:p>
            <w:pPr>
              <w:pStyle w:val="17"/>
            </w:pPr>
            <w:r>
              <w:t>476.36</w:t>
            </w:r>
          </w:p>
        </w:tc>
        <w:tc>
          <w:tcPr>
            <w:tcW w:w="2551" w:type="dxa"/>
            <w:vAlign w:val="center"/>
          </w:tcPr>
          <w:p>
            <w:pPr>
              <w:pStyle w:val="17"/>
            </w:pPr>
            <w:r>
              <w:t>90.16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395.65</w:t>
            </w:r>
          </w:p>
        </w:tc>
        <w:tc>
          <w:tcPr>
            <w:tcW w:w="2551" w:type="dxa"/>
            <w:vAlign w:val="center"/>
          </w:tcPr>
          <w:p>
            <w:pPr>
              <w:pStyle w:val="13"/>
            </w:pPr>
            <w:r>
              <w:t>395.65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165.82</w:t>
            </w:r>
          </w:p>
        </w:tc>
        <w:tc>
          <w:tcPr>
            <w:tcW w:w="2551" w:type="dxa"/>
            <w:vAlign w:val="center"/>
          </w:tcPr>
          <w:p>
            <w:pPr>
              <w:pStyle w:val="13"/>
            </w:pPr>
            <w:r>
              <w:t>165.82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62.62</w:t>
            </w:r>
          </w:p>
        </w:tc>
        <w:tc>
          <w:tcPr>
            <w:tcW w:w="2551" w:type="dxa"/>
            <w:vAlign w:val="center"/>
          </w:tcPr>
          <w:p>
            <w:pPr>
              <w:pStyle w:val="13"/>
            </w:pPr>
            <w:r>
              <w:t>62.62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27.49</w:t>
            </w:r>
          </w:p>
        </w:tc>
        <w:tc>
          <w:tcPr>
            <w:tcW w:w="2551" w:type="dxa"/>
            <w:vAlign w:val="center"/>
          </w:tcPr>
          <w:p>
            <w:pPr>
              <w:pStyle w:val="13"/>
            </w:pPr>
            <w:r>
              <w:t>27.49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40.59</w:t>
            </w:r>
          </w:p>
        </w:tc>
        <w:tc>
          <w:tcPr>
            <w:tcW w:w="2551" w:type="dxa"/>
            <w:vAlign w:val="center"/>
          </w:tcPr>
          <w:p>
            <w:pPr>
              <w:pStyle w:val="13"/>
            </w:pPr>
            <w:r>
              <w:t>40.59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45.21</w:t>
            </w:r>
          </w:p>
        </w:tc>
        <w:tc>
          <w:tcPr>
            <w:tcW w:w="2551" w:type="dxa"/>
            <w:vAlign w:val="center"/>
          </w:tcPr>
          <w:p>
            <w:pPr>
              <w:pStyle w:val="13"/>
            </w:pPr>
            <w:r>
              <w:t>45.21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28.44</w:t>
            </w:r>
          </w:p>
        </w:tc>
        <w:tc>
          <w:tcPr>
            <w:tcW w:w="2551" w:type="dxa"/>
            <w:vAlign w:val="center"/>
          </w:tcPr>
          <w:p>
            <w:pPr>
              <w:pStyle w:val="13"/>
            </w:pPr>
            <w:r>
              <w:t>28.44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2.19</w:t>
            </w:r>
          </w:p>
        </w:tc>
        <w:tc>
          <w:tcPr>
            <w:tcW w:w="2551" w:type="dxa"/>
            <w:vAlign w:val="center"/>
          </w:tcPr>
          <w:p>
            <w:pPr>
              <w:pStyle w:val="13"/>
            </w:pPr>
            <w:r>
              <w:t>2.19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23.29</w:t>
            </w:r>
          </w:p>
        </w:tc>
        <w:tc>
          <w:tcPr>
            <w:tcW w:w="2551" w:type="dxa"/>
            <w:vAlign w:val="center"/>
          </w:tcPr>
          <w:p>
            <w:pPr>
              <w:pStyle w:val="13"/>
            </w:pPr>
            <w:r>
              <w:t>23.29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90.16</w:t>
            </w:r>
          </w:p>
        </w:tc>
        <w:tc>
          <w:tcPr>
            <w:tcW w:w="2551" w:type="dxa"/>
            <w:vAlign w:val="center"/>
          </w:tcPr>
          <w:p>
            <w:pPr>
              <w:pStyle w:val="13"/>
            </w:pPr>
          </w:p>
        </w:tc>
        <w:tc>
          <w:tcPr>
            <w:tcW w:w="2551" w:type="dxa"/>
            <w:vAlign w:val="center"/>
          </w:tcPr>
          <w:p>
            <w:pPr>
              <w:pStyle w:val="13"/>
            </w:pPr>
            <w:r>
              <w:t>90.16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19.00</w:t>
            </w:r>
          </w:p>
        </w:tc>
        <w:tc>
          <w:tcPr>
            <w:tcW w:w="2551" w:type="dxa"/>
            <w:vAlign w:val="center"/>
          </w:tcPr>
          <w:p>
            <w:pPr>
              <w:pStyle w:val="13"/>
            </w:pP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14.96</w:t>
            </w:r>
          </w:p>
        </w:tc>
        <w:tc>
          <w:tcPr>
            <w:tcW w:w="2551" w:type="dxa"/>
            <w:vAlign w:val="center"/>
          </w:tcPr>
          <w:p>
            <w:pPr>
              <w:pStyle w:val="13"/>
            </w:pPr>
          </w:p>
        </w:tc>
        <w:tc>
          <w:tcPr>
            <w:tcW w:w="2551" w:type="dxa"/>
            <w:vAlign w:val="center"/>
          </w:tcPr>
          <w:p>
            <w:pPr>
              <w:pStyle w:val="13"/>
            </w:pPr>
            <w:r>
              <w:t>14.96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12.96</w:t>
            </w:r>
          </w:p>
        </w:tc>
        <w:tc>
          <w:tcPr>
            <w:tcW w:w="2551" w:type="dxa"/>
            <w:vAlign w:val="center"/>
          </w:tcPr>
          <w:p>
            <w:pPr>
              <w:pStyle w:val="13"/>
            </w:pPr>
          </w:p>
        </w:tc>
        <w:tc>
          <w:tcPr>
            <w:tcW w:w="2551" w:type="dxa"/>
            <w:vAlign w:val="center"/>
          </w:tcPr>
          <w:p>
            <w:pPr>
              <w:pStyle w:val="13"/>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11.20</w:t>
            </w:r>
          </w:p>
        </w:tc>
        <w:tc>
          <w:tcPr>
            <w:tcW w:w="2551" w:type="dxa"/>
            <w:vAlign w:val="center"/>
          </w:tcPr>
          <w:p>
            <w:pPr>
              <w:pStyle w:val="13"/>
            </w:pPr>
          </w:p>
        </w:tc>
        <w:tc>
          <w:tcPr>
            <w:tcW w:w="2551" w:type="dxa"/>
            <w:vAlign w:val="center"/>
          </w:tcPr>
          <w:p>
            <w:pPr>
              <w:pStyle w:val="13"/>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16.04</w:t>
            </w:r>
          </w:p>
        </w:tc>
        <w:tc>
          <w:tcPr>
            <w:tcW w:w="2551" w:type="dxa"/>
            <w:vAlign w:val="center"/>
          </w:tcPr>
          <w:p>
            <w:pPr>
              <w:pStyle w:val="13"/>
            </w:pPr>
          </w:p>
        </w:tc>
        <w:tc>
          <w:tcPr>
            <w:tcW w:w="2551" w:type="dxa"/>
            <w:vAlign w:val="center"/>
          </w:tcPr>
          <w:p>
            <w:pPr>
              <w:pStyle w:val="13"/>
            </w:pPr>
            <w:r>
              <w:t>16.04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80.71</w:t>
            </w:r>
          </w:p>
        </w:tc>
        <w:tc>
          <w:tcPr>
            <w:tcW w:w="2551" w:type="dxa"/>
            <w:vAlign w:val="center"/>
          </w:tcPr>
          <w:p>
            <w:pPr>
              <w:pStyle w:val="13"/>
            </w:pPr>
            <w:r>
              <w:t>80.71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10.30</w:t>
            </w:r>
          </w:p>
        </w:tc>
        <w:tc>
          <w:tcPr>
            <w:tcW w:w="2551" w:type="dxa"/>
            <w:vAlign w:val="center"/>
          </w:tcPr>
          <w:p>
            <w:pPr>
              <w:pStyle w:val="13"/>
            </w:pPr>
            <w:r>
              <w:t>10.30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50.54</w:t>
            </w:r>
          </w:p>
        </w:tc>
        <w:tc>
          <w:tcPr>
            <w:tcW w:w="2551" w:type="dxa"/>
            <w:vAlign w:val="center"/>
          </w:tcPr>
          <w:p>
            <w:pPr>
              <w:pStyle w:val="13"/>
            </w:pPr>
            <w:r>
              <w:t>50.54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19.88</w:t>
            </w:r>
          </w:p>
        </w:tc>
        <w:tc>
          <w:tcPr>
            <w:tcW w:w="2551" w:type="dxa"/>
            <w:vAlign w:val="center"/>
          </w:tcPr>
          <w:p>
            <w:pPr>
              <w:pStyle w:val="13"/>
            </w:pPr>
            <w:r>
              <w:t>19.88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“三公”经费小计</w:t>
            </w:r>
          </w:p>
        </w:tc>
        <w:tc>
          <w:tcPr>
            <w:tcW w:w="2381" w:type="dxa"/>
            <w:vAlign w:val="center"/>
          </w:tcPr>
          <w:p>
            <w:pPr>
              <w:pStyle w:val="17"/>
            </w:pPr>
            <w:r>
              <w:t>44.00</w:t>
            </w:r>
          </w:p>
        </w:tc>
        <w:tc>
          <w:tcPr>
            <w:tcW w:w="2381" w:type="dxa"/>
            <w:vAlign w:val="center"/>
          </w:tcPr>
          <w:p>
            <w:pPr>
              <w:pStyle w:val="17"/>
            </w:pPr>
            <w:r>
              <w:t>44.00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r>
              <w:t>39.00</w:t>
            </w:r>
          </w:p>
        </w:tc>
        <w:tc>
          <w:tcPr>
            <w:tcW w:w="2381" w:type="dxa"/>
            <w:vAlign w:val="center"/>
          </w:tcPr>
          <w:p>
            <w:pPr>
              <w:pStyle w:val="13"/>
            </w:pPr>
            <w:r>
              <w:t>39.00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39.00</w:t>
            </w:r>
          </w:p>
        </w:tc>
        <w:tc>
          <w:tcPr>
            <w:tcW w:w="2381" w:type="dxa"/>
            <w:vAlign w:val="center"/>
          </w:tcPr>
          <w:p>
            <w:pPr>
              <w:pStyle w:val="13"/>
            </w:pPr>
            <w:r>
              <w:t>39.00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5.00</w:t>
            </w:r>
          </w:p>
        </w:tc>
        <w:tc>
          <w:tcPr>
            <w:tcW w:w="2381" w:type="dxa"/>
            <w:vAlign w:val="center"/>
          </w:tcPr>
          <w:p>
            <w:pPr>
              <w:pStyle w:val="13"/>
            </w:pPr>
            <w:r>
              <w:t>5.00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青龙满族自治县人民政府办公室本级2024年单位预算信息公开情况说明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按照《中华人民共和国预算法》、《地方预决算公开操作规程》和《关于进一步推进预算公开工作的实施意见》规定，现将青龙满族自治县人民政府办公室本级2024年单位预算公开如下：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eastAsiaTheme="minorEastAsia"/>
          <w:lang w:eastAsia="zh-CN"/>
        </w:rPr>
      </w:pPr>
      <w:r>
        <w:rPr>
          <w:rFonts w:ascii="方正楷体_GBK" w:hAnsi="方正楷体_GBK" w:eastAsia="方正楷体_GBK" w:cs="方正楷体_GBK"/>
          <w:b/>
          <w:color w:val="000000"/>
          <w:sz w:val="32"/>
        </w:rPr>
        <w:t>单位职责：</w:t>
      </w:r>
    </w:p>
    <w:p>
      <w:pPr>
        <w:pStyle w:val="19"/>
      </w:pPr>
      <w:r>
        <w:t>（一）协助县政府领导组织起草或审核上报省政府、省政府办公厅，市政府、市政府办公室和致函省、市政府各部门的公文，以及以县政府、县政府办公室名义发布的公文；负责县政府、县政府办公室日常公文办理。</w:t>
      </w:r>
    </w:p>
    <w:p>
      <w:pPr>
        <w:pStyle w:val="19"/>
      </w:pPr>
      <w:r>
        <w:t>（二）负责县政府领导活动的组织和协调工作；负责县政府会议的准备和服务工作，协助县政府领导组织落实会议决定事项。</w:t>
      </w:r>
    </w:p>
    <w:p>
      <w:pPr>
        <w:pStyle w:val="19"/>
      </w:pPr>
      <w:r>
        <w:t>（三）研究县政府各部门和各乡镇、河北青龙经济技术开发区管委会、河北青龙物流产业聚集区管委会、都阳路街道办处等请示县政府的事项，提出审核意见，报县政府领导审批。</w:t>
      </w:r>
    </w:p>
    <w:p>
      <w:pPr>
        <w:pStyle w:val="19"/>
      </w:pPr>
      <w:r>
        <w:t>（四）根据县政府领导的批示，对县政府各部门间出现的争议问题提出处理意见，报县政府领导决定。</w:t>
      </w:r>
    </w:p>
    <w:p>
      <w:pPr>
        <w:pStyle w:val="19"/>
      </w:pPr>
      <w:r>
        <w:t>（五）组织起草县政府领导重要讲话及其他重要文稿。</w:t>
      </w:r>
    </w:p>
    <w:p>
      <w:pPr>
        <w:pStyle w:val="19"/>
      </w:pPr>
      <w:r>
        <w:t>（六）督促检查县政府各部门和各乡镇、河北青龙经济技术开发区管委会、河北青龙物流产业聚集区管委会、都阳路街道办处对市政府、县政府决定事项及市政府、县政府领导重要批示的执行落实情况并跟踪调研，及时向县政府领导报告。</w:t>
      </w:r>
    </w:p>
    <w:p>
      <w:pPr>
        <w:pStyle w:val="19"/>
      </w:pPr>
      <w:r>
        <w:t>（七）组织承办人大代表建议和政协提案工作。</w:t>
      </w:r>
    </w:p>
    <w:p>
      <w:pPr>
        <w:pStyle w:val="19"/>
      </w:pPr>
      <w:r>
        <w:t>（八）负责承办县政府提请县人大常委会任免议案和提请县政府任命工作人员的行政任免有关手续；负责承办县政府任命工作人员的宪法宣誓工作。</w:t>
      </w:r>
    </w:p>
    <w:p>
      <w:pPr>
        <w:pStyle w:val="19"/>
      </w:pPr>
      <w:r>
        <w:t>（九）负责县政府值班工作，及时报告重要情况，传达和督促落实县政府领导工作要求。</w:t>
      </w:r>
    </w:p>
    <w:p>
      <w:pPr>
        <w:pStyle w:val="19"/>
      </w:pPr>
      <w:r>
        <w:t>（十）根据县政府工作部署和县政府领导要求，组织专题调研，及时反映情况，提出建议。</w:t>
      </w:r>
    </w:p>
    <w:p>
      <w:pPr>
        <w:pStyle w:val="19"/>
      </w:pPr>
      <w:r>
        <w:t>（十一）负责推进、指导、协调、监督、考核评估全县政务公开和政府信息公开工作。</w:t>
      </w:r>
    </w:p>
    <w:p>
      <w:pPr>
        <w:pStyle w:val="19"/>
      </w:pPr>
      <w:r>
        <w:t>（十二）负责政务信息（包括舆情信息）服务工作。</w:t>
      </w:r>
    </w:p>
    <w:p>
      <w:pPr>
        <w:pStyle w:val="19"/>
      </w:pPr>
      <w:r>
        <w:t>（十三）协同有关部门统筹协调县政府新闻宣传、舆情回应等工作。</w:t>
      </w:r>
    </w:p>
    <w:p>
      <w:pPr>
        <w:pStyle w:val="19"/>
      </w:pPr>
      <w:r>
        <w:t>（十四）负责全县政府系统电子政务工作。</w:t>
      </w:r>
    </w:p>
    <w:p>
      <w:pPr>
        <w:pStyle w:val="19"/>
      </w:pPr>
      <w:r>
        <w:t>（十五）组织协调全县“放管服”改革工作。指导、督促贯彻落实党中央、国务院和省委、省政府，市委、市政府关于“放管服”改革重要领域、关键环节重大政策措施，承担县推进政府职能转变和“放管服”改革协调小组的日常工作。</w:t>
      </w:r>
    </w:p>
    <w:p>
      <w:pPr>
        <w:pStyle w:val="19"/>
      </w:pPr>
      <w:r>
        <w:t>（十六）负责县政府办公室所属单位的管理工作。</w:t>
      </w:r>
    </w:p>
    <w:p>
      <w:pPr>
        <w:pStyle w:val="19"/>
      </w:pPr>
      <w:r>
        <w:t>（十七）根据县委县政府工作部署，对我县改革开放和经济社会发展中重大问题进行调查研究，提出政策性建议；组织各部门政策研究机构围绕县委县政府确定的重要课题协作攻关。</w:t>
      </w:r>
    </w:p>
    <w:p>
      <w:pPr>
        <w:pStyle w:val="19"/>
      </w:pPr>
      <w:r>
        <w:t>（十八）贯彻执行国家、省、市金融方针政策和法律法规，制定全县金融业发展规划并组织实施。</w:t>
      </w:r>
    </w:p>
    <w:p>
      <w:pPr>
        <w:pStyle w:val="19"/>
      </w:pPr>
      <w:r>
        <w:t>（十九）负责协调引导各类金融机构支持服务我县实体经济发展，组织做好全县金融生态环境建设、地方金融改革创新等工作。</w:t>
      </w:r>
    </w:p>
    <w:p>
      <w:pPr>
        <w:pStyle w:val="19"/>
      </w:pPr>
      <w:r>
        <w:t>（二十）负责全县地方金融机构的市场准入、监督管理和规范发展工作。</w:t>
      </w:r>
    </w:p>
    <w:p>
      <w:pPr>
        <w:pStyle w:val="19"/>
      </w:pPr>
      <w:r>
        <w:t>（二十一）负责牵头全县金融风险的监测预警、防范和处置化解工作。</w:t>
      </w:r>
    </w:p>
    <w:p>
      <w:pPr>
        <w:pStyle w:val="19"/>
      </w:pPr>
      <w:r>
        <w:t>（二十二）负责全县外事工作谋划、协调。负责拟订全县外事工作中长期规划，统筹协调县领导参加重要涉外活动的外事工作安排；负责县外事工作委员会各项决定和工作部署的督办和落实；承担县委外事工作委员会的日常工作。</w:t>
      </w:r>
    </w:p>
    <w:p>
      <w:pPr>
        <w:pStyle w:val="19"/>
      </w:pPr>
      <w:r>
        <w:t>（二十三）完成县委、县政府交办的其他任务。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青龙满族自治县人民政府办公室本级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665.52万元，其中：一般公共预算收入598.84万元，基金预算收入0.00万元，国有资本经营预算收入0.00万元，财政专户核拨收入0.00万元，单位资金收入0.00万元，上年结转结余66.68万元。</w:t>
      </w:r>
    </w:p>
    <w:p>
      <w:pPr>
        <w:pStyle w:val="20"/>
      </w:pPr>
      <w:r>
        <w:t>2、支出说明</w:t>
      </w:r>
    </w:p>
    <w:p>
      <w:pPr>
        <w:pStyle w:val="20"/>
      </w:pPr>
      <w:r>
        <w:t>收支预算总表支出栏、基本支出表、项目支出表按经济分类和支出功能分类科目编制，反映青龙满族自治县人民政府办公室本级年度单位预算中支出预算的总体情况。2024年支出预算665.52万元，其中基本支出566.52万元，包括人员经费476.36万元和日常公用经费90.16万元；项目支出99.00万元，主要为地方志年鉴编纂出版专项经费20万元、调研工作经费10万元、金融服务中心工作经费 3万元、金融事务管理工作经费 1 万元、政府法制专家及法律顾问工作经费5万元、政务督查工作经费 10万元，政务事务综合管理工作经费20万元、治超工作经费5万元、政务服务活动工作经费15万元、稳经济政策工作经费6万元，党务工作经费4万元。</w:t>
      </w:r>
    </w:p>
    <w:p>
      <w:pPr>
        <w:pStyle w:val="20"/>
      </w:pPr>
      <w:r>
        <w:t>3、比上年增减情况</w:t>
      </w:r>
    </w:p>
    <w:p>
      <w:pPr>
        <w:pStyle w:val="20"/>
        <w:rPr>
          <w:lang w:eastAsia="zh-CN"/>
        </w:rPr>
      </w:pPr>
      <w:r>
        <w:t>2024年预算收支安排665.52万元，较2023年预算减少109.31万元，其中：基本支出增加16.32万元，主要为</w:t>
      </w:r>
      <w:r>
        <w:rPr>
          <w:rFonts w:hint="eastAsia" w:eastAsiaTheme="minorEastAsia"/>
          <w:lang w:eastAsia="zh-CN"/>
        </w:rPr>
        <w:t>上年度基本支出结转</w:t>
      </w:r>
      <w:r>
        <w:rPr>
          <w:rFonts w:hint="eastAsia"/>
          <w:lang w:val="uk-UA" w:eastAsia="zh-CN"/>
        </w:rPr>
        <w:t>；</w:t>
      </w:r>
      <w:r>
        <w:t>项目支出减少125.64万元，主要为2024年财政未安排基金预算</w:t>
      </w:r>
      <w:r>
        <w:rPr>
          <w:rFonts w:hint="eastAsia"/>
          <w:lang w:eastAsia="zh-CN"/>
        </w:rPr>
        <w:t>项目支出。</w:t>
      </w:r>
    </w:p>
    <w:p>
      <w:pPr>
        <w:spacing w:before="10" w:after="10"/>
        <w:ind w:firstLine="640"/>
        <w:outlineLvl w:val="5"/>
      </w:pPr>
      <w:r>
        <w:rPr>
          <w:rFonts w:ascii="黑体" w:hAnsi="黑体" w:eastAsia="黑体" w:cs="黑体"/>
          <w:color w:val="000000"/>
          <w:sz w:val="32"/>
        </w:rPr>
        <w:t>三、机关运行经费安排情况</w:t>
      </w:r>
    </w:p>
    <w:p>
      <w:pPr>
        <w:pStyle w:val="21"/>
        <w:rPr>
          <w:lang w:eastAsia="zh-CN"/>
        </w:rPr>
      </w:pPr>
      <w:r>
        <w:t>202</w:t>
      </w:r>
      <w:r>
        <w:rPr>
          <w:rFonts w:hint="eastAsia"/>
          <w:lang w:eastAsia="zh-CN"/>
        </w:rPr>
        <w:t>4</w:t>
      </w:r>
      <w:r>
        <w:t>年，我单位机关运行经费共计安排</w:t>
      </w:r>
      <w:r>
        <w:rPr>
          <w:rFonts w:hint="eastAsia"/>
          <w:lang w:eastAsia="zh-CN"/>
        </w:rPr>
        <w:t>90.16</w:t>
      </w:r>
      <w:r>
        <w:t>万元，主要用于办公费19万元、印刷费</w:t>
      </w:r>
      <w:r>
        <w:rPr>
          <w:rFonts w:hint="eastAsia"/>
          <w:lang w:eastAsia="zh-CN"/>
        </w:rPr>
        <w:t>4</w:t>
      </w:r>
      <w:r>
        <w:t>万元，邮电费10万元、差旅费</w:t>
      </w:r>
      <w:r>
        <w:rPr>
          <w:rFonts w:hint="eastAsia"/>
          <w:lang w:eastAsia="zh-CN"/>
        </w:rPr>
        <w:t>14.96</w:t>
      </w:r>
      <w:r>
        <w:t>万元、网络运行维护费</w:t>
      </w:r>
      <w:r>
        <w:rPr>
          <w:rFonts w:hint="eastAsia"/>
          <w:lang w:eastAsia="zh-CN"/>
        </w:rPr>
        <w:t>12.96</w:t>
      </w:r>
      <w:r>
        <w:t>万元、公务接待费 2万元、公务用车运行维护费11.2万元、其他交通费（公务交通补贴）</w:t>
      </w:r>
      <w:r>
        <w:rPr>
          <w:rFonts w:hint="eastAsia"/>
          <w:lang w:eastAsia="zh-CN"/>
        </w:rPr>
        <w:t>16.04</w:t>
      </w:r>
      <w:r>
        <w:t>万元等日常运行支出。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44万元，其中因公出国（境）费0万元，同比无变化，原因是无因公出国（境）预算安排；公务用车购置及运维费39万元（其中：公务用车购置费为0万元，公务用车运维费39万元)，同比减少1.92万元，降低4.69%。主要原因是</w:t>
      </w:r>
      <w:r>
        <w:rPr>
          <w:rFonts w:hint="eastAsia" w:eastAsiaTheme="minorEastAsia"/>
          <w:lang w:eastAsia="zh-CN"/>
        </w:rPr>
        <w:t>我单位认真贯彻落实中央八项规定要求，</w:t>
      </w:r>
      <w:r>
        <w:t>严格</w:t>
      </w:r>
      <w:r>
        <w:rPr>
          <w:rFonts w:hint="eastAsia" w:eastAsiaTheme="minorEastAsia"/>
          <w:lang w:eastAsia="zh-CN"/>
        </w:rPr>
        <w:t>执行</w:t>
      </w:r>
      <w:r>
        <w:t>公务用车管理</w:t>
      </w:r>
      <w:r>
        <w:rPr>
          <w:rFonts w:hint="eastAsia" w:eastAsiaTheme="minorEastAsia"/>
          <w:lang w:eastAsia="zh-CN"/>
        </w:rPr>
        <w:t>办法</w:t>
      </w:r>
      <w:r>
        <w:t>，</w:t>
      </w:r>
      <w:r>
        <w:rPr>
          <w:rFonts w:hint="eastAsia" w:eastAsiaTheme="minorEastAsia"/>
          <w:lang w:eastAsia="zh-CN"/>
        </w:rPr>
        <w:t>严格控制公务用车运行维护费用</w:t>
      </w:r>
      <w:r>
        <w:t>；公务接待费5万元，同比减少1.03万元，减少17.17%，主要原因是我</w:t>
      </w:r>
      <w:r>
        <w:rPr>
          <w:rFonts w:hint="eastAsia" w:eastAsiaTheme="minorEastAsia"/>
          <w:lang w:eastAsia="zh-CN"/>
        </w:rPr>
        <w:t>单位</w:t>
      </w:r>
      <w:r>
        <w:t>严格</w:t>
      </w:r>
      <w:r>
        <w:rPr>
          <w:rFonts w:hint="eastAsia" w:eastAsiaTheme="minorEastAsia"/>
          <w:lang w:eastAsia="zh-CN"/>
        </w:rPr>
        <w:t>落实《党政机关厉行节约反对浪费条件》，</w:t>
      </w:r>
      <w:r>
        <w:t>做到</w:t>
      </w:r>
      <w:r>
        <w:rPr>
          <w:rFonts w:hint="eastAsia"/>
          <w:lang w:eastAsia="zh-CN"/>
        </w:rPr>
        <w:t>严格公务接待审批，严控公务接待标准</w:t>
      </w:r>
      <w:r>
        <w:t>，</w:t>
      </w:r>
      <w:r>
        <w:rPr>
          <w:rFonts w:hint="eastAsia"/>
          <w:lang w:eastAsia="zh-CN"/>
        </w:rPr>
        <w:t>压缩公务接待费</w:t>
      </w:r>
      <w:r>
        <w:rPr>
          <w:rFonts w:hint="eastAsia" w:eastAsiaTheme="minorEastAsia"/>
          <w:lang w:eastAsia="zh-CN"/>
        </w:rPr>
        <w:t>用</w:t>
      </w:r>
      <w:r>
        <w:rPr>
          <w:rFonts w:hint="eastAsia"/>
          <w:lang w:eastAsia="zh-CN"/>
        </w:rPr>
        <w:t>支出</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13032123P00338110008T</w:t>
            </w:r>
          </w:p>
        </w:tc>
        <w:tc>
          <w:tcPr>
            <w:tcW w:w="2835" w:type="dxa"/>
            <w:vAlign w:val="center"/>
          </w:tcPr>
          <w:p>
            <w:pPr>
              <w:pStyle w:val="12"/>
            </w:pPr>
            <w:r>
              <w:t>项目名称</w:t>
            </w:r>
          </w:p>
        </w:tc>
        <w:tc>
          <w:tcPr>
            <w:tcW w:w="6094" w:type="dxa"/>
            <w:gridSpan w:val="3"/>
            <w:vAlign w:val="center"/>
          </w:tcPr>
          <w:p>
            <w:pPr>
              <w:pStyle w:val="14"/>
            </w:pPr>
            <w:r>
              <w:t>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预算数4万元，其中：财政资金4万元。主要用于党建党务活动、公文流转等产生的办公费用。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1.紧紧围绕全县中心工作和改革发展大局，通过坚持稳中求进，不断创新，圆满完成各项工作任务。</w:t>
            </w:r>
          </w:p>
          <w:p>
            <w:pPr>
              <w:pStyle w:val="14"/>
            </w:pPr>
            <w:r>
              <w:t>2.通过加强党的思想作风和制度建设，抓好党务活动安排及公文运转等业务，全面提升县政府办参谋辅政服务水平，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党务活动次数</w:t>
            </w:r>
          </w:p>
        </w:tc>
        <w:tc>
          <w:tcPr>
            <w:tcW w:w="5386" w:type="dxa"/>
            <w:vAlign w:val="center"/>
          </w:tcPr>
          <w:p>
            <w:pPr>
              <w:pStyle w:val="14"/>
            </w:pPr>
            <w:r>
              <w:t>组织党务活动次数</w:t>
            </w:r>
          </w:p>
        </w:tc>
        <w:tc>
          <w:tcPr>
            <w:tcW w:w="2268" w:type="dxa"/>
            <w:vAlign w:val="center"/>
          </w:tcPr>
          <w:p>
            <w:pPr>
              <w:pStyle w:val="14"/>
            </w:pPr>
            <w:r>
              <w:t>≥5次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公文流转效率</w:t>
            </w:r>
          </w:p>
        </w:tc>
        <w:tc>
          <w:tcPr>
            <w:tcW w:w="5386" w:type="dxa"/>
            <w:vAlign w:val="center"/>
          </w:tcPr>
          <w:p>
            <w:pPr>
              <w:pStyle w:val="14"/>
            </w:pPr>
            <w:r>
              <w:t>反映公文流转及时性的比率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会议组织完成率</w:t>
            </w:r>
          </w:p>
        </w:tc>
        <w:tc>
          <w:tcPr>
            <w:tcW w:w="5386" w:type="dxa"/>
            <w:vAlign w:val="center"/>
          </w:tcPr>
          <w:p>
            <w:pPr>
              <w:pStyle w:val="14"/>
            </w:pPr>
            <w:r>
              <w:t>反映党建会议组织完成情况的比率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工作完成时间</w:t>
            </w:r>
          </w:p>
        </w:tc>
        <w:tc>
          <w:tcPr>
            <w:tcW w:w="2268" w:type="dxa"/>
            <w:vAlign w:val="center"/>
          </w:tcPr>
          <w:p>
            <w:pPr>
              <w:pStyle w:val="14"/>
            </w:pPr>
            <w:r>
              <w:t>2024年12月20日前完成</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办公经费</w:t>
            </w:r>
          </w:p>
        </w:tc>
        <w:tc>
          <w:tcPr>
            <w:tcW w:w="5386" w:type="dxa"/>
            <w:vAlign w:val="center"/>
          </w:tcPr>
          <w:p>
            <w:pPr>
              <w:pStyle w:val="14"/>
            </w:pPr>
            <w:r>
              <w:t>反映办公费用成本控制情况</w:t>
            </w:r>
          </w:p>
        </w:tc>
        <w:tc>
          <w:tcPr>
            <w:tcW w:w="2268" w:type="dxa"/>
            <w:vAlign w:val="center"/>
          </w:tcPr>
          <w:p>
            <w:pPr>
              <w:pStyle w:val="14"/>
            </w:pPr>
            <w:r>
              <w:t>≤2万元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办公设备购置经费</w:t>
            </w:r>
          </w:p>
        </w:tc>
        <w:tc>
          <w:tcPr>
            <w:tcW w:w="5386" w:type="dxa"/>
            <w:vAlign w:val="center"/>
          </w:tcPr>
          <w:p>
            <w:pPr>
              <w:pStyle w:val="14"/>
            </w:pPr>
            <w:r>
              <w:t>反映办公设备购置费用成本控制情况</w:t>
            </w:r>
          </w:p>
        </w:tc>
        <w:tc>
          <w:tcPr>
            <w:tcW w:w="2268" w:type="dxa"/>
            <w:vAlign w:val="center"/>
          </w:tcPr>
          <w:p>
            <w:pPr>
              <w:pStyle w:val="14"/>
            </w:pPr>
            <w:r>
              <w:t>≤1.55万元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办公经费</w:t>
            </w:r>
          </w:p>
        </w:tc>
        <w:tc>
          <w:tcPr>
            <w:tcW w:w="5386" w:type="dxa"/>
            <w:vAlign w:val="center"/>
          </w:tcPr>
          <w:p>
            <w:pPr>
              <w:pStyle w:val="14"/>
            </w:pPr>
            <w:r>
              <w:t>反映印刷费用成本控制情况</w:t>
            </w:r>
          </w:p>
        </w:tc>
        <w:tc>
          <w:tcPr>
            <w:tcW w:w="2268" w:type="dxa"/>
            <w:vAlign w:val="center"/>
          </w:tcPr>
          <w:p>
            <w:pPr>
              <w:pStyle w:val="14"/>
            </w:pPr>
            <w:r>
              <w:t>≤0.45万元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保障县政府各项工作圆满完成</w:t>
            </w:r>
          </w:p>
        </w:tc>
        <w:tc>
          <w:tcPr>
            <w:tcW w:w="5386" w:type="dxa"/>
            <w:vAlign w:val="center"/>
          </w:tcPr>
          <w:p>
            <w:pPr>
              <w:pStyle w:val="14"/>
            </w:pPr>
            <w:r>
              <w:t>保障县政府各项工作圆满完成，达到预期目标</w:t>
            </w:r>
          </w:p>
        </w:tc>
        <w:tc>
          <w:tcPr>
            <w:tcW w:w="2268" w:type="dxa"/>
            <w:vAlign w:val="center"/>
          </w:tcPr>
          <w:p>
            <w:pPr>
              <w:pStyle w:val="14"/>
            </w:pPr>
            <w:r>
              <w:t>≥95%</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保障各部门单位工作的推进和完成</w:t>
            </w:r>
          </w:p>
        </w:tc>
        <w:tc>
          <w:tcPr>
            <w:tcW w:w="5386" w:type="dxa"/>
            <w:vAlign w:val="center"/>
          </w:tcPr>
          <w:p>
            <w:pPr>
              <w:pStyle w:val="14"/>
            </w:pPr>
            <w:r>
              <w:t>保障各部门单位工作的推进和完成</w:t>
            </w:r>
          </w:p>
        </w:tc>
        <w:tc>
          <w:tcPr>
            <w:tcW w:w="2268" w:type="dxa"/>
            <w:vAlign w:val="center"/>
          </w:tcPr>
          <w:p>
            <w:pPr>
              <w:pStyle w:val="14"/>
            </w:pPr>
            <w:r>
              <w:t>≥95%</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活动参与者满意度指标</w:t>
            </w:r>
          </w:p>
        </w:tc>
        <w:tc>
          <w:tcPr>
            <w:tcW w:w="5386" w:type="dxa"/>
            <w:vAlign w:val="center"/>
          </w:tcPr>
          <w:p>
            <w:pPr>
              <w:pStyle w:val="14"/>
            </w:pPr>
            <w:r>
              <w:t>调查中满意和较满意的人数占调查总人数的比率</w:t>
            </w:r>
          </w:p>
        </w:tc>
        <w:tc>
          <w:tcPr>
            <w:tcW w:w="2268" w:type="dxa"/>
            <w:vAlign w:val="center"/>
          </w:tcPr>
          <w:p>
            <w:pPr>
              <w:pStyle w:val="14"/>
            </w:pPr>
            <w:r>
              <w:t>≥95%</w:t>
            </w:r>
          </w:p>
        </w:tc>
        <w:tc>
          <w:tcPr>
            <w:tcW w:w="1276"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2、调研工作经费绩效目标表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13032123P00331710044B</w:t>
            </w:r>
          </w:p>
        </w:tc>
        <w:tc>
          <w:tcPr>
            <w:tcW w:w="2835" w:type="dxa"/>
            <w:vAlign w:val="center"/>
          </w:tcPr>
          <w:p>
            <w:pPr>
              <w:pStyle w:val="12"/>
            </w:pPr>
            <w:r>
              <w:t>项目名称</w:t>
            </w:r>
          </w:p>
        </w:tc>
        <w:tc>
          <w:tcPr>
            <w:tcW w:w="6094" w:type="dxa"/>
            <w:gridSpan w:val="3"/>
            <w:vAlign w:val="center"/>
          </w:tcPr>
          <w:p>
            <w:pPr>
              <w:pStyle w:val="14"/>
            </w:pPr>
            <w:r>
              <w:t>调研工作经费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预算数10万元，其中：财政资金10万元。主要用于财务咨询、下乡调研、督导、检查等产生的各项费用。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w:t>
            </w:r>
          </w:p>
        </w:tc>
        <w:tc>
          <w:tcPr>
            <w:tcW w:w="2835" w:type="dxa"/>
            <w:vAlign w:val="center"/>
          </w:tcPr>
          <w:p>
            <w:pPr>
              <w:pStyle w:val="15"/>
            </w:pPr>
            <w:r>
              <w:t>5.00</w:t>
            </w:r>
          </w:p>
        </w:tc>
        <w:tc>
          <w:tcPr>
            <w:tcW w:w="2551" w:type="dxa"/>
            <w:vAlign w:val="center"/>
          </w:tcPr>
          <w:p>
            <w:pPr>
              <w:pStyle w:val="15"/>
            </w:pPr>
            <w:r>
              <w:t>7.50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1.通过紧紧围绕县政府中心工作开展调研，为县领导做好参谋，提供切实可行的合理化建议，助推县政府重点工作顺利开展。</w:t>
            </w:r>
          </w:p>
          <w:p>
            <w:pPr>
              <w:pStyle w:val="14"/>
            </w:pPr>
            <w:r>
              <w:t>2.通过立足县情开展项目调研，达到更全面、更科学地为政府在对外交往、经济项目谈判、招商引资中涉及的重要问题提供可行性参考意见。</w:t>
            </w:r>
          </w:p>
          <w:p>
            <w:pPr>
              <w:pStyle w:val="14"/>
            </w:pPr>
            <w:r>
              <w:t>3.通过对全县经济形势进行跟踪研究，收集、分析、整理和报送经济与社会生活中的重要综合信息，实现更好地为县政府决策提供可行性意见和建议。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调研、督导、检查次数</w:t>
            </w:r>
          </w:p>
        </w:tc>
        <w:tc>
          <w:tcPr>
            <w:tcW w:w="5386" w:type="dxa"/>
            <w:vAlign w:val="center"/>
          </w:tcPr>
          <w:p>
            <w:pPr>
              <w:pStyle w:val="14"/>
            </w:pPr>
            <w:r>
              <w:t>下乡调研、督导、检查次数</w:t>
            </w:r>
          </w:p>
        </w:tc>
        <w:tc>
          <w:tcPr>
            <w:tcW w:w="2268" w:type="dxa"/>
            <w:vAlign w:val="center"/>
          </w:tcPr>
          <w:p>
            <w:pPr>
              <w:pStyle w:val="14"/>
            </w:pPr>
            <w:r>
              <w:t>≥10次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业务保障率</w:t>
            </w:r>
          </w:p>
        </w:tc>
        <w:tc>
          <w:tcPr>
            <w:tcW w:w="5386" w:type="dxa"/>
            <w:vAlign w:val="center"/>
          </w:tcPr>
          <w:p>
            <w:pPr>
              <w:pStyle w:val="14"/>
            </w:pPr>
            <w:r>
              <w:t>反映工作业务保障、处理及时情况</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项目参与率</w:t>
            </w:r>
          </w:p>
        </w:tc>
        <w:tc>
          <w:tcPr>
            <w:tcW w:w="5386" w:type="dxa"/>
            <w:vAlign w:val="center"/>
          </w:tcPr>
          <w:p>
            <w:pPr>
              <w:pStyle w:val="14"/>
            </w:pPr>
            <w:r>
              <w:t>参与项目占项目总量的比率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5386" w:type="dxa"/>
            <w:vAlign w:val="center"/>
          </w:tcPr>
          <w:p>
            <w:pPr>
              <w:pStyle w:val="14"/>
            </w:pPr>
            <w:r>
              <w:t>反映业务完成情况</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建议采纳率</w:t>
            </w:r>
          </w:p>
        </w:tc>
        <w:tc>
          <w:tcPr>
            <w:tcW w:w="5386" w:type="dxa"/>
            <w:vAlign w:val="center"/>
          </w:tcPr>
          <w:p>
            <w:pPr>
              <w:pStyle w:val="14"/>
            </w:pPr>
            <w:r>
              <w:t>建议采纳数量占提出总数量的比率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5386" w:type="dxa"/>
            <w:vAlign w:val="center"/>
          </w:tcPr>
          <w:p>
            <w:pPr>
              <w:pStyle w:val="14"/>
            </w:pPr>
            <w:r>
              <w:t>按各项工作计划在全年内有计划完成</w:t>
            </w:r>
          </w:p>
        </w:tc>
        <w:tc>
          <w:tcPr>
            <w:tcW w:w="2268" w:type="dxa"/>
            <w:vAlign w:val="center"/>
          </w:tcPr>
          <w:p>
            <w:pPr>
              <w:pStyle w:val="14"/>
            </w:pPr>
            <w:r>
              <w:t>2024年12月20日前</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差旅费</w:t>
            </w:r>
          </w:p>
        </w:tc>
        <w:tc>
          <w:tcPr>
            <w:tcW w:w="5386" w:type="dxa"/>
            <w:vAlign w:val="center"/>
          </w:tcPr>
          <w:p>
            <w:pPr>
              <w:pStyle w:val="14"/>
            </w:pPr>
            <w:r>
              <w:t>反映差旅费年初预算金额</w:t>
            </w:r>
          </w:p>
        </w:tc>
        <w:tc>
          <w:tcPr>
            <w:tcW w:w="2268" w:type="dxa"/>
            <w:vAlign w:val="center"/>
          </w:tcPr>
          <w:p>
            <w:pPr>
              <w:pStyle w:val="14"/>
            </w:pPr>
            <w:r>
              <w:t>≤1万元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其他交通费用</w:t>
            </w:r>
          </w:p>
        </w:tc>
        <w:tc>
          <w:tcPr>
            <w:tcW w:w="5386" w:type="dxa"/>
            <w:vAlign w:val="center"/>
          </w:tcPr>
          <w:p>
            <w:pPr>
              <w:pStyle w:val="14"/>
            </w:pPr>
            <w:r>
              <w:t>反映其他交通费用年初预算金额</w:t>
            </w:r>
          </w:p>
        </w:tc>
        <w:tc>
          <w:tcPr>
            <w:tcW w:w="2268" w:type="dxa"/>
            <w:vAlign w:val="center"/>
          </w:tcPr>
          <w:p>
            <w:pPr>
              <w:pStyle w:val="14"/>
            </w:pPr>
            <w:r>
              <w:t>≤3万元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办公费</w:t>
            </w:r>
          </w:p>
        </w:tc>
        <w:tc>
          <w:tcPr>
            <w:tcW w:w="5386" w:type="dxa"/>
            <w:vAlign w:val="center"/>
          </w:tcPr>
          <w:p>
            <w:pPr>
              <w:pStyle w:val="14"/>
            </w:pPr>
            <w:r>
              <w:t>反映办公费年初预算金额</w:t>
            </w:r>
          </w:p>
        </w:tc>
        <w:tc>
          <w:tcPr>
            <w:tcW w:w="2268" w:type="dxa"/>
            <w:vAlign w:val="center"/>
          </w:tcPr>
          <w:p>
            <w:pPr>
              <w:pStyle w:val="14"/>
            </w:pPr>
            <w:r>
              <w:t>≤6万元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助推县政府重点工作顺利开展</w:t>
            </w:r>
          </w:p>
        </w:tc>
        <w:tc>
          <w:tcPr>
            <w:tcW w:w="5386" w:type="dxa"/>
            <w:vAlign w:val="center"/>
          </w:tcPr>
          <w:p>
            <w:pPr>
              <w:pStyle w:val="14"/>
            </w:pPr>
            <w:r>
              <w:t>为县领导做好参谋，提供切实可行的合理化建议</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反映服务对象满意度</w:t>
            </w:r>
          </w:p>
        </w:tc>
        <w:tc>
          <w:tcPr>
            <w:tcW w:w="2268" w:type="dxa"/>
            <w:vAlign w:val="center"/>
          </w:tcPr>
          <w:p>
            <w:pPr>
              <w:pStyle w:val="14"/>
            </w:pPr>
            <w:r>
              <w:t>≥90%</w:t>
            </w:r>
          </w:p>
        </w:tc>
        <w:tc>
          <w:tcPr>
            <w:tcW w:w="1276"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3、金融服务中心工作经费绩效目标表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13032123P00331710048R</w:t>
            </w:r>
          </w:p>
        </w:tc>
        <w:tc>
          <w:tcPr>
            <w:tcW w:w="2835" w:type="dxa"/>
            <w:vAlign w:val="center"/>
          </w:tcPr>
          <w:p>
            <w:pPr>
              <w:pStyle w:val="12"/>
            </w:pPr>
            <w:r>
              <w:t>项目名称</w:t>
            </w:r>
          </w:p>
        </w:tc>
        <w:tc>
          <w:tcPr>
            <w:tcW w:w="6094" w:type="dxa"/>
            <w:gridSpan w:val="3"/>
            <w:vAlign w:val="center"/>
          </w:tcPr>
          <w:p>
            <w:pPr>
              <w:pStyle w:val="14"/>
            </w:pPr>
            <w:r>
              <w:t>金融服务中心工作经费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预算数3万元，其中：财政资金3万元。主要用于金融服务中心日常工作产生的各项费用，维持金融服务中心正常运转。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1.50</w:t>
            </w:r>
          </w:p>
        </w:tc>
        <w:tc>
          <w:tcPr>
            <w:tcW w:w="2551" w:type="dxa"/>
            <w:vAlign w:val="center"/>
          </w:tcPr>
          <w:p>
            <w:pPr>
              <w:pStyle w:val="15"/>
            </w:pPr>
            <w:r>
              <w:t>2.50</w:t>
            </w:r>
          </w:p>
        </w:tc>
        <w:tc>
          <w:tcPr>
            <w:tcW w:w="3543"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1.通过与银行合作发放脱贫人口小额信贷，达到巩固拓展脱贫攻坚成果。</w:t>
            </w:r>
          </w:p>
          <w:p>
            <w:pPr>
              <w:pStyle w:val="14"/>
            </w:pPr>
            <w:r>
              <w:t>2.通过审核乡镇报送贴息卷宗，给与符合贷款贴息条件的借款主体贴息，实现降低融资成本。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深入乡镇贫困村宣传指导（次）</w:t>
            </w:r>
          </w:p>
        </w:tc>
        <w:tc>
          <w:tcPr>
            <w:tcW w:w="5386" w:type="dxa"/>
            <w:vAlign w:val="center"/>
          </w:tcPr>
          <w:p>
            <w:pPr>
              <w:pStyle w:val="14"/>
            </w:pPr>
            <w:r>
              <w:t>深入乡镇贫困村宣传指导</w:t>
            </w:r>
          </w:p>
        </w:tc>
        <w:tc>
          <w:tcPr>
            <w:tcW w:w="2268" w:type="dxa"/>
            <w:vAlign w:val="center"/>
          </w:tcPr>
          <w:p>
            <w:pPr>
              <w:pStyle w:val="14"/>
            </w:pPr>
            <w:r>
              <w:t>≥24次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推荐合作贷款（次）</w:t>
            </w:r>
          </w:p>
        </w:tc>
        <w:tc>
          <w:tcPr>
            <w:tcW w:w="5386" w:type="dxa"/>
            <w:vAlign w:val="center"/>
          </w:tcPr>
          <w:p>
            <w:pPr>
              <w:pStyle w:val="14"/>
            </w:pPr>
            <w:r>
              <w:t>向合作银行推荐贷款</w:t>
            </w:r>
          </w:p>
        </w:tc>
        <w:tc>
          <w:tcPr>
            <w:tcW w:w="2268" w:type="dxa"/>
            <w:vAlign w:val="center"/>
          </w:tcPr>
          <w:p>
            <w:pPr>
              <w:pStyle w:val="14"/>
            </w:pPr>
            <w:r>
              <w:t>≥6次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贷款申请满足率</w:t>
            </w:r>
          </w:p>
        </w:tc>
        <w:tc>
          <w:tcPr>
            <w:tcW w:w="5386" w:type="dxa"/>
            <w:vAlign w:val="center"/>
          </w:tcPr>
          <w:p>
            <w:pPr>
              <w:pStyle w:val="14"/>
            </w:pPr>
            <w:r>
              <w:t>反映申贷通过比率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存入风险补偿金， 撬动银行发入贷款的累计比例</w:t>
            </w:r>
          </w:p>
        </w:tc>
        <w:tc>
          <w:tcPr>
            <w:tcW w:w="5386" w:type="dxa"/>
            <w:vAlign w:val="center"/>
          </w:tcPr>
          <w:p>
            <w:pPr>
              <w:pStyle w:val="14"/>
            </w:pPr>
            <w:r>
              <w:t>风险补偿金与贷款发放的累计比例</w:t>
            </w:r>
          </w:p>
        </w:tc>
        <w:tc>
          <w:tcPr>
            <w:tcW w:w="2268" w:type="dxa"/>
            <w:vAlign w:val="center"/>
          </w:tcPr>
          <w:p>
            <w:pPr>
              <w:pStyle w:val="14"/>
            </w:pPr>
            <w:r>
              <w:t>≥40%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计划完成时限</w:t>
            </w:r>
          </w:p>
        </w:tc>
        <w:tc>
          <w:tcPr>
            <w:tcW w:w="5386" w:type="dxa"/>
            <w:vAlign w:val="center"/>
          </w:tcPr>
          <w:p>
            <w:pPr>
              <w:pStyle w:val="14"/>
            </w:pPr>
            <w:r>
              <w:t>按计划推进金融服务中心各项工作的完成时间</w:t>
            </w:r>
          </w:p>
        </w:tc>
        <w:tc>
          <w:tcPr>
            <w:tcW w:w="2268" w:type="dxa"/>
            <w:vAlign w:val="center"/>
          </w:tcPr>
          <w:p>
            <w:pPr>
              <w:pStyle w:val="14"/>
            </w:pPr>
            <w:r>
              <w:t>2024年12月20前</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办公费预算控制数</w:t>
            </w:r>
          </w:p>
        </w:tc>
        <w:tc>
          <w:tcPr>
            <w:tcW w:w="5386" w:type="dxa"/>
            <w:vAlign w:val="center"/>
          </w:tcPr>
          <w:p>
            <w:pPr>
              <w:pStyle w:val="14"/>
            </w:pPr>
            <w:r>
              <w:t>办公费控制在预算额度内</w:t>
            </w:r>
          </w:p>
        </w:tc>
        <w:tc>
          <w:tcPr>
            <w:tcW w:w="2268" w:type="dxa"/>
            <w:vAlign w:val="center"/>
          </w:tcPr>
          <w:p>
            <w:pPr>
              <w:pStyle w:val="14"/>
            </w:pPr>
            <w:r>
              <w:t>≤2万元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其他交通费用预算控制数</w:t>
            </w:r>
          </w:p>
        </w:tc>
        <w:tc>
          <w:tcPr>
            <w:tcW w:w="5386" w:type="dxa"/>
            <w:vAlign w:val="center"/>
          </w:tcPr>
          <w:p>
            <w:pPr>
              <w:pStyle w:val="14"/>
            </w:pPr>
            <w:r>
              <w:t>其他交通费用控制在预算额度内</w:t>
            </w:r>
          </w:p>
        </w:tc>
        <w:tc>
          <w:tcPr>
            <w:tcW w:w="2268" w:type="dxa"/>
            <w:vAlign w:val="center"/>
          </w:tcPr>
          <w:p>
            <w:pPr>
              <w:pStyle w:val="14"/>
            </w:pPr>
            <w:r>
              <w:t>≤1万元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撬动银行发放贷款</w:t>
            </w:r>
          </w:p>
        </w:tc>
        <w:tc>
          <w:tcPr>
            <w:tcW w:w="5386" w:type="dxa"/>
            <w:vAlign w:val="center"/>
          </w:tcPr>
          <w:p>
            <w:pPr>
              <w:pStyle w:val="14"/>
            </w:pPr>
            <w:r>
              <w:t>撬动银行发放贷款</w:t>
            </w:r>
          </w:p>
        </w:tc>
        <w:tc>
          <w:tcPr>
            <w:tcW w:w="2268" w:type="dxa"/>
            <w:vAlign w:val="center"/>
          </w:tcPr>
          <w:p>
            <w:pPr>
              <w:pStyle w:val="14"/>
            </w:pPr>
            <w:r>
              <w:t>≥200万元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保障金融服务中心正常运转</w:t>
            </w:r>
          </w:p>
        </w:tc>
        <w:tc>
          <w:tcPr>
            <w:tcW w:w="5386" w:type="dxa"/>
            <w:vAlign w:val="center"/>
          </w:tcPr>
          <w:p>
            <w:pPr>
              <w:pStyle w:val="14"/>
            </w:pPr>
            <w:r>
              <w:t>保障金融服务中心正常运转</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反映中心工作人员对中心运转的满意度</w:t>
            </w:r>
          </w:p>
        </w:tc>
        <w:tc>
          <w:tcPr>
            <w:tcW w:w="2268" w:type="dxa"/>
            <w:vAlign w:val="center"/>
          </w:tcPr>
          <w:p>
            <w:pPr>
              <w:pStyle w:val="14"/>
            </w:pPr>
            <w:r>
              <w:t>≥90%</w:t>
            </w:r>
          </w:p>
        </w:tc>
        <w:tc>
          <w:tcPr>
            <w:tcW w:w="1276"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4、金融事务管理工作经费绩效目标表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13032123P00331710046J</w:t>
            </w:r>
          </w:p>
        </w:tc>
        <w:tc>
          <w:tcPr>
            <w:tcW w:w="2835" w:type="dxa"/>
            <w:vAlign w:val="center"/>
          </w:tcPr>
          <w:p>
            <w:pPr>
              <w:pStyle w:val="12"/>
            </w:pPr>
            <w:r>
              <w:t>项目名称</w:t>
            </w:r>
          </w:p>
        </w:tc>
        <w:tc>
          <w:tcPr>
            <w:tcW w:w="6094" w:type="dxa"/>
            <w:gridSpan w:val="3"/>
            <w:vAlign w:val="center"/>
          </w:tcPr>
          <w:p>
            <w:pPr>
              <w:pStyle w:val="14"/>
            </w:pPr>
            <w:r>
              <w:t>金融事务管理工作经费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预算数1万元，其中：财政资金1万元。主要用于金融事务综合管理办公经费。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0.25</w:t>
            </w:r>
          </w:p>
        </w:tc>
        <w:tc>
          <w:tcPr>
            <w:tcW w:w="2835" w:type="dxa"/>
            <w:vAlign w:val="center"/>
          </w:tcPr>
          <w:p>
            <w:pPr>
              <w:pStyle w:val="15"/>
            </w:pPr>
            <w:r>
              <w:t>0.50</w:t>
            </w:r>
          </w:p>
        </w:tc>
        <w:tc>
          <w:tcPr>
            <w:tcW w:w="2551" w:type="dxa"/>
            <w:vAlign w:val="center"/>
          </w:tcPr>
          <w:p>
            <w:pPr>
              <w:pStyle w:val="15"/>
            </w:pPr>
            <w:r>
              <w:t>0.75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1.通过依法加强金融监管，整顿和规范金融市场秩序，加大对非法集资、非法证券、非法保险等案件的查处、善后处置和维护金融稳定。</w:t>
            </w:r>
          </w:p>
          <w:p>
            <w:pPr>
              <w:pStyle w:val="14"/>
            </w:pPr>
            <w:r>
              <w:t>2.指导全县金融生态环境和社会信用体系</w:t>
            </w:r>
            <w:r>
              <w:rPr>
                <w:rFonts w:hint="eastAsia"/>
                <w:lang w:eastAsia="zh-CN"/>
              </w:rPr>
              <w:t>建设</w:t>
            </w:r>
            <w:r>
              <w:t>良好的金融环境，做好银企对接工作。</w:t>
            </w:r>
          </w:p>
          <w:p>
            <w:pPr>
              <w:pStyle w:val="14"/>
            </w:pPr>
            <w:r>
              <w:t>3.推进企业上市工作，做好金融运行及分析工作，指导做好“政、银、企、户”联保工作。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企业上市融资工作会议（次）</w:t>
            </w:r>
          </w:p>
        </w:tc>
        <w:tc>
          <w:tcPr>
            <w:tcW w:w="5386" w:type="dxa"/>
            <w:vAlign w:val="center"/>
          </w:tcPr>
          <w:p>
            <w:pPr>
              <w:pStyle w:val="14"/>
            </w:pPr>
            <w:r>
              <w:t>推动企业上市挂牌召开培训会</w:t>
            </w:r>
          </w:p>
        </w:tc>
        <w:tc>
          <w:tcPr>
            <w:tcW w:w="2268" w:type="dxa"/>
            <w:vAlign w:val="center"/>
          </w:tcPr>
          <w:p>
            <w:pPr>
              <w:pStyle w:val="14"/>
            </w:pPr>
            <w:r>
              <w:t>≥1次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宣传次数</w:t>
            </w:r>
          </w:p>
        </w:tc>
        <w:tc>
          <w:tcPr>
            <w:tcW w:w="5386" w:type="dxa"/>
            <w:vAlign w:val="center"/>
          </w:tcPr>
          <w:p>
            <w:pPr>
              <w:pStyle w:val="14"/>
            </w:pPr>
            <w:r>
              <w:t>金融风险排查宣传次数</w:t>
            </w:r>
          </w:p>
        </w:tc>
        <w:tc>
          <w:tcPr>
            <w:tcW w:w="2268" w:type="dxa"/>
            <w:vAlign w:val="center"/>
          </w:tcPr>
          <w:p>
            <w:pPr>
              <w:pStyle w:val="14"/>
            </w:pPr>
            <w:r>
              <w:t>≥2次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银企对接活动完成率</w:t>
            </w:r>
          </w:p>
        </w:tc>
        <w:tc>
          <w:tcPr>
            <w:tcW w:w="5386" w:type="dxa"/>
            <w:vAlign w:val="center"/>
          </w:tcPr>
          <w:p>
            <w:pPr>
              <w:pStyle w:val="14"/>
            </w:pPr>
            <w:r>
              <w:t>组织驻县投融资机构与相关产业和重点项目对接活动次数占计划总量的比例</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督导巡查完成率</w:t>
            </w:r>
          </w:p>
        </w:tc>
        <w:tc>
          <w:tcPr>
            <w:tcW w:w="5386" w:type="dxa"/>
            <w:vAlign w:val="center"/>
          </w:tcPr>
          <w:p>
            <w:pPr>
              <w:pStyle w:val="14"/>
            </w:pPr>
            <w:r>
              <w:t>对小额贷款公司督导巡查次数占年初计划的比例</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金融风险排查率</w:t>
            </w:r>
          </w:p>
        </w:tc>
        <w:tc>
          <w:tcPr>
            <w:tcW w:w="5386" w:type="dxa"/>
            <w:vAlign w:val="center"/>
          </w:tcPr>
          <w:p>
            <w:pPr>
              <w:pStyle w:val="14"/>
            </w:pPr>
            <w:r>
              <w:t>金融风险排查占年应排查总数的比率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计划完成时限</w:t>
            </w:r>
          </w:p>
        </w:tc>
        <w:tc>
          <w:tcPr>
            <w:tcW w:w="5386" w:type="dxa"/>
            <w:vAlign w:val="center"/>
          </w:tcPr>
          <w:p>
            <w:pPr>
              <w:pStyle w:val="14"/>
            </w:pPr>
            <w:r>
              <w:t>按计划推进各项工作，年底前完成</w:t>
            </w:r>
          </w:p>
        </w:tc>
        <w:tc>
          <w:tcPr>
            <w:tcW w:w="2268" w:type="dxa"/>
            <w:vAlign w:val="center"/>
          </w:tcPr>
          <w:p>
            <w:pPr>
              <w:pStyle w:val="14"/>
            </w:pPr>
            <w:r>
              <w:t>2024年12月前常态化进行</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办公费</w:t>
            </w:r>
          </w:p>
        </w:tc>
        <w:tc>
          <w:tcPr>
            <w:tcW w:w="5386" w:type="dxa"/>
            <w:vAlign w:val="center"/>
          </w:tcPr>
          <w:p>
            <w:pPr>
              <w:pStyle w:val="14"/>
            </w:pPr>
            <w:r>
              <w:t>反映办公费成本控制情况</w:t>
            </w:r>
          </w:p>
        </w:tc>
        <w:tc>
          <w:tcPr>
            <w:tcW w:w="2268" w:type="dxa"/>
            <w:vAlign w:val="center"/>
          </w:tcPr>
          <w:p>
            <w:pPr>
              <w:pStyle w:val="14"/>
            </w:pPr>
            <w:r>
              <w:t>≤1万元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银企对接促进企业融资</w:t>
            </w:r>
          </w:p>
        </w:tc>
        <w:tc>
          <w:tcPr>
            <w:tcW w:w="5386" w:type="dxa"/>
            <w:vAlign w:val="center"/>
          </w:tcPr>
          <w:p>
            <w:pPr>
              <w:pStyle w:val="14"/>
            </w:pPr>
            <w:r>
              <w:t>打破银企双方信息不对称难题，提高获贷率。</w:t>
            </w:r>
          </w:p>
        </w:tc>
        <w:tc>
          <w:tcPr>
            <w:tcW w:w="2268" w:type="dxa"/>
            <w:vAlign w:val="center"/>
          </w:tcPr>
          <w:p>
            <w:pPr>
              <w:pStyle w:val="14"/>
            </w:pPr>
            <w:r>
              <w:t>≥10%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银行企业满意度</w:t>
            </w:r>
          </w:p>
        </w:tc>
        <w:tc>
          <w:tcPr>
            <w:tcW w:w="5386" w:type="dxa"/>
            <w:vAlign w:val="center"/>
          </w:tcPr>
          <w:p>
            <w:pPr>
              <w:pStyle w:val="14"/>
            </w:pPr>
            <w:r>
              <w:t>建立银企互动机制，实现双方互动交流，普及金融知识、宣传金融产品。</w:t>
            </w:r>
          </w:p>
        </w:tc>
        <w:tc>
          <w:tcPr>
            <w:tcW w:w="2268" w:type="dxa"/>
            <w:vAlign w:val="center"/>
          </w:tcPr>
          <w:p>
            <w:pPr>
              <w:pStyle w:val="14"/>
            </w:pPr>
            <w:r>
              <w:t>≥90%</w:t>
            </w:r>
          </w:p>
        </w:tc>
        <w:tc>
          <w:tcPr>
            <w:tcW w:w="1276"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5、政府法制专家及法律顾问工作经费绩效目标表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13032122P003317100393</w:t>
            </w:r>
          </w:p>
        </w:tc>
        <w:tc>
          <w:tcPr>
            <w:tcW w:w="2835" w:type="dxa"/>
            <w:vAlign w:val="center"/>
          </w:tcPr>
          <w:p>
            <w:pPr>
              <w:pStyle w:val="12"/>
            </w:pPr>
            <w:r>
              <w:t>项目名称</w:t>
            </w:r>
          </w:p>
        </w:tc>
        <w:tc>
          <w:tcPr>
            <w:tcW w:w="6094" w:type="dxa"/>
            <w:gridSpan w:val="3"/>
            <w:vAlign w:val="center"/>
          </w:tcPr>
          <w:p>
            <w:pPr>
              <w:pStyle w:val="14"/>
            </w:pPr>
            <w:r>
              <w:t>政府法制专家及法律顾问工作经费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预算数5万元，其中：财政资金5万元。主要用于县政府首席政府法律顾问咨询费。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w:t>
            </w:r>
          </w:p>
        </w:tc>
        <w:tc>
          <w:tcPr>
            <w:tcW w:w="2835" w:type="dxa"/>
            <w:vAlign w:val="center"/>
          </w:tcPr>
          <w:p>
            <w:pPr>
              <w:pStyle w:val="15"/>
            </w:pPr>
            <w:r>
              <w:t>2.50</w:t>
            </w:r>
          </w:p>
        </w:tc>
        <w:tc>
          <w:tcPr>
            <w:tcW w:w="2551" w:type="dxa"/>
            <w:vAlign w:val="center"/>
          </w:tcPr>
          <w:p>
            <w:pPr>
              <w:pStyle w:val="15"/>
            </w:pPr>
            <w:r>
              <w:t>3.75</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1.通过聘请法律顾问提供法律提供法律咨询和法律服务，协助草拟和审查各类法律事务文书及政府文件。</w:t>
            </w:r>
          </w:p>
          <w:p>
            <w:pPr>
              <w:pStyle w:val="14"/>
            </w:pPr>
            <w:r>
              <w:t>2.代理政府参加国内各类纠纷调解、仲裁和诉讼。达到防范、控制法律风险、减少法律纠纷的效果。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法律顾问人数</w:t>
            </w:r>
          </w:p>
        </w:tc>
        <w:tc>
          <w:tcPr>
            <w:tcW w:w="5386" w:type="dxa"/>
            <w:vAlign w:val="center"/>
          </w:tcPr>
          <w:p>
            <w:pPr>
              <w:pStyle w:val="14"/>
            </w:pPr>
            <w:r>
              <w:t>聘请法律顾问人数</w:t>
            </w:r>
          </w:p>
        </w:tc>
        <w:tc>
          <w:tcPr>
            <w:tcW w:w="2268" w:type="dxa"/>
            <w:vAlign w:val="center"/>
          </w:tcPr>
          <w:p>
            <w:pPr>
              <w:pStyle w:val="14"/>
            </w:pPr>
            <w:r>
              <w:t>1人</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合法性审查次数</w:t>
            </w:r>
          </w:p>
        </w:tc>
        <w:tc>
          <w:tcPr>
            <w:tcW w:w="5386" w:type="dxa"/>
            <w:vAlign w:val="center"/>
          </w:tcPr>
          <w:p>
            <w:pPr>
              <w:pStyle w:val="14"/>
            </w:pPr>
            <w:r>
              <w:t>反映合同合法性审查次数</w:t>
            </w:r>
          </w:p>
        </w:tc>
        <w:tc>
          <w:tcPr>
            <w:tcW w:w="2268" w:type="dxa"/>
            <w:vAlign w:val="center"/>
          </w:tcPr>
          <w:p>
            <w:pPr>
              <w:pStyle w:val="14"/>
            </w:pPr>
            <w:r>
              <w:t>≥5次</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建议次数</w:t>
            </w:r>
          </w:p>
        </w:tc>
        <w:tc>
          <w:tcPr>
            <w:tcW w:w="5386" w:type="dxa"/>
            <w:vAlign w:val="center"/>
          </w:tcPr>
          <w:p>
            <w:pPr>
              <w:pStyle w:val="14"/>
            </w:pPr>
            <w:r>
              <w:t>反映政府行政决策建议次数</w:t>
            </w:r>
          </w:p>
        </w:tc>
        <w:tc>
          <w:tcPr>
            <w:tcW w:w="2268" w:type="dxa"/>
            <w:vAlign w:val="center"/>
          </w:tcPr>
          <w:p>
            <w:pPr>
              <w:pStyle w:val="14"/>
            </w:pPr>
            <w:r>
              <w:t>≥5次</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合同合法性差错次数</w:t>
            </w:r>
          </w:p>
        </w:tc>
        <w:tc>
          <w:tcPr>
            <w:tcW w:w="5386" w:type="dxa"/>
            <w:vAlign w:val="center"/>
          </w:tcPr>
          <w:p>
            <w:pPr>
              <w:pStyle w:val="14"/>
            </w:pPr>
            <w:r>
              <w:t>因合同条款审核不严出现的法律纠纷次数</w:t>
            </w:r>
          </w:p>
        </w:tc>
        <w:tc>
          <w:tcPr>
            <w:tcW w:w="2268" w:type="dxa"/>
            <w:vAlign w:val="center"/>
          </w:tcPr>
          <w:p>
            <w:pPr>
              <w:pStyle w:val="14"/>
            </w:pPr>
            <w:r>
              <w:t>0次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建议采纳率</w:t>
            </w:r>
          </w:p>
        </w:tc>
        <w:tc>
          <w:tcPr>
            <w:tcW w:w="5386" w:type="dxa"/>
            <w:vAlign w:val="center"/>
          </w:tcPr>
          <w:p>
            <w:pPr>
              <w:pStyle w:val="14"/>
            </w:pPr>
            <w:r>
              <w:t>建议采纳数量占提出总数量的比率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业务完成率</w:t>
            </w:r>
          </w:p>
        </w:tc>
        <w:tc>
          <w:tcPr>
            <w:tcW w:w="5386" w:type="dxa"/>
            <w:vAlign w:val="center"/>
          </w:tcPr>
          <w:p>
            <w:pPr>
              <w:pStyle w:val="14"/>
            </w:pPr>
            <w:r>
              <w:t>完成业务占总业务的比率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律师咨询时间</w:t>
            </w:r>
          </w:p>
        </w:tc>
        <w:tc>
          <w:tcPr>
            <w:tcW w:w="5386" w:type="dxa"/>
            <w:vAlign w:val="center"/>
          </w:tcPr>
          <w:p>
            <w:pPr>
              <w:pStyle w:val="14"/>
            </w:pPr>
            <w:r>
              <w:t>向法律顾问进行咨询时间</w:t>
            </w:r>
          </w:p>
        </w:tc>
        <w:tc>
          <w:tcPr>
            <w:tcW w:w="2268" w:type="dxa"/>
            <w:vAlign w:val="center"/>
          </w:tcPr>
          <w:p>
            <w:pPr>
              <w:pStyle w:val="14"/>
            </w:pPr>
            <w:r>
              <w:t>2024年全年常态化咨询</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咨询费控制数</w:t>
            </w:r>
          </w:p>
        </w:tc>
        <w:tc>
          <w:tcPr>
            <w:tcW w:w="5386" w:type="dxa"/>
            <w:vAlign w:val="center"/>
          </w:tcPr>
          <w:p>
            <w:pPr>
              <w:pStyle w:val="14"/>
            </w:pPr>
            <w:r>
              <w:t>聘请常年法律顾问合同金额</w:t>
            </w:r>
          </w:p>
        </w:tc>
        <w:tc>
          <w:tcPr>
            <w:tcW w:w="2268" w:type="dxa"/>
            <w:vAlign w:val="center"/>
          </w:tcPr>
          <w:p>
            <w:pPr>
              <w:pStyle w:val="14"/>
            </w:pPr>
            <w:r>
              <w:t>≤5万元/年</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法律问题减少</w:t>
            </w:r>
          </w:p>
        </w:tc>
        <w:tc>
          <w:tcPr>
            <w:tcW w:w="5386" w:type="dxa"/>
            <w:vAlign w:val="center"/>
          </w:tcPr>
          <w:p>
            <w:pPr>
              <w:pStyle w:val="14"/>
            </w:pPr>
            <w:r>
              <w:t>通过咨询，合同纠纷等法律问题减少</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调查服务对象满意和较满意数占调查总数比例</w:t>
            </w:r>
          </w:p>
        </w:tc>
        <w:tc>
          <w:tcPr>
            <w:tcW w:w="2268" w:type="dxa"/>
            <w:vAlign w:val="center"/>
          </w:tcPr>
          <w:p>
            <w:pPr>
              <w:pStyle w:val="14"/>
            </w:pPr>
            <w:r>
              <w:t>≥90%</w:t>
            </w:r>
          </w:p>
        </w:tc>
        <w:tc>
          <w:tcPr>
            <w:tcW w:w="1276"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6、政务督查工作经费绩效目标表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13032122P00331710038F</w:t>
            </w:r>
          </w:p>
        </w:tc>
        <w:tc>
          <w:tcPr>
            <w:tcW w:w="2835" w:type="dxa"/>
            <w:vAlign w:val="center"/>
          </w:tcPr>
          <w:p>
            <w:pPr>
              <w:pStyle w:val="12"/>
            </w:pPr>
            <w:r>
              <w:t>项目名称</w:t>
            </w:r>
          </w:p>
        </w:tc>
        <w:tc>
          <w:tcPr>
            <w:tcW w:w="6094" w:type="dxa"/>
            <w:gridSpan w:val="3"/>
            <w:vAlign w:val="center"/>
          </w:tcPr>
          <w:p>
            <w:pPr>
              <w:pStyle w:val="14"/>
            </w:pPr>
            <w:r>
              <w:t>政务督查工作经费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10万元，其中：财政资金10万元。主要用于对县委县政府重点工作安排进行明查暗访，督促落实；对受理事项进行交办、协调、督办、答复和回访；为领导决策和管理提供信息服务；加大对县委、县政府安排的重点工作的督查督导力度；承办省、市、县人大代表建议和政协提案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w:t>
            </w:r>
          </w:p>
        </w:tc>
        <w:tc>
          <w:tcPr>
            <w:tcW w:w="2835" w:type="dxa"/>
            <w:vAlign w:val="center"/>
          </w:tcPr>
          <w:p>
            <w:pPr>
              <w:pStyle w:val="15"/>
            </w:pPr>
            <w:r>
              <w:t>5.00</w:t>
            </w:r>
          </w:p>
        </w:tc>
        <w:tc>
          <w:tcPr>
            <w:tcW w:w="2551" w:type="dxa"/>
            <w:vAlign w:val="center"/>
          </w:tcPr>
          <w:p>
            <w:pPr>
              <w:pStyle w:val="15"/>
            </w:pPr>
            <w:r>
              <w:t>7.50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1.通过创新机制，真督实查，保障重大决策部署落实，领导交办事项落实，助推县城经济又好又快发展。</w:t>
            </w:r>
          </w:p>
          <w:p>
            <w:pPr>
              <w:pStyle w:val="14"/>
            </w:pPr>
            <w:r>
              <w:t>2.推动政府重大决策部署的贯彻，进一步提高政府执行力。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下发督办卡件次</w:t>
            </w:r>
          </w:p>
        </w:tc>
        <w:tc>
          <w:tcPr>
            <w:tcW w:w="5386" w:type="dxa"/>
            <w:vAlign w:val="center"/>
          </w:tcPr>
          <w:p>
            <w:pPr>
              <w:pStyle w:val="14"/>
            </w:pPr>
            <w:r>
              <w:t>下发督办卡件次</w:t>
            </w:r>
          </w:p>
        </w:tc>
        <w:tc>
          <w:tcPr>
            <w:tcW w:w="2268" w:type="dxa"/>
            <w:vAlign w:val="center"/>
          </w:tcPr>
          <w:p>
            <w:pPr>
              <w:pStyle w:val="14"/>
            </w:pPr>
            <w:r>
              <w:t>≥25次</w:t>
            </w:r>
          </w:p>
        </w:tc>
        <w:tc>
          <w:tcPr>
            <w:tcW w:w="1276" w:type="dxa"/>
            <w:vAlign w:val="center"/>
          </w:tcPr>
          <w:p>
            <w:pPr>
              <w:pStyle w:val="14"/>
            </w:pPr>
            <w:r>
              <w:t>领导签批和会议交办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专项督导次数</w:t>
            </w:r>
          </w:p>
        </w:tc>
        <w:tc>
          <w:tcPr>
            <w:tcW w:w="5386" w:type="dxa"/>
            <w:vAlign w:val="center"/>
          </w:tcPr>
          <w:p>
            <w:pPr>
              <w:pStyle w:val="14"/>
            </w:pPr>
            <w:r>
              <w:t>进行专项督导次数</w:t>
            </w:r>
          </w:p>
        </w:tc>
        <w:tc>
          <w:tcPr>
            <w:tcW w:w="2268" w:type="dxa"/>
            <w:vAlign w:val="center"/>
          </w:tcPr>
          <w:p>
            <w:pPr>
              <w:pStyle w:val="14"/>
            </w:pPr>
            <w:r>
              <w:t>≥3次</w:t>
            </w:r>
          </w:p>
        </w:tc>
        <w:tc>
          <w:tcPr>
            <w:tcW w:w="127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决策部署督查反馈率</w:t>
            </w:r>
          </w:p>
        </w:tc>
        <w:tc>
          <w:tcPr>
            <w:tcW w:w="5386" w:type="dxa"/>
            <w:vAlign w:val="center"/>
          </w:tcPr>
          <w:p>
            <w:pPr>
              <w:pStyle w:val="14"/>
            </w:pPr>
            <w:r>
              <w:t>对市、县政府领导重要指示批示落实情况的督查反馈</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重点工作督导检查率</w:t>
            </w:r>
          </w:p>
        </w:tc>
        <w:tc>
          <w:tcPr>
            <w:tcW w:w="5386" w:type="dxa"/>
            <w:vAlign w:val="center"/>
          </w:tcPr>
          <w:p>
            <w:pPr>
              <w:pStyle w:val="14"/>
            </w:pPr>
            <w:r>
              <w:t>重点工作督导占全年督导工作的比率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5386" w:type="dxa"/>
            <w:vAlign w:val="center"/>
          </w:tcPr>
          <w:p>
            <w:pPr>
              <w:pStyle w:val="14"/>
            </w:pPr>
            <w:r>
              <w:t>承办省、市、县人大代表建议和政协提案工作完成时间</w:t>
            </w:r>
          </w:p>
        </w:tc>
        <w:tc>
          <w:tcPr>
            <w:tcW w:w="2268" w:type="dxa"/>
            <w:vAlign w:val="center"/>
          </w:tcPr>
          <w:p>
            <w:pPr>
              <w:pStyle w:val="14"/>
            </w:pPr>
            <w:r>
              <w:t>2024年10月底完成</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5386" w:type="dxa"/>
            <w:vAlign w:val="center"/>
          </w:tcPr>
          <w:p>
            <w:pPr>
              <w:pStyle w:val="14"/>
            </w:pPr>
            <w:r>
              <w:t>政务督查的其他工作完成时间</w:t>
            </w:r>
          </w:p>
        </w:tc>
        <w:tc>
          <w:tcPr>
            <w:tcW w:w="2268" w:type="dxa"/>
            <w:vAlign w:val="center"/>
          </w:tcPr>
          <w:p>
            <w:pPr>
              <w:pStyle w:val="14"/>
            </w:pPr>
            <w:r>
              <w:t>2024年12月底前常态进行</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办公费</w:t>
            </w:r>
          </w:p>
        </w:tc>
        <w:tc>
          <w:tcPr>
            <w:tcW w:w="5386" w:type="dxa"/>
            <w:vAlign w:val="center"/>
          </w:tcPr>
          <w:p>
            <w:pPr>
              <w:pStyle w:val="14"/>
            </w:pPr>
            <w:r>
              <w:t>反映办公费成本控制情况</w:t>
            </w:r>
          </w:p>
        </w:tc>
        <w:tc>
          <w:tcPr>
            <w:tcW w:w="2268" w:type="dxa"/>
            <w:vAlign w:val="center"/>
          </w:tcPr>
          <w:p>
            <w:pPr>
              <w:pStyle w:val="14"/>
            </w:pPr>
            <w:r>
              <w:t>≤5万元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差旅费</w:t>
            </w:r>
          </w:p>
        </w:tc>
        <w:tc>
          <w:tcPr>
            <w:tcW w:w="5386" w:type="dxa"/>
            <w:vAlign w:val="center"/>
          </w:tcPr>
          <w:p>
            <w:pPr>
              <w:pStyle w:val="14"/>
            </w:pPr>
            <w:r>
              <w:t>反映差旅费成本控制情况</w:t>
            </w:r>
          </w:p>
        </w:tc>
        <w:tc>
          <w:tcPr>
            <w:tcW w:w="2268" w:type="dxa"/>
            <w:vAlign w:val="center"/>
          </w:tcPr>
          <w:p>
            <w:pPr>
              <w:pStyle w:val="14"/>
            </w:pPr>
            <w:r>
              <w:t>≤1.5万元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其他交通费用</w:t>
            </w:r>
          </w:p>
        </w:tc>
        <w:tc>
          <w:tcPr>
            <w:tcW w:w="5386" w:type="dxa"/>
            <w:vAlign w:val="center"/>
          </w:tcPr>
          <w:p>
            <w:pPr>
              <w:pStyle w:val="14"/>
            </w:pPr>
            <w:r>
              <w:t>反映其他交通费成本控制情况</w:t>
            </w:r>
          </w:p>
        </w:tc>
        <w:tc>
          <w:tcPr>
            <w:tcW w:w="2268" w:type="dxa"/>
            <w:vAlign w:val="center"/>
          </w:tcPr>
          <w:p>
            <w:pPr>
              <w:pStyle w:val="14"/>
            </w:pPr>
            <w:r>
              <w:t>≤3.5万元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督查督办按时办结率</w:t>
            </w:r>
          </w:p>
        </w:tc>
        <w:tc>
          <w:tcPr>
            <w:tcW w:w="5386" w:type="dxa"/>
            <w:vAlign w:val="center"/>
          </w:tcPr>
          <w:p>
            <w:pPr>
              <w:pStyle w:val="14"/>
            </w:pPr>
            <w:r>
              <w:t>围绕县领导重要批示和指示，围绕热点难点问题的督察督办工作按时办结情况</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领导满意程度</w:t>
            </w:r>
          </w:p>
        </w:tc>
        <w:tc>
          <w:tcPr>
            <w:tcW w:w="5386" w:type="dxa"/>
            <w:vAlign w:val="center"/>
          </w:tcPr>
          <w:p>
            <w:pPr>
              <w:pStyle w:val="14"/>
            </w:pPr>
            <w:r>
              <w:t>领导对政务督查工作满意数占调查总数比率</w:t>
            </w:r>
          </w:p>
        </w:tc>
        <w:tc>
          <w:tcPr>
            <w:tcW w:w="2268" w:type="dxa"/>
            <w:vAlign w:val="center"/>
          </w:tcPr>
          <w:p>
            <w:pPr>
              <w:pStyle w:val="14"/>
            </w:pPr>
            <w:r>
              <w:t>≥90%</w:t>
            </w:r>
          </w:p>
        </w:tc>
        <w:tc>
          <w:tcPr>
            <w:tcW w:w="1276"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7、政务服务活动工作经费绩效目标表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13032123P00331710045Y</w:t>
            </w:r>
          </w:p>
        </w:tc>
        <w:tc>
          <w:tcPr>
            <w:tcW w:w="2835" w:type="dxa"/>
            <w:vAlign w:val="center"/>
          </w:tcPr>
          <w:p>
            <w:pPr>
              <w:pStyle w:val="12"/>
            </w:pPr>
            <w:r>
              <w:t>项目名称</w:t>
            </w:r>
          </w:p>
        </w:tc>
        <w:tc>
          <w:tcPr>
            <w:tcW w:w="6094" w:type="dxa"/>
            <w:gridSpan w:val="3"/>
            <w:vAlign w:val="center"/>
          </w:tcPr>
          <w:p>
            <w:pPr>
              <w:pStyle w:val="14"/>
            </w:pPr>
            <w:r>
              <w:t>政务服务活动工作经费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预算数15万元，其中：财政资金15万元。主要用于承办县政府重点会议、各类项目洽谈会、调度会等专项活动，协调相关部门单位做好相应的服务接待工作发生的各项费用。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7.00</w:t>
            </w:r>
          </w:p>
        </w:tc>
        <w:tc>
          <w:tcPr>
            <w:tcW w:w="2551" w:type="dxa"/>
            <w:vAlign w:val="center"/>
          </w:tcPr>
          <w:p>
            <w:pPr>
              <w:pStyle w:val="15"/>
            </w:pPr>
            <w:r>
              <w:t>11.00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1.通过积极协调组织相关部门各单位，保障县政府重点会议、各类项目洽谈会、调度会以及扶贫成效考核、三方评估等专项活动期顺利举办。</w:t>
            </w:r>
          </w:p>
          <w:p>
            <w:pPr>
              <w:pStyle w:val="14"/>
            </w:pPr>
            <w:r>
              <w:t>2.做好各专项活动、会议的服务接待工作。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承办场次</w:t>
            </w:r>
          </w:p>
        </w:tc>
        <w:tc>
          <w:tcPr>
            <w:tcW w:w="5386" w:type="dxa"/>
            <w:vAlign w:val="center"/>
          </w:tcPr>
          <w:p>
            <w:pPr>
              <w:pStyle w:val="14"/>
            </w:pPr>
            <w:r>
              <w:t>当年承办的大型会议（活动）场次</w:t>
            </w:r>
          </w:p>
        </w:tc>
        <w:tc>
          <w:tcPr>
            <w:tcW w:w="2268" w:type="dxa"/>
            <w:vAlign w:val="center"/>
          </w:tcPr>
          <w:p>
            <w:pPr>
              <w:pStyle w:val="14"/>
            </w:pPr>
            <w:r>
              <w:t>≥2场次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重大活动参与率</w:t>
            </w:r>
          </w:p>
        </w:tc>
        <w:tc>
          <w:tcPr>
            <w:tcW w:w="5386" w:type="dxa"/>
            <w:vAlign w:val="center"/>
          </w:tcPr>
          <w:p>
            <w:pPr>
              <w:pStyle w:val="14"/>
            </w:pPr>
            <w:r>
              <w:t>反映参与活动单位占应参加单位的经率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大型会议控制率</w:t>
            </w:r>
          </w:p>
        </w:tc>
        <w:tc>
          <w:tcPr>
            <w:tcW w:w="5386" w:type="dxa"/>
            <w:vAlign w:val="center"/>
          </w:tcPr>
          <w:p>
            <w:pPr>
              <w:pStyle w:val="14"/>
            </w:pPr>
            <w:r>
              <w:t>减少的大型会议数量占年度大型会议数量的比例</w:t>
            </w:r>
          </w:p>
        </w:tc>
        <w:tc>
          <w:tcPr>
            <w:tcW w:w="2268" w:type="dxa"/>
            <w:vAlign w:val="center"/>
          </w:tcPr>
          <w:p>
            <w:pPr>
              <w:pStyle w:val="14"/>
            </w:pPr>
            <w:r>
              <w:t>≥0.3%</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会务接待工作完成率</w:t>
            </w:r>
          </w:p>
        </w:tc>
        <w:tc>
          <w:tcPr>
            <w:tcW w:w="5386" w:type="dxa"/>
            <w:vAlign w:val="center"/>
          </w:tcPr>
          <w:p>
            <w:pPr>
              <w:pStyle w:val="14"/>
            </w:pPr>
            <w:r>
              <w:t>已完成的会务接待工作量占计划量的比例</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5386" w:type="dxa"/>
            <w:vAlign w:val="center"/>
          </w:tcPr>
          <w:p>
            <w:pPr>
              <w:pStyle w:val="14"/>
            </w:pPr>
            <w:r>
              <w:t>政务服务活动工作完成时间</w:t>
            </w:r>
          </w:p>
        </w:tc>
        <w:tc>
          <w:tcPr>
            <w:tcW w:w="2268" w:type="dxa"/>
            <w:vAlign w:val="center"/>
          </w:tcPr>
          <w:p>
            <w:pPr>
              <w:pStyle w:val="14"/>
            </w:pPr>
            <w:r>
              <w:t>2024年12月20日</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办公费</w:t>
            </w:r>
          </w:p>
        </w:tc>
        <w:tc>
          <w:tcPr>
            <w:tcW w:w="5386" w:type="dxa"/>
            <w:vAlign w:val="center"/>
          </w:tcPr>
          <w:p>
            <w:pPr>
              <w:pStyle w:val="14"/>
            </w:pPr>
            <w:r>
              <w:t>反映办公费年初预算金额</w:t>
            </w:r>
          </w:p>
        </w:tc>
        <w:tc>
          <w:tcPr>
            <w:tcW w:w="2268" w:type="dxa"/>
            <w:vAlign w:val="center"/>
          </w:tcPr>
          <w:p>
            <w:pPr>
              <w:pStyle w:val="14"/>
            </w:pPr>
            <w:r>
              <w:t>≤1.1万元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公务接待</w:t>
            </w:r>
          </w:p>
        </w:tc>
        <w:tc>
          <w:tcPr>
            <w:tcW w:w="5386" w:type="dxa"/>
            <w:vAlign w:val="center"/>
          </w:tcPr>
          <w:p>
            <w:pPr>
              <w:pStyle w:val="14"/>
            </w:pPr>
            <w:r>
              <w:t>反映公务接待年初预算金额</w:t>
            </w:r>
          </w:p>
        </w:tc>
        <w:tc>
          <w:tcPr>
            <w:tcW w:w="2268" w:type="dxa"/>
            <w:vAlign w:val="center"/>
          </w:tcPr>
          <w:p>
            <w:pPr>
              <w:pStyle w:val="14"/>
            </w:pPr>
            <w:r>
              <w:t>≤1万元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公务用车运行维护费</w:t>
            </w:r>
          </w:p>
        </w:tc>
        <w:tc>
          <w:tcPr>
            <w:tcW w:w="5386" w:type="dxa"/>
            <w:vAlign w:val="center"/>
          </w:tcPr>
          <w:p>
            <w:pPr>
              <w:pStyle w:val="14"/>
            </w:pPr>
            <w:r>
              <w:t>反映公务用车运行维护费年初预算金额</w:t>
            </w:r>
          </w:p>
        </w:tc>
        <w:tc>
          <w:tcPr>
            <w:tcW w:w="2268" w:type="dxa"/>
            <w:vAlign w:val="center"/>
          </w:tcPr>
          <w:p>
            <w:pPr>
              <w:pStyle w:val="14"/>
            </w:pPr>
            <w:r>
              <w:t>≤12.8万元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为工作开展提供服务</w:t>
            </w:r>
          </w:p>
        </w:tc>
        <w:tc>
          <w:tcPr>
            <w:tcW w:w="5386" w:type="dxa"/>
            <w:vAlign w:val="center"/>
          </w:tcPr>
          <w:p>
            <w:pPr>
              <w:pStyle w:val="14"/>
            </w:pPr>
            <w:r>
              <w:t>为重点工作、重要活动及时汇报与总结讨论提供服务的场次占应服务场次的比重</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参会人员满意程度</w:t>
            </w:r>
          </w:p>
        </w:tc>
        <w:tc>
          <w:tcPr>
            <w:tcW w:w="5386" w:type="dxa"/>
            <w:vAlign w:val="center"/>
          </w:tcPr>
          <w:p>
            <w:pPr>
              <w:pStyle w:val="14"/>
            </w:pPr>
            <w:r>
              <w:t>参与会议人员对会议接待服务满意数占调查总数比率</w:t>
            </w:r>
          </w:p>
        </w:tc>
        <w:tc>
          <w:tcPr>
            <w:tcW w:w="2268" w:type="dxa"/>
            <w:vAlign w:val="center"/>
          </w:tcPr>
          <w:p>
            <w:pPr>
              <w:pStyle w:val="14"/>
            </w:pPr>
            <w:r>
              <w:t>≥90%</w:t>
            </w:r>
          </w:p>
        </w:tc>
        <w:tc>
          <w:tcPr>
            <w:tcW w:w="1276" w:type="dxa"/>
            <w:vAlign w:val="center"/>
          </w:tcPr>
          <w:p>
            <w:pPr>
              <w:pStyle w:val="14"/>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8、政务事务综合管理工作经费绩效目标表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13032123P00331710043P</w:t>
            </w:r>
          </w:p>
        </w:tc>
        <w:tc>
          <w:tcPr>
            <w:tcW w:w="2835" w:type="dxa"/>
            <w:vAlign w:val="center"/>
          </w:tcPr>
          <w:p>
            <w:pPr>
              <w:pStyle w:val="12"/>
            </w:pPr>
            <w:r>
              <w:t>项目名称</w:t>
            </w:r>
          </w:p>
        </w:tc>
        <w:tc>
          <w:tcPr>
            <w:tcW w:w="6094" w:type="dxa"/>
            <w:gridSpan w:val="3"/>
            <w:vAlign w:val="center"/>
          </w:tcPr>
          <w:p>
            <w:pPr>
              <w:pStyle w:val="14"/>
            </w:pPr>
            <w:r>
              <w:t>政务事务综合管理工作经费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预算数20万元，其中：财政资金20万元。主要用于机关日常事务管理工作、机关公务用车、负责县领导、协调县有关部门公务活动的接待工作。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1.通过加强公务用车和公务（商务）接待管理，降低运行成本，为创建节约型机关打下了良好的基础。</w:t>
            </w:r>
          </w:p>
          <w:p>
            <w:pPr>
              <w:pStyle w:val="14"/>
            </w:pPr>
            <w:r>
              <w:t>2.进一步提升保障服务管理水平，保障县领导和机关工作的正常运转。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机关公务用车数量</w:t>
            </w:r>
          </w:p>
        </w:tc>
        <w:tc>
          <w:tcPr>
            <w:tcW w:w="5386" w:type="dxa"/>
            <w:vAlign w:val="center"/>
          </w:tcPr>
          <w:p>
            <w:pPr>
              <w:pStyle w:val="14"/>
            </w:pPr>
            <w:r>
              <w:t>机关公务用车的数量</w:t>
            </w:r>
          </w:p>
        </w:tc>
        <w:tc>
          <w:tcPr>
            <w:tcW w:w="2268" w:type="dxa"/>
            <w:vAlign w:val="center"/>
          </w:tcPr>
          <w:p>
            <w:pPr>
              <w:pStyle w:val="14"/>
            </w:pPr>
            <w:r>
              <w:t>7辆</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协调次数</w:t>
            </w:r>
          </w:p>
        </w:tc>
        <w:tc>
          <w:tcPr>
            <w:tcW w:w="5386" w:type="dxa"/>
            <w:vAlign w:val="center"/>
          </w:tcPr>
          <w:p>
            <w:pPr>
              <w:pStyle w:val="14"/>
            </w:pPr>
            <w:r>
              <w:t>协调各部门的接待服务次数</w:t>
            </w:r>
          </w:p>
        </w:tc>
        <w:tc>
          <w:tcPr>
            <w:tcW w:w="2268" w:type="dxa"/>
            <w:vAlign w:val="center"/>
          </w:tcPr>
          <w:p>
            <w:pPr>
              <w:pStyle w:val="14"/>
            </w:pPr>
            <w:r>
              <w:t>≥3次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综合事务工作完成率</w:t>
            </w:r>
          </w:p>
        </w:tc>
        <w:tc>
          <w:tcPr>
            <w:tcW w:w="5386" w:type="dxa"/>
            <w:vAlign w:val="center"/>
          </w:tcPr>
          <w:p>
            <w:pPr>
              <w:pStyle w:val="14"/>
            </w:pPr>
            <w:r>
              <w:t>反映各项事务工作完成情况</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公务（商务）接待标准率</w:t>
            </w:r>
          </w:p>
        </w:tc>
        <w:tc>
          <w:tcPr>
            <w:tcW w:w="5386" w:type="dxa"/>
            <w:vAlign w:val="center"/>
          </w:tcPr>
          <w:p>
            <w:pPr>
              <w:pStyle w:val="14"/>
            </w:pPr>
            <w:r>
              <w:t>反映按标准进行公务（商务）接待数占接待总数的比率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工作按计划完成时间</w:t>
            </w:r>
          </w:p>
        </w:tc>
        <w:tc>
          <w:tcPr>
            <w:tcW w:w="5386" w:type="dxa"/>
            <w:vAlign w:val="center"/>
          </w:tcPr>
          <w:p>
            <w:pPr>
              <w:pStyle w:val="14"/>
            </w:pPr>
            <w:r>
              <w:t>协调公务活动的接待工作完成时间</w:t>
            </w:r>
          </w:p>
        </w:tc>
        <w:tc>
          <w:tcPr>
            <w:tcW w:w="2268" w:type="dxa"/>
            <w:vAlign w:val="center"/>
          </w:tcPr>
          <w:p>
            <w:pPr>
              <w:pStyle w:val="14"/>
            </w:pPr>
            <w:r>
              <w:t>2024年12月20日前</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机关公务用车经费</w:t>
            </w:r>
          </w:p>
        </w:tc>
        <w:tc>
          <w:tcPr>
            <w:tcW w:w="5386" w:type="dxa"/>
            <w:vAlign w:val="center"/>
          </w:tcPr>
          <w:p>
            <w:pPr>
              <w:pStyle w:val="14"/>
            </w:pPr>
            <w:r>
              <w:t>反映机关公务用车经费成本控制情况</w:t>
            </w:r>
          </w:p>
        </w:tc>
        <w:tc>
          <w:tcPr>
            <w:tcW w:w="2268" w:type="dxa"/>
            <w:vAlign w:val="center"/>
          </w:tcPr>
          <w:p>
            <w:pPr>
              <w:pStyle w:val="14"/>
            </w:pPr>
            <w:r>
              <w:t>≤15万元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其他各项经费</w:t>
            </w:r>
          </w:p>
        </w:tc>
        <w:tc>
          <w:tcPr>
            <w:tcW w:w="5386" w:type="dxa"/>
            <w:vAlign w:val="center"/>
          </w:tcPr>
          <w:p>
            <w:pPr>
              <w:pStyle w:val="14"/>
            </w:pPr>
            <w:r>
              <w:t>反映机关其他各项经费成本控制情况</w:t>
            </w:r>
          </w:p>
        </w:tc>
        <w:tc>
          <w:tcPr>
            <w:tcW w:w="2268" w:type="dxa"/>
            <w:vAlign w:val="center"/>
          </w:tcPr>
          <w:p>
            <w:pPr>
              <w:pStyle w:val="14"/>
            </w:pPr>
            <w:r>
              <w:t>≤3万元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公务接待费</w:t>
            </w:r>
          </w:p>
        </w:tc>
        <w:tc>
          <w:tcPr>
            <w:tcW w:w="5386" w:type="dxa"/>
            <w:vAlign w:val="center"/>
          </w:tcPr>
          <w:p>
            <w:pPr>
              <w:pStyle w:val="14"/>
            </w:pPr>
            <w:r>
              <w:t>反映机关公务接待经费成本控制情况</w:t>
            </w:r>
          </w:p>
        </w:tc>
        <w:tc>
          <w:tcPr>
            <w:tcW w:w="2268" w:type="dxa"/>
            <w:vAlign w:val="center"/>
          </w:tcPr>
          <w:p>
            <w:pPr>
              <w:pStyle w:val="14"/>
            </w:pPr>
            <w:r>
              <w:t>≤2万元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综合事务保障</w:t>
            </w:r>
          </w:p>
        </w:tc>
        <w:tc>
          <w:tcPr>
            <w:tcW w:w="5386" w:type="dxa"/>
            <w:vAlign w:val="center"/>
          </w:tcPr>
          <w:p>
            <w:pPr>
              <w:pStyle w:val="14"/>
            </w:pPr>
            <w:r>
              <w:t>保障单位日常事务正常运转</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单位领导满意程度</w:t>
            </w:r>
          </w:p>
        </w:tc>
        <w:tc>
          <w:tcPr>
            <w:tcW w:w="5386" w:type="dxa"/>
            <w:vAlign w:val="center"/>
          </w:tcPr>
          <w:p>
            <w:pPr>
              <w:pStyle w:val="14"/>
            </w:pPr>
            <w:r>
              <w:t>单位领导对服务满意数占调查总数比率</w:t>
            </w:r>
          </w:p>
        </w:tc>
        <w:tc>
          <w:tcPr>
            <w:tcW w:w="2268" w:type="dxa"/>
            <w:vAlign w:val="center"/>
          </w:tcPr>
          <w:p>
            <w:pPr>
              <w:pStyle w:val="14"/>
            </w:pPr>
            <w:r>
              <w:t>≥95%</w:t>
            </w:r>
          </w:p>
        </w:tc>
        <w:tc>
          <w:tcPr>
            <w:tcW w:w="1276"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9、治超工作经费绩效目标表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13032123P00331710049D</w:t>
            </w:r>
          </w:p>
        </w:tc>
        <w:tc>
          <w:tcPr>
            <w:tcW w:w="2835" w:type="dxa"/>
            <w:vAlign w:val="center"/>
          </w:tcPr>
          <w:p>
            <w:pPr>
              <w:pStyle w:val="12"/>
            </w:pPr>
            <w:r>
              <w:t>项目名称</w:t>
            </w:r>
          </w:p>
        </w:tc>
        <w:tc>
          <w:tcPr>
            <w:tcW w:w="6094" w:type="dxa"/>
            <w:gridSpan w:val="3"/>
            <w:vAlign w:val="center"/>
          </w:tcPr>
          <w:p>
            <w:pPr>
              <w:pStyle w:val="14"/>
            </w:pPr>
            <w:r>
              <w:t>治超工作经费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预算数5万元，其中：财政资金5万元。主要用于治超宣传、督导、检查等工作产生的各项费用。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3.50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1.通过开展治超工作，实现路警联合执法制度化常态化，让企业了解遵守治超相关法律法规。</w:t>
            </w:r>
          </w:p>
          <w:p>
            <w:pPr>
              <w:pStyle w:val="14"/>
            </w:pPr>
            <w:r>
              <w:t>2.通过提高执法人员素质及廉洁自律意识，确保在我县辖区内货物运输全部达到国家标准。</w:t>
            </w:r>
          </w:p>
          <w:p>
            <w:pPr>
              <w:pStyle w:val="14"/>
            </w:pPr>
            <w:r>
              <w:t>3.减少交通事故的发生，确保人民群众生命财产安全。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深入本土企业宣传次数</w:t>
            </w:r>
          </w:p>
        </w:tc>
        <w:tc>
          <w:tcPr>
            <w:tcW w:w="5386" w:type="dxa"/>
            <w:vAlign w:val="center"/>
          </w:tcPr>
          <w:p>
            <w:pPr>
              <w:pStyle w:val="14"/>
            </w:pPr>
            <w:r>
              <w:t>反映年内深入本土企业宣传情况</w:t>
            </w:r>
          </w:p>
        </w:tc>
        <w:tc>
          <w:tcPr>
            <w:tcW w:w="2268" w:type="dxa"/>
            <w:vAlign w:val="center"/>
          </w:tcPr>
          <w:p>
            <w:pPr>
              <w:pStyle w:val="14"/>
            </w:pPr>
            <w:r>
              <w:t>≥1次</w:t>
            </w:r>
          </w:p>
        </w:tc>
        <w:tc>
          <w:tcPr>
            <w:tcW w:w="127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组织交通交警联合上路执法次数</w:t>
            </w:r>
          </w:p>
        </w:tc>
        <w:tc>
          <w:tcPr>
            <w:tcW w:w="5386" w:type="dxa"/>
            <w:vAlign w:val="center"/>
          </w:tcPr>
          <w:p>
            <w:pPr>
              <w:pStyle w:val="14"/>
            </w:pPr>
            <w:r>
              <w:t>反映年内组织交通交警联合上路执法情况</w:t>
            </w:r>
          </w:p>
        </w:tc>
        <w:tc>
          <w:tcPr>
            <w:tcW w:w="2268" w:type="dxa"/>
            <w:vAlign w:val="center"/>
          </w:tcPr>
          <w:p>
            <w:pPr>
              <w:pStyle w:val="14"/>
            </w:pPr>
            <w:r>
              <w:t>≥10次</w:t>
            </w:r>
          </w:p>
        </w:tc>
        <w:tc>
          <w:tcPr>
            <w:tcW w:w="127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督导检查治超次数</w:t>
            </w:r>
          </w:p>
        </w:tc>
        <w:tc>
          <w:tcPr>
            <w:tcW w:w="5386" w:type="dxa"/>
            <w:vAlign w:val="center"/>
          </w:tcPr>
          <w:p>
            <w:pPr>
              <w:pStyle w:val="14"/>
            </w:pPr>
            <w:r>
              <w:t>反映年内督导检查治超情况</w:t>
            </w:r>
          </w:p>
        </w:tc>
        <w:tc>
          <w:tcPr>
            <w:tcW w:w="2268" w:type="dxa"/>
            <w:vAlign w:val="center"/>
          </w:tcPr>
          <w:p>
            <w:pPr>
              <w:pStyle w:val="14"/>
            </w:pPr>
            <w:r>
              <w:t>≥10次</w:t>
            </w:r>
          </w:p>
        </w:tc>
        <w:tc>
          <w:tcPr>
            <w:tcW w:w="127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超限超载率</w:t>
            </w:r>
          </w:p>
        </w:tc>
        <w:tc>
          <w:tcPr>
            <w:tcW w:w="5386" w:type="dxa"/>
            <w:vAlign w:val="center"/>
          </w:tcPr>
          <w:p>
            <w:pPr>
              <w:pStyle w:val="14"/>
            </w:pPr>
            <w:r>
              <w:t>反映超限超载数量占被检查车辆总量的比率</w:t>
            </w:r>
          </w:p>
        </w:tc>
        <w:tc>
          <w:tcPr>
            <w:tcW w:w="2268" w:type="dxa"/>
            <w:vAlign w:val="center"/>
          </w:tcPr>
          <w:p>
            <w:pPr>
              <w:pStyle w:val="14"/>
            </w:pPr>
            <w:r>
              <w:t>≤0.02%</w:t>
            </w:r>
          </w:p>
        </w:tc>
        <w:tc>
          <w:tcPr>
            <w:tcW w:w="127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5386" w:type="dxa"/>
            <w:vAlign w:val="center"/>
          </w:tcPr>
          <w:p>
            <w:pPr>
              <w:pStyle w:val="14"/>
            </w:pPr>
            <w:r>
              <w:t>治超工作按计划完成时间</w:t>
            </w:r>
          </w:p>
        </w:tc>
        <w:tc>
          <w:tcPr>
            <w:tcW w:w="2268" w:type="dxa"/>
            <w:vAlign w:val="center"/>
          </w:tcPr>
          <w:p>
            <w:pPr>
              <w:pStyle w:val="14"/>
            </w:pPr>
            <w:r>
              <w:t>2024年12月20日前</w:t>
            </w:r>
          </w:p>
        </w:tc>
        <w:tc>
          <w:tcPr>
            <w:tcW w:w="127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办公费控制数</w:t>
            </w:r>
          </w:p>
        </w:tc>
        <w:tc>
          <w:tcPr>
            <w:tcW w:w="5386" w:type="dxa"/>
            <w:vAlign w:val="center"/>
          </w:tcPr>
          <w:p>
            <w:pPr>
              <w:pStyle w:val="14"/>
            </w:pPr>
            <w:r>
              <w:t>反映办公费预算控制情况</w:t>
            </w:r>
          </w:p>
        </w:tc>
        <w:tc>
          <w:tcPr>
            <w:tcW w:w="2268" w:type="dxa"/>
            <w:vAlign w:val="center"/>
          </w:tcPr>
          <w:p>
            <w:pPr>
              <w:pStyle w:val="14"/>
            </w:pPr>
            <w:r>
              <w:t>≤2万元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印刷费控制数</w:t>
            </w:r>
          </w:p>
        </w:tc>
        <w:tc>
          <w:tcPr>
            <w:tcW w:w="5386" w:type="dxa"/>
            <w:vAlign w:val="center"/>
          </w:tcPr>
          <w:p>
            <w:pPr>
              <w:pStyle w:val="14"/>
            </w:pPr>
            <w:r>
              <w:t>反映印刷费预算控制情况</w:t>
            </w:r>
          </w:p>
        </w:tc>
        <w:tc>
          <w:tcPr>
            <w:tcW w:w="2268" w:type="dxa"/>
            <w:vAlign w:val="center"/>
          </w:tcPr>
          <w:p>
            <w:pPr>
              <w:pStyle w:val="14"/>
            </w:pPr>
            <w:r>
              <w:t>≤0.5万元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其他交通费用控制数</w:t>
            </w:r>
          </w:p>
        </w:tc>
        <w:tc>
          <w:tcPr>
            <w:tcW w:w="5386" w:type="dxa"/>
            <w:vAlign w:val="center"/>
          </w:tcPr>
          <w:p>
            <w:pPr>
              <w:pStyle w:val="14"/>
            </w:pPr>
            <w:r>
              <w:t>反映其他交通费用预算控制情况</w:t>
            </w:r>
          </w:p>
        </w:tc>
        <w:tc>
          <w:tcPr>
            <w:tcW w:w="2268" w:type="dxa"/>
            <w:vAlign w:val="center"/>
          </w:tcPr>
          <w:p>
            <w:pPr>
              <w:pStyle w:val="14"/>
            </w:pPr>
            <w:r>
              <w:t>≤2.5万元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确保人民群众生命财产安全</w:t>
            </w:r>
          </w:p>
        </w:tc>
        <w:tc>
          <w:tcPr>
            <w:tcW w:w="5386" w:type="dxa"/>
            <w:vAlign w:val="center"/>
          </w:tcPr>
          <w:p>
            <w:pPr>
              <w:pStyle w:val="14"/>
            </w:pPr>
            <w:r>
              <w:t>减少交通事故的发生，确保人民群众生命财产安全</w:t>
            </w:r>
          </w:p>
        </w:tc>
        <w:tc>
          <w:tcPr>
            <w:tcW w:w="2268" w:type="dxa"/>
            <w:vAlign w:val="center"/>
          </w:tcPr>
          <w:p>
            <w:pPr>
              <w:pStyle w:val="14"/>
            </w:pPr>
            <w:r>
              <w:t>≥30%</w:t>
            </w:r>
          </w:p>
        </w:tc>
        <w:tc>
          <w:tcPr>
            <w:tcW w:w="127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调查服务对象满意和较满意数占调查总数比例</w:t>
            </w:r>
          </w:p>
        </w:tc>
        <w:tc>
          <w:tcPr>
            <w:tcW w:w="2268" w:type="dxa"/>
            <w:vAlign w:val="center"/>
          </w:tcPr>
          <w:p>
            <w:pPr>
              <w:pStyle w:val="14"/>
            </w:pPr>
            <w:r>
              <w:t>≥90%</w:t>
            </w:r>
          </w:p>
        </w:tc>
        <w:tc>
          <w:tcPr>
            <w:tcW w:w="1276" w:type="dxa"/>
            <w:vAlign w:val="center"/>
          </w:tcPr>
          <w:p>
            <w:pPr>
              <w:pStyle w:val="14"/>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10、地方志年鉴编纂出版专项经费绩效目标表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13032123P00331810020T</w:t>
            </w:r>
          </w:p>
        </w:tc>
        <w:tc>
          <w:tcPr>
            <w:tcW w:w="2835" w:type="dxa"/>
            <w:vAlign w:val="center"/>
          </w:tcPr>
          <w:p>
            <w:pPr>
              <w:pStyle w:val="12"/>
            </w:pPr>
            <w:r>
              <w:t>项目名称</w:t>
            </w:r>
          </w:p>
        </w:tc>
        <w:tc>
          <w:tcPr>
            <w:tcW w:w="6094" w:type="dxa"/>
            <w:gridSpan w:val="3"/>
            <w:vAlign w:val="center"/>
          </w:tcPr>
          <w:p>
            <w:pPr>
              <w:pStyle w:val="14"/>
            </w:pPr>
            <w:r>
              <w:t>地方志年鉴编纂出版专项经费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预算数10万元，其中：财政资金10元。主要用于《青龙满族自治县年鉴2024卷》的编纂出版印刷费、出版管理等办公经费。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w:t>
            </w:r>
          </w:p>
        </w:tc>
        <w:tc>
          <w:tcPr>
            <w:tcW w:w="2835" w:type="dxa"/>
            <w:vAlign w:val="center"/>
          </w:tcPr>
          <w:p>
            <w:pPr>
              <w:pStyle w:val="15"/>
            </w:pPr>
            <w:r>
              <w:t>5.00</w:t>
            </w:r>
          </w:p>
        </w:tc>
        <w:tc>
          <w:tcPr>
            <w:tcW w:w="2551" w:type="dxa"/>
            <w:vAlign w:val="center"/>
          </w:tcPr>
          <w:p>
            <w:pPr>
              <w:pStyle w:val="15"/>
            </w:pPr>
            <w:r>
              <w:t>7.50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1.通过开展地方志编纂工作，传承优秀文化传统，充分发挥志书“资政、存史、教化”的综合功能。</w:t>
            </w:r>
          </w:p>
          <w:p>
            <w:pPr>
              <w:pStyle w:val="14"/>
            </w:pPr>
            <w:r>
              <w:t>2.通过出版印刷地方志书籍，实现更好地为社会各界方便快捷提供青龙县情，为县域经济社会建设服务，为地方志工作者提供资料和工具。</w:t>
            </w:r>
          </w:p>
          <w:p>
            <w:pPr>
              <w:pStyle w:val="14"/>
            </w:pPr>
            <w:r>
              <w:t>3.通过开展地方志工作，达到更客观、更全面、更真实地反映全县经济社会各项事业发展成果。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出版数量</w:t>
            </w:r>
          </w:p>
        </w:tc>
        <w:tc>
          <w:tcPr>
            <w:tcW w:w="5386" w:type="dxa"/>
            <w:vAlign w:val="center"/>
          </w:tcPr>
          <w:p>
            <w:pPr>
              <w:pStyle w:val="14"/>
            </w:pPr>
            <w:r>
              <w:t>出版印刷年鉴及村志书数量</w:t>
            </w:r>
          </w:p>
        </w:tc>
        <w:tc>
          <w:tcPr>
            <w:tcW w:w="2268" w:type="dxa"/>
            <w:vAlign w:val="center"/>
          </w:tcPr>
          <w:p>
            <w:pPr>
              <w:pStyle w:val="14"/>
            </w:pPr>
            <w:r>
              <w:t>≤500册</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村志编纂任务完成率</w:t>
            </w:r>
          </w:p>
        </w:tc>
        <w:tc>
          <w:tcPr>
            <w:tcW w:w="5386" w:type="dxa"/>
            <w:vAlign w:val="center"/>
          </w:tcPr>
          <w:p>
            <w:pPr>
              <w:pStyle w:val="14"/>
            </w:pPr>
            <w:r>
              <w:t>村志编纂任务完成率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年鉴编纂任务完成率</w:t>
            </w:r>
          </w:p>
        </w:tc>
        <w:tc>
          <w:tcPr>
            <w:tcW w:w="5386" w:type="dxa"/>
            <w:vAlign w:val="center"/>
          </w:tcPr>
          <w:p>
            <w:pPr>
              <w:pStyle w:val="14"/>
            </w:pPr>
            <w:r>
              <w:t>年鉴编纂任务完成率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内容、编校、设计差错率</w:t>
            </w:r>
          </w:p>
        </w:tc>
        <w:tc>
          <w:tcPr>
            <w:tcW w:w="5386" w:type="dxa"/>
            <w:vAlign w:val="center"/>
          </w:tcPr>
          <w:p>
            <w:pPr>
              <w:pStyle w:val="14"/>
            </w:pPr>
            <w:r>
              <w:t>差错率</w:t>
            </w:r>
          </w:p>
        </w:tc>
        <w:tc>
          <w:tcPr>
            <w:tcW w:w="2268" w:type="dxa"/>
            <w:vAlign w:val="center"/>
          </w:tcPr>
          <w:p>
            <w:pPr>
              <w:pStyle w:val="14"/>
            </w:pPr>
            <w:r>
              <w:t>≤0.2‰</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出版时间</w:t>
            </w:r>
          </w:p>
        </w:tc>
        <w:tc>
          <w:tcPr>
            <w:tcW w:w="5386" w:type="dxa"/>
            <w:vAlign w:val="center"/>
          </w:tcPr>
          <w:p>
            <w:pPr>
              <w:pStyle w:val="14"/>
            </w:pPr>
            <w:r>
              <w:t>年底前完成审核及出版发行工作</w:t>
            </w:r>
          </w:p>
        </w:tc>
        <w:tc>
          <w:tcPr>
            <w:tcW w:w="2268" w:type="dxa"/>
            <w:vAlign w:val="center"/>
          </w:tcPr>
          <w:p>
            <w:pPr>
              <w:pStyle w:val="14"/>
            </w:pPr>
            <w:r>
              <w:t>2024年底前公开出版</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印刷费用</w:t>
            </w:r>
          </w:p>
        </w:tc>
        <w:tc>
          <w:tcPr>
            <w:tcW w:w="5386" w:type="dxa"/>
            <w:vAlign w:val="center"/>
          </w:tcPr>
          <w:p>
            <w:pPr>
              <w:pStyle w:val="14"/>
            </w:pPr>
            <w:r>
              <w:t>《青龙满族自治县年鉴2024卷》单位印刷成本</w:t>
            </w:r>
          </w:p>
        </w:tc>
        <w:tc>
          <w:tcPr>
            <w:tcW w:w="2268" w:type="dxa"/>
            <w:vAlign w:val="center"/>
          </w:tcPr>
          <w:p>
            <w:pPr>
              <w:pStyle w:val="14"/>
            </w:pPr>
            <w:r>
              <w:t>≤200元/册</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印刷费</w:t>
            </w:r>
          </w:p>
        </w:tc>
        <w:tc>
          <w:tcPr>
            <w:tcW w:w="5386" w:type="dxa"/>
            <w:vAlign w:val="center"/>
          </w:tcPr>
          <w:p>
            <w:pPr>
              <w:pStyle w:val="14"/>
            </w:pPr>
            <w:r>
              <w:t>出版印刷费用</w:t>
            </w:r>
          </w:p>
        </w:tc>
        <w:tc>
          <w:tcPr>
            <w:tcW w:w="2268" w:type="dxa"/>
            <w:vAlign w:val="center"/>
          </w:tcPr>
          <w:p>
            <w:pPr>
              <w:pStyle w:val="14"/>
            </w:pPr>
            <w:r>
              <w:t>≤10万元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提供史志资料</w:t>
            </w:r>
          </w:p>
        </w:tc>
        <w:tc>
          <w:tcPr>
            <w:tcW w:w="5386" w:type="dxa"/>
            <w:vAlign w:val="center"/>
          </w:tcPr>
          <w:p>
            <w:pPr>
              <w:pStyle w:val="14"/>
            </w:pPr>
            <w:r>
              <w:t>客观、全面、真实反映2024年全县经济社会各项事业发展成果</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使用及参与对象对地方志编修工作的满意程度</w:t>
            </w:r>
          </w:p>
        </w:tc>
        <w:tc>
          <w:tcPr>
            <w:tcW w:w="2268" w:type="dxa"/>
            <w:vAlign w:val="center"/>
          </w:tcPr>
          <w:p>
            <w:pPr>
              <w:pStyle w:val="14"/>
            </w:pPr>
            <w:r>
              <w:t>≥90%</w:t>
            </w:r>
          </w:p>
        </w:tc>
        <w:tc>
          <w:tcPr>
            <w:tcW w:w="1276"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11、稳经济政策工作经费绩效目标表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13032123P003384100270</w:t>
            </w:r>
          </w:p>
        </w:tc>
        <w:tc>
          <w:tcPr>
            <w:tcW w:w="2835" w:type="dxa"/>
            <w:vAlign w:val="center"/>
          </w:tcPr>
          <w:p>
            <w:pPr>
              <w:pStyle w:val="12"/>
            </w:pPr>
            <w:r>
              <w:t>项目名称</w:t>
            </w:r>
          </w:p>
        </w:tc>
        <w:tc>
          <w:tcPr>
            <w:tcW w:w="6094" w:type="dxa"/>
            <w:gridSpan w:val="3"/>
            <w:vAlign w:val="center"/>
          </w:tcPr>
          <w:p>
            <w:pPr>
              <w:pStyle w:val="14"/>
            </w:pPr>
            <w:r>
              <w:t>稳经济政策工作经费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预算数6万元，其中：财政资金6万元。主要用于“一揽子”稳经济政策落实，印刷省市县三级政策明白卡和微信二维码等产生的工作印刷费用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1.50</w:t>
            </w:r>
          </w:p>
        </w:tc>
        <w:tc>
          <w:tcPr>
            <w:tcW w:w="2835" w:type="dxa"/>
            <w:vAlign w:val="center"/>
          </w:tcPr>
          <w:p>
            <w:pPr>
              <w:pStyle w:val="15"/>
            </w:pPr>
            <w:r>
              <w:t>3.00</w:t>
            </w:r>
          </w:p>
        </w:tc>
        <w:tc>
          <w:tcPr>
            <w:tcW w:w="2551" w:type="dxa"/>
            <w:vAlign w:val="center"/>
          </w:tcPr>
          <w:p>
            <w:pPr>
              <w:pStyle w:val="15"/>
            </w:pPr>
            <w:r>
              <w:t>4.50</w:t>
            </w:r>
          </w:p>
        </w:tc>
        <w:tc>
          <w:tcPr>
            <w:tcW w:w="3543"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1.通过广泛开展宣传活动，达到使我县“一揽子”稳经济政策迅速落地落实。</w:t>
            </w:r>
          </w:p>
          <w:p>
            <w:pPr>
              <w:pStyle w:val="14"/>
            </w:pPr>
            <w:r>
              <w:t>2.通过深入贯彻落实省市决策部署，狠抓“一揽子”稳经济政策落地落实，助推县域经济高质量发展。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宣传品印刷数量</w:t>
            </w:r>
          </w:p>
        </w:tc>
        <w:tc>
          <w:tcPr>
            <w:tcW w:w="5386" w:type="dxa"/>
            <w:vAlign w:val="center"/>
          </w:tcPr>
          <w:p>
            <w:pPr>
              <w:pStyle w:val="14"/>
            </w:pPr>
            <w:r>
              <w:t>政策措施明白卡印刷数量</w:t>
            </w:r>
          </w:p>
        </w:tc>
        <w:tc>
          <w:tcPr>
            <w:tcW w:w="2268" w:type="dxa"/>
            <w:vAlign w:val="center"/>
          </w:tcPr>
          <w:p>
            <w:pPr>
              <w:pStyle w:val="14"/>
            </w:pPr>
            <w:r>
              <w:t>≥1500册</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宣传品印刷数量</w:t>
            </w:r>
          </w:p>
        </w:tc>
        <w:tc>
          <w:tcPr>
            <w:tcW w:w="5386" w:type="dxa"/>
            <w:vAlign w:val="center"/>
          </w:tcPr>
          <w:p>
            <w:pPr>
              <w:pStyle w:val="14"/>
            </w:pPr>
            <w:r>
              <w:t>稳定全省经济运行一揽子政策措施明白卡宣传招贴画</w:t>
            </w:r>
          </w:p>
        </w:tc>
        <w:tc>
          <w:tcPr>
            <w:tcW w:w="2268" w:type="dxa"/>
            <w:vAlign w:val="center"/>
          </w:tcPr>
          <w:p>
            <w:pPr>
              <w:pStyle w:val="14"/>
            </w:pPr>
            <w:r>
              <w:t>≥50册</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宣传品印刷数量</w:t>
            </w:r>
          </w:p>
        </w:tc>
        <w:tc>
          <w:tcPr>
            <w:tcW w:w="5386" w:type="dxa"/>
            <w:vAlign w:val="center"/>
          </w:tcPr>
          <w:p>
            <w:pPr>
              <w:pStyle w:val="14"/>
            </w:pPr>
            <w:r>
              <w:t>秦皇岛市明白卡</w:t>
            </w:r>
          </w:p>
        </w:tc>
        <w:tc>
          <w:tcPr>
            <w:tcW w:w="2268" w:type="dxa"/>
            <w:vAlign w:val="center"/>
          </w:tcPr>
          <w:p>
            <w:pPr>
              <w:pStyle w:val="14"/>
            </w:pPr>
            <w:r>
              <w:t>≥1000册</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内容、编校、设计差错率</w:t>
            </w:r>
          </w:p>
        </w:tc>
        <w:tc>
          <w:tcPr>
            <w:tcW w:w="5386" w:type="dxa"/>
            <w:vAlign w:val="center"/>
          </w:tcPr>
          <w:p>
            <w:pPr>
              <w:pStyle w:val="14"/>
            </w:pPr>
            <w:r>
              <w:t>差错率</w:t>
            </w:r>
          </w:p>
        </w:tc>
        <w:tc>
          <w:tcPr>
            <w:tcW w:w="2268" w:type="dxa"/>
            <w:vAlign w:val="center"/>
          </w:tcPr>
          <w:p>
            <w:pPr>
              <w:pStyle w:val="14"/>
            </w:pPr>
            <w:r>
              <w:t>≤0.2‰</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5386" w:type="dxa"/>
            <w:vAlign w:val="center"/>
          </w:tcPr>
          <w:p>
            <w:pPr>
              <w:pStyle w:val="14"/>
            </w:pPr>
            <w:r>
              <w:t>反映业务完成情况</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工作完成时间</w:t>
            </w:r>
          </w:p>
        </w:tc>
        <w:tc>
          <w:tcPr>
            <w:tcW w:w="2268" w:type="dxa"/>
            <w:vAlign w:val="center"/>
          </w:tcPr>
          <w:p>
            <w:pPr>
              <w:pStyle w:val="14"/>
            </w:pPr>
            <w:r>
              <w:t>2024年12月20日前完成成</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印刷费用</w:t>
            </w:r>
          </w:p>
        </w:tc>
        <w:tc>
          <w:tcPr>
            <w:tcW w:w="5386" w:type="dxa"/>
            <w:vAlign w:val="center"/>
          </w:tcPr>
          <w:p>
            <w:pPr>
              <w:pStyle w:val="14"/>
            </w:pPr>
            <w:r>
              <w:t>反映印刷费用成本控制情况</w:t>
            </w:r>
          </w:p>
        </w:tc>
        <w:tc>
          <w:tcPr>
            <w:tcW w:w="2268" w:type="dxa"/>
            <w:vAlign w:val="center"/>
          </w:tcPr>
          <w:p>
            <w:pPr>
              <w:pStyle w:val="14"/>
            </w:pPr>
            <w:r>
              <w:t>≤6万元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县域经济高质量发展</w:t>
            </w:r>
          </w:p>
        </w:tc>
        <w:tc>
          <w:tcPr>
            <w:tcW w:w="5386" w:type="dxa"/>
            <w:vAlign w:val="center"/>
          </w:tcPr>
          <w:p>
            <w:pPr>
              <w:pStyle w:val="14"/>
            </w:pPr>
            <w:r>
              <w:t>狠抓“一揽子”稳经济政策落地落实</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对经济发展带来效果</w:t>
            </w:r>
          </w:p>
        </w:tc>
        <w:tc>
          <w:tcPr>
            <w:tcW w:w="5386" w:type="dxa"/>
            <w:vAlign w:val="center"/>
          </w:tcPr>
          <w:p>
            <w:pPr>
              <w:pStyle w:val="14"/>
            </w:pPr>
            <w:r>
              <w:t>对经济发展带来效果</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群众对县域经济发展的满意度</w:t>
            </w:r>
          </w:p>
        </w:tc>
        <w:tc>
          <w:tcPr>
            <w:tcW w:w="2268" w:type="dxa"/>
            <w:vAlign w:val="center"/>
          </w:tcPr>
          <w:p>
            <w:pPr>
              <w:pStyle w:val="14"/>
            </w:pPr>
            <w:r>
              <w:t>≥90%</w:t>
            </w:r>
          </w:p>
        </w:tc>
        <w:tc>
          <w:tcPr>
            <w:tcW w:w="1276"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青龙满族自治县人民政府办公室本级上年末固定资产金额为294.57万元（详见下表）。本年度拟购置固定资产总额为</w:t>
      </w:r>
      <w:r>
        <w:rPr>
          <w:rFonts w:hint="eastAsia" w:eastAsia="方正仿宋_GBK"/>
          <w:color w:val="000000"/>
          <w:sz w:val="28"/>
          <w:lang w:eastAsia="zh-CN"/>
        </w:rPr>
        <w:t>0.00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434001青龙满族自治县人民政府办公室本级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294.57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7</w:t>
            </w:r>
          </w:p>
        </w:tc>
        <w:tc>
          <w:tcPr>
            <w:tcW w:w="2835" w:type="dxa"/>
            <w:vAlign w:val="center"/>
          </w:tcPr>
          <w:p>
            <w:pPr>
              <w:pStyle w:val="13"/>
            </w:pPr>
            <w:r>
              <w:t>208.04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324</w:t>
            </w:r>
          </w:p>
        </w:tc>
        <w:tc>
          <w:tcPr>
            <w:tcW w:w="2835" w:type="dxa"/>
            <w:vAlign w:val="center"/>
          </w:tcPr>
          <w:p>
            <w:pPr>
              <w:pStyle w:val="13"/>
            </w:pPr>
            <w:r>
              <w:t>86.53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r>
        <w:rPr>
          <w:rFonts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1F12"/>
    <w:rsid w:val="00072359"/>
    <w:rsid w:val="00202C6A"/>
    <w:rsid w:val="003476A0"/>
    <w:rsid w:val="003C0753"/>
    <w:rsid w:val="0046372A"/>
    <w:rsid w:val="005B4409"/>
    <w:rsid w:val="006C590F"/>
    <w:rsid w:val="008D509A"/>
    <w:rsid w:val="009064F2"/>
    <w:rsid w:val="009A625E"/>
    <w:rsid w:val="00AD383D"/>
    <w:rsid w:val="00B11F12"/>
    <w:rsid w:val="00C85831"/>
    <w:rsid w:val="00D34EDF"/>
    <w:rsid w:val="00DF6C17"/>
    <w:rsid w:val="00E507A1"/>
    <w:rsid w:val="00FF14FC"/>
    <w:rsid w:val="2B7F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TOC 4"/>
    <w:basedOn w:val="1"/>
    <w:qFormat/>
    <w:uiPriority w:val="0"/>
    <w:pPr>
      <w:ind w:left="720"/>
    </w:pPr>
  </w:style>
  <w:style w:type="paragraph" w:customStyle="1" w:styleId="25">
    <w:name w:val="TOC 1"/>
    <w:basedOn w:val="1"/>
    <w:qFormat/>
    <w:uiPriority w:val="0"/>
    <w:pPr>
      <w:spacing w:before="120"/>
      <w:ind w:firstLine="560"/>
    </w:pPr>
    <w:rPr>
      <w:rFonts w:eastAsia="方正仿宋_GBK"/>
      <w:color w:val="000000"/>
      <w:sz w:val="28"/>
    </w:rPr>
  </w:style>
  <w:style w:type="paragraph" w:customStyle="1" w:styleId="26">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3058</Words>
  <Characters>17431</Characters>
  <Lines>145</Lines>
  <Paragraphs>40</Paragraphs>
  <TotalTime>65</TotalTime>
  <ScaleCrop>false</ScaleCrop>
  <LinksUpToDate>false</LinksUpToDate>
  <CharactersWithSpaces>20449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2024-02-20T07:50:00Z</dcterms:created>
  <dc:creator>acer</dc:creator>
  <cp:lastModifiedBy>Administrator</cp:lastModifiedBy>
  <cp:lastPrinted>2024-02-20T08:38:00Z</cp:lastPrinted>
  <dcterms:modified xsi:type="dcterms:W3CDTF">2024-04-15T02:06:54Z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E380F89F612A4A919EFB480A046F1560</vt:lpwstr>
  </property>
</Properties>
</file>