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二〇二〇年十月</w:t>
                  </w:r>
                </w:p>
              </w:txbxContent>
            </v:textbox>
          </v:shape>
        </w:pict>
      </w:r>
      <w:r>
        <w:pict>
          <v:shape id="椭圆 8" o:spid="_x0000_s1051"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textbox>
              <w:txbxContent>
                <w:p/>
              </w:txbxContent>
            </v:textbox>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46" o:spid="_x0000_s1046" o:spt="203" style="position:absolute;left:0pt;margin-left:1.25pt;margin-top:821.7pt;height:21.45pt;width:595.25pt;z-index:251662336;mso-width-relative:page;mso-height-relative:page;" coordorigin="14,166" coordsize="119,4292032"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top:166;height:5;width:12;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top:166;height:5;width:107;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3" o:spid="_x0000_s1043" o:spt="203" style="position:absolute;left:0pt;margin-left:-2.5pt;margin-top:-6.95pt;height:69.6pt;width:600.25pt;z-index:-251657216;mso-width-relative:page;mso-height-relative:page;" coordorigin="136,-720691" coordsize="120,1392046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top:2;height:62;width:120;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top:-720691;height:13920462;width:81;"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青龙满族自治县退役军人事务局</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二〇二〇年十月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79" w:lineRule="exact"/>
        <w:ind w:firstLine="640" w:firstLineChars="200"/>
        <w:jc w:val="left"/>
        <w:rPr>
          <w:rFonts w:ascii="仿宋_GB2312" w:hAnsi="仿宋_GB2312" w:cs="仿宋_GB2312"/>
          <w:sz w:val="32"/>
          <w:szCs w:val="32"/>
        </w:rPr>
      </w:pPr>
      <w:r>
        <w:rPr>
          <w:rFonts w:hint="eastAsia" w:ascii="楷体" w:hAnsi="楷体" w:eastAsia="楷体" w:cs="楷体"/>
          <w:sz w:val="32"/>
          <w:szCs w:val="32"/>
        </w:rPr>
        <w:t>（一）加强组织领导，领导小组作用充分发挥</w:t>
      </w:r>
      <w:r>
        <w:rPr>
          <w:rFonts w:hint="eastAsia" w:ascii="仿宋_GB2312" w:hAnsi="仿宋_GB2312" w:eastAsia="仿宋_GB2312" w:cs="仿宋_GB2312"/>
          <w:sz w:val="32"/>
          <w:szCs w:val="32"/>
        </w:rPr>
        <w:t>。为进一步加强对全县退役军人事务工作的统一领导，3月份，我局按照省市要求，调整完善了县委退役军人事务工作领导小组，成立了由县委书记任组长，县长任第一副组长，县委副书记任常务副组长，县委常委、县人武部部长和主管副县长任副组长，相关单位为成员的领导小组，领导小组办公室设在我局。</w:t>
      </w:r>
    </w:p>
    <w:p>
      <w:pPr>
        <w:spacing w:line="579" w:lineRule="exact"/>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（二）落实政策法规，退役军人合法权益得到维护。</w:t>
      </w:r>
      <w:r>
        <w:rPr>
          <w:rFonts w:hint="eastAsia" w:ascii="仿宋_GB2312" w:hAnsi="仿宋_GB2312" w:eastAsia="仿宋_GB2312" w:cs="仿宋_GB2312"/>
          <w:sz w:val="32"/>
          <w:szCs w:val="32"/>
        </w:rPr>
        <w:t>按照《河北省军队退役人员政策落实工作专班关于开展退役军人政策落实“回头看”》的通知要求，不断树立“四个意识”，</w:t>
      </w:r>
      <w:r>
        <w:rPr>
          <w:rFonts w:hint="eastAsia" w:ascii="仿宋_GB2312" w:hAnsi="仿宋_GB2312" w:eastAsia="仿宋_GB2312" w:cs="仿宋_GB2312"/>
          <w:sz w:val="32"/>
          <w:szCs w:val="32"/>
          <w:lang w:eastAsia="zh-CN"/>
        </w:rPr>
        <w:t>坚定“四个自信”</w:t>
      </w:r>
      <w:r>
        <w:rPr>
          <w:rFonts w:hint="eastAsia" w:ascii="仿宋_GB2312" w:hAnsi="仿宋_GB2312" w:eastAsia="仿宋_GB2312" w:cs="仿宋_GB2312"/>
          <w:sz w:val="32"/>
          <w:szCs w:val="32"/>
        </w:rPr>
        <w:t>，做到“两个维护”，周密安排部署，扎实开展退役军人政策落实“回头看</w:t>
      </w:r>
      <w:bookmarkStart w:id="0" w:name="_GoBack"/>
      <w:bookmarkEnd w:id="0"/>
      <w:r>
        <w:rPr>
          <w:rFonts w:hint="eastAsia" w:ascii="仿宋_GB2312" w:hAnsi="仿宋_GB2312" w:eastAsia="仿宋_GB2312" w:cs="仿宋_GB2312"/>
          <w:sz w:val="32"/>
          <w:szCs w:val="32"/>
        </w:rPr>
        <w:t>”工作，一些历史遗留问题得到彻底解决，政策欠账已“清零”，确保了退役军人政策落实落地不落空。</w:t>
      </w:r>
    </w:p>
    <w:p>
      <w:pPr>
        <w:spacing w:line="579" w:lineRule="exact"/>
        <w:ind w:firstLine="640" w:firstLineChars="200"/>
        <w:jc w:val="left"/>
        <w:rPr>
          <w:rFonts w:ascii="仿宋_GB2312" w:hAnsi="仿宋_GB2312" w:cs="仿宋_GB2312"/>
          <w:sz w:val="32"/>
          <w:szCs w:val="32"/>
        </w:rPr>
      </w:pPr>
      <w:r>
        <w:rPr>
          <w:rFonts w:hint="eastAsia" w:ascii="楷体" w:hAnsi="楷体" w:eastAsia="楷体" w:cs="楷体"/>
          <w:sz w:val="32"/>
          <w:szCs w:val="32"/>
        </w:rPr>
        <w:t>（三）建强基层堡垒，服务保障体系建设不断加强。</w:t>
      </w:r>
      <w:r>
        <w:rPr>
          <w:rFonts w:hint="eastAsia" w:ascii="仿宋_GB2312" w:hAnsi="仿宋_GB2312" w:eastAsia="仿宋_GB2312" w:cs="仿宋_GB2312"/>
          <w:b/>
          <w:bCs/>
          <w:sz w:val="32"/>
          <w:szCs w:val="32"/>
        </w:rPr>
        <w:t>一是确保人员配备到位</w:t>
      </w:r>
      <w:r>
        <w:rPr>
          <w:rFonts w:hint="eastAsia" w:ascii="仿宋_GB2312" w:hAnsi="仿宋_GB2312" w:cs="仿宋_GB2312"/>
          <w:b/>
          <w:bCs/>
          <w:sz w:val="32"/>
          <w:szCs w:val="32"/>
        </w:rPr>
        <w:t>，</w:t>
      </w:r>
      <w:r>
        <w:rPr>
          <w:rFonts w:hint="eastAsia" w:ascii="仿宋_GB2312" w:hAnsi="仿宋_GB2312" w:eastAsia="仿宋_GB2312" w:cs="仿宋_GB2312"/>
          <w:b/>
          <w:bCs/>
          <w:sz w:val="32"/>
          <w:szCs w:val="32"/>
        </w:rPr>
        <w:t>二是创新管理方式方法</w:t>
      </w:r>
      <w:r>
        <w:rPr>
          <w:rFonts w:hint="eastAsia" w:ascii="仿宋_GB2312" w:hAnsi="仿宋_GB2312" w:cs="仿宋_GB2312"/>
          <w:b/>
          <w:bCs/>
          <w:sz w:val="32"/>
          <w:szCs w:val="32"/>
        </w:rPr>
        <w:t>，</w:t>
      </w:r>
      <w:r>
        <w:rPr>
          <w:rFonts w:hint="eastAsia" w:ascii="仿宋_GB2312" w:hAnsi="仿宋_GB2312" w:eastAsia="仿宋_GB2312" w:cs="仿宋_GB2312"/>
          <w:b/>
          <w:bCs/>
          <w:sz w:val="32"/>
          <w:szCs w:val="32"/>
        </w:rPr>
        <w:t>三是提高管理服务水平。</w:t>
      </w:r>
    </w:p>
    <w:p>
      <w:pPr>
        <w:spacing w:line="579" w:lineRule="exact"/>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（四）统筹协调联动，社会保险接续工作顺利推进。</w:t>
      </w:r>
      <w:r>
        <w:rPr>
          <w:rFonts w:hint="eastAsia" w:ascii="仿宋_GB2312" w:hAnsi="仿宋_GB2312" w:eastAsia="仿宋_GB2312" w:cs="仿宋_GB2312"/>
          <w:sz w:val="32"/>
          <w:szCs w:val="32"/>
        </w:rPr>
        <w:t>12月15日，我局按照省市既定时间节点完成了工作任务。据统计，系统共录入383人，受理385人，初审通过385人。养老核查350人，医疗核查385人，初步测算养老补缴金额593.4209万元，医疗补缴金额3.0619万元。42人完成养老保险个人缴费和单位缴费，税务</w:t>
      </w:r>
      <w:r>
        <w:rPr>
          <w:rFonts w:hint="eastAsia" w:ascii="仿宋_GB2312" w:hAnsi="仿宋_GB2312" w:eastAsia="仿宋_GB2312" w:cs="仿宋_GB2312"/>
          <w:sz w:val="32"/>
          <w:szCs w:val="32"/>
          <w:lang w:eastAsia="zh-CN"/>
        </w:rPr>
        <w:t>办结</w:t>
      </w:r>
      <w:r>
        <w:rPr>
          <w:rFonts w:hint="eastAsia" w:ascii="仿宋_GB2312" w:hAnsi="仿宋_GB2312" w:eastAsia="仿宋_GB2312" w:cs="仿宋_GB2312"/>
          <w:sz w:val="32"/>
          <w:szCs w:val="32"/>
        </w:rPr>
        <w:t>。</w:t>
      </w:r>
    </w:p>
    <w:p>
      <w:pPr>
        <w:spacing w:line="579" w:lineRule="exact"/>
        <w:ind w:firstLine="640" w:firstLineChars="200"/>
        <w:jc w:val="left"/>
        <w:rPr>
          <w:rFonts w:ascii="仿宋_GB2312" w:hAnsi="仿宋_GB2312" w:cs="仿宋_GB2312"/>
          <w:sz w:val="32"/>
          <w:szCs w:val="32"/>
        </w:rPr>
      </w:pPr>
      <w:r>
        <w:rPr>
          <w:rFonts w:hint="eastAsia" w:ascii="楷体" w:hAnsi="楷体" w:eastAsia="楷体" w:cs="楷体"/>
          <w:sz w:val="32"/>
          <w:szCs w:val="32"/>
        </w:rPr>
        <w:t>（五）加大解决力度，退役军人信访问题有效化解。</w:t>
      </w:r>
      <w:r>
        <w:rPr>
          <w:rFonts w:hint="eastAsia" w:ascii="仿宋_GB2312" w:hAnsi="仿宋_GB2312" w:eastAsia="仿宋_GB2312" w:cs="仿宋_GB2312"/>
          <w:b/>
          <w:bCs/>
          <w:sz w:val="32"/>
          <w:szCs w:val="32"/>
        </w:rPr>
        <w:t>一是严格落实现有政策，做好政策解释宣传。二是严格落实首问责任，做好接访下访约访。三是严格落实包联制度，做好走访慰问和优先优待工作。四是深入开展走访慰问，传达党和政府的温暖关怀。</w:t>
      </w:r>
      <w:r>
        <w:rPr>
          <w:rFonts w:hint="eastAsia" w:ascii="仿宋_GB2312" w:hAnsi="仿宋_GB2312" w:cs="仿宋_GB2312"/>
          <w:b/>
          <w:bCs/>
          <w:sz w:val="32"/>
          <w:szCs w:val="32"/>
        </w:rPr>
        <w:t xml:space="preserve">     </w:t>
      </w:r>
      <w:r>
        <w:rPr>
          <w:rFonts w:hint="eastAsia" w:ascii="楷体" w:hAnsi="楷体" w:eastAsia="楷体" w:cs="楷体"/>
          <w:sz w:val="32"/>
          <w:szCs w:val="32"/>
        </w:rPr>
        <w:t>（六）开展双拥共建，双拥优抚各项政策全面落实。</w:t>
      </w:r>
      <w:r>
        <w:rPr>
          <w:rFonts w:hint="eastAsia" w:ascii="仿宋_GB2312" w:hAnsi="仿宋_GB2312" w:eastAsia="仿宋_GB2312" w:cs="仿宋_GB2312"/>
          <w:sz w:val="32"/>
          <w:szCs w:val="32"/>
        </w:rPr>
        <w:t>组织召开3次双拥工作领导小组会。县领导直接调度31个责任单位1次。对双拥模范城创建78项指标，逐项对标对表，汇总工作开展情况、完成情况。</w:t>
      </w:r>
      <w:r>
        <w:rPr>
          <w:rFonts w:hint="eastAsia" w:ascii="仿宋_GB2312" w:hAnsi="仿宋_GB2312" w:eastAsia="仿宋_GB2312" w:cs="仿宋_GB2312"/>
          <w:b/>
          <w:bCs/>
          <w:sz w:val="32"/>
          <w:szCs w:val="32"/>
        </w:rPr>
        <w:t>二是全面落实优抚政策资金。三是健全优抚对象医疗保障制度。四是深入开展“两节”走访慰问活动。五是有序开展优抚对象核查工作。</w:t>
      </w:r>
    </w:p>
    <w:p>
      <w:pPr>
        <w:spacing w:line="579" w:lineRule="exact"/>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（七）公正公平公开，年度安置任务圆满完成。</w:t>
      </w:r>
      <w:r>
        <w:rPr>
          <w:rFonts w:hint="eastAsia" w:ascii="仿宋_GB2312" w:hAnsi="仿宋_GB2312" w:eastAsia="仿宋_GB2312" w:cs="仿宋_GB2312"/>
          <w:sz w:val="32"/>
          <w:szCs w:val="32"/>
        </w:rPr>
        <w:t>2019年度，共安置符合安置条件的转业士官24人。</w:t>
      </w:r>
    </w:p>
    <w:p>
      <w:pPr>
        <w:spacing w:line="579"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（八）坚持服务导向，积极促进就业创业工作。</w:t>
      </w:r>
      <w:r>
        <w:rPr>
          <w:rFonts w:hint="eastAsia" w:ascii="仿宋_GB2312" w:hAnsi="仿宋_GB2312" w:eastAsia="仿宋_GB2312" w:cs="仿宋_GB2312"/>
          <w:sz w:val="32"/>
          <w:szCs w:val="32"/>
        </w:rPr>
        <w:t>本年度，我</w:t>
      </w:r>
      <w:r>
        <w:rPr>
          <w:rFonts w:hint="eastAsia" w:ascii="宋体" w:hAnsi="宋体" w:eastAsia="宋体" w:cs="宋体"/>
          <w:sz w:val="32"/>
          <w:szCs w:val="32"/>
        </w:rPr>
        <w:t>们</w:t>
      </w:r>
      <w:r>
        <w:rPr>
          <w:rFonts w:hint="eastAsia" w:ascii="MS Mincho" w:hAnsi="MS Mincho" w:eastAsia="MS Mincho" w:cs="MS Mincho"/>
          <w:sz w:val="32"/>
          <w:szCs w:val="32"/>
        </w:rPr>
        <w:t>把青</w:t>
      </w:r>
      <w:r>
        <w:rPr>
          <w:rFonts w:hint="eastAsia" w:ascii="宋体" w:hAnsi="宋体" w:eastAsia="宋体" w:cs="宋体"/>
          <w:sz w:val="32"/>
          <w:szCs w:val="32"/>
        </w:rPr>
        <w:t>龙职</w:t>
      </w:r>
      <w:r>
        <w:rPr>
          <w:rFonts w:hint="eastAsia" w:ascii="MS Mincho" w:hAnsi="MS Mincho" w:eastAsia="MS Mincho" w:cs="MS Mincho"/>
          <w:sz w:val="32"/>
          <w:szCs w:val="32"/>
        </w:rPr>
        <w:t>教中心确定</w:t>
      </w:r>
      <w:r>
        <w:rPr>
          <w:rFonts w:hint="eastAsia" w:ascii="宋体" w:hAnsi="宋体" w:eastAsia="宋体" w:cs="宋体"/>
          <w:sz w:val="32"/>
          <w:szCs w:val="32"/>
        </w:rPr>
        <w:t>为县</w:t>
      </w:r>
      <w:r>
        <w:rPr>
          <w:rFonts w:hint="eastAsia" w:ascii="MS Mincho" w:hAnsi="MS Mincho" w:eastAsia="MS Mincho" w:cs="MS Mincho"/>
          <w:sz w:val="32"/>
          <w:szCs w:val="32"/>
        </w:rPr>
        <w:t>退役</w:t>
      </w:r>
      <w:r>
        <w:rPr>
          <w:rFonts w:hint="eastAsia" w:ascii="宋体" w:hAnsi="宋体" w:eastAsia="宋体" w:cs="宋体"/>
          <w:sz w:val="32"/>
          <w:szCs w:val="32"/>
        </w:rPr>
        <w:t>军</w:t>
      </w:r>
      <w:r>
        <w:rPr>
          <w:rFonts w:hint="eastAsia" w:ascii="MS Mincho" w:hAnsi="MS Mincho" w:eastAsia="MS Mincho" w:cs="MS Mincho"/>
          <w:sz w:val="32"/>
          <w:szCs w:val="32"/>
        </w:rPr>
        <w:t>人教育培</w:t>
      </w:r>
      <w:r>
        <w:rPr>
          <w:rFonts w:hint="eastAsia" w:ascii="宋体" w:hAnsi="宋体" w:eastAsia="宋体" w:cs="宋体"/>
          <w:sz w:val="32"/>
          <w:szCs w:val="32"/>
        </w:rPr>
        <w:t>训</w:t>
      </w:r>
      <w:r>
        <w:rPr>
          <w:rFonts w:hint="eastAsia" w:ascii="MS Mincho" w:hAnsi="MS Mincho" w:eastAsia="MS Mincho" w:cs="MS Mincho"/>
          <w:sz w:val="32"/>
          <w:szCs w:val="32"/>
        </w:rPr>
        <w:t>基地。江城</w:t>
      </w:r>
      <w:r>
        <w:rPr>
          <w:rFonts w:hint="eastAsia" w:ascii="宋体" w:hAnsi="宋体" w:eastAsia="宋体" w:cs="宋体"/>
          <w:sz w:val="32"/>
          <w:szCs w:val="32"/>
        </w:rPr>
        <w:t>矿业</w:t>
      </w:r>
      <w:r>
        <w:rPr>
          <w:rFonts w:hint="eastAsia" w:ascii="MS Mincho" w:hAnsi="MS Mincho" w:eastAsia="MS Mincho" w:cs="MS Mincho"/>
          <w:sz w:val="32"/>
          <w:szCs w:val="32"/>
        </w:rPr>
        <w:t>有限公司、</w:t>
      </w:r>
      <w:r>
        <w:rPr>
          <w:rFonts w:hint="eastAsia" w:ascii="宋体" w:hAnsi="宋体" w:eastAsia="宋体" w:cs="宋体"/>
          <w:sz w:val="32"/>
          <w:szCs w:val="32"/>
        </w:rPr>
        <w:t>发</w:t>
      </w:r>
      <w:r>
        <w:rPr>
          <w:rFonts w:hint="eastAsia" w:ascii="MS Mincho" w:hAnsi="MS Mincho" w:eastAsia="MS Mincho" w:cs="MS Mincho"/>
          <w:sz w:val="32"/>
          <w:szCs w:val="32"/>
        </w:rPr>
        <w:t>达</w:t>
      </w:r>
      <w:r>
        <w:rPr>
          <w:rFonts w:hint="eastAsia" w:ascii="宋体" w:hAnsi="宋体" w:eastAsia="宋体" w:cs="宋体"/>
          <w:sz w:val="32"/>
          <w:szCs w:val="32"/>
        </w:rPr>
        <w:t>矿业</w:t>
      </w:r>
      <w:r>
        <w:rPr>
          <w:rFonts w:hint="eastAsia" w:ascii="MS Mincho" w:hAnsi="MS Mincho" w:eastAsia="MS Mincho" w:cs="MS Mincho"/>
          <w:sz w:val="32"/>
          <w:szCs w:val="32"/>
        </w:rPr>
        <w:t>有限公司、</w:t>
      </w:r>
      <w:r>
        <w:rPr>
          <w:rFonts w:hint="eastAsia" w:ascii="宋体" w:hAnsi="宋体" w:eastAsia="宋体" w:cs="宋体"/>
          <w:sz w:val="32"/>
          <w:szCs w:val="32"/>
        </w:rPr>
        <w:t>龙兴矿业</w:t>
      </w:r>
      <w:r>
        <w:rPr>
          <w:rFonts w:hint="eastAsia" w:ascii="MS Mincho" w:hAnsi="MS Mincho" w:eastAsia="MS Mincho" w:cs="MS Mincho"/>
          <w:sz w:val="32"/>
          <w:szCs w:val="32"/>
        </w:rPr>
        <w:t>有限公司、木</w:t>
      </w:r>
      <w:r>
        <w:rPr>
          <w:rFonts w:hint="eastAsia" w:ascii="宋体" w:hAnsi="宋体" w:eastAsia="宋体" w:cs="宋体"/>
          <w:sz w:val="32"/>
          <w:szCs w:val="32"/>
        </w:rPr>
        <w:t>兰</w:t>
      </w:r>
      <w:r>
        <w:rPr>
          <w:rFonts w:hint="eastAsia" w:ascii="MS Mincho" w:hAnsi="MS Mincho" w:eastAsia="MS Mincho" w:cs="MS Mincho"/>
          <w:sz w:val="32"/>
          <w:szCs w:val="32"/>
        </w:rPr>
        <w:t>菌</w:t>
      </w:r>
      <w:r>
        <w:rPr>
          <w:rFonts w:hint="eastAsia" w:ascii="宋体" w:hAnsi="宋体" w:eastAsia="宋体" w:cs="宋体"/>
          <w:sz w:val="32"/>
          <w:szCs w:val="32"/>
        </w:rPr>
        <w:t>业</w:t>
      </w:r>
      <w:r>
        <w:rPr>
          <w:rFonts w:hint="eastAsia" w:ascii="MS Mincho" w:hAnsi="MS Mincho" w:eastAsia="MS Mincho" w:cs="MS Mincho"/>
          <w:sz w:val="32"/>
          <w:szCs w:val="32"/>
        </w:rPr>
        <w:t>股份有限公司、中</w:t>
      </w:r>
      <w:r>
        <w:rPr>
          <w:rFonts w:hint="eastAsia" w:ascii="宋体" w:hAnsi="宋体" w:eastAsia="宋体" w:cs="宋体"/>
          <w:sz w:val="32"/>
          <w:szCs w:val="32"/>
        </w:rPr>
        <w:t>兴</w:t>
      </w:r>
      <w:r>
        <w:rPr>
          <w:rFonts w:hint="eastAsia" w:ascii="MS Mincho" w:hAnsi="MS Mincho" w:eastAsia="MS Mincho" w:cs="MS Mincho"/>
          <w:sz w:val="32"/>
          <w:szCs w:val="32"/>
        </w:rPr>
        <w:t>建筑安装工程股份有限公司等</w:t>
      </w:r>
      <w:r>
        <w:rPr>
          <w:rFonts w:hint="eastAsia" w:ascii="仿宋_GB2312" w:hAnsi="仿宋_GB2312" w:eastAsia="仿宋_GB2312" w:cs="仿宋_GB2312"/>
          <w:sz w:val="32"/>
          <w:szCs w:val="32"/>
        </w:rPr>
        <w:t>5家企</w:t>
      </w:r>
      <w:r>
        <w:rPr>
          <w:rFonts w:hint="eastAsia" w:ascii="宋体" w:hAnsi="宋体" w:eastAsia="宋体" w:cs="宋体"/>
          <w:sz w:val="32"/>
          <w:szCs w:val="32"/>
        </w:rPr>
        <w:t>业设</w:t>
      </w:r>
      <w:r>
        <w:rPr>
          <w:rFonts w:hint="eastAsia" w:ascii="MS Mincho" w:hAnsi="MS Mincho" w:eastAsia="MS Mincho" w:cs="MS Mincho"/>
          <w:sz w:val="32"/>
          <w:szCs w:val="32"/>
        </w:rPr>
        <w:t>立</w:t>
      </w:r>
      <w:r>
        <w:rPr>
          <w:rFonts w:hint="eastAsia" w:ascii="宋体" w:hAnsi="宋体" w:eastAsia="宋体" w:cs="宋体"/>
          <w:sz w:val="32"/>
          <w:szCs w:val="32"/>
        </w:rPr>
        <w:t>为</w:t>
      </w:r>
      <w:r>
        <w:rPr>
          <w:rFonts w:hint="eastAsia" w:ascii="MS Mincho" w:hAnsi="MS Mincho" w:eastAsia="MS Mincho" w:cs="MS Mincho"/>
          <w:sz w:val="32"/>
          <w:szCs w:val="32"/>
        </w:rPr>
        <w:t>退役</w:t>
      </w:r>
      <w:r>
        <w:rPr>
          <w:rFonts w:hint="eastAsia" w:ascii="宋体" w:hAnsi="宋体" w:eastAsia="宋体" w:cs="宋体"/>
          <w:sz w:val="32"/>
          <w:szCs w:val="32"/>
        </w:rPr>
        <w:t>军</w:t>
      </w:r>
      <w:r>
        <w:rPr>
          <w:rFonts w:hint="eastAsia" w:ascii="MS Mincho" w:hAnsi="MS Mincho" w:eastAsia="MS Mincho" w:cs="MS Mincho"/>
          <w:sz w:val="32"/>
          <w:szCs w:val="32"/>
        </w:rPr>
        <w:t>人就</w:t>
      </w:r>
      <w:r>
        <w:rPr>
          <w:rFonts w:hint="eastAsia" w:ascii="宋体" w:hAnsi="宋体" w:eastAsia="宋体" w:cs="宋体"/>
          <w:sz w:val="32"/>
          <w:szCs w:val="32"/>
        </w:rPr>
        <w:t>业</w:t>
      </w:r>
      <w:r>
        <w:rPr>
          <w:rFonts w:hint="eastAsia" w:ascii="MS Mincho" w:hAnsi="MS Mincho" w:eastAsia="MS Mincho" w:cs="MS Mincho"/>
          <w:sz w:val="32"/>
          <w:szCs w:val="32"/>
        </w:rPr>
        <w:t>基地。</w:t>
      </w:r>
      <w:r>
        <w:rPr>
          <w:rFonts w:hint="eastAsia" w:ascii="MS Mincho" w:hAnsi="MS Mincho" w:eastAsia="宋体" w:cs="MS Mincho"/>
          <w:sz w:val="32"/>
          <w:szCs w:val="32"/>
          <w:lang w:eastAsia="zh-CN"/>
        </w:rPr>
        <w:t>截至目前</w:t>
      </w:r>
      <w:r>
        <w:rPr>
          <w:rFonts w:hint="eastAsia" w:ascii="MS Mincho" w:hAnsi="MS Mincho" w:eastAsia="MS Mincho" w:cs="MS Mincho"/>
          <w:sz w:val="32"/>
          <w:szCs w:val="32"/>
        </w:rPr>
        <w:t>，</w:t>
      </w:r>
      <w:r>
        <w:rPr>
          <w:rFonts w:hint="eastAsia" w:ascii="仿宋_GB2312" w:hAnsi="仿宋_GB2312" w:eastAsia="仿宋_GB2312" w:cs="仿宋_GB2312"/>
          <w:sz w:val="32"/>
          <w:szCs w:val="32"/>
        </w:rPr>
        <w:t>5家企</w:t>
      </w:r>
      <w:r>
        <w:rPr>
          <w:rFonts w:hint="eastAsia" w:ascii="宋体" w:hAnsi="宋体" w:eastAsia="宋体" w:cs="宋体"/>
          <w:sz w:val="32"/>
          <w:szCs w:val="32"/>
        </w:rPr>
        <w:t>业</w:t>
      </w:r>
      <w:r>
        <w:rPr>
          <w:rFonts w:hint="eastAsia" w:ascii="MS Mincho" w:hAnsi="MS Mincho" w:eastAsia="MS Mincho" w:cs="MS Mincho"/>
          <w:sz w:val="32"/>
          <w:szCs w:val="32"/>
        </w:rPr>
        <w:t>共安排</w:t>
      </w:r>
      <w:r>
        <w:rPr>
          <w:rFonts w:hint="eastAsia" w:ascii="仿宋_GB2312" w:hAnsi="仿宋_GB2312" w:eastAsia="仿宋_GB2312" w:cs="仿宋_GB2312"/>
          <w:sz w:val="32"/>
          <w:szCs w:val="32"/>
        </w:rPr>
        <w:t>70余名退役</w:t>
      </w:r>
      <w:r>
        <w:rPr>
          <w:rFonts w:hint="eastAsia" w:ascii="宋体" w:hAnsi="宋体" w:eastAsia="宋体" w:cs="宋体"/>
          <w:sz w:val="32"/>
          <w:szCs w:val="32"/>
        </w:rPr>
        <w:t>军</w:t>
      </w:r>
      <w:r>
        <w:rPr>
          <w:rFonts w:hint="eastAsia" w:ascii="MS Mincho" w:hAnsi="MS Mincho" w:eastAsia="MS Mincho" w:cs="MS Mincho"/>
          <w:sz w:val="32"/>
          <w:szCs w:val="32"/>
        </w:rPr>
        <w:t>人就</w:t>
      </w:r>
      <w:r>
        <w:rPr>
          <w:rFonts w:hint="eastAsia" w:ascii="宋体" w:hAnsi="宋体" w:eastAsia="宋体" w:cs="宋体"/>
          <w:sz w:val="32"/>
          <w:szCs w:val="32"/>
        </w:rPr>
        <w:t>业</w:t>
      </w:r>
      <w:r>
        <w:rPr>
          <w:rFonts w:hint="eastAsia" w:ascii="MS Mincho" w:hAnsi="MS Mincho" w:eastAsia="MS Mincho" w:cs="MS Mincho"/>
          <w:sz w:val="32"/>
          <w:szCs w:val="32"/>
        </w:rPr>
        <w:t>。</w:t>
      </w:r>
      <w:r>
        <w:rPr>
          <w:rFonts w:hint="eastAsia" w:ascii="仿宋_GB2312" w:hAnsi="仿宋_GB2312" w:eastAsia="仿宋_GB2312" w:cs="仿宋_GB2312"/>
          <w:sz w:val="32"/>
          <w:szCs w:val="32"/>
        </w:rPr>
        <w:t>同</w:t>
      </w:r>
      <w:r>
        <w:rPr>
          <w:rFonts w:hint="eastAsia" w:ascii="宋体" w:hAnsi="宋体" w:eastAsia="宋体" w:cs="宋体"/>
          <w:sz w:val="32"/>
          <w:szCs w:val="32"/>
        </w:rPr>
        <w:t>时</w:t>
      </w:r>
      <w:r>
        <w:rPr>
          <w:rFonts w:hint="eastAsia" w:ascii="MS Mincho" w:hAnsi="MS Mincho" w:eastAsia="MS Mincho" w:cs="MS Mincho"/>
          <w:sz w:val="32"/>
          <w:szCs w:val="32"/>
        </w:rPr>
        <w:t>把</w:t>
      </w:r>
      <w:r>
        <w:rPr>
          <w:rFonts w:hint="eastAsia" w:ascii="仿宋_GB2312" w:hAnsi="仿宋_GB2312" w:eastAsia="仿宋_GB2312" w:cs="仿宋_GB2312"/>
          <w:sz w:val="32"/>
          <w:szCs w:val="32"/>
        </w:rPr>
        <w:t>运达运</w:t>
      </w:r>
      <w:r>
        <w:rPr>
          <w:rFonts w:hint="eastAsia" w:ascii="宋体" w:hAnsi="宋体" w:eastAsia="宋体" w:cs="宋体"/>
          <w:sz w:val="32"/>
          <w:szCs w:val="32"/>
        </w:rPr>
        <w:t>输</w:t>
      </w:r>
      <w:r>
        <w:rPr>
          <w:rFonts w:hint="eastAsia" w:ascii="MS Mincho" w:hAnsi="MS Mincho" w:eastAsia="MS Mincho" w:cs="MS Mincho"/>
          <w:sz w:val="32"/>
          <w:szCs w:val="32"/>
        </w:rPr>
        <w:t>公司</w:t>
      </w:r>
      <w:r>
        <w:rPr>
          <w:rFonts w:hint="eastAsia" w:ascii="宋体" w:hAnsi="宋体" w:eastAsia="宋体" w:cs="宋体"/>
          <w:sz w:val="32"/>
          <w:szCs w:val="32"/>
        </w:rPr>
        <w:t>设</w:t>
      </w:r>
      <w:r>
        <w:rPr>
          <w:rFonts w:hint="eastAsia" w:ascii="MS Mincho" w:hAnsi="MS Mincho" w:eastAsia="MS Mincho" w:cs="MS Mincho"/>
          <w:sz w:val="32"/>
          <w:szCs w:val="32"/>
        </w:rPr>
        <w:t>立</w:t>
      </w:r>
      <w:r>
        <w:rPr>
          <w:rFonts w:hint="eastAsia" w:ascii="宋体" w:hAnsi="宋体" w:eastAsia="宋体" w:cs="宋体"/>
          <w:sz w:val="32"/>
          <w:szCs w:val="32"/>
        </w:rPr>
        <w:t>为</w:t>
      </w:r>
      <w:r>
        <w:rPr>
          <w:rFonts w:hint="eastAsia" w:ascii="MS Mincho" w:hAnsi="MS Mincho" w:eastAsia="MS Mincho" w:cs="MS Mincho"/>
          <w:sz w:val="32"/>
          <w:szCs w:val="32"/>
        </w:rPr>
        <w:t>青</w:t>
      </w:r>
      <w:r>
        <w:rPr>
          <w:rFonts w:hint="eastAsia" w:ascii="宋体" w:hAnsi="宋体" w:eastAsia="宋体" w:cs="宋体"/>
          <w:sz w:val="32"/>
          <w:szCs w:val="32"/>
        </w:rPr>
        <w:t>龙</w:t>
      </w:r>
      <w:r>
        <w:rPr>
          <w:rFonts w:hint="eastAsia" w:ascii="MS Mincho" w:hAnsi="MS Mincho" w:eastAsia="MS Mincho" w:cs="MS Mincho"/>
          <w:sz w:val="32"/>
          <w:szCs w:val="32"/>
        </w:rPr>
        <w:t>退役</w:t>
      </w:r>
      <w:r>
        <w:rPr>
          <w:rFonts w:hint="eastAsia" w:ascii="宋体" w:hAnsi="宋体" w:eastAsia="宋体" w:cs="宋体"/>
          <w:sz w:val="32"/>
          <w:szCs w:val="32"/>
        </w:rPr>
        <w:t>军</w:t>
      </w:r>
      <w:r>
        <w:rPr>
          <w:rFonts w:hint="eastAsia" w:ascii="MS Mincho" w:hAnsi="MS Mincho" w:eastAsia="MS Mincho" w:cs="MS Mincho"/>
          <w:sz w:val="32"/>
          <w:szCs w:val="32"/>
        </w:rPr>
        <w:t>人返</w:t>
      </w:r>
      <w:r>
        <w:rPr>
          <w:rFonts w:hint="eastAsia" w:ascii="宋体" w:hAnsi="宋体" w:eastAsia="宋体" w:cs="宋体"/>
          <w:sz w:val="32"/>
          <w:szCs w:val="32"/>
        </w:rPr>
        <w:t>乡创业</w:t>
      </w:r>
      <w:r>
        <w:rPr>
          <w:rFonts w:hint="eastAsia" w:ascii="MS Mincho" w:hAnsi="MS Mincho" w:eastAsia="MS Mincho" w:cs="MS Mincho"/>
          <w:sz w:val="32"/>
          <w:szCs w:val="32"/>
        </w:rPr>
        <w:t>园。</w:t>
      </w:r>
    </w:p>
    <w:p>
      <w:pPr>
        <w:shd w:val="clear" w:color="auto" w:fill="FFFFFF"/>
        <w:ind w:firstLine="640" w:firstLineChars="200"/>
        <w:rPr>
          <w:rFonts w:ascii="??_GB2312" w:hAnsi="Times New Roman" w:eastAsia="Times New Roman" w:cs="??_GB2312"/>
          <w:sz w:val="32"/>
          <w:szCs w:val="32"/>
          <w:shd w:val="clear" w:color="auto" w:fill="FFFFFF"/>
        </w:rPr>
      </w:pPr>
      <w:r>
        <w:rPr>
          <w:rFonts w:hint="eastAsia" w:ascii="??_GB2312" w:hAnsi="Times New Roman" w:cs="??_GB2312"/>
          <w:sz w:val="32"/>
          <w:szCs w:val="32"/>
          <w:shd w:val="clear" w:color="auto" w:fill="FFFFFF"/>
        </w:rPr>
        <w:t>（十）</w:t>
      </w:r>
      <w:r>
        <w:rPr>
          <w:rFonts w:ascii="??_GB2312" w:hAnsi="Times New Roman" w:eastAsia="Times New Roman" w:cs="Times New Roman"/>
          <w:sz w:val="32"/>
          <w:szCs w:val="32"/>
          <w:shd w:val="clear" w:color="auto" w:fill="FFFFFF"/>
        </w:rPr>
        <w:t>、完成县委、县政府交办的其它有关事项。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943"/>
        <w:gridCol w:w="198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943"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198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943" w:type="dxa"/>
          </w:tcPr>
          <w:p>
            <w:pPr>
              <w:spacing w:line="560" w:lineRule="exact"/>
              <w:rPr>
                <w:rFonts w:ascii="仿宋_GB2312" w:hAnsi="Calibri" w:cs="ArialUnicodeMS"/>
                <w:kern w:val="0"/>
                <w:sz w:val="28"/>
                <w:szCs w:val="28"/>
              </w:rPr>
            </w:pPr>
            <w:r>
              <w:rPr>
                <w:rFonts w:hint="eastAsia" w:ascii="仿宋_GB2312" w:hAnsi="Calibri" w:eastAsia="仿宋_GB2312" w:cs="ArialUnicodeMS"/>
                <w:kern w:val="0"/>
                <w:sz w:val="28"/>
                <w:szCs w:val="28"/>
              </w:rPr>
              <w:t>青</w:t>
            </w:r>
            <w:r>
              <w:rPr>
                <w:rFonts w:hint="eastAsia" w:ascii="宋体" w:hAnsi="宋体" w:eastAsia="宋体" w:cs="宋体"/>
                <w:kern w:val="0"/>
                <w:sz w:val="28"/>
                <w:szCs w:val="28"/>
              </w:rPr>
              <w:t>龙满</w:t>
            </w:r>
            <w:r>
              <w:rPr>
                <w:rFonts w:hint="eastAsia" w:ascii="MS Mincho" w:hAnsi="MS Mincho" w:eastAsia="MS Mincho" w:cs="MS Mincho"/>
                <w:kern w:val="0"/>
                <w:sz w:val="28"/>
                <w:szCs w:val="28"/>
              </w:rPr>
              <w:t>族自治</w:t>
            </w:r>
            <w:r>
              <w:rPr>
                <w:rFonts w:hint="eastAsia" w:ascii="宋体" w:hAnsi="宋体" w:eastAsia="宋体" w:cs="宋体"/>
                <w:kern w:val="0"/>
                <w:sz w:val="28"/>
                <w:szCs w:val="28"/>
              </w:rPr>
              <w:t>县</w:t>
            </w:r>
            <w:r>
              <w:rPr>
                <w:rFonts w:hint="eastAsia" w:ascii="仿宋_GB2312" w:hAnsi="Calibri" w:cs="ArialUnicodeMS"/>
                <w:kern w:val="0"/>
                <w:sz w:val="28"/>
                <w:szCs w:val="28"/>
              </w:rPr>
              <w:t>退役军人事务局</w:t>
            </w:r>
          </w:p>
        </w:tc>
        <w:tc>
          <w:tcPr>
            <w:tcW w:w="1987" w:type="dxa"/>
          </w:tcPr>
          <w:p>
            <w:pPr>
              <w:spacing w:line="560" w:lineRule="exact"/>
              <w:rPr>
                <w:rFonts w:ascii="仿宋_GB2312" w:hAnsi="Calibri" w:cs="ArialUnicodeMS"/>
                <w:kern w:val="0"/>
                <w:sz w:val="28"/>
                <w:szCs w:val="28"/>
              </w:rPr>
            </w:pPr>
            <w:r>
              <w:rPr>
                <w:rFonts w:hint="eastAsia" w:ascii="仿宋_GB2312" w:hAnsi="Calibri"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cs="DengXian-Regular"/>
          <w:sz w:val="32"/>
          <w:szCs w:val="32"/>
        </w:rPr>
        <w:t>我局2019年成立，</w:t>
      </w:r>
      <w:r>
        <w:rPr>
          <w:rFonts w:hint="eastAsia" w:ascii="仿宋_GB2312" w:hAnsi="Times New Roman" w:eastAsia="仿宋_GB2312" w:cs="DengXian-Regular"/>
          <w:sz w:val="32"/>
          <w:szCs w:val="32"/>
        </w:rPr>
        <w:t>本部门2019年度收支总计（含结转和结余）</w:t>
      </w:r>
      <w:r>
        <w:rPr>
          <w:rFonts w:hint="eastAsia" w:ascii="仿宋_GB2312" w:hAnsi="Times New Roman" w:cs="DengXian-Regular"/>
          <w:sz w:val="32"/>
          <w:szCs w:val="32"/>
        </w:rPr>
        <w:t>3117.94</w:t>
      </w:r>
      <w:r>
        <w:rPr>
          <w:rFonts w:hint="eastAsia" w:ascii="仿宋_GB2312" w:hAnsi="Times New Roman" w:eastAsia="仿宋_GB2312" w:cs="DengXian-Regular"/>
          <w:sz w:val="32"/>
          <w:szCs w:val="32"/>
        </w:rPr>
        <w:t>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w:t>
      </w:r>
      <w:r>
        <w:rPr>
          <w:rFonts w:hint="eastAsia" w:ascii="仿宋_GB2312" w:hAnsi="Times New Roman" w:cs="DengXian-Regular"/>
          <w:sz w:val="32"/>
          <w:szCs w:val="32"/>
        </w:rPr>
        <w:t>3072.05</w:t>
      </w:r>
      <w:r>
        <w:rPr>
          <w:rFonts w:hint="eastAsia" w:ascii="仿宋_GB2312" w:hAnsi="Times New Roman" w:eastAsia="仿宋_GB2312" w:cs="DengXian-Regular"/>
          <w:sz w:val="32"/>
          <w:szCs w:val="32"/>
        </w:rPr>
        <w:t>万元，其中：财政拨款收入</w:t>
      </w:r>
      <w:r>
        <w:rPr>
          <w:rFonts w:hint="eastAsia" w:ascii="仿宋_GB2312" w:hAnsi="Times New Roman" w:cs="DengXian-Regular"/>
          <w:sz w:val="32"/>
          <w:szCs w:val="32"/>
        </w:rPr>
        <w:t>3088.24</w:t>
      </w:r>
      <w:r>
        <w:rPr>
          <w:rFonts w:hint="eastAsia" w:ascii="仿宋_GB2312" w:hAnsi="Times New Roman" w:eastAsia="仿宋_GB2312" w:cs="DengXian-Regular"/>
          <w:sz w:val="32"/>
          <w:szCs w:val="32"/>
        </w:rPr>
        <w:t>万元，占100%。</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drawing>
          <wp:anchor distT="0" distB="0" distL="114300" distR="114300" simplePos="0" relativeHeight="251673600" behindDoc="0" locked="0" layoutInCell="1" allowOverlap="1">
            <wp:simplePos x="0" y="0"/>
            <wp:positionH relativeFrom="column">
              <wp:posOffset>668020</wp:posOffset>
            </wp:positionH>
            <wp:positionV relativeFrom="paragraph">
              <wp:posOffset>86995</wp:posOffset>
            </wp:positionV>
            <wp:extent cx="4781550" cy="2800350"/>
            <wp:effectExtent l="19050" t="0" r="19050" b="0"/>
            <wp:wrapNone/>
            <wp:docPr id="1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cs="DengXian-Regular"/>
          <w:sz w:val="32"/>
          <w:szCs w:val="32"/>
        </w:rPr>
        <w:t>2512.98</w:t>
      </w:r>
      <w:r>
        <w:rPr>
          <w:rFonts w:hint="eastAsia" w:ascii="仿宋_GB2312" w:hAnsi="Times New Roman" w:eastAsia="仿宋_GB2312" w:cs="DengXian-Regular"/>
          <w:sz w:val="32"/>
          <w:szCs w:val="32"/>
        </w:rPr>
        <w:t>万元，其中：基本支出</w:t>
      </w:r>
      <w:r>
        <w:rPr>
          <w:rFonts w:hint="eastAsia" w:ascii="仿宋_GB2312" w:hAnsi="Times New Roman" w:cs="DengXian-Regular"/>
          <w:sz w:val="32"/>
          <w:szCs w:val="32"/>
        </w:rPr>
        <w:t>34.36</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1.37</w:t>
      </w:r>
      <w:r>
        <w:rPr>
          <w:rFonts w:hint="eastAsia" w:ascii="仿宋_GB2312" w:hAnsi="Times New Roman" w:eastAsia="仿宋_GB2312" w:cs="DengXian-Regular"/>
          <w:sz w:val="32"/>
          <w:szCs w:val="32"/>
        </w:rPr>
        <w:t>%；项目支出</w:t>
      </w:r>
      <w:r>
        <w:rPr>
          <w:rFonts w:hint="eastAsia" w:ascii="仿宋_GB2312" w:hAnsi="Times New Roman" w:cs="DengXian-Regular"/>
          <w:sz w:val="32"/>
          <w:szCs w:val="32"/>
        </w:rPr>
        <w:t>2478.62</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98.63</w:t>
      </w:r>
      <w:r>
        <w:rPr>
          <w:rFonts w:hint="eastAsia" w:ascii="仿宋_GB2312" w:hAnsi="Times New Roman" w:eastAsia="仿宋_GB2312" w:cs="DengXian-Regular"/>
          <w:sz w:val="32"/>
          <w:szCs w:val="32"/>
        </w:rPr>
        <w:t>%。如图所示：</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72576" behindDoc="0" locked="0" layoutInCell="1" allowOverlap="1">
            <wp:simplePos x="0" y="0"/>
            <wp:positionH relativeFrom="column">
              <wp:posOffset>572770</wp:posOffset>
            </wp:positionH>
            <wp:positionV relativeFrom="paragraph">
              <wp:posOffset>71120</wp:posOffset>
            </wp:positionV>
            <wp:extent cx="5029200" cy="3219450"/>
            <wp:effectExtent l="19050" t="0" r="0" b="0"/>
            <wp:wrapNone/>
            <wp:docPr id="9" name="图片 2" descr="C:\Users\Administrator\Desktop\16043741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Administrator\Desktop\1604374121(1).png"/>
                    <pic:cNvPicPr>
                      <a:picLocks noChangeAspect="1" noChangeArrowheads="1"/>
                    </pic:cNvPicPr>
                  </pic:nvPicPr>
                  <pic:blipFill>
                    <a:blip r:embed="rId32" cstate="print"/>
                    <a:srcRect/>
                    <a:stretch>
                      <a:fillRect/>
                    </a:stretch>
                  </pic:blipFill>
                  <pic:spPr>
                    <a:xfrm>
                      <a:off x="0" y="0"/>
                      <a:ext cx="5029200" cy="3219450"/>
                    </a:xfrm>
                    <a:prstGeom prst="rect">
                      <a:avLst/>
                    </a:prstGeom>
                    <a:noFill/>
                    <a:ln w="9525">
                      <a:noFill/>
                      <a:miter lim="800000"/>
                      <a:headEnd/>
                      <a:tailEnd/>
                    </a:ln>
                  </pic:spPr>
                </pic:pic>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Times New Roman" w:cs="DengXian-Regular"/>
          <w:sz w:val="32"/>
          <w:szCs w:val="32"/>
        </w:rPr>
        <w:t>3088.24</w:t>
      </w:r>
      <w:r>
        <w:rPr>
          <w:rFonts w:hint="eastAsia" w:ascii="仿宋_GB2312" w:hAnsi="Times New Roman" w:eastAsia="仿宋_GB2312" w:cs="DengXian-Regular"/>
          <w:sz w:val="32"/>
          <w:szCs w:val="32"/>
        </w:rPr>
        <w:t>万元,本年支出</w:t>
      </w:r>
      <w:r>
        <w:rPr>
          <w:rFonts w:hint="eastAsia" w:ascii="仿宋_GB2312" w:hAnsi="Times New Roman" w:cs="DengXian-Regular"/>
          <w:sz w:val="32"/>
          <w:szCs w:val="32"/>
        </w:rPr>
        <w:t>2512.98</w:t>
      </w:r>
      <w:r>
        <w:rPr>
          <w:rFonts w:hint="eastAsia" w:ascii="仿宋_GB2312" w:hAnsi="Times New Roman" w:eastAsia="仿宋_GB2312" w:cs="DengXian-Regular"/>
          <w:sz w:val="32"/>
          <w:szCs w:val="32"/>
        </w:rPr>
        <w:t>万元，</w:t>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inline distT="0" distB="0" distL="0" distR="0">
            <wp:extent cx="4572000" cy="2743200"/>
            <wp:effectExtent l="19050" t="0" r="19050" b="0"/>
            <wp:docPr id="21"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ascii="楷体_GB2312" w:hAnsi="Times New Roman" w:eastAsia="楷体_GB2312" w:cs="DengXian-Bold"/>
          <w:b/>
          <w:bCs/>
          <w:sz w:val="32"/>
          <w:szCs w:val="32"/>
        </w:rPr>
        <w:t xml:space="preserve"> </w:t>
      </w:r>
      <w:r>
        <w:rPr>
          <w:rFonts w:ascii="楷体_GB2312" w:hAnsi="Times New Roman" w:eastAsia="楷体_GB2312" w:cs="DengXian-Bold"/>
          <w:b/>
          <w:bCs/>
          <w:sz w:val="32"/>
          <w:szCs w:val="32"/>
        </w:rPr>
        <w:drawing>
          <wp:anchor distT="0" distB="0" distL="114300" distR="114300" simplePos="0" relativeHeight="251674624" behindDoc="1" locked="0" layoutInCell="1" allowOverlap="1">
            <wp:simplePos x="0" y="0"/>
            <wp:positionH relativeFrom="column">
              <wp:posOffset>429895</wp:posOffset>
            </wp:positionH>
            <wp:positionV relativeFrom="paragraph">
              <wp:posOffset>-4812030</wp:posOffset>
            </wp:positionV>
            <wp:extent cx="4572000" cy="5105400"/>
            <wp:effectExtent l="19050" t="0" r="19050" b="0"/>
            <wp:wrapNone/>
            <wp:docPr id="20"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w:t>
      </w:r>
      <w:r>
        <w:rPr>
          <w:rFonts w:hint="eastAsia" w:ascii="仿宋_GB2312" w:hAnsi="Times New Roman" w:cs="DengXian-Regular"/>
          <w:sz w:val="32"/>
          <w:szCs w:val="32"/>
        </w:rPr>
        <w:t>3088.24</w:t>
      </w:r>
      <w:r>
        <w:rPr>
          <w:rFonts w:hint="eastAsia" w:ascii="仿宋_GB2312" w:hAnsi="Times New Roman" w:eastAsia="仿宋_GB2312" w:cs="DengXian-Regular"/>
          <w:sz w:val="32"/>
          <w:szCs w:val="32"/>
        </w:rPr>
        <w:t>万元，完成年初预算的</w:t>
      </w:r>
      <w:r>
        <w:rPr>
          <w:rFonts w:hint="eastAsia" w:ascii="仿宋_GB2312" w:hAnsi="Times New Roman" w:cs="DengXian-Regular"/>
          <w:sz w:val="32"/>
          <w:szCs w:val="32"/>
        </w:rPr>
        <w:t>100</w:t>
      </w:r>
      <w:r>
        <w:rPr>
          <w:rFonts w:hint="eastAsia" w:ascii="仿宋_GB2312" w:hAnsi="Times New Roman" w:eastAsia="仿宋_GB2312" w:cs="DengXian-Regular"/>
          <w:sz w:val="32"/>
          <w:szCs w:val="32"/>
        </w:rPr>
        <w:t>%（如图4）,本年支出</w:t>
      </w:r>
      <w:r>
        <w:rPr>
          <w:rFonts w:hint="eastAsia" w:ascii="仿宋_GB2312" w:hAnsi="Times New Roman" w:cs="DengXian-Regular"/>
          <w:sz w:val="32"/>
          <w:szCs w:val="32"/>
        </w:rPr>
        <w:t>2512.98</w:t>
      </w:r>
      <w:r>
        <w:rPr>
          <w:rFonts w:hint="eastAsia" w:ascii="仿宋_GB2312" w:hAnsi="Times New Roman" w:eastAsia="仿宋_GB2312" w:cs="DengXian-Regular"/>
          <w:sz w:val="32"/>
          <w:szCs w:val="32"/>
        </w:rPr>
        <w:t>万元，完成年初预算的</w:t>
      </w:r>
      <w:r>
        <w:rPr>
          <w:rFonts w:hint="eastAsia" w:ascii="仿宋_GB2312" w:hAnsi="Times New Roman" w:cs="DengXian-Regular"/>
          <w:sz w:val="32"/>
          <w:szCs w:val="32"/>
        </w:rPr>
        <w:t>81.37</w:t>
      </w:r>
      <w:r>
        <w:rPr>
          <w:rFonts w:hint="eastAsia" w:ascii="仿宋_GB2312" w:hAnsi="Times New Roman" w:eastAsia="仿宋_GB2312" w:cs="DengXian-Regular"/>
          <w:sz w:val="32"/>
          <w:szCs w:val="32"/>
        </w:rPr>
        <w:t>%,比年初预算减少</w:t>
      </w:r>
      <w:r>
        <w:rPr>
          <w:rFonts w:hint="eastAsia" w:ascii="仿宋_GB2312" w:hAnsi="Times New Roman" w:cs="DengXian-Regular"/>
          <w:sz w:val="32"/>
          <w:szCs w:val="32"/>
        </w:rPr>
        <w:t>588.77</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eastAsia="zh-CN"/>
        </w:rPr>
        <w:t>主要是</w:t>
      </w:r>
      <w:r>
        <w:rPr>
          <w:rFonts w:hint="eastAsia" w:ascii="仿宋_GB2312" w:hAnsi="Times New Roman" w:eastAsia="仿宋_GB2312" w:cs="DengXian-Regular"/>
          <w:sz w:val="32"/>
          <w:szCs w:val="32"/>
        </w:rPr>
        <w:t>压减</w:t>
      </w:r>
      <w:r>
        <w:rPr>
          <w:rFonts w:hint="eastAsia" w:ascii="仿宋_GB2312" w:hAnsi="Times New Roman" w:cs="DengXian-Regular"/>
          <w:sz w:val="32"/>
          <w:szCs w:val="32"/>
        </w:rPr>
        <w:t>项目</w:t>
      </w:r>
      <w:r>
        <w:rPr>
          <w:rFonts w:hint="eastAsia" w:ascii="仿宋_GB2312" w:hAnsi="Times New Roman" w:eastAsia="仿宋_GB2312" w:cs="DengXian-Regular"/>
          <w:sz w:val="32"/>
          <w:szCs w:val="32"/>
        </w:rPr>
        <w:t>运行经费，部分经费</w:t>
      </w:r>
      <w:r>
        <w:rPr>
          <w:rFonts w:hint="eastAsia" w:ascii="仿宋_GB2312" w:hAnsi="Times New Roman" w:cs="DengXian-Regular"/>
          <w:sz w:val="32"/>
          <w:szCs w:val="32"/>
        </w:rPr>
        <w:t>及项目费用</w:t>
      </w:r>
      <w:r>
        <w:rPr>
          <w:rFonts w:hint="eastAsia" w:ascii="仿宋_GB2312" w:hAnsi="Times New Roman" w:eastAsia="仿宋_GB2312" w:cs="DengXian-Regular"/>
          <w:sz w:val="32"/>
          <w:szCs w:val="32"/>
        </w:rPr>
        <w:t>年底前未支出。</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ind w:firstLine="640" w:firstLineChars="200"/>
        <w:rPr>
          <w:rFonts w:ascii="仿宋_GB2312" w:hAnsi="Times New Roman" w:eastAsia="仿宋_GB2312" w:cs="DengXian-Regular"/>
          <w:sz w:val="32"/>
          <w:szCs w:val="32"/>
        </w:rPr>
      </w:pPr>
    </w:p>
    <w:p>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hint="eastAsia" w:ascii="仿宋_GB2312" w:hAnsi="Times New Roman" w:cs="DengXian-Regular"/>
          <w:sz w:val="32"/>
          <w:szCs w:val="32"/>
        </w:rPr>
        <w:t>2478.62</w:t>
      </w:r>
      <w:r>
        <w:rPr>
          <w:rFonts w:hint="eastAsia" w:ascii="仿宋_GB2312" w:hAnsi="Times New Roman" w:eastAsia="仿宋_GB2312" w:cs="DengXian-Regular"/>
          <w:sz w:val="32"/>
          <w:szCs w:val="32"/>
        </w:rPr>
        <w:t xml:space="preserve">万元，主要用于以下方面社会保障和就业（类）支出 </w:t>
      </w:r>
      <w:r>
        <w:rPr>
          <w:rFonts w:hint="eastAsia" w:ascii="仿宋_GB2312" w:hAnsi="Times New Roman" w:cs="DengXian-Regular"/>
          <w:sz w:val="32"/>
          <w:szCs w:val="32"/>
        </w:rPr>
        <w:t>2408.69</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97.18</w:t>
      </w:r>
      <w:r>
        <w:rPr>
          <w:rFonts w:hint="eastAsia" w:ascii="仿宋_GB2312" w:hAnsi="Times New Roman" w:eastAsia="仿宋_GB2312" w:cs="DengXian-Regular"/>
          <w:sz w:val="32"/>
          <w:szCs w:val="32"/>
        </w:rPr>
        <w:t>%；卫生健康（类）支出</w:t>
      </w:r>
      <w:r>
        <w:rPr>
          <w:rFonts w:hint="eastAsia" w:ascii="仿宋_GB2312" w:hAnsi="Times New Roman" w:cs="DengXian-Regular"/>
          <w:sz w:val="32"/>
          <w:szCs w:val="32"/>
        </w:rPr>
        <w:t>69.53</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2.81</w:t>
      </w:r>
      <w:r>
        <w:rPr>
          <w:rFonts w:hint="eastAsia" w:ascii="仿宋_GB2312" w:hAnsi="Times New Roman" w:eastAsia="仿宋_GB2312" w:cs="DengXian-Regular"/>
          <w:sz w:val="32"/>
          <w:szCs w:val="32"/>
        </w:rPr>
        <w:t>%；住房保障（类）支出</w:t>
      </w:r>
      <w:r>
        <w:rPr>
          <w:rFonts w:hint="eastAsia" w:ascii="仿宋_GB2312" w:hAnsi="Times New Roman" w:cs="DengXian-Regular"/>
          <w:sz w:val="32"/>
          <w:szCs w:val="32"/>
        </w:rPr>
        <w:t>0.4</w:t>
      </w:r>
      <w:r>
        <w:rPr>
          <w:rFonts w:hint="eastAsia" w:ascii="仿宋_GB2312" w:hAnsi="Times New Roman" w:eastAsia="仿宋_GB2312" w:cs="DengXian-Regular"/>
          <w:sz w:val="32"/>
          <w:szCs w:val="32"/>
        </w:rPr>
        <w:t xml:space="preserve">万元，占 </w:t>
      </w:r>
      <w:r>
        <w:rPr>
          <w:rFonts w:hint="eastAsia" w:ascii="仿宋_GB2312" w:hAnsi="Times New Roman" w:cs="DengXian-Regular"/>
          <w:sz w:val="32"/>
          <w:szCs w:val="32"/>
        </w:rPr>
        <w:t>0.01</w:t>
      </w:r>
      <w:r>
        <w:rPr>
          <w:rFonts w:hint="eastAsia" w:ascii="仿宋_GB2312" w:hAnsi="Times New Roman" w:eastAsia="仿宋_GB2312" w:cs="DengXian-Regular"/>
          <w:sz w:val="32"/>
          <w:szCs w:val="32"/>
        </w:rPr>
        <w:t>%。</w:t>
      </w:r>
    </w:p>
    <w:p>
      <w:pPr>
        <w:adjustRightInd w:val="0"/>
        <w:snapToGrid w:val="0"/>
        <w:spacing w:line="580" w:lineRule="exact"/>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anchor distT="0" distB="0" distL="114300" distR="114300" simplePos="0" relativeHeight="251675648" behindDoc="1" locked="0" layoutInCell="1" allowOverlap="1">
            <wp:simplePos x="0" y="0"/>
            <wp:positionH relativeFrom="column">
              <wp:posOffset>77470</wp:posOffset>
            </wp:positionH>
            <wp:positionV relativeFrom="paragraph">
              <wp:posOffset>130810</wp:posOffset>
            </wp:positionV>
            <wp:extent cx="4572000" cy="2809875"/>
            <wp:effectExtent l="19050" t="0" r="19050" b="0"/>
            <wp:wrapNone/>
            <wp:docPr id="22"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cs="DengXian-Regular"/>
          <w:sz w:val="32"/>
          <w:szCs w:val="32"/>
        </w:rPr>
        <w:t>34.36</w:t>
      </w:r>
      <w:r>
        <w:rPr>
          <w:rFonts w:hint="eastAsia" w:ascii="仿宋_GB2312" w:hAnsi="Times New Roman" w:eastAsia="仿宋_GB2312" w:cs="DengXian-Regular"/>
          <w:sz w:val="32"/>
          <w:szCs w:val="32"/>
        </w:rPr>
        <w:t xml:space="preserve">万元，其中：人员经费 </w:t>
      </w:r>
      <w:r>
        <w:rPr>
          <w:rFonts w:hint="eastAsia" w:ascii="仿宋_GB2312" w:hAnsi="Times New Roman" w:cs="DengXian-Regular"/>
          <w:sz w:val="32"/>
          <w:szCs w:val="32"/>
        </w:rPr>
        <w:t>34.36</w:t>
      </w:r>
      <w:r>
        <w:rPr>
          <w:rFonts w:hint="eastAsia" w:ascii="仿宋_GB2312" w:hAnsi="Times New Roman" w:eastAsia="仿宋_GB2312" w:cs="DengXian-Regular"/>
          <w:sz w:val="32"/>
          <w:szCs w:val="32"/>
        </w:rPr>
        <w:t>万元，主要包括基本工资34.36万元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本部门2019年度“三公”经费支出共计0万元，</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宋体" w:hAnsi="宋体" w:eastAsia="宋体" w:cs="仿宋_GB2312"/>
          <w:sz w:val="32"/>
          <w:szCs w:val="32"/>
        </w:rPr>
      </w:pPr>
      <w:r>
        <w:rPr>
          <w:rFonts w:hint="eastAsia" w:ascii="仿宋_GB2312" w:hAnsi="仿宋_GB2312" w:eastAsia="仿宋_GB2312" w:cs="仿宋_GB2312"/>
          <w:sz w:val="32"/>
          <w:szCs w:val="32"/>
        </w:rPr>
        <w:t>根据预算绩效管理要求，本部门组织对2019年度一般公共</w:t>
      </w:r>
      <w:r>
        <w:rPr>
          <w:rFonts w:hint="eastAsia" w:ascii="宋体" w:hAnsi="宋体" w:eastAsia="宋体" w:cs="仿宋_GB2312"/>
          <w:sz w:val="32"/>
          <w:szCs w:val="32"/>
        </w:rPr>
        <w:t>预算项目支出全面开展绩效自评，共涉及项目32个，资金3029.42万元，占一般公共预算项目支出总额的100%。</w:t>
      </w:r>
    </w:p>
    <w:p>
      <w:pPr>
        <w:adjustRightInd w:val="0"/>
        <w:snapToGrid w:val="0"/>
        <w:spacing w:line="580" w:lineRule="exact"/>
        <w:ind w:left="420" w:leftChars="200" w:firstLine="321" w:firstLineChars="100"/>
        <w:rPr>
          <w:rFonts w:ascii="宋体" w:hAnsi="宋体" w:eastAsia="宋体" w:cs="仿宋_GB2312"/>
          <w:b/>
          <w:bCs/>
          <w:sz w:val="32"/>
          <w:szCs w:val="32"/>
        </w:rPr>
      </w:pPr>
      <w:r>
        <w:rPr>
          <w:rFonts w:hint="eastAsia" w:ascii="宋体" w:hAnsi="宋体" w:eastAsia="宋体" w:cs="仿宋_GB2312"/>
          <w:b/>
          <w:bCs/>
          <w:sz w:val="32"/>
          <w:szCs w:val="32"/>
        </w:rPr>
        <w:t>2. 部门决算中项目绩效自评结果。</w:t>
      </w:r>
    </w:p>
    <w:p>
      <w:pPr>
        <w:adjustRightInd w:val="0"/>
        <w:snapToGrid w:val="0"/>
        <w:spacing w:line="58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本部门在今年部门决算公开中反映 伤残抚恤项目及 死亡抚恤项目等32个项目绩效自评结果。</w:t>
      </w:r>
    </w:p>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（1）关于提前下达2019年中央优抚对象补助经费预算的通知-伤残抚恤（冀财社[2018]84号）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关于提前下达2019年中央优抚对象补助经费预算的通知-伤残抚恤（冀财社[2018]84号）</w:t>
      </w:r>
      <w:r>
        <w:rPr>
          <w:rFonts w:hint="eastAsia" w:ascii="宋体" w:hAnsi="宋体" w:eastAsia="宋体" w:cs="仿宋_GB2312"/>
          <w:sz w:val="32"/>
          <w:szCs w:val="32"/>
        </w:rPr>
        <w:t>项目绩效自评得分为95分（绩效自评表附后）。全年预算数为192.92万元，执行数为192.92万元，完成预算的100%。项目绩效目标完成情况：一是及时足额拨付各种伤残补助资金。发现的主要问题及原因：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bl>
      <w:tblPr>
        <w:tblStyle w:val="7"/>
        <w:tblW w:w="10280" w:type="dxa"/>
        <w:tblInd w:w="93" w:type="dxa"/>
        <w:tblLayout w:type="fixed"/>
        <w:tblCellMar>
          <w:top w:w="0" w:type="dxa"/>
          <w:left w:w="108" w:type="dxa"/>
          <w:bottom w:w="0" w:type="dxa"/>
          <w:right w:w="108" w:type="dxa"/>
        </w:tblCellMar>
      </w:tblPr>
      <w:tblGrid>
        <w:gridCol w:w="1220"/>
        <w:gridCol w:w="1080"/>
        <w:gridCol w:w="1080"/>
        <w:gridCol w:w="1240"/>
        <w:gridCol w:w="1420"/>
        <w:gridCol w:w="1080"/>
        <w:gridCol w:w="1080"/>
        <w:gridCol w:w="2080"/>
      </w:tblGrid>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关于提前下达2019年中央优抚对象补助经费预算的通知-伤残抚恤（冀财社[2018]84号）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192.92</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192.92</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192.92</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192.92</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192.92</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192.92</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及时足额的拨付各种伤残补助资金</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及时足额的拨付各种伤残补助资金</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军队无军籍退休职工地方性津补贴到位率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县级军休服务机构补助经费到位率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军休干部家属遗属医疗生活补助到位率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（2）关于下达2019年中央退役安置补助经费预算（第三批）的通知（冀财社[2019]61号）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关于下达2019年中央退役安置补助经费预算（第三批）的通知（冀财社[2019]61号）</w:t>
            </w:r>
            <w:r>
              <w:rPr>
                <w:rFonts w:hint="eastAsia" w:ascii="宋体" w:hAnsi="宋体" w:eastAsia="宋体" w:cs="仿宋_GB2312"/>
                <w:sz w:val="32"/>
                <w:szCs w:val="32"/>
              </w:rPr>
              <w:t>项目绩效自评得分为80分（绩效自评表附后）。全年预算数为12万元，执行数为0万元，完成预算的0。项目绩效目标完成情况：一是</w:t>
            </w:r>
            <w:r>
              <w:rPr>
                <w:rFonts w:hint="eastAsia" w:ascii="宋体" w:hAnsi="宋体" w:eastAsia="宋体" w:cs="宋体"/>
                <w:color w:val="000000"/>
                <w:kern w:val="0"/>
                <w:sz w:val="32"/>
                <w:szCs w:val="32"/>
              </w:rPr>
              <w:t>及时落实离退休人员的经费补贴，按时发放到人员手里</w:t>
            </w:r>
            <w:r>
              <w:rPr>
                <w:rFonts w:hint="eastAsia" w:ascii="宋体" w:hAnsi="宋体" w:eastAsia="宋体" w:cs="仿宋_GB2312"/>
                <w:sz w:val="32"/>
                <w:szCs w:val="32"/>
              </w:rPr>
              <w:t>发现的主要问题及原因：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关于下达2019年中央退役安置补助经费预算（第三批）的通知（冀财社[2019]61号）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12</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12</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12</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12</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及时落实离退休人员的经费补贴，按时发放到人员手里</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及时落实离退休人员的经费补贴，按时发放到人员手里</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已补助人数占应补助人群的比率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实际发放的补助金金额占计划发放金额的比率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优抚对象生活抚恤兑付资金占应兑付额的比例</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≥85%</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对脱贫工作满意的群众占辖区群众接受调查人数的比例</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≥80%</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（3）关于提前下达2019年退役安置省级补助的通知-军休干部及家属医疗生活补助（冀财社[2018]126号）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项目绩效自评得分为80分（绩效自评表附后）。全年预算数为4万元，执行数为0万元，完成预算的0。项目绩效目标完成情况：</w:t>
            </w:r>
            <w:r>
              <w:rPr>
                <w:rFonts w:hint="eastAsia" w:ascii="宋体" w:hAnsi="宋体" w:eastAsia="宋体" w:cs="宋体"/>
                <w:color w:val="000000"/>
                <w:kern w:val="0"/>
                <w:sz w:val="32"/>
                <w:szCs w:val="32"/>
              </w:rPr>
              <w:t>按时发放军队移交政府的离退休人员的安置支出，保障足额发放补助资金</w:t>
            </w:r>
            <w:r>
              <w:rPr>
                <w:rFonts w:hint="eastAsia" w:ascii="宋体" w:hAnsi="宋体" w:eastAsia="宋体" w:cs="仿宋_GB2312"/>
                <w:sz w:val="32"/>
                <w:szCs w:val="32"/>
              </w:rPr>
              <w:t>的，主要问题及原因：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关于提前下达2019年退役安置省级补助的通知-军休干部及家属医疗生活补助（冀财社[2018]126号）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按时发放军队移交政府的离退休人员的安置支出，保障足额发放补助资金</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按时发放军队移交政府的离退休人员的安置支出，保障足额发放补助资金</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军队无军籍退休职工地方性津补贴到位率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县级军休服务机构补助经费到位率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军休干部家属遗属医疗生活补助到位率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bl>
    <w:p>
      <w:pPr>
        <w:adjustRightInd w:val="0"/>
        <w:snapToGrid w:val="0"/>
        <w:spacing w:line="580" w:lineRule="exact"/>
        <w:ind w:left="640"/>
        <w:rPr>
          <w:rFonts w:ascii="仿宋_GB2312" w:hAnsi="仿宋_GB2312" w:eastAsia="仿宋_GB2312" w:cs="仿宋_GB2312"/>
          <w:sz w:val="32"/>
          <w:szCs w:val="32"/>
        </w:rPr>
      </w:pPr>
    </w:p>
    <w:p>
      <w:pPr>
        <w:widowControl/>
        <w:rPr>
          <w:rFonts w:ascii="宋体" w:hAnsi="宋体" w:eastAsia="宋体" w:cs="宋体"/>
          <w:kern w:val="0"/>
          <w:sz w:val="24"/>
          <w:szCs w:val="24"/>
        </w:rPr>
      </w:pPr>
    </w:p>
    <w:tbl>
      <w:tblPr>
        <w:tblStyle w:val="7"/>
        <w:tblW w:w="10280" w:type="dxa"/>
        <w:tblInd w:w="93" w:type="dxa"/>
        <w:tblLayout w:type="fixed"/>
        <w:tblCellMar>
          <w:top w:w="0" w:type="dxa"/>
          <w:left w:w="108" w:type="dxa"/>
          <w:bottom w:w="0" w:type="dxa"/>
          <w:right w:w="108" w:type="dxa"/>
        </w:tblCellMar>
      </w:tblPr>
      <w:tblGrid>
        <w:gridCol w:w="1220"/>
        <w:gridCol w:w="1080"/>
        <w:gridCol w:w="1080"/>
        <w:gridCol w:w="1240"/>
        <w:gridCol w:w="1420"/>
        <w:gridCol w:w="1080"/>
        <w:gridCol w:w="1080"/>
        <w:gridCol w:w="2080"/>
      </w:tblGrid>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（4）关于提前下达2019年中央优抚对象补助经费预算的通知-在乡、退伍军人生活补助（冀财社[2018]84号）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项目绩效自评得分为95分（绩效自评表附后）。全年预算数为686万元，执行数为686万元，完成预算的100%。项目绩效目标完成情况：</w:t>
            </w:r>
            <w:r>
              <w:rPr>
                <w:rFonts w:hint="eastAsia" w:ascii="宋体" w:hAnsi="宋体" w:eastAsia="宋体" w:cs="宋体"/>
                <w:color w:val="000000"/>
                <w:kern w:val="0"/>
                <w:sz w:val="32"/>
                <w:szCs w:val="32"/>
              </w:rPr>
              <w:t>及时足额的发放退伍军人生活费支出</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关于提前下达2019年中央优抚对象补助经费预算的通知-在乡、退伍军人生活补助（冀财社[2018]84号）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686</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686</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686</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686</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686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686</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及时足额的发放退伍军人生活费支出</w:t>
            </w:r>
          </w:p>
        </w:tc>
        <w:tc>
          <w:tcPr>
            <w:tcW w:w="3580" w:type="dxa"/>
            <w:gridSpan w:val="3"/>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及时足额的发放退伍军人生活费支出</w:t>
            </w:r>
          </w:p>
        </w:tc>
        <w:tc>
          <w:tcPr>
            <w:tcW w:w="2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525"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vMerge w:val="restart"/>
            <w:tcBorders>
              <w:top w:val="nil"/>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军队无军籍退休职工地方性津补贴到位率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525"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县级军休服务机构补助经费到位率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525"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军休干部家属遗属医疗生活补助到位率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540"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Calibri"/>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510"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（5关于下达2019年退役安置省级补助经费的通知（冀财社[2019]4号）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项目绩效自评得分为95分（绩效自评表附后）。全年预算数为116万元，执行数为113.59万元，完成预算的98%。项目绩效目标完成情况：</w:t>
            </w:r>
            <w:r>
              <w:rPr>
                <w:rFonts w:hint="eastAsia" w:ascii="宋体" w:hAnsi="宋体" w:eastAsia="宋体" w:cs="宋体"/>
                <w:color w:val="000000"/>
                <w:kern w:val="0"/>
                <w:sz w:val="32"/>
                <w:szCs w:val="32"/>
              </w:rPr>
              <w:t>做好在乡复员军人的稳定工作，及时发放各种补贴补助</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关于下达2019年退役安置省级补助经费的通知（冀财社[2019]4号）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116</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116</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113.59</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98%</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116</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116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113.59</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阳光安置，保障退役士兵合法权益；加强职业教育和技能培训；按时足额发放各类经济补助。</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阳光安置，保障退役士兵合法权益；加强职业教育和技能培训；按时足额发放各类经济补助。</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98%</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vMerge w:val="restart"/>
            <w:tcBorders>
              <w:top w:val="nil"/>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教育培训补助率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符合政府安排工作条件退役士兵自谋职业补助率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自主就业退役士兵补助率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5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义务兵家庭满意率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hint="eastAsia" w:ascii="Calibri" w:hAnsi="Calibri" w:eastAsia="宋体" w:cs="Calibri"/>
                <w:color w:val="000000"/>
                <w:kern w:val="0"/>
                <w:szCs w:val="21"/>
              </w:rPr>
              <w:t>98%</w:t>
            </w:r>
            <w:r>
              <w:rPr>
                <w:rFonts w:ascii="Calibri" w:hAnsi="Calibri" w:eastAsia="宋体" w:cs="Calibri"/>
                <w:color w:val="000000"/>
                <w:kern w:val="0"/>
                <w:szCs w:val="21"/>
              </w:rPr>
              <w:t>　</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（6）关于下达2019年优抚对象补助经费预算（第二批）的通知-在乡复员、退伍军人生活补助（冀财社[2019]49号）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项目绩效自评得分为95分（绩效自评表附后）。全年预算数为80万元，执行数为79.93万元，完成预算的100%。项目绩效目标完成情况：</w:t>
            </w:r>
            <w:r>
              <w:rPr>
                <w:rFonts w:hint="eastAsia" w:ascii="宋体" w:hAnsi="宋体" w:eastAsia="宋体" w:cs="宋体"/>
                <w:color w:val="000000"/>
                <w:kern w:val="0"/>
                <w:sz w:val="32"/>
                <w:szCs w:val="32"/>
              </w:rPr>
              <w:t>做好在乡复员军人的稳定工作，及时发放各种补贴补助</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关于下达2019年优抚对象补助经费预算（第二批）的通知-在乡复员、退伍军人生活补助（冀财社[2019]49号）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80</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79.93</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79.93</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80</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79.93</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79.93</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做好在乡复员军人的稳定工作，及时发放各种补贴补助</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做好在乡复员军人的稳定工作，及时发放各种补贴补助</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抚恤金发放率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抚恤金发放及时率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三月内</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三月内</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教育培训补助率（%）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军人家属满意率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（7）关于下达2019年中央优抚对象补助经费预算（第三批）的通知（冀财社[2019]68号）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项目绩效自评得分为95分（绩效自评表附后）。全年预算数为109.19万元，执行数为109.19万元，完成预算的100%。项目绩效目标完成情况：</w:t>
            </w:r>
            <w:r>
              <w:rPr>
                <w:rFonts w:hint="eastAsia" w:ascii="宋体" w:hAnsi="宋体" w:eastAsia="宋体" w:cs="宋体"/>
                <w:color w:val="000000"/>
                <w:kern w:val="0"/>
                <w:sz w:val="32"/>
                <w:szCs w:val="32"/>
              </w:rPr>
              <w:t>此次下达资金主要用于退役士兵职业教育和技能培训。</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关于下达2019年中央优抚对象补助经费预算（第三批）的通知（冀财社[2019]68号）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109.19</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109.19</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109.19</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109.19</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此次下达资金主要用于退役士兵职业教育和技能培训。</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此次下达资金主要用于退役士兵职业教育和技能培训。</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死亡抚恤金发放率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教育培训补助率（%）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死亡抚恤金及时率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三月内</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Calibri"/>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烈士家属满意率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（8）关于提前下达2019年中央退役安置补助经费预算的通知-人员经费（冀财社[2018]117号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项目绩效自评得分为95分（绩效自评表附后）。全年预算数为138万元，执行数为43.48万元，完成预算的32%。项目绩效目标完成情况：</w:t>
            </w:r>
            <w:r>
              <w:rPr>
                <w:rFonts w:hint="eastAsia" w:ascii="宋体" w:hAnsi="宋体" w:eastAsia="宋体" w:cs="宋体"/>
                <w:color w:val="000000"/>
                <w:kern w:val="0"/>
                <w:sz w:val="32"/>
                <w:szCs w:val="32"/>
              </w:rPr>
              <w:t>及时足额的发放离退休人员的各项补助开支。</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关于提前下达2019年中央退役安置补助经费预算的通知-人员经费（冀财社[2018]117号）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138</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138</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43.48</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138</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138</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43.48</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及时足额的发放离退休人员的各项补助开支。</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及时足额的发放离退休人员的各项补助开支。</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军队无军籍退休职工地方性津补贴到位率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军休干部家属遗属医疗生活补助到位率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县级军休服务机构补助经费到位率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32%</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（9）关于提前下达2019年优抚对象省级补助预算的通知-死亡抚恤（冀财社[2018]120号）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项目绩效自评得分为95分（绩效自评表附后）。全年预算数为4万元，执行数为4万元，完成预算的100%。项目绩效目标完成情况：</w:t>
            </w:r>
            <w:r>
              <w:rPr>
                <w:rFonts w:hint="eastAsia" w:ascii="宋体" w:hAnsi="宋体" w:eastAsia="宋体" w:cs="宋体"/>
                <w:color w:val="000000"/>
                <w:kern w:val="0"/>
                <w:sz w:val="32"/>
                <w:szCs w:val="32"/>
              </w:rPr>
              <w:t>烈士和牺牲、病故人员家属的一次性和定期抚恤金以及丧葬补助费能够按时足额发放各类经济补助。</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关于提前下达2019年优抚对象省级补助预算的通知-死亡抚恤（冀财社[2018]120号）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4</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烈士和牺牲、病故人员家属的一次性和定期抚恤金以及丧葬补助费能够按时足额发放各类经济补助。</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烈士和牺牲、病故人员家属的一次性和定期抚恤金以及丧葬补助费能够按时足额发放各类经济补助。</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军队无军籍退休职工地方性津补贴到位率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县级军休服务机构补助经费到位率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军休干部家属遗属医疗生活补助到位率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（10）关于提前下达2019年优抚对象省级补助预算的通知-义务兵优待金（冀财社[2018]120号）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项目绩效自评得分为95分（绩效自评表附后）。全年预算数为14.41万元，执行数为14.41万元，完成预算的100%。项目绩效目标完成情况：</w:t>
            </w:r>
            <w:r>
              <w:rPr>
                <w:rFonts w:hint="eastAsia" w:ascii="宋体" w:hAnsi="宋体" w:eastAsia="宋体" w:cs="宋体"/>
                <w:color w:val="000000"/>
                <w:kern w:val="0"/>
                <w:sz w:val="32"/>
                <w:szCs w:val="32"/>
              </w:rPr>
              <w:t>义务兵家庭优待工作全面落实</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关于提前下达2019年优抚对象省级补助预算的通知-义务兵优待金（冀财社[2018]120号）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14.41</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14.41</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14.41</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14.41</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14.41</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14.41</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义务兵家庭优待工作全面落实</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义务兵家庭优待工作全面落实</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义务兵优待金增长率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义务兵优待金到位率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自主就业退役士兵补助率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义务兵家庭满意率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（11）关于提前下达2019年退役安置省级补助的通知-教育培训（冀财社[2018]126号）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项目绩效自评得分为80分（绩效自评表附后）。全年预算数为3万元，执行数为0万元，完成预算的0%。项目绩效目标完成情况：</w:t>
            </w:r>
            <w:r>
              <w:rPr>
                <w:rFonts w:hint="eastAsia" w:ascii="宋体" w:hAnsi="宋体" w:eastAsia="宋体" w:cs="宋体"/>
                <w:color w:val="000000"/>
                <w:kern w:val="0"/>
                <w:sz w:val="32"/>
                <w:szCs w:val="32"/>
              </w:rPr>
              <w:t>及时足额支付教育经费，保障教育活动的稳妥进行。</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关于提前下达2019年退役安置省级补助的通知-教育培训（冀财社[2018]126号）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及时足额支付教育经费，保障教育活动的稳妥进行</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及时足额支付教育经费，保障教育活动的稳妥进行</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军队无军籍退休职工地方性津补贴到位率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县级军休服务机构补助经费到位率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军休干部家属遗属医疗生活补助到位率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Calibri"/>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宋体"/>
                <w:color w:val="000000"/>
                <w:kern w:val="0"/>
                <w:sz w:val="32"/>
                <w:szCs w:val="32"/>
              </w:rPr>
              <w:t>（12）关于调整退役安置省级补助资金的通知（冀财社[2019]123号）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项目绩效自评得分为90分（绩效自评表附后）。全年预算数为801万元，执行数为500万元，完成预算的62%。项目绩效目标完成情况：</w:t>
            </w:r>
            <w:r>
              <w:rPr>
                <w:rFonts w:hint="eastAsia" w:ascii="宋体" w:hAnsi="宋体" w:eastAsia="宋体" w:cs="宋体"/>
                <w:color w:val="000000"/>
                <w:kern w:val="0"/>
                <w:sz w:val="32"/>
                <w:szCs w:val="32"/>
              </w:rPr>
              <w:t>及时拨付资金，保障退役军人养老保险接续工作顺利完成。</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关于调整退役安置省级补助资金的通知（冀财社[2019]123号）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801</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801</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500</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62%</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801</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801</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500</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及时拨付资金，保障退役军人养老保险接续工作顺利完成</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及时拨付资金，保障退役军人养老保险接续工作顺利完成</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62%</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享受养老保险接续的比例</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62%</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工作完成程度</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三月内</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资金发放程度</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62%</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退役士兵对此项工作的满意程度</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&gt;=80%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62%</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62%</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（13）关于下达2019年中央优抚对象补助经费预算（第一批）的通知-死亡抚恤（冀财社[2019]48号）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项目绩效自评得分为85分（绩效自评表附后）。全年预算数为18万元，执行数为11.3万元，完成预算的63%。项目绩效目标完成情况：</w:t>
            </w:r>
            <w:r>
              <w:rPr>
                <w:rFonts w:hint="eastAsia" w:ascii="宋体" w:hAnsi="宋体" w:eastAsia="宋体" w:cs="宋体"/>
                <w:color w:val="000000"/>
                <w:kern w:val="0"/>
                <w:sz w:val="32"/>
                <w:szCs w:val="32"/>
              </w:rPr>
              <w:t>缓解意外事件对特殊困难家庭造成的生活困难。优抚对象的生活、住房、医疗困难得到有效解决，做好死亡人员的善后工作。</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关于下达2019年中央优抚对象补助经费预算（第一批）的通知-死亡抚恤（冀财社[2019]48号））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11.3</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63%</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11.3</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缓解意外事件对特殊困难家庭造成的生活困难。优抚对象的生活、住房、医疗困难得到有效解决，做好死亡人员的善后工作</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缓解意外事件对特殊困难家庭造成的生活困难。优抚对象的生活、住房、医疗困难得到有效解决，做好死亡人员的善后工作</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63%</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自主就业退役士兵补助率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63%</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优抚对象生活抚恤足额兑现率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99%及以上</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63%</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教育培训补助率（%）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63%</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死亡人员的善后工作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63%</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63%</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（14）关于下达2019年优抚对象补助经费预算（第二批）的通知-伤残抚恤（冀财社[2019]49号）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项目绩效自评得分为95分（绩效自评表附后）。全年预算数为28万元，执行数为28万元，完成预算的100%。项目绩效目标完成情况：</w:t>
            </w:r>
            <w:r>
              <w:rPr>
                <w:rFonts w:hint="eastAsia" w:ascii="宋体" w:hAnsi="宋体" w:eastAsia="宋体" w:cs="宋体"/>
                <w:color w:val="000000"/>
                <w:kern w:val="0"/>
                <w:sz w:val="32"/>
                <w:szCs w:val="32"/>
              </w:rPr>
              <w:t>优抚对象的生活、住房、医疗困难得到有效解决，做好死亡人员的善后工作。</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关于下达2019年优抚对象补助经费预算（第二批）的通知-伤残抚恤（冀财社[2019]49号）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28</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28</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28</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28</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28</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28</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优抚对象的生活、住房、医疗困难得到有效解决，做好死亡人员的善后工作。</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优抚对象的生活、住房、医疗困难得到有效解决，做好死亡人员的善后工作。</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教育培训补助率（%）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伤残抚恤金发放率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伤残抚恤金及时率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烈士家属满意率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（15）关于提前下达2019年优抚对象医疗保障经费指标的通知（冀财社[2018]89号）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项目绩效自评得分为95分（绩效自评表附后）。全年预算数为17万元，执行数为14.56万元，完成预算的100%。项目绩效目标完成情况：</w:t>
            </w:r>
            <w:r>
              <w:rPr>
                <w:rFonts w:hint="eastAsia" w:ascii="宋体" w:hAnsi="宋体" w:eastAsia="宋体" w:cs="宋体"/>
                <w:color w:val="000000"/>
                <w:kern w:val="0"/>
                <w:sz w:val="32"/>
                <w:szCs w:val="32"/>
              </w:rPr>
              <w:t>及时足额的发放优抚对象的医疗保障支出。</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关于提前下达2019年优抚对象医疗保障经费指标的通知（冀财社[2018]89号）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14.56</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86%</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14.56</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及时足额的发放优抚对象的医疗保障支出</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及时足额的发放优抚对象的医疗保障支出</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86%</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送医送药优抚对象满意率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86%及以上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优抚对象医疗补助到位率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86%及以上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报销比例</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≥55%</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≥55%</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医疗保障人员对优抚工作的满意率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86%</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86%</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（16）关于下达2019年中央优抚对象补助经费（第一批）的通知-伤残抚恤（冀财社[2019]48号）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项目绩效自评得分为95分（绩效自评表附后）。全年预算数为88万元，执行数为88万元，完成预算的100%。项目绩效目标完成情况：</w:t>
            </w:r>
            <w:r>
              <w:rPr>
                <w:rFonts w:hint="eastAsia" w:ascii="宋体" w:hAnsi="宋体" w:eastAsia="宋体" w:cs="宋体"/>
                <w:color w:val="000000"/>
                <w:kern w:val="0"/>
                <w:sz w:val="32"/>
                <w:szCs w:val="32"/>
              </w:rPr>
              <w:t>保障伤残人员的合法权益；按时足额发放各类经济补助。。</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关于下达2019年中央优抚对象补助经费（第一批）的通知-伤残抚恤（冀财社[2019]48号）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88</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88</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88</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88</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88</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88</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保障伤残人员的合法权益；按时足额发放各类经济补助。</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保障伤残人员的合法权益；按时足额发放各类经济补助。</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伤残抚恤金发放率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伤残抚恤金发放及时率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三月内</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三月内</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教育培训补助率（%）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伤残人员家属满意率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（17）关于下达2019年中央财政退役安置补助经费预算（第四批）的通知（冀财社[2019]62号）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项目绩效自评得分为85分（绩效自评表附后）。全年预算数为4.93万元，执行数为0万元，完成预算的0%。项目绩效目标完成情况：</w:t>
            </w:r>
            <w:r>
              <w:rPr>
                <w:rFonts w:hint="eastAsia" w:ascii="宋体" w:hAnsi="宋体" w:eastAsia="宋体" w:cs="宋体"/>
                <w:color w:val="000000"/>
                <w:kern w:val="0"/>
                <w:sz w:val="32"/>
                <w:szCs w:val="32"/>
              </w:rPr>
              <w:t>此次下达资金主要用于退役士兵职业教育和技能培训。</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关于下达2019年中央财政退役安置补助经费预算（第四批）的通知（冀财社[2019]62号）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4.93</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4.93</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4.93</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4.93</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此次下达资金主要用于退役士兵职业教育和技能培训。</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此次下达资金主要用于退役士兵职业教育和技能培训。</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补助金发放率(%)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教育培训补助率（%）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开展教育培训次数</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退役安置满意度（%）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（18）关于提前下达2019年中央退役安置补助经费预算的通知-机构运转经费（冀财社[2018]117号）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项目绩效自评得分为90分（绩效自评表附后）。全年预算数为18万元，执行数为12.28万元，完成预算的68%。项目绩效目标完成情况：</w:t>
            </w:r>
            <w:r>
              <w:rPr>
                <w:rFonts w:hint="eastAsia" w:ascii="宋体" w:hAnsi="宋体" w:eastAsia="宋体" w:cs="宋体"/>
                <w:color w:val="000000"/>
                <w:kern w:val="0"/>
                <w:sz w:val="32"/>
                <w:szCs w:val="32"/>
              </w:rPr>
              <w:t>保证按时足额的发放离退休人员的安置支出。</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关于提前下达2019年中央退役安置补助经费预算的通知-机构运转经费（冀财社[2018]117号）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12.28</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68%</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12.28</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保证按时足额的发放离退休人员的安置支出。</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保证按时足额的发放离退休人员的安置支出</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68%</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军队无军籍退休职工地方性津补贴到位率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军休干部家属遗属医疗生活补助到位率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县级军休服务机构补助经费到位率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（19）关于提前下达2019年优抚对象省级补助预算的通知-伤残抚恤（冀财社[2018]120号）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项目绩效自评得分为95分（绩效自评表附后）。全年预算数为24万元，执行数为24万元，完成预算的100%。项目绩效目标完成情况：</w:t>
            </w:r>
            <w:r>
              <w:rPr>
                <w:rFonts w:hint="eastAsia" w:ascii="宋体" w:hAnsi="宋体" w:eastAsia="宋体" w:cs="宋体"/>
                <w:color w:val="000000"/>
                <w:kern w:val="0"/>
                <w:sz w:val="32"/>
                <w:szCs w:val="32"/>
              </w:rPr>
              <w:t>及时拨付资金，保障退役军人养老保险接续工作顺利完成。</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关于提前下达2019年优抚对象省级补助预算的通知-伤残抚恤（冀财社[2018]120号）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24</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24</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24</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24</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24</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24</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及时拨付资金，保障退役军人养老保险接续工作顺利完成</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及时拨付资金，保障退役军人养老保险接续工作顺利完成</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伤残人员的补助率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伤残抚恤金发放率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伤残抚恤金及时率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3-5月內</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3-5月內</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Calibri"/>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Calibri"/>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烈士家属满意率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（20）关于提前下达2019年优抚对象省级补助预算的通知-医疗补助（冀财社[2018]120号）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项目绩效自评得分为95分（绩效自评表附后）。全年预算数为54万元，执行数为54万元，完成预算的100%。项目绩效目标完成情况：</w:t>
            </w:r>
            <w:r>
              <w:rPr>
                <w:rFonts w:hint="eastAsia" w:ascii="宋体" w:hAnsi="宋体" w:eastAsia="宋体" w:cs="宋体"/>
                <w:color w:val="000000"/>
                <w:kern w:val="0"/>
                <w:sz w:val="32"/>
                <w:szCs w:val="32"/>
              </w:rPr>
              <w:t>及时足额的发放优抚对象的医疗补助支出。</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关于提前下达2019年优抚对象省级补助预算的通知-医疗补助（冀财社[2018]120号）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54</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54</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54</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54</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54</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54</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及时足额的发放优抚对象的医疗补助支出</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及时足额的发放优抚对象的医疗补助支出</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优抚对象的医疗补助率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医疗补助金发放率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医疗补助金及时率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4-6个月</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3-5月內</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优抚对象家庭满意率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（21）关于提前下达2019年优抚对象省级补助预算的通知-在乡复员、退伍军人生活补助（冀财社[2018]120号）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项目绩效自评得分为95分（绩效自评表附后）。全年预算数为1.8万元，执行数为1.8万元，完成预算的100%。项目绩效目标完成情况：</w:t>
            </w:r>
            <w:r>
              <w:rPr>
                <w:rFonts w:hint="eastAsia" w:ascii="宋体" w:hAnsi="宋体" w:eastAsia="宋体" w:cs="宋体"/>
                <w:color w:val="000000"/>
                <w:kern w:val="0"/>
                <w:sz w:val="32"/>
                <w:szCs w:val="32"/>
              </w:rPr>
              <w:t>及时足额的拨付退役军人安置资金。</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关于提前下达2019年优抚对象省级补助预算的通知-在乡复员、退伍军人生活补助（冀财社[2018]120号）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1.8</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及时足额的拨付退役军人安置资金</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及时足额的拨付退役军人安置资金</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军队无军籍退休职工地方性津补贴到位率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县级军休服务机构补助经费到位率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军休干部家属遗属医疗生活补助到位率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（22）关于提前下达2019年退役安置省级补助的通知-无军籍职工津补贴（冀财社[2018]126号）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项目绩效自评得分为85分（绩效自评表附后）。全年预算数为4万元，执行数为0万元，完成预算的0%。项目绩效目标完成情况：</w:t>
            </w:r>
            <w:r>
              <w:rPr>
                <w:rFonts w:hint="eastAsia" w:ascii="宋体" w:hAnsi="宋体" w:eastAsia="宋体" w:cs="宋体"/>
                <w:color w:val="000000"/>
                <w:kern w:val="0"/>
                <w:sz w:val="32"/>
                <w:szCs w:val="32"/>
              </w:rPr>
              <w:t>及时足额的发放离退休人员的津补贴。</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关于提前下达2019年退役安置省级补助的通知-无军籍职工津补贴（冀财社[2018]126号）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及时足额的发放离退休人员的津补贴</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及时足额的发放离退休人员的津补贴</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军队无军籍退休职工地方性津补贴到位率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县级军休服务机构补助经费到位率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军休干部家属遗属医疗生活补助到位率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（23）关于下达2019年中央优抚对象医疗保障经费预算的通知（冀财社[2019]47号）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项目绩效自评得分为85分（绩效自评表附后）。全年预算数为8万元，执行数为0万元，完成预算的0%。项目绩效目标完成情况：</w:t>
            </w:r>
            <w:r>
              <w:rPr>
                <w:rFonts w:hint="eastAsia" w:ascii="宋体" w:hAnsi="宋体" w:eastAsia="宋体" w:cs="宋体"/>
                <w:color w:val="000000"/>
                <w:kern w:val="0"/>
                <w:sz w:val="32"/>
                <w:szCs w:val="32"/>
              </w:rPr>
              <w:t>做好在乡复员军人的稳定工作，及时发放各种补贴补助.</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关于下达2019年中央优抚对象医疗保障经费预算的通知（冀财社[2019]47号）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8</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做好在乡复员军人的稳定工作，及时发放各种补贴补助</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做好在乡复员军人的稳定工作，及时发放各种补贴补助</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在乡复员、退伍军人抚恤金发放率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在乡复员、退伍军人抚恤金及时率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三个月内</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在乡复员、退伍军人抚恤金及时率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在乡复员、退伍人员家属满意率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（24）关于下达2019年中央优抚对象补助经费预算（第一批）的通知-在乡复员、退伍军人生活补助（冀财社[2019]48号）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项目绩效自评得分为95分（绩效自评表附后）。全年预算数为242万元，执行数为242万元，完成预算的100%。项目绩效目标完成情况：</w:t>
            </w:r>
            <w:r>
              <w:rPr>
                <w:rFonts w:hint="eastAsia" w:ascii="宋体" w:hAnsi="宋体" w:eastAsia="宋体" w:cs="宋体"/>
                <w:color w:val="000000"/>
                <w:kern w:val="0"/>
                <w:sz w:val="32"/>
                <w:szCs w:val="32"/>
              </w:rPr>
              <w:t>做好在乡复员军人的稳定工作，及时发放各种补贴补助.</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关于下达2019年中央优抚对象补助经费预算（第一批）的通知-在乡复员、退伍军人生活补助（冀财社[2019]48号）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242</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242</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242</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242</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242</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242</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做好在乡复员军人的稳定工作，及时发放各种补贴补助</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做好在乡复员军人的稳定工作，及时发放各种补贴补助</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在乡复员、退伍军人抚恤金发放率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在乡复员、退伍军人抚恤金及时率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三个月内</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三个月内</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在乡复员、退伍军人抚恤金及时率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在乡复员、退伍人员家属满意率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（25）关于下达2019年优抚对象补助经费预算（第二批）的通知-死亡抚恤（冀财社[2019]49号）</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项目绩效自评得分为95分（绩效自评表附后）。全年预算数为5万元，执行数为5万元，完成预算的100%。项目绩效目标完成情况：</w:t>
            </w:r>
            <w:r>
              <w:rPr>
                <w:rFonts w:hint="eastAsia" w:ascii="宋体" w:hAnsi="宋体" w:eastAsia="宋体" w:cs="宋体"/>
                <w:color w:val="000000"/>
                <w:kern w:val="0"/>
                <w:sz w:val="32"/>
                <w:szCs w:val="32"/>
              </w:rPr>
              <w:t>优抚对象的生活、住房、医疗困难得到有效解决.</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关于下达2019年优抚对象补助经费预算（第二批）的通知-死亡抚恤（冀财社[2019]49号）</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5</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优抚对象的生活、住房、医疗困难得到有效解决，做好死亡人员的善后工作。</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优抚对象的生活、住房、医疗困难得到有效解决，做好死亡人员的善后工作。</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死亡抚恤金发放率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死亡抚恤金及时率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99%及以上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教育培训补助率（%）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烈士家属满意率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（26）退役士兵伤残待遇补助资金</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项目绩效自评得分为80分（绩效自评表附后）。全年预算数为4.16万元，执行数为万元，完成预算的0%。项目绩效目标完成情况：</w:t>
            </w:r>
            <w:r>
              <w:rPr>
                <w:rFonts w:hint="eastAsia" w:ascii="宋体" w:hAnsi="宋体" w:eastAsia="宋体" w:cs="宋体"/>
                <w:color w:val="000000"/>
                <w:kern w:val="0"/>
                <w:sz w:val="32"/>
                <w:szCs w:val="32"/>
              </w:rPr>
              <w:t>及时足额的发放负责伤残义务兵的一次性建房补助，以及符合条件的退役士兵及专业士官的安置费用.</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退役士兵伤残待遇补助资金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4.16</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4.16</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4.16</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4.16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及时足额的发放负责伤残义务兵的一次性建房补助，以及符合条件的退役士兵及专业士官的安置费用</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及时足额的发放负责伤残义务兵的一次性建房补助，以及符合条件的退役士兵及专业士官的安置费用</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军队无军籍退休职工地方性津补贴到位率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县级军休服务机构补助经费到位率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军休干部家属遗属医疗生活补助到位率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（27）双拥工作经费（调入基金）</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项目绩效自评得分为80分（绩效自评表附后）。全年预算数为10万元，执行数为0.56万元，完成预算的6%。项目绩效目标完成情况：</w:t>
            </w:r>
            <w:r>
              <w:rPr>
                <w:rFonts w:hint="eastAsia" w:ascii="宋体" w:hAnsi="宋体" w:eastAsia="宋体" w:cs="宋体"/>
                <w:color w:val="000000"/>
                <w:kern w:val="0"/>
                <w:sz w:val="32"/>
                <w:szCs w:val="32"/>
              </w:rPr>
              <w:t>慰问市、县驻军和重点优抚对象，开展双拥系列活动，宣传双拥成果，积极营造全市双拥工作氛围。.</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双拥工作经费（调入基金）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0.56</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0.56</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慰问市、县驻军和重点优抚对象，开展双拥系列活动，宣传双拥成果，积极营造全市双拥工作氛围。</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慰问市、县驻军和重点优抚对象，开展双拥系列活动，宣传双拥成果，积极营造全市双拥工作氛围。</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慰问驻市、县部队单位个数</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省级军休干部医疗补助落实率（%）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召开军地首长座谈会、现役军人家属座谈会、走访慰问困难优抚对象、双拥办军地合署办公经费、解决军地纠纷次数</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3次及以上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3次及以上</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双拥活动参与群体满意度</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6%</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（28）优抚对象“一站式”结算服务费走访经费（调入基金）</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项目绩效自评得分为80分（绩效自评表附后）。全年预算数为1.8万元，执行数为0万元，完成预算的0%。项目绩效目标完成情况：</w:t>
            </w:r>
            <w:r>
              <w:rPr>
                <w:rFonts w:hint="eastAsia" w:ascii="宋体" w:hAnsi="宋体" w:eastAsia="宋体" w:cs="宋体"/>
                <w:color w:val="000000"/>
                <w:kern w:val="0"/>
                <w:sz w:val="32"/>
                <w:szCs w:val="32"/>
              </w:rPr>
              <w:t>按时完成此项走访任务，及时拨付资金.</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优抚对象“一站式”结算服务费走访经费（调入基金）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按时完成此项走访任务，及时拨付资金</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按时完成此项走访任务，及时拨付资金</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医疗救助保障率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走访退役士兵的比率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受助人员救助增长率（%）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退役士兵对走访的满意率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（29）优抚对象“一站式”结算服务费走访经费（调入基金）</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项目绩效自评得分为80分（绩效自评表附后）。全年预算数为3.2万元，执行数为0万元，完成预算的0%。项目绩效目标完成情况：</w:t>
            </w:r>
            <w:r>
              <w:rPr>
                <w:rFonts w:hint="eastAsia" w:ascii="宋体" w:hAnsi="宋体" w:eastAsia="宋体" w:cs="宋体"/>
                <w:color w:val="000000"/>
                <w:kern w:val="0"/>
                <w:sz w:val="32"/>
                <w:szCs w:val="32"/>
              </w:rPr>
              <w:t>按时完成此项走访任务，及时拨付资金.</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优抚对象“一站式”结算服务费走访经费（调入基金）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按时完成此项走访任务，及时拨付资金</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按时完成此项走访任务，及时拨付资金</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医疗救助保障率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w:t>
            </w:r>
            <w:r>
              <w:rPr>
                <w:rFonts w:hint="eastAsia" w:ascii="Calibri" w:hAnsi="Calibri" w:eastAsia="宋体" w:cs="Calibri"/>
                <w:color w:val="000000"/>
                <w:kern w:val="0"/>
                <w:szCs w:val="21"/>
              </w:rPr>
              <w:t>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走访退役士兵的比率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w:t>
            </w:r>
            <w:r>
              <w:rPr>
                <w:rFonts w:hint="eastAsia" w:ascii="Calibri" w:hAnsi="Calibri" w:eastAsia="宋体" w:cs="Calibri"/>
                <w:color w:val="000000"/>
                <w:kern w:val="0"/>
                <w:szCs w:val="21"/>
              </w:rPr>
              <w:t>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受助人员救助增长率（%）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w:t>
            </w:r>
            <w:r>
              <w:rPr>
                <w:rFonts w:hint="eastAsia" w:ascii="Calibri" w:hAnsi="Calibri" w:eastAsia="宋体" w:cs="Calibri"/>
                <w:color w:val="000000"/>
                <w:kern w:val="0"/>
                <w:szCs w:val="21"/>
              </w:rPr>
              <w:t>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退役士兵对走访的满意率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w:t>
            </w:r>
            <w:r>
              <w:rPr>
                <w:rFonts w:hint="eastAsia" w:ascii="Calibri" w:hAnsi="Calibri" w:eastAsia="宋体" w:cs="Calibri"/>
                <w:color w:val="000000"/>
                <w:kern w:val="0"/>
                <w:szCs w:val="21"/>
              </w:rPr>
              <w:t>0</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0</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w:t>
            </w:r>
            <w:r>
              <w:rPr>
                <w:rFonts w:hint="eastAsia" w:ascii="Calibri" w:hAnsi="Calibri" w:eastAsia="宋体" w:cs="Calibri"/>
                <w:color w:val="000000"/>
                <w:kern w:val="0"/>
                <w:szCs w:val="21"/>
              </w:rPr>
              <w:t>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（30）军退人员管理中心工作经费（调入基金）</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项目绩效自评得分为90分（绩效自评表附后）。全年预算数为9万元，执行数为9万元，完成预算的100%。项目绩效目标完成情况：</w:t>
            </w:r>
            <w:r>
              <w:rPr>
                <w:rFonts w:hint="eastAsia" w:ascii="宋体" w:hAnsi="宋体" w:eastAsia="宋体" w:cs="宋体"/>
                <w:color w:val="000000"/>
                <w:kern w:val="0"/>
                <w:sz w:val="32"/>
                <w:szCs w:val="32"/>
              </w:rPr>
              <w:t>及时足额支付保障军退管理中心正常运转的经费.</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军退人员管理中心工作经费（调入基金）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9</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及时足额支付保障军退管理中心正常运转的经费</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及时足额支付保障军退管理中心正常运转的经费</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对退役士兵进行管理的程度率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自主就业退役士兵补助率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符合政府安排工作条件退役士兵自谋职业补助率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退役士兵对优抚工作的满意率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90</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（31）军退人员管理中心工作经费（调入基金）</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项目绩效自评得分为90分（绩效自评表附后）。全年预算数为21万元，执行数为21万元，完成预算的100%。项目绩效目标完成情况：</w:t>
            </w:r>
            <w:r>
              <w:rPr>
                <w:rFonts w:hint="eastAsia" w:ascii="宋体" w:hAnsi="宋体" w:eastAsia="宋体" w:cs="宋体"/>
                <w:color w:val="000000"/>
                <w:kern w:val="0"/>
                <w:sz w:val="32"/>
                <w:szCs w:val="32"/>
              </w:rPr>
              <w:t>及时足额支付保障军退管理中心正常运转的经费.</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军退人员管理中心工作经费（调入基金）</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21</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21</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20.63</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98%</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21</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21</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20.63</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及时足额支付保障军退管理中心正常运转的经费</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及时足额支付保障军退管理中心正常运转的经费</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98%</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对退役士兵进行管理的程度率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自主就业退役士兵补助率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符合政府安排工作条件退役士兵自谋职业补助率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退役士兵对优抚工作的满意率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95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r>
        <w:tblPrEx>
          <w:tblCellMar>
            <w:top w:w="0" w:type="dxa"/>
            <w:left w:w="108" w:type="dxa"/>
            <w:bottom w:w="0" w:type="dxa"/>
            <w:right w:w="108" w:type="dxa"/>
          </w:tblCellMar>
        </w:tblPrEx>
        <w:trPr>
          <w:trHeight w:val="510" w:hRule="atLeast"/>
        </w:trPr>
        <w:tc>
          <w:tcPr>
            <w:tcW w:w="10280" w:type="dxa"/>
            <w:gridSpan w:val="8"/>
            <w:tcBorders>
              <w:top w:val="nil"/>
              <w:left w:val="nil"/>
              <w:bottom w:val="nil"/>
              <w:right w:val="nil"/>
            </w:tcBorders>
            <w:shd w:val="clear" w:color="auto" w:fill="auto"/>
            <w:noWrap/>
            <w:vAlign w:val="center"/>
          </w:tcPr>
          <w:p>
            <w:pPr>
              <w:widowControl/>
              <w:jc w:val="left"/>
              <w:rPr>
                <w:rFonts w:ascii="宋体" w:hAnsi="宋体" w:eastAsia="宋体" w:cs="DengXian-Regular"/>
                <w:sz w:val="32"/>
                <w:szCs w:val="32"/>
              </w:rPr>
            </w:pPr>
            <w:r>
              <w:rPr>
                <w:rFonts w:hint="eastAsia" w:ascii="宋体" w:hAnsi="宋体" w:eastAsia="宋体" w:cs="宋体"/>
                <w:color w:val="000000"/>
                <w:kern w:val="0"/>
                <w:sz w:val="32"/>
                <w:szCs w:val="32"/>
              </w:rPr>
              <w:t>（32）</w:t>
            </w:r>
            <w:r>
              <w:rPr>
                <w:rFonts w:hint="eastAsia" w:ascii="宋体" w:hAnsi="宋体" w:eastAsia="宋体" w:cs="宋体"/>
                <w:color w:val="000000"/>
                <w:kern w:val="0"/>
                <w:sz w:val="16"/>
                <w:szCs w:val="16"/>
              </w:rPr>
              <w:t>军队退役人员创业补贴</w:t>
            </w:r>
            <w:r>
              <w:rPr>
                <w:rFonts w:hint="eastAsia" w:ascii="宋体" w:hAnsi="宋体" w:eastAsia="宋体" w:cs="仿宋_GB2312"/>
                <w:sz w:val="32"/>
                <w:szCs w:val="32"/>
              </w:rPr>
              <w:t>项目自评综述：根据年初设定的绩效目标，</w:t>
            </w:r>
            <w:r>
              <w:rPr>
                <w:rFonts w:hint="eastAsia" w:ascii="宋体" w:hAnsi="宋体" w:eastAsia="宋体" w:cs="宋体"/>
                <w:color w:val="000000"/>
                <w:kern w:val="0"/>
                <w:sz w:val="32"/>
                <w:szCs w:val="32"/>
              </w:rPr>
              <w:t>该</w:t>
            </w:r>
            <w:r>
              <w:rPr>
                <w:rFonts w:hint="eastAsia" w:ascii="宋体" w:hAnsi="宋体" w:eastAsia="宋体" w:cs="仿宋_GB2312"/>
                <w:sz w:val="32"/>
                <w:szCs w:val="32"/>
              </w:rPr>
              <w:t>项目绩效自评得分为85分（绩效自评表附后）。全年预算数为307万元，执行数为299.84万元，完成预算的98%。项目绩效目标完成情况：</w:t>
            </w:r>
            <w:r>
              <w:rPr>
                <w:rFonts w:hint="eastAsia" w:ascii="宋体" w:hAnsi="宋体" w:eastAsia="宋体" w:cs="宋体"/>
                <w:color w:val="000000"/>
                <w:kern w:val="0"/>
                <w:sz w:val="32"/>
                <w:szCs w:val="32"/>
              </w:rPr>
              <w:t>及时足额支付保障军退管理中心正常运转的经费.</w:t>
            </w:r>
            <w:r>
              <w:rPr>
                <w:rFonts w:hint="eastAsia" w:ascii="宋体" w:hAnsi="宋体" w:eastAsia="宋体" w:cs="仿宋_GB2312"/>
                <w:sz w:val="32"/>
                <w:szCs w:val="32"/>
              </w:rPr>
              <w:t>主要问题及原因：</w:t>
            </w:r>
            <w:r>
              <w:rPr>
                <w:rFonts w:hint="eastAsia" w:ascii="宋体" w:hAnsi="宋体" w:eastAsia="宋体" w:cs="DengXian-Regular"/>
                <w:sz w:val="32"/>
                <w:szCs w:val="32"/>
              </w:rPr>
              <w:t>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1028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2020   年度）</w:t>
            </w:r>
          </w:p>
        </w:tc>
      </w:tr>
      <w:tr>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军队退役人员创业补贴</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青龙满族自治县退役军人事务局</w:t>
            </w:r>
          </w:p>
        </w:tc>
      </w:tr>
      <w:tr>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307</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307</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Calibri" w:hAnsi="Calibri" w:eastAsia="宋体" w:cs="Calibri"/>
                <w:color w:val="000000"/>
                <w:kern w:val="0"/>
                <w:szCs w:val="21"/>
              </w:rPr>
            </w:pPr>
            <w:r>
              <w:rPr>
                <w:rFonts w:ascii="Calibri" w:hAnsi="Calibri" w:eastAsia="宋体" w:cs="Calibri"/>
                <w:color w:val="000000"/>
                <w:kern w:val="0"/>
                <w:szCs w:val="21"/>
              </w:rPr>
              <w:t>299.84</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98%</w:t>
            </w:r>
          </w:p>
        </w:tc>
      </w:tr>
      <w:tr>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307</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307</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299.84</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5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及时足额支付保障军退管理中心正常运转的经费</w:t>
            </w:r>
          </w:p>
        </w:tc>
        <w:tc>
          <w:tcPr>
            <w:tcW w:w="3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及时足额支付保障军退管理中心正常运转的经费</w:t>
            </w:r>
          </w:p>
        </w:tc>
        <w:tc>
          <w:tcPr>
            <w:tcW w:w="2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98%</w:t>
            </w: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60"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军队无军籍退休职工地方性津补贴到位率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军休干部家属遗属医疗生活补助到位率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县级军休服务机构补助经费到位率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Calibri"/>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Calibri"/>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退役士兵满意率</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90%及以上</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85</w:t>
            </w:r>
          </w:p>
        </w:tc>
      </w:tr>
      <w:tr>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90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填报人：</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李宗友</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2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7833897</w:t>
            </w:r>
          </w:p>
        </w:tc>
      </w:tr>
    </w:tbl>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w:t>
      </w:r>
      <w:r>
        <w:rPr>
          <w:rFonts w:hint="eastAsia" w:ascii="仿宋_GB2312" w:hAnsi="Times New Roman" w:cs="DengXian-Regular"/>
          <w:sz w:val="32"/>
          <w:szCs w:val="32"/>
        </w:rPr>
        <w:t>无</w:t>
      </w:r>
      <w:r>
        <w:rPr>
          <w:rFonts w:hint="eastAsia" w:ascii="仿宋_GB2312" w:hAnsi="Times New Roman" w:eastAsia="仿宋_GB2312" w:cs="DengXian-Regular"/>
          <w:sz w:val="32"/>
          <w:szCs w:val="32"/>
        </w:rPr>
        <w:t>运行经费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本部门2019年度政府采购支出总额88.9万元，从采购类型来看，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88.9</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0辆，比上年增加0辆，主要是本部门无公务用车。其中，副部（省）级及以上领导用车0辆，主要领导干部用车0辆，机要通信用车0辆，应急保障用车0辆，执法执勤用车0辆，特种专业技术用车0辆，离退休干部用车0辆，其他用车0辆。</w:t>
      </w:r>
      <w:r>
        <w:rPr>
          <w:rFonts w:ascii="仿宋_GB2312" w:hAnsi="Times New Roman" w:eastAsia="仿宋_GB2312" w:cs="DengXian-Regular"/>
          <w:sz w:val="32"/>
          <w:szCs w:val="32"/>
        </w:rPr>
        <w:t xml:space="preserve"> </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政府性基金预算财政拨款收入支出决算表、国有资本经营预算财政拨款支出决算表无收支及结转结余情况，故政府性基金预算财政拨款收入支出决算表、国有资本经营预算财政拨款支出决算表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详见:青龙满族自治县XX部门2019年度部门决算公开相关报表(共9张)</w:t>
      </w:r>
    </w:p>
    <w:p>
      <w:pPr>
        <w:widowControl/>
        <w:jc w:val="left"/>
        <w:rPr>
          <w:rFonts w:ascii="仿宋_GB2312" w:hAnsi="宋体" w:eastAsia="仿宋_GB2312" w:cs="Times New Roman"/>
          <w:color w:val="000000"/>
          <w:kern w:val="0"/>
          <w:sz w:val="32"/>
          <w:szCs w:val="32"/>
        </w:rPr>
      </w:pPr>
      <w:r>
        <w:rPr>
          <w:rFonts w:ascii="仿宋_GB2312" w:hAnsi="宋体" w:eastAsia="仿宋_GB2312" w:cs="Times New Roman"/>
          <w:color w:val="000000"/>
          <w:kern w:val="0"/>
          <w:sz w:val="32"/>
          <w:szCs w:val="32"/>
        </w:rPr>
        <w:br w:type="page"/>
      </w:r>
    </w:p>
    <w:p>
      <w:pPr>
        <w:widowControl/>
        <w:spacing w:line="560" w:lineRule="exact"/>
        <w:ind w:firstLine="640" w:firstLineChars="200"/>
        <w:rPr>
          <w:rFonts w:ascii="仿宋_GB2312" w:hAnsi="宋体" w:eastAsia="仿宋_GB2312" w:cs="Times New Roman"/>
          <w:color w:val="000000"/>
          <w:kern w:val="0"/>
          <w:sz w:val="32"/>
          <w:szCs w:val="32"/>
        </w:rPr>
      </w:pPr>
    </w:p>
    <w:p>
      <w:r>
        <w:pict>
          <v:rect id="_x0000_s1027" o:spid="_x0000_s1027"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3000509000000000000"/>
    <w:charset w:val="86"/>
    <w:family w:val="roma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72" o:spid="_x0000_s2072" o:spt="202" type="#_x0000_t202" style="position:absolute;left:0pt;margin-left:205.45pt;margin-top:-18.75pt;height:31.45pt;width:30.15pt;mso-position-horizontal-relative:margin;z-index:251687936;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- 52 -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209.15pt;margin-top:-6pt;height:18.7pt;width:144pt;mso-position-horizontal-relative:margin;mso-wrap-style:none;z-index:25169100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- 59 -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87" o:spid="_x0000_s2087" o:spt="202" type="#_x0000_t202" style="position:absolute;left:0pt;margin-left:209.65pt;margin-top:-12.95pt;height:14.3pt;width:30.6pt;mso-position-horizontal-relative:margin;z-index:251684864;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- 49 -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95" o:spid="_x0000_s2095" o:spt="202" type="#_x0000_t202" style="position:absolute;left:0pt;margin-left:206.55pt;margin-top:-22.45pt;height:35.15pt;width:34pt;mso-position-horizontal-relative:margin;z-index:251685888;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64" o:spid="_x0000_s2064" o:spt="202" type="#_x0000_t202" style="position:absolute;left:0pt;margin-left:209.15pt;margin-top:-6pt;height:18.7pt;width:144pt;mso-position-horizontal-relative:margin;mso-wrap-style:none;z-index:25168691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- 53 -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8" coordsize="31,6402032"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top:8;height:7;width:30;"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top:10;height:3;width:1;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5" coordsize="119,11792032"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top:15;height:1;width:120;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top:6;height:9;width:26;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top:5;height:11;width:24;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8" o:spid="_x0000_s2068" o:spt="203" style="position:absolute;left:0pt;margin-left:0pt;margin-top:0pt;height:37.85pt;width:594.8pt;mso-position-horizontal-relative:page;mso-position-vertical-relative:page;z-index:251678720;mso-width-relative:page;mso-height-relative:page;" coordorigin="8,5" coordsize="119,11792032"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top:15;height:1;width:120;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top:6;height:9;width:26;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top:5;height:11;width:24;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9744;mso-width-relative:page;mso-height-relative:page;" coordorigin="13,8" coordsize="31,6402032"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top:8;height:7;width:30;"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top:10;height:3;width:1;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77" o:spid="_x0000_s2077" o:spt="203" style="position:absolute;left:0pt;margin-top:29.75pt;height:32pt;width:157.5pt;mso-position-horizontal:left;mso-position-horizontal-relative:page;mso-position-vertical-relative:page;z-index:251681792;mso-width-relative:page;mso-height-relative:page;" coordorigin="13,8" coordsize="31,6402032"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top:8;height:7;width:30;"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top:10;height:3;width:1;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80768;mso-width-relative:page;mso-height-relative:page;mso-width-percent:1000;" coordorigin="8,5" coordsize="119,11792032"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top:15;height:1;width:120;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top:6;height:9;width:26;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top:5;height:11;width:24;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53" o:spid="_x0000_s2053" o:spt="203" style="position:absolute;left:0pt;margin-left:2.5pt;margin-top:28.75pt;height:35.25pt;width:594.8pt;mso-position-horizontal-relative:page;mso-position-vertical-relative:page;z-index:251692032;mso-width-relative:page;mso-height-relative:page;" coordorigin="8,5" coordsize="119,11792032"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top:15;height:1;width:120;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top:6;height:9;width:26;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top:5;height:11;width:24;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93056;mso-width-relative:page;mso-height-relative:page;" coordorigin="13,8" coordsize="31,6402032"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top:8;height:7;width:30;"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top:10;height:3;width:1;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0" o:spid="_x0000_s2060" o:spt="203" style="position:absolute;left:0pt;margin-left:0pt;margin-top:0pt;height:38.05pt;width:596.5pt;mso-position-horizontal-relative:page;mso-position-vertical-relative:page;z-index:251688960;mso-width-relative:page;mso-height-relative:page;mso-width-percent:1000;" coordorigin="8,5" coordsize="119,11792032"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top:15;height:1;width:120;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top:6;height:9;width:26;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top:5;height:11;width:24;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9984;mso-width-relative:page;mso-height-relative:page;" coordorigin="13,8" coordsize="31,6402032"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top:8;height:7;width:30;"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top:10;height:3;width:1;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91" o:spid="_x0000_s2091" o:spt="203" style="position:absolute;left:0pt;margin-left:0pt;margin-top:53.75pt;height:31.5pt;width:594.8pt;mso-position-horizontal-relative:page;mso-position-vertical-relative:page;z-index:251682816;mso-width-relative:page;mso-height-relative:page;" coordorigin="8,5" coordsize="119,11792032"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top:15;height:1;width:120;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top:6;height:9;width:26;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top:5;height:11;width:24;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83840;mso-width-relative:page;mso-height-relative:page;" coordorigin="13,8" coordsize="31,6402032"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top:8;height:7;width:30;"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top:10;height:3;width:1;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3" o:spid="_x0000_s2083" o:spt="203" style="position:absolute;left:0pt;margin-left:2.75pt;margin-top:46.95pt;height:32.8pt;width:596.85pt;mso-position-horizontal-relative:page;mso-position-vertical-relative:page;z-index:251676672;mso-width-relative:page;mso-height-relative:page;" coordorigin="8,5" coordsize="119,11792032"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top:15;height:1;width:120;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top:6;height:9;width:26;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top:5;height:11;width:24;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7696;mso-width-relative:page;mso-height-relative:page;" coordorigin="13,8" coordsize="31,6402032"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top:8;height:7;width:30;"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top:10;height:3;width:1;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NlZmNiNDg3Mzk5NmY2NTNiMDk1OTY2ODg1YmQ4YWQifQ=="/>
  </w:docVars>
  <w:rsids>
    <w:rsidRoot w:val="6AAF1C96"/>
    <w:rsid w:val="00000746"/>
    <w:rsid w:val="0001310B"/>
    <w:rsid w:val="00014557"/>
    <w:rsid w:val="000155D0"/>
    <w:rsid w:val="00023E76"/>
    <w:rsid w:val="0004262D"/>
    <w:rsid w:val="00051246"/>
    <w:rsid w:val="0007063E"/>
    <w:rsid w:val="00073392"/>
    <w:rsid w:val="00073F4E"/>
    <w:rsid w:val="00077FB3"/>
    <w:rsid w:val="00086C89"/>
    <w:rsid w:val="000A39FB"/>
    <w:rsid w:val="000F63B4"/>
    <w:rsid w:val="00117746"/>
    <w:rsid w:val="00135C58"/>
    <w:rsid w:val="00163F95"/>
    <w:rsid w:val="00180A9A"/>
    <w:rsid w:val="001829C0"/>
    <w:rsid w:val="00182E1A"/>
    <w:rsid w:val="00184809"/>
    <w:rsid w:val="00192112"/>
    <w:rsid w:val="001B0127"/>
    <w:rsid w:val="001C12D5"/>
    <w:rsid w:val="001C69F7"/>
    <w:rsid w:val="001F4606"/>
    <w:rsid w:val="00211A89"/>
    <w:rsid w:val="0023771C"/>
    <w:rsid w:val="0025614B"/>
    <w:rsid w:val="002650EC"/>
    <w:rsid w:val="00272FE8"/>
    <w:rsid w:val="002A6C46"/>
    <w:rsid w:val="002C19B5"/>
    <w:rsid w:val="002D4F29"/>
    <w:rsid w:val="002E4A1F"/>
    <w:rsid w:val="00314FD8"/>
    <w:rsid w:val="003515CF"/>
    <w:rsid w:val="003A4EE8"/>
    <w:rsid w:val="003B6005"/>
    <w:rsid w:val="003D5A1C"/>
    <w:rsid w:val="003E386C"/>
    <w:rsid w:val="00410C4A"/>
    <w:rsid w:val="00420F72"/>
    <w:rsid w:val="00442CC2"/>
    <w:rsid w:val="00446244"/>
    <w:rsid w:val="00473C20"/>
    <w:rsid w:val="004971A5"/>
    <w:rsid w:val="004C07B1"/>
    <w:rsid w:val="004D61CB"/>
    <w:rsid w:val="004F600A"/>
    <w:rsid w:val="0050070F"/>
    <w:rsid w:val="005011D6"/>
    <w:rsid w:val="00503F2E"/>
    <w:rsid w:val="00511D94"/>
    <w:rsid w:val="0052456A"/>
    <w:rsid w:val="00552226"/>
    <w:rsid w:val="00562CA3"/>
    <w:rsid w:val="00566120"/>
    <w:rsid w:val="0057282F"/>
    <w:rsid w:val="005803E6"/>
    <w:rsid w:val="00582E6D"/>
    <w:rsid w:val="005954D5"/>
    <w:rsid w:val="005A53FA"/>
    <w:rsid w:val="005A6F07"/>
    <w:rsid w:val="005D1293"/>
    <w:rsid w:val="005F2D4E"/>
    <w:rsid w:val="005F5DC1"/>
    <w:rsid w:val="00644D5F"/>
    <w:rsid w:val="006727AD"/>
    <w:rsid w:val="00691425"/>
    <w:rsid w:val="006A0CA4"/>
    <w:rsid w:val="006A516E"/>
    <w:rsid w:val="006B0830"/>
    <w:rsid w:val="006B2368"/>
    <w:rsid w:val="006C0131"/>
    <w:rsid w:val="006D1B85"/>
    <w:rsid w:val="006E3630"/>
    <w:rsid w:val="00716E2B"/>
    <w:rsid w:val="00750C18"/>
    <w:rsid w:val="0076224B"/>
    <w:rsid w:val="00770951"/>
    <w:rsid w:val="00770F18"/>
    <w:rsid w:val="00773B74"/>
    <w:rsid w:val="0078290C"/>
    <w:rsid w:val="0079513D"/>
    <w:rsid w:val="007B44DE"/>
    <w:rsid w:val="007C06CA"/>
    <w:rsid w:val="007C1162"/>
    <w:rsid w:val="007F1CA8"/>
    <w:rsid w:val="007F62CE"/>
    <w:rsid w:val="008163FB"/>
    <w:rsid w:val="0082605B"/>
    <w:rsid w:val="008458BB"/>
    <w:rsid w:val="00855C36"/>
    <w:rsid w:val="00857DBE"/>
    <w:rsid w:val="008701BC"/>
    <w:rsid w:val="00883D92"/>
    <w:rsid w:val="008A5362"/>
    <w:rsid w:val="008A6302"/>
    <w:rsid w:val="008F21F1"/>
    <w:rsid w:val="008F221B"/>
    <w:rsid w:val="008F5A2D"/>
    <w:rsid w:val="00921602"/>
    <w:rsid w:val="00930520"/>
    <w:rsid w:val="00942651"/>
    <w:rsid w:val="00952B98"/>
    <w:rsid w:val="00957EA1"/>
    <w:rsid w:val="00966E5B"/>
    <w:rsid w:val="009B4EF0"/>
    <w:rsid w:val="009D271F"/>
    <w:rsid w:val="009E388A"/>
    <w:rsid w:val="009E61FE"/>
    <w:rsid w:val="00A16A23"/>
    <w:rsid w:val="00A23C4E"/>
    <w:rsid w:val="00A42319"/>
    <w:rsid w:val="00A668CB"/>
    <w:rsid w:val="00A929C2"/>
    <w:rsid w:val="00AB605E"/>
    <w:rsid w:val="00AD0561"/>
    <w:rsid w:val="00AD0892"/>
    <w:rsid w:val="00AD097F"/>
    <w:rsid w:val="00AE63C7"/>
    <w:rsid w:val="00B02455"/>
    <w:rsid w:val="00B21C0C"/>
    <w:rsid w:val="00B25767"/>
    <w:rsid w:val="00B844F4"/>
    <w:rsid w:val="00B94556"/>
    <w:rsid w:val="00BA06A1"/>
    <w:rsid w:val="00BA4EC8"/>
    <w:rsid w:val="00BA770A"/>
    <w:rsid w:val="00BB1579"/>
    <w:rsid w:val="00BB7439"/>
    <w:rsid w:val="00BF0E6E"/>
    <w:rsid w:val="00BF1210"/>
    <w:rsid w:val="00C054DE"/>
    <w:rsid w:val="00C43013"/>
    <w:rsid w:val="00C61D5E"/>
    <w:rsid w:val="00C679A9"/>
    <w:rsid w:val="00C7541C"/>
    <w:rsid w:val="00C92B2F"/>
    <w:rsid w:val="00C95F66"/>
    <w:rsid w:val="00CC0FAA"/>
    <w:rsid w:val="00CD0736"/>
    <w:rsid w:val="00CE0EFF"/>
    <w:rsid w:val="00D1570F"/>
    <w:rsid w:val="00D32830"/>
    <w:rsid w:val="00D45B5F"/>
    <w:rsid w:val="00D76241"/>
    <w:rsid w:val="00D965A3"/>
    <w:rsid w:val="00DA2327"/>
    <w:rsid w:val="00DB7153"/>
    <w:rsid w:val="00DB7F05"/>
    <w:rsid w:val="00DC361E"/>
    <w:rsid w:val="00DD243B"/>
    <w:rsid w:val="00DF6F1A"/>
    <w:rsid w:val="00E028C3"/>
    <w:rsid w:val="00E14F77"/>
    <w:rsid w:val="00E26B73"/>
    <w:rsid w:val="00E3076B"/>
    <w:rsid w:val="00E36978"/>
    <w:rsid w:val="00E636AA"/>
    <w:rsid w:val="00E82A1E"/>
    <w:rsid w:val="00E84C5D"/>
    <w:rsid w:val="00E956D3"/>
    <w:rsid w:val="00EC06F4"/>
    <w:rsid w:val="00EE098A"/>
    <w:rsid w:val="00EE4E36"/>
    <w:rsid w:val="00EF1BCD"/>
    <w:rsid w:val="00F54CDD"/>
    <w:rsid w:val="00F66323"/>
    <w:rsid w:val="00F665F4"/>
    <w:rsid w:val="00F67121"/>
    <w:rsid w:val="00FD225F"/>
    <w:rsid w:val="19F64A40"/>
    <w:rsid w:val="24792CAD"/>
    <w:rsid w:val="31C2036A"/>
    <w:rsid w:val="320D02A5"/>
    <w:rsid w:val="348E566F"/>
    <w:rsid w:val="3A226944"/>
    <w:rsid w:val="3AEE6A48"/>
    <w:rsid w:val="3C1620AA"/>
    <w:rsid w:val="3D8F080F"/>
    <w:rsid w:val="44CE1FA4"/>
    <w:rsid w:val="47356C58"/>
    <w:rsid w:val="487F73ED"/>
    <w:rsid w:val="4A347EAE"/>
    <w:rsid w:val="4EE86F00"/>
    <w:rsid w:val="52600405"/>
    <w:rsid w:val="529B4319"/>
    <w:rsid w:val="57773DD6"/>
    <w:rsid w:val="578B79AB"/>
    <w:rsid w:val="5CCD3FD5"/>
    <w:rsid w:val="61FA5F9D"/>
    <w:rsid w:val="631A2044"/>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autoRedefine/>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autoRedefine/>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9"/>
    <w:link w:val="4"/>
    <w:autoRedefine/>
    <w:semiHidden/>
    <w:qFormat/>
    <w:uiPriority w:val="99"/>
    <w:rPr>
      <w:rFonts w:asciiTheme="minorHAnsi" w:hAnsiTheme="minorHAnsi" w:eastAsiaTheme="minorEastAsia" w:cstheme="minorBidi"/>
      <w:kern w:val="2"/>
      <w:sz w:val="18"/>
      <w:szCs w:val="18"/>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chart" Target="charts/chart4.xml"/><Relationship Id="rId34" Type="http://schemas.openxmlformats.org/officeDocument/2006/relationships/chart" Target="charts/chart3.xml"/><Relationship Id="rId33" Type="http://schemas.openxmlformats.org/officeDocument/2006/relationships/chart" Target="charts/chart2.xml"/><Relationship Id="rId32" Type="http://schemas.openxmlformats.org/officeDocument/2006/relationships/image" Target="media/image2.png"/><Relationship Id="rId31" Type="http://schemas.openxmlformats.org/officeDocument/2006/relationships/chart" Target="charts/chart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2019&#24180;&#20915;&#31639;&#20844;&#24320;\&#20915;&#31639;&#22270;&#2663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9&#24180;&#20915;&#31639;&#20844;&#24320;\&#20915;&#31639;&#22270;&#2663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9&#24180;&#20915;&#31639;&#20844;&#24320;\&#20915;&#31639;&#22270;&#26631;.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2019&#24180;&#20915;&#31639;&#20844;&#24320;\&#20915;&#31639;&#22270;&#266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745106385861"/>
          <c:w val="0.582788984348757"/>
          <c:h val="0.744385805770581"/>
        </c:manualLayout>
      </c:layout>
      <c:pieChart>
        <c:varyColors val="1"/>
        <c:ser>
          <c:idx val="0"/>
          <c:order val="0"/>
          <c:explosion val="0"/>
          <c:dPt>
            <c:idx val="0"/>
            <c:bubble3D val="0"/>
          </c:dPt>
          <c:dPt>
            <c:idx val="1"/>
            <c:bubble3D val="0"/>
          </c:dPt>
          <c:dLbls>
            <c:dLbl>
              <c:idx val="0"/>
              <c:layout>
                <c:manualLayout>
                  <c:x val="-0.0456394577575851"/>
                  <c:y val="-0.21475058185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05762891352248"/>
                  <c:y val="0.051822629966232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Sheet1!$A$1:$B$1</c:f>
              <c:strCache>
                <c:ptCount val="2"/>
                <c:pt idx="0">
                  <c:v>财政补助收入</c:v>
                </c:pt>
                <c:pt idx="1">
                  <c:v>事业收入</c:v>
                </c:pt>
              </c:strCache>
            </c:strRef>
          </c:cat>
          <c:val>
            <c:numRef>
              <c:f>Sheet1!$A$2:$B$2</c:f>
              <c:numCache>
                <c:formatCode>0.00%</c:formatCode>
                <c:ptCount val="2"/>
                <c:pt idx="0">
                  <c:v>1</c:v>
                </c:pt>
                <c:pt idx="1">
                  <c:v>0</c:v>
                </c:pt>
              </c:numCache>
            </c:numRef>
          </c:val>
        </c:ser>
        <c:dLbls>
          <c:showLegendKey val="0"/>
          <c:showVal val="1"/>
          <c:showCatName val="0"/>
          <c:showSerName val="0"/>
          <c:showPercent val="0"/>
          <c:showBubbleSize val="0"/>
          <c:showLeaderLines val="1"/>
        </c:dLbls>
        <c:firstSliceAng val="15"/>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Sheet1!$B$49</c:f>
              <c:strCache>
                <c:ptCount val="1"/>
                <c:pt idx="0">
                  <c:v>财政拨款收入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Sheet1!$C$48:$D$48</c:f>
              <c:numCache>
                <c:formatCode>General</c:formatCode>
                <c:ptCount val="2"/>
                <c:pt idx="0">
                  <c:v>2018</c:v>
                </c:pt>
                <c:pt idx="1">
                  <c:v>2019</c:v>
                </c:pt>
              </c:numCache>
            </c:numRef>
          </c:cat>
          <c:val>
            <c:numRef>
              <c:f>Sheet1!$C$49:$D$49</c:f>
              <c:numCache>
                <c:formatCode>0%</c:formatCode>
                <c:ptCount val="2"/>
                <c:pt idx="0">
                  <c:v>0</c:v>
                </c:pt>
                <c:pt idx="1" c:formatCode="0.00%">
                  <c:v>1</c:v>
                </c:pt>
              </c:numCache>
            </c:numRef>
          </c:val>
        </c:ser>
        <c:ser>
          <c:idx val="1"/>
          <c:order val="1"/>
          <c:tx>
            <c:strRef>
              <c:f>Sheet1!$B$50</c:f>
              <c:strCache>
                <c:ptCount val="1"/>
                <c:pt idx="0">
                  <c:v>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Sheet1!$C$48:$D$48</c:f>
              <c:numCache>
                <c:formatCode>General</c:formatCode>
                <c:ptCount val="2"/>
                <c:pt idx="0">
                  <c:v>2018</c:v>
                </c:pt>
                <c:pt idx="1">
                  <c:v>2019</c:v>
                </c:pt>
              </c:numCache>
            </c:numRef>
          </c:cat>
          <c:val>
            <c:numRef>
              <c:f>Sheet1!$C$50:$D$50</c:f>
              <c:numCache>
                <c:formatCode>0%</c:formatCode>
                <c:ptCount val="2"/>
                <c:pt idx="0">
                  <c:v>0</c:v>
                </c:pt>
                <c:pt idx="1" c:formatCode="0.00%">
                  <c:v>1</c:v>
                </c:pt>
              </c:numCache>
            </c:numRef>
          </c:val>
        </c:ser>
        <c:dLbls>
          <c:showLegendKey val="0"/>
          <c:showVal val="1"/>
          <c:showCatName val="0"/>
          <c:showSerName val="0"/>
          <c:showPercent val="0"/>
          <c:showBubbleSize val="0"/>
        </c:dLbls>
        <c:gapWidth val="150"/>
        <c:axId val="58000512"/>
        <c:axId val="58002432"/>
      </c:barChart>
      <c:catAx>
        <c:axId val="5800051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8002432"/>
        <c:crosses val="autoZero"/>
        <c:auto val="1"/>
        <c:lblAlgn val="ctr"/>
        <c:lblOffset val="100"/>
        <c:noMultiLvlLbl val="0"/>
      </c:catAx>
      <c:valAx>
        <c:axId val="5800243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80005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Sheet1!$B$49</c:f>
              <c:strCache>
                <c:ptCount val="1"/>
                <c:pt idx="0">
                  <c:v>财政拨款收入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Sheet1!$C$48:$D$48</c:f>
              <c:numCache>
                <c:formatCode>General</c:formatCode>
                <c:ptCount val="2"/>
                <c:pt idx="0">
                  <c:v>2018</c:v>
                </c:pt>
                <c:pt idx="1">
                  <c:v>2019</c:v>
                </c:pt>
              </c:numCache>
            </c:numRef>
          </c:cat>
          <c:val>
            <c:numRef>
              <c:f>Sheet1!$C$49:$D$49</c:f>
              <c:numCache>
                <c:formatCode>0%</c:formatCode>
                <c:ptCount val="2"/>
                <c:pt idx="0">
                  <c:v>0</c:v>
                </c:pt>
                <c:pt idx="1" c:formatCode="0.00%">
                  <c:v>1</c:v>
                </c:pt>
              </c:numCache>
            </c:numRef>
          </c:val>
        </c:ser>
        <c:ser>
          <c:idx val="1"/>
          <c:order val="1"/>
          <c:tx>
            <c:strRef>
              <c:f>Sheet1!$B$50</c:f>
              <c:strCache>
                <c:ptCount val="1"/>
                <c:pt idx="0">
                  <c:v>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Sheet1!$C$48:$D$48</c:f>
              <c:numCache>
                <c:formatCode>General</c:formatCode>
                <c:ptCount val="2"/>
                <c:pt idx="0">
                  <c:v>2018</c:v>
                </c:pt>
                <c:pt idx="1">
                  <c:v>2019</c:v>
                </c:pt>
              </c:numCache>
            </c:numRef>
          </c:cat>
          <c:val>
            <c:numRef>
              <c:f>Sheet1!$C$50:$D$50</c:f>
              <c:numCache>
                <c:formatCode>0%</c:formatCode>
                <c:ptCount val="2"/>
                <c:pt idx="0">
                  <c:v>0</c:v>
                </c:pt>
                <c:pt idx="1" c:formatCode="0.00%">
                  <c:v>1</c:v>
                </c:pt>
              </c:numCache>
            </c:numRef>
          </c:val>
        </c:ser>
        <c:dLbls>
          <c:showLegendKey val="0"/>
          <c:showVal val="1"/>
          <c:showCatName val="0"/>
          <c:showSerName val="0"/>
          <c:showPercent val="0"/>
          <c:showBubbleSize val="0"/>
        </c:dLbls>
        <c:gapWidth val="150"/>
        <c:axId val="85858176"/>
        <c:axId val="90132864"/>
      </c:barChart>
      <c:catAx>
        <c:axId val="8585817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0132864"/>
        <c:crosses val="autoZero"/>
        <c:auto val="1"/>
        <c:lblAlgn val="ctr"/>
        <c:lblOffset val="100"/>
        <c:noMultiLvlLbl val="0"/>
      </c:catAx>
      <c:valAx>
        <c:axId val="9013286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858176"/>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5929571303587"/>
          <c:y val="0.118055555555556"/>
          <c:w val="0.514968285214348"/>
          <c:h val="0.773148148148149"/>
        </c:manualLayout>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Sheet1!$A$69:$C$69</c:f>
              <c:strCache>
                <c:ptCount val="3"/>
                <c:pt idx="0">
                  <c:v>住房保障</c:v>
                </c:pt>
                <c:pt idx="1">
                  <c:v>社会保障和就业（类）支出</c:v>
                </c:pt>
                <c:pt idx="2">
                  <c:v>卫生健康（类）支出</c:v>
                </c:pt>
              </c:strCache>
            </c:strRef>
          </c:cat>
          <c:val>
            <c:numRef>
              <c:f>Sheet1!$A$70:$C$70</c:f>
              <c:numCache>
                <c:formatCode>0.00%</c:formatCode>
                <c:ptCount val="3"/>
                <c:pt idx="0">
                  <c:v>0.0001</c:v>
                </c:pt>
                <c:pt idx="1">
                  <c:v>0.9718</c:v>
                </c:pt>
                <c:pt idx="2">
                  <c:v>0.0281</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0.18542</cdr:x>
      <cdr:y>0.02778</cdr:y>
    </cdr:from>
    <cdr:to>
      <cdr:x>0.87083</cdr:x>
      <cdr:y>0.17361</cdr:y>
    </cdr:to>
    <cdr:sp>
      <cdr:nvSpPr>
        <cdr:cNvPr id="2" name="矩形 1"/>
        <cdr:cNvSpPr/>
      </cdr:nvSpPr>
      <cdr:spPr xmlns:a="http://schemas.openxmlformats.org/drawingml/2006/main">
        <a:xfrm xmlns:a="http://schemas.openxmlformats.org/drawingml/2006/main">
          <a:off x="847725" y="76201"/>
          <a:ext cx="3133725" cy="400050"/>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r>
            <a:rPr lang="zh-CN" altLang="en-US" sz="2000"/>
            <a:t>财政拨款支出决算结构</a:t>
          </a:r>
          <a:endParaRPr lang="zh-CN" altLang="en-US" sz="2000"/>
        </a:p>
      </cdr:txBody>
    </cdr:sp>
  </cdr:relSizeAnchor>
</c:userShapes>
</file>

<file path=word/drawings/drawing2.xml><?xml version="1.0" encoding="utf-8"?>
<c:userShapes xmlns:c="http://schemas.openxmlformats.org/drawingml/2006/chart">
  <cdr:relSizeAnchor xmlns:cdr="http://schemas.openxmlformats.org/drawingml/2006/chartDrawing">
    <cdr:from>
      <cdr:x>0.19957</cdr:x>
      <cdr:y>0.02579</cdr:y>
    </cdr:from>
    <cdr:to>
      <cdr:x>0.75271</cdr:x>
      <cdr:y>0.10033</cdr:y>
    </cdr:to>
    <cdr:sp>
      <cdr:nvSpPr>
        <cdr:cNvPr id="2" name="矩形 1"/>
        <cdr:cNvSpPr/>
      </cdr:nvSpPr>
      <cdr:spPr xmlns:a="http://schemas.openxmlformats.org/drawingml/2006/main">
        <a:xfrm xmlns:a="http://schemas.openxmlformats.org/drawingml/2006/main">
          <a:off x="876301" y="85724"/>
          <a:ext cx="2428875" cy="247810"/>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pPr algn="ctr"/>
          <a:r>
            <a:rPr lang="zh-CN" altLang="en-US" sz="2000"/>
            <a:t>本年收入</a:t>
          </a:r>
          <a:endParaRPr lang="zh-CN" altLang="en-US" sz="2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62436-43ED-463A-9536-F6207565D380}">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62</Pages>
  <Words>5081</Words>
  <Characters>28968</Characters>
  <Lines>241</Lines>
  <Paragraphs>67</Paragraphs>
  <TotalTime>1856</TotalTime>
  <ScaleCrop>false</ScaleCrop>
  <LinksUpToDate>false</LinksUpToDate>
  <CharactersWithSpaces>33982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颍宝</cp:lastModifiedBy>
  <cp:lastPrinted>2020-09-08T00:16:00Z</cp:lastPrinted>
  <dcterms:modified xsi:type="dcterms:W3CDTF">2024-04-12T10:00:13Z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2CDFAE149673402E974CE90A8BF9BBF7</vt:lpwstr>
  </property>
</Properties>
</file>