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Theme="minorEastAsia" w:hAnsiTheme="minorEastAsia" w:eastAsiaTheme="minorEastAsia"/>
          <w:b/>
          <w:sz w:val="72"/>
          <w:szCs w:val="72"/>
        </w:rPr>
      </w:pPr>
      <w:r>
        <w:rPr>
          <w:rFonts w:hint="eastAsia" w:hAnsi="宋体" w:asciiTheme="minorEastAsia" w:eastAsiaTheme="minorEastAsia"/>
          <w:color w:val="002060"/>
          <w:sz w:val="72"/>
          <w:szCs w:val="72"/>
        </w:rP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7"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c ga"/>
                    <pic:cNvPicPr>
                      <a:picLocks noChangeAspect="1"/>
                    </pic:cNvPicPr>
                  </pic:nvPicPr>
                  <pic:blipFill>
                    <a:blip r:embed="rId6" cstate="print"/>
                    <a:stretch>
                      <a:fillRect/>
                    </a:stretch>
                  </pic:blipFill>
                  <pic:spPr>
                    <a:xfrm>
                      <a:off x="0" y="0"/>
                      <a:ext cx="7576820" cy="10796905"/>
                    </a:xfrm>
                    <a:prstGeom prst="rect">
                      <a:avLst/>
                    </a:prstGeom>
                  </pic:spPr>
                </pic:pic>
              </a:graphicData>
            </a:graphic>
          </wp:anchor>
        </w:drawing>
      </w:r>
    </w:p>
    <w:p>
      <w:pPr>
        <w:widowControl/>
        <w:jc w:val="center"/>
        <w:rPr>
          <w:rFonts w:hAnsi="宋体" w:asciiTheme="minorEastAsia" w:eastAsiaTheme="minorEastAsia"/>
          <w:color w:val="002060"/>
          <w:sz w:val="72"/>
          <w:szCs w:val="72"/>
        </w:rPr>
      </w:pPr>
      <w:r>
        <w:rPr>
          <w:sz w:val="72"/>
        </w:rPr>
        <w:pict>
          <v:shape id="文本框 8" o:spid="_x0000_s1026" o:spt="202" type="#_x0000_t202" style="position:absolute;left:0pt;margin-left:-83.1pt;margin-top:43.25pt;height:166.25pt;width:596.2pt;z-index:25166028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青龙满族自治县委宣传部</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w:t>
                  </w:r>
                </w:p>
                <w:p>
                  <w:pPr>
                    <w:rPr>
                      <w:color w:val="FDEFBE"/>
                      <w:sz w:val="96"/>
                      <w:szCs w:val="96"/>
                    </w:rPr>
                  </w:pPr>
                </w:p>
              </w:txbxContent>
            </v:textbox>
          </v:shape>
        </w:pict>
      </w: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jc w:val="center"/>
        <w:rPr>
          <w:rFonts w:asciiTheme="minorEastAsia" w:hAnsiTheme="minorEastAsia" w:eastAsiaTheme="minorEastAsia"/>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 xml:space="preserve">      </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二〇一九年十月</w:t>
      </w:r>
    </w:p>
    <w:p>
      <w:pPr>
        <w:spacing w:beforeLines="200" w:after="0" w:line="1000" w:lineRule="exact"/>
        <w:jc w:val="center"/>
        <w:rPr>
          <w:rFonts w:ascii="黑体" w:eastAsia="黑体"/>
          <w:sz w:val="48"/>
          <w:szCs w:val="48"/>
        </w:rPr>
      </w:pPr>
      <w:r>
        <w:rPr>
          <w:sz w:val="48"/>
          <w:szCs w:val="28"/>
        </w:rPr>
        <w:pict>
          <v:group id="组合 179" o:spid="_x0000_s1027" o:spt="203" style="position:absolute;left:0pt;margin-left:-80.8pt;margin-top:39.95pt;height:46.7pt;width:250.05pt;mso-position-vertical-relative:page;z-index:251673600;mso-width-relative:page;mso-height-relative:page;" coordorigin="4551,52615" coordsize="8546,1398" o:allowoverlap="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">
            <o:lock v:ext="edit"/>
            <v:rect id="矩形 13" o:spid="_x0000_s1028"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CqsYA&#10;AADcAAAADwAAAGRycy9kb3ducmV2LnhtbESPQWvCQBCF7wX/wzIFb3VjDxKiq0hB8SBoU0V6G7Jj&#10;EpqdDdmtif5651DobYb35r1vFqvBNepGXag9G5hOElDEhbc1lwZOX5u3FFSIyBYbz2TgTgFWy9HL&#10;AjPre/6kWx5LJSEcMjRQxdhmWoeiIodh4lti0a6+cxhl7UptO+wl3DX6PUlm2mHN0lBhSx8VFT/5&#10;rzNwxcdxXW/p8T27HLbTPm/O+3RjzPh1WM9BRRriv/nvemcFPxV8eUYm0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CqsYAAADcAAAADwAAAAAAAAAAAAAAAACYAgAAZHJz&#10;L2Rvd25yZXYueG1sUEsFBgAAAAAEAAQA9QAAAIsDAAAAAA==&#10;">
              <v:path/>
              <v:fill on="t" focussize="0,0"/>
              <v:stroke on="f" weight="2pt"/>
              <v:imagedata o:title=""/>
              <o:lock v:ext="edit"/>
            </v:rect>
            <v:rect id="矩形 14" o:spid="_x0000_s1029"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oWiMMA&#10;AADcAAAADwAAAGRycy9kb3ducmV2LnhtbERPS2vCQBC+F/wPywje6iZia4iuwRaE9iI+CqW3aXZM&#10;gtnZkN08+u/dQqG3+fies8lGU4ueWldZVhDPIxDEudUVFwo+LvvHBITzyBpry6Tghxxk28nDBlNt&#10;Bz5Rf/aFCCHsUlRQet+kUrq8JINubhviwF1ta9AH2BZStziEcFPLRRQ9S4MVh4YSG3otKb+dO6Mg&#10;eSL9ufx+cX1+LBarJb8fuuOXUrPpuFuD8DT6f/Gf+02H+UkMv8+EC+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oWiMMAAADcAAAADwAAAAAAAAAAAAAAAACYAgAAZHJzL2Rv&#10;d25yZXYueG1sUEsFBgAAAAAEAAQA9QAAAIgDAAAAAA==&#10;">
              <v:path/>
              <v:fill on="t" focussize="0,0"/>
              <v:stroke weight="2pt" color="#845209"/>
              <v:imagedata o:title=""/>
              <o:lock v:ext="edit"/>
              <v:textbox>
                <w:txbxContent/>
              </v:textbox>
            </v:rect>
            <w10:anchorlock/>
          </v:group>
        </w:pict>
      </w:r>
      <w:r>
        <w:rPr>
          <w:rFonts w:hint="eastAsia" w:ascii="黑体" w:eastAsia="黑体"/>
          <w:sz w:val="48"/>
          <w:szCs w:val="48"/>
        </w:rPr>
        <w:t>目    录</w:t>
      </w:r>
    </w:p>
    <w:p>
      <w:pPr>
        <w:widowControl/>
        <w:spacing w:line="580" w:lineRule="exact"/>
        <w:ind w:firstLine="640" w:firstLineChars="200"/>
        <w:rPr>
          <w:rFonts w:asciiTheme="majorEastAsia" w:hAnsiTheme="majorEastAsia" w:eastAsiaTheme="majorEastAsia"/>
          <w:sz w:val="32"/>
          <w:szCs w:val="32"/>
        </w:rPr>
      </w:pPr>
    </w:p>
    <w:p>
      <w:pPr>
        <w:widowControl/>
        <w:spacing w:line="580" w:lineRule="exact"/>
        <w:ind w:firstLine="640" w:firstLineChars="200"/>
        <w:rPr>
          <w:rFonts w:asciiTheme="majorEastAsia" w:hAnsiTheme="majorEastAsia" w:eastAsiaTheme="majorEastAsia"/>
          <w:sz w:val="24"/>
          <w:szCs w:val="32"/>
        </w:rPr>
      </w:pPr>
      <w:r>
        <w:rPr>
          <w:rFonts w:asciiTheme="majorEastAsia" w:hAnsiTheme="majorEastAsia" w:eastAsiaTheme="majorEastAsia"/>
          <w:sz w:val="32"/>
          <w:szCs w:val="32"/>
        </w:rPr>
        <w:t>第一部分部门概况</w:t>
      </w:r>
    </w:p>
    <w:p>
      <w:pPr>
        <w:widowControl/>
        <w:spacing w:line="580" w:lineRule="exact"/>
        <w:ind w:firstLine="1273" w:firstLineChars="398"/>
        <w:rPr>
          <w:rFonts w:asciiTheme="majorEastAsia" w:hAnsiTheme="majorEastAsia" w:eastAsiaTheme="majorEastAsia"/>
          <w:sz w:val="32"/>
          <w:szCs w:val="32"/>
        </w:rPr>
      </w:pPr>
      <w:r>
        <w:rPr>
          <w:rFonts w:asciiTheme="majorEastAsia" w:hAnsiTheme="majorEastAsia" w:eastAsiaTheme="majorEastAsia"/>
          <w:sz w:val="32"/>
          <w:szCs w:val="32"/>
        </w:rPr>
        <w:t>一、部门</w:t>
      </w:r>
      <w:r>
        <w:rPr>
          <w:rFonts w:hint="eastAsia" w:asciiTheme="majorEastAsia" w:hAnsiTheme="majorEastAsia" w:eastAsiaTheme="majorEastAsia"/>
          <w:sz w:val="32"/>
          <w:szCs w:val="32"/>
        </w:rPr>
        <w:t>职责</w:t>
      </w:r>
    </w:p>
    <w:p>
      <w:pPr>
        <w:widowControl/>
        <w:spacing w:line="580" w:lineRule="exact"/>
        <w:ind w:firstLine="1273" w:firstLineChars="398"/>
        <w:rPr>
          <w:rFonts w:asciiTheme="majorEastAsia" w:hAnsiTheme="majorEastAsia" w:eastAsiaTheme="majorEastAsia"/>
          <w:sz w:val="32"/>
          <w:szCs w:val="32"/>
        </w:rPr>
      </w:pPr>
      <w:r>
        <w:rPr>
          <w:rFonts w:asciiTheme="majorEastAsia" w:hAnsiTheme="majorEastAsia" w:eastAsiaTheme="majorEastAsia"/>
          <w:sz w:val="32"/>
          <w:szCs w:val="32"/>
        </w:rPr>
        <w:t>二、</w:t>
      </w:r>
      <w:r>
        <w:rPr>
          <w:rFonts w:hint="eastAsia" w:asciiTheme="majorEastAsia" w:hAnsiTheme="majorEastAsia" w:eastAsiaTheme="majorEastAsia"/>
          <w:sz w:val="32"/>
          <w:szCs w:val="32"/>
        </w:rPr>
        <w:t>机构设置</w:t>
      </w:r>
    </w:p>
    <w:p>
      <w:pPr>
        <w:widowControl/>
        <w:spacing w:line="580" w:lineRule="exact"/>
        <w:ind w:firstLine="640" w:firstLineChars="200"/>
        <w:rPr>
          <w:rFonts w:asciiTheme="majorEastAsia" w:hAnsiTheme="majorEastAsia" w:eastAsiaTheme="majorEastAsia"/>
          <w:sz w:val="20"/>
          <w:szCs w:val="32"/>
        </w:rPr>
      </w:pPr>
      <w:r>
        <w:rPr>
          <w:rFonts w:asciiTheme="majorEastAsia" w:hAnsiTheme="majorEastAsia" w:eastAsiaTheme="majorEastAsia"/>
          <w:sz w:val="32"/>
          <w:szCs w:val="32"/>
        </w:rPr>
        <w:t>第二部分   201</w:t>
      </w:r>
      <w:r>
        <w:rPr>
          <w:rFonts w:hint="eastAsia" w:asciiTheme="majorEastAsia" w:hAnsiTheme="majorEastAsia" w:eastAsiaTheme="majorEastAsia"/>
          <w:sz w:val="32"/>
          <w:szCs w:val="32"/>
        </w:rPr>
        <w:t>8</w:t>
      </w:r>
      <w:r>
        <w:rPr>
          <w:rFonts w:asciiTheme="majorEastAsia" w:hAnsiTheme="majorEastAsia" w:eastAsiaTheme="majorEastAsia"/>
          <w:sz w:val="32"/>
          <w:szCs w:val="32"/>
        </w:rPr>
        <w:t>年度部门决算报表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一、收入支出决算总表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二、收入决算表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三、支出决算表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四、财政拨款收入支出决算总表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五、一般公共预算财政拨款支出决算表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六、一般公共预算财政拨款基本支出决算表</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七、</w:t>
      </w:r>
      <w:r>
        <w:rPr>
          <w:rFonts w:hint="eastAsia" w:asciiTheme="majorEastAsia" w:hAnsiTheme="majorEastAsia" w:eastAsiaTheme="majorEastAsia"/>
          <w:sz w:val="32"/>
          <w:szCs w:val="32"/>
        </w:rPr>
        <w:t>一般公共预算财政拨款</w:t>
      </w:r>
      <w:r>
        <w:rPr>
          <w:rFonts w:asciiTheme="majorEastAsia" w:hAnsiTheme="majorEastAsia" w:eastAsiaTheme="majorEastAsia"/>
          <w:sz w:val="32"/>
          <w:szCs w:val="32"/>
        </w:rPr>
        <w:t>“三公”经费</w:t>
      </w:r>
      <w:r>
        <w:rPr>
          <w:rFonts w:hint="eastAsia" w:asciiTheme="majorEastAsia" w:hAnsiTheme="majorEastAsia" w:eastAsiaTheme="majorEastAsia"/>
          <w:sz w:val="32"/>
          <w:szCs w:val="32"/>
        </w:rPr>
        <w:t>支出决算表</w:t>
      </w:r>
    </w:p>
    <w:p>
      <w:pPr>
        <w:widowControl/>
        <w:spacing w:line="580" w:lineRule="exact"/>
        <w:ind w:left="640" w:firstLine="640" w:firstLineChars="200"/>
        <w:rPr>
          <w:rFonts w:asciiTheme="majorEastAsia" w:hAnsiTheme="majorEastAsia" w:eastAsiaTheme="majorEastAsia"/>
          <w:sz w:val="32"/>
          <w:szCs w:val="32"/>
        </w:rPr>
      </w:pPr>
      <w:r>
        <w:rPr>
          <w:rFonts w:hint="eastAsia" w:asciiTheme="majorEastAsia" w:hAnsiTheme="majorEastAsia" w:eastAsiaTheme="majorEastAsia"/>
          <w:sz w:val="32"/>
          <w:szCs w:val="32"/>
        </w:rPr>
        <w:t>八、</w:t>
      </w:r>
      <w:r>
        <w:rPr>
          <w:rFonts w:asciiTheme="majorEastAsia" w:hAnsiTheme="majorEastAsia" w:eastAsiaTheme="majorEastAsia"/>
          <w:sz w:val="32"/>
          <w:szCs w:val="32"/>
        </w:rPr>
        <w:t>政府性基金预算财政拨款收入支出决算表</w:t>
      </w:r>
    </w:p>
    <w:p>
      <w:pPr>
        <w:widowControl/>
        <w:spacing w:line="580" w:lineRule="exact"/>
        <w:ind w:left="640" w:firstLine="640" w:firstLineChars="200"/>
        <w:rPr>
          <w:rFonts w:asciiTheme="majorEastAsia" w:hAnsiTheme="majorEastAsia" w:eastAsiaTheme="majorEastAsia"/>
          <w:sz w:val="32"/>
          <w:szCs w:val="32"/>
        </w:rPr>
      </w:pPr>
      <w:r>
        <w:rPr>
          <w:rFonts w:hint="eastAsia" w:asciiTheme="majorEastAsia" w:hAnsiTheme="majorEastAsia" w:eastAsiaTheme="majorEastAsia"/>
          <w:sz w:val="32"/>
          <w:szCs w:val="32"/>
        </w:rPr>
        <w:t>九</w:t>
      </w:r>
      <w:r>
        <w:rPr>
          <w:rFonts w:asciiTheme="majorEastAsia" w:hAnsiTheme="majorEastAsia" w:eastAsiaTheme="majorEastAsia"/>
          <w:sz w:val="32"/>
          <w:szCs w:val="32"/>
        </w:rPr>
        <w:t>、国有资本经营预算</w:t>
      </w:r>
      <w:r>
        <w:rPr>
          <w:rFonts w:hint="eastAsia" w:asciiTheme="majorEastAsia" w:hAnsiTheme="majorEastAsia" w:eastAsiaTheme="majorEastAsia"/>
          <w:sz w:val="32"/>
          <w:szCs w:val="32"/>
        </w:rPr>
        <w:t>财政拨款</w:t>
      </w:r>
      <w:r>
        <w:rPr>
          <w:rFonts w:asciiTheme="majorEastAsia" w:hAnsiTheme="majorEastAsia" w:eastAsiaTheme="majorEastAsia"/>
          <w:sz w:val="32"/>
          <w:szCs w:val="32"/>
        </w:rPr>
        <w:t>支出决算表</w:t>
      </w:r>
    </w:p>
    <w:p>
      <w:pPr>
        <w:widowControl/>
        <w:spacing w:line="580" w:lineRule="exact"/>
        <w:ind w:left="640" w:firstLine="640" w:firstLineChars="200"/>
        <w:rPr>
          <w:rFonts w:asciiTheme="majorEastAsia" w:hAnsiTheme="majorEastAsia" w:eastAsiaTheme="majorEastAsia"/>
          <w:sz w:val="32"/>
          <w:szCs w:val="32"/>
        </w:rPr>
      </w:pPr>
      <w:r>
        <w:rPr>
          <w:rFonts w:hint="eastAsia" w:asciiTheme="majorEastAsia" w:hAnsiTheme="majorEastAsia" w:eastAsiaTheme="majorEastAsia"/>
          <w:sz w:val="32"/>
          <w:szCs w:val="32"/>
        </w:rPr>
        <w:t>十</w:t>
      </w:r>
      <w:r>
        <w:rPr>
          <w:rFonts w:asciiTheme="majorEastAsia" w:hAnsiTheme="majorEastAsia" w:eastAsiaTheme="majorEastAsia"/>
          <w:sz w:val="32"/>
          <w:szCs w:val="32"/>
        </w:rPr>
        <w:t>、政府采购情况表</w:t>
      </w:r>
    </w:p>
    <w:p>
      <w:pPr>
        <w:widowControl/>
        <w:spacing w:line="580" w:lineRule="exact"/>
        <w:ind w:firstLine="640" w:firstLineChars="200"/>
        <w:rPr>
          <w:rFonts w:asciiTheme="majorEastAsia" w:hAnsiTheme="majorEastAsia" w:eastAsiaTheme="majorEastAsia"/>
          <w:sz w:val="32"/>
          <w:szCs w:val="32"/>
        </w:rPr>
      </w:pPr>
    </w:p>
    <w:p>
      <w:pPr>
        <w:widowControl/>
        <w:spacing w:line="580" w:lineRule="exact"/>
        <w:ind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 xml:space="preserve">第三部分 </w:t>
      </w:r>
      <w:r>
        <w:rPr>
          <w:rFonts w:hint="eastAsia" w:asciiTheme="majorEastAsia" w:hAnsiTheme="majorEastAsia" w:eastAsiaTheme="majorEastAsia"/>
          <w:sz w:val="32"/>
          <w:szCs w:val="32"/>
        </w:rPr>
        <w:t>青龙满族自治县委宣传部</w:t>
      </w:r>
      <w:r>
        <w:rPr>
          <w:rFonts w:asciiTheme="majorEastAsia" w:hAnsiTheme="majorEastAsia" w:eastAsiaTheme="majorEastAsia"/>
          <w:sz w:val="32"/>
          <w:szCs w:val="32"/>
        </w:rPr>
        <w:t>201</w:t>
      </w:r>
      <w:r>
        <w:rPr>
          <w:rFonts w:hint="eastAsia" w:asciiTheme="majorEastAsia" w:hAnsiTheme="majorEastAsia" w:eastAsiaTheme="majorEastAsia"/>
          <w:sz w:val="32"/>
          <w:szCs w:val="32"/>
        </w:rPr>
        <w:t>8</w:t>
      </w:r>
      <w:r>
        <w:rPr>
          <w:rFonts w:asciiTheme="majorEastAsia" w:hAnsiTheme="majorEastAsia" w:eastAsiaTheme="majorEastAsia"/>
          <w:sz w:val="32"/>
          <w:szCs w:val="32"/>
        </w:rPr>
        <w:t>年部门决算情况说明</w:t>
      </w:r>
      <w:r>
        <w:rPr>
          <w:rFonts w:asciiTheme="majorEastAsia" w:hAnsiTheme="majorEastAsia" w:eastAsiaTheme="majorEastAsia"/>
          <w:sz w:val="44"/>
        </w:rPr>
        <w:pict>
          <v:group id="组合 176" o:spid="_x0000_s1030" o:spt="203" style="position:absolute;left:0pt;margin-left:-80.8pt;margin-top:38.95pt;height:46.7pt;width:222.8pt;mso-position-vertical-relative:page;z-index:25167257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">
            <o:lock v:ext="edit"/>
            <v:rect id="矩形 13" o:spid="_x0000_s1031"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4q+cIA&#10;AADcAAAADwAAAGRycy9kb3ducmV2LnhtbERPTYvCMBC9L/gfwgje1lQPKtUoIigeBNeqiLehGdti&#10;MylNtNVfvxEW9jaP9zmzRWtK8aTaFZYVDPoRCOLU6oIzBafj+nsCwnlkjaVlUvAiB4t552uGsbYN&#10;H+iZ+EyEEHYxKsi9r2IpXZqTQde3FXHgbrY26AOsM6lrbEK4KeUwikbSYMGhIceKVjml9+RhFNzw&#10;/bMsNvS+ji77zaBJyvNuslaq122XUxCeWv8v/nNvdZg/HsPn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Hir5wgAAANwAAAAPAAAAAAAAAAAAAAAAAJgCAABkcnMvZG93&#10;bnJldi54bWxQSwUGAAAAAAQABAD1AAAAhwMAAAAA&#10;">
              <v:path/>
              <v:fill on="t" focussize="0,0"/>
              <v:stroke on="f" weight="2pt"/>
              <v:imagedata o:title=""/>
              <o:lock v:ext="edit"/>
            </v:rect>
            <v:rect id="矩形 14" o:spid="_x0000_s1032"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XPMsYA&#10;AADcAAAADwAAAGRycy9kb3ducmV2LnhtbESPQWvCQBCF74L/YZmCN91UtErqJtiCoJeitlB6m2an&#10;SWh2NmTXGP9951DwNsN78943m3xwjeqpC7VnA4+zBBRx4W3NpYGP9910DSpEZIuNZzJwowB5Nh5t&#10;MLX+yifqz7FUEsIhRQNVjG2qdSgqchhmviUW7cd3DqOsXalth1cJd42eJ8mTdlizNFTY0mtFxe/5&#10;4gysl2Q/F98voS+O5Xy14MPb5fhlzORh2D6DijTEu/n/em8FfyW08oxMo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XPMsYAAADcAAAADwAAAAAAAAAAAAAAAACYAgAAZHJz&#10;L2Rvd25yZXYueG1sUEsFBgAAAAAEAAQA9QAAAIs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2018年度部门决算☞目 录</w:t>
                    </w:r>
                  </w:p>
                  <w:p>
                    <w:pPr>
                      <w:jc w:val="center"/>
                    </w:pPr>
                  </w:p>
                </w:txbxContent>
              </v:textbox>
            </v:rect>
            <w10:anchorlock/>
          </v:group>
        </w:pic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一、收入支出决算总体情况说明</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二、收入决算情况说明</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三、支出决算情况说明</w:t>
      </w:r>
    </w:p>
    <w:p>
      <w:pPr>
        <w:widowControl/>
        <w:spacing w:line="580" w:lineRule="exact"/>
        <w:ind w:left="640"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四、财政拨款收入支出决算情况说明</w:t>
      </w:r>
    </w:p>
    <w:p>
      <w:pPr>
        <w:widowControl/>
        <w:spacing w:line="580" w:lineRule="exact"/>
        <w:ind w:left="640" w:firstLine="640" w:firstLineChars="200"/>
        <w:rPr>
          <w:rFonts w:asciiTheme="majorEastAsia" w:hAnsiTheme="majorEastAsia" w:eastAsiaTheme="majorEastAsia"/>
          <w:sz w:val="32"/>
          <w:szCs w:val="32"/>
        </w:rPr>
      </w:pPr>
      <w:r>
        <w:rPr>
          <w:rFonts w:hint="eastAsia" w:asciiTheme="majorEastAsia" w:hAnsiTheme="majorEastAsia" w:eastAsiaTheme="majorEastAsia"/>
          <w:sz w:val="32"/>
          <w:szCs w:val="32"/>
        </w:rPr>
        <w:t>五、一般公共预算财政拨款</w:t>
      </w:r>
      <w:r>
        <w:rPr>
          <w:rFonts w:asciiTheme="majorEastAsia" w:hAnsiTheme="majorEastAsia" w:eastAsiaTheme="majorEastAsia"/>
          <w:sz w:val="32"/>
          <w:szCs w:val="32"/>
        </w:rPr>
        <w:t>“三公”经费支出决算情况说明</w:t>
      </w:r>
    </w:p>
    <w:p>
      <w:pPr>
        <w:widowControl/>
        <w:spacing w:line="580" w:lineRule="exact"/>
        <w:ind w:left="640" w:firstLine="640" w:firstLineChars="200"/>
        <w:rPr>
          <w:rFonts w:asciiTheme="majorEastAsia" w:hAnsiTheme="majorEastAsia" w:eastAsiaTheme="majorEastAsia"/>
          <w:sz w:val="32"/>
          <w:szCs w:val="32"/>
        </w:rPr>
      </w:pPr>
      <w:r>
        <w:rPr>
          <w:rFonts w:hint="eastAsia" w:asciiTheme="majorEastAsia" w:hAnsiTheme="majorEastAsia" w:eastAsiaTheme="majorEastAsia"/>
          <w:sz w:val="32"/>
          <w:szCs w:val="32"/>
        </w:rPr>
        <w:t>六</w:t>
      </w:r>
      <w:r>
        <w:rPr>
          <w:rFonts w:asciiTheme="majorEastAsia" w:hAnsiTheme="majorEastAsia" w:eastAsiaTheme="majorEastAsia"/>
          <w:sz w:val="32"/>
          <w:szCs w:val="32"/>
        </w:rPr>
        <w:t>、预算绩效情况说明</w:t>
      </w:r>
    </w:p>
    <w:p>
      <w:pPr>
        <w:widowControl/>
        <w:spacing w:line="580" w:lineRule="exact"/>
        <w:ind w:left="640" w:firstLine="640" w:firstLineChars="200"/>
        <w:rPr>
          <w:rFonts w:asciiTheme="majorEastAsia" w:hAnsiTheme="majorEastAsia" w:eastAsiaTheme="majorEastAsia"/>
          <w:sz w:val="32"/>
          <w:szCs w:val="32"/>
        </w:rPr>
      </w:pPr>
      <w:r>
        <w:rPr>
          <w:rFonts w:hint="eastAsia" w:asciiTheme="majorEastAsia" w:hAnsiTheme="majorEastAsia" w:eastAsiaTheme="majorEastAsia"/>
          <w:sz w:val="32"/>
          <w:szCs w:val="32"/>
        </w:rPr>
        <w:t>七</w:t>
      </w:r>
      <w:r>
        <w:rPr>
          <w:rFonts w:asciiTheme="majorEastAsia" w:hAnsiTheme="majorEastAsia" w:eastAsiaTheme="majorEastAsia"/>
          <w:sz w:val="32"/>
          <w:szCs w:val="32"/>
        </w:rPr>
        <w:t>、其他重要事项的说明</w:t>
      </w:r>
    </w:p>
    <w:p>
      <w:pPr>
        <w:widowControl/>
        <w:spacing w:line="580" w:lineRule="exact"/>
        <w:ind w:firstLine="640" w:firstLineChars="200"/>
        <w:rPr>
          <w:rFonts w:asciiTheme="majorEastAsia" w:hAnsiTheme="majorEastAsia" w:eastAsiaTheme="majorEastAsia"/>
          <w:sz w:val="32"/>
          <w:szCs w:val="32"/>
        </w:rPr>
      </w:pPr>
      <w:r>
        <w:rPr>
          <w:rFonts w:asciiTheme="majorEastAsia" w:hAnsiTheme="majorEastAsia" w:eastAsiaTheme="majorEastAsia"/>
          <w:sz w:val="32"/>
          <w:szCs w:val="32"/>
        </w:rPr>
        <w:t>第四部分名词解释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rPr>
          <w:rFonts w:hint="eastAsia" w:ascii="宋体" w:hAnsi="宋体" w:cs="ArialUnicodeMS"/>
          <w:color w:val="000000"/>
          <w:kern w:val="0"/>
        </w:rP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
                    <pic:cNvPicPr>
                      <a:picLocks noChangeAspect="1"/>
                    </pic:cNvPicPr>
                  </pic:nvPicPr>
                  <pic:blipFill>
                    <a:blip r:embed="rId7" cstate="print"/>
                    <a:stretch>
                      <a:fillRect/>
                    </a:stretch>
                  </pic:blipFill>
                  <pic:spPr>
                    <a:xfrm>
                      <a:off x="0" y="0"/>
                      <a:ext cx="7585710" cy="10727055"/>
                    </a:xfrm>
                    <a:prstGeom prst="rect">
                      <a:avLst/>
                    </a:prstGeom>
                  </pic:spPr>
                </pic:pic>
              </a:graphicData>
            </a:graphic>
          </wp:anchor>
        </w:drawing>
      </w:r>
      <w:r>
        <w:rPr>
          <w:sz w:val="72"/>
        </w:rPr>
        <w:pict>
          <v:shape id="文本框 118" o:spid="_x0000_s1033" o:spt="202" type="#_x0000_t202" style="position:absolute;left:0pt;margin-left:-97.3pt;margin-top:259.1pt;height:81.7pt;width:613.65pt;z-index:25167052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">
            <v:path/>
            <v:fill on="f" focussize="0,0"/>
            <v:stroke on="f" weight="0.5pt" joinstyle="miter"/>
            <v:imagedata o:title=""/>
            <o:lock v:ext="edit"/>
            <v:textbox>
              <w:txbxContent>
                <w:p>
                  <w:pPr>
                    <w:widowControl/>
                    <w:jc w:val="center"/>
                    <w:rPr>
                      <w:color w:val="FDEFBE"/>
                      <w:sz w:val="96"/>
                      <w:szCs w:val="96"/>
                    </w:rPr>
                  </w:pPr>
                  <w:r>
                    <w:rPr>
                      <w:rFonts w:hint="eastAsia" w:hAnsi="宋体" w:asciiTheme="minorEastAsia" w:eastAsiaTheme="minorEastAsia"/>
                      <w:color w:val="FDEFBE"/>
                      <w:sz w:val="96"/>
                      <w:szCs w:val="96"/>
                    </w:rPr>
                    <w:t>第一部分  部门概况</w:t>
                  </w:r>
                </w:p>
              </w:txbxContent>
            </v:textbox>
          </v:shape>
        </w:pict>
      </w:r>
    </w:p>
    <w:p/>
    <w:p/>
    <w:p/>
    <w:p/>
    <w:p/>
    <w:p/>
    <w:p/>
    <w:p/>
    <w:p/>
    <w:p/>
    <w:p/>
    <w:p/>
    <w:p/>
    <w:p/>
    <w:p/>
    <w:p>
      <w:pPr>
        <w:pStyle w:val="2"/>
        <w:spacing w:before="0" w:after="0" w:line="600" w:lineRule="exact"/>
        <w:jc w:val="left"/>
        <w:rPr>
          <w:rFonts w:ascii="黑体" w:eastAsia="黑体" w:cs="黑体" w:hAnsiTheme="minorHAnsi"/>
          <w:b w:val="0"/>
          <w:bCs w:val="0"/>
          <w:kern w:val="0"/>
          <w:sz w:val="32"/>
          <w:szCs w:val="32"/>
        </w:rPr>
      </w:pPr>
      <w:r>
        <w:rPr>
          <w:b w:val="0"/>
          <w:bCs w:val="0"/>
          <w:sz w:val="32"/>
          <w:szCs w:val="32"/>
        </w:rPr>
        <w:pict>
          <v:group id="组合 15" o:spid="_x0000_s1034" o:spt="203" style="position:absolute;left:0pt;margin-left:-80.8pt;margin-top:39.5pt;height:46.7pt;width:245.25pt;mso-position-vertical-relative:page;z-index:25166233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">
            <o:lock v:ext="edit"/>
            <v:rect id="矩形 13" o:spid="_x0000_s1035"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WQisMA&#10;AADbAAAADwAAAGRycy9kb3ducmV2LnhtbERPS2vCQBC+C/6HZYTezEYLEtKsIgXFQ6E2bSm9DdnJ&#10;g2ZnQ3Zr0vx6tyB4m4/vOdluNK24UO8aywpWUQyCuLC64UrBx/thmYBwHllja5kU/JGD3XY+yzDV&#10;duA3uuS+EiGEXYoKau+7VEpX1GTQRbYjDlxpe4M+wL6SuschhJtWruN4Iw02HBpq7Oi5puIn/zUK&#10;SpzO++ZI0/fm6/W4GvL28yU5KPWwGPdPIDyN/i6+uU86zH+E/1/CAXJ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WQisMAAADbAAAADwAAAAAAAAAAAAAAAACYAgAAZHJzL2Rv&#10;d25yZXYueG1sUEsFBgAAAAAEAAQA9QAAAIgDAAAAAA==&#10;">
              <v:path/>
              <v:fill on="t" focussize="0,0"/>
              <v:stroke on="f" weight="2pt"/>
              <v:imagedata o:title=""/>
              <o:lock v:ext="edit"/>
            </v:rect>
            <v:rect id="矩形 14" o:spid="_x0000_s1036"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o6cEA&#10;AADbAAAADwAAAGRycy9kb3ducmV2LnhtbERPS4vCMBC+C/sfwix403Slu0o1yioIehFfIN7GZmyL&#10;zaQ0sXb/vVkQvM3H95zJrDWlaKh2hWUFX/0IBHFqdcGZguNh2RuBcB5ZY2mZFPyRg9n0ozPBRNsH&#10;76jZ+0yEEHYJKsi9rxIpXZqTQde3FXHgrrY26AOsM6lrfIRwU8pBFP1IgwWHhhwrWuSU3vZ3o2D0&#10;TfoUX+auSbfZYBjzenPfnpXqfra/YxCeWv8Wv9wrHebH8P9LOEB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KOnBAAAA2wAAAA8AAAAAAAAAAAAAAAAAmAIAAGRycy9kb3du&#10;cmV2LnhtbFBLBQYAAAAABAAEAPUAAACG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2018年度部门决算☞部门概况</w:t>
                    </w:r>
                  </w:p>
                  <w:p>
                    <w:pPr>
                      <w:jc w:val="center"/>
                    </w:pPr>
                  </w:p>
                </w:txbxContent>
              </v:textbox>
            </v:rect>
            <w10:anchorlock/>
          </v:group>
        </w:pict>
      </w:r>
      <w:r>
        <w:rPr>
          <w:rFonts w:hint="eastAsia" w:ascii="黑体" w:eastAsia="黑体" w:cs="黑体" w:hAnsiTheme="minorHAnsi"/>
          <w:b w:val="0"/>
          <w:bCs w:val="0"/>
          <w:kern w:val="0"/>
          <w:sz w:val="32"/>
          <w:szCs w:val="32"/>
        </w:rPr>
        <w:t>一、部门职责</w:t>
      </w:r>
    </w:p>
    <w:p>
      <w:pPr>
        <w:pStyle w:val="2"/>
        <w:spacing w:before="0" w:after="0" w:line="600" w:lineRule="exact"/>
        <w:ind w:firstLine="640" w:firstLineChars="200"/>
        <w:jc w:val="left"/>
        <w:rPr>
          <w:rFonts w:ascii="仿宋" w:hAnsi="仿宋" w:eastAsia="仿宋" w:cs="ArialUnicodeMS"/>
          <w:b w:val="0"/>
          <w:bCs w:val="0"/>
          <w:kern w:val="0"/>
          <w:sz w:val="32"/>
          <w:szCs w:val="32"/>
        </w:rPr>
      </w:pPr>
      <w:r>
        <w:rPr>
          <w:rFonts w:ascii="仿宋" w:hAnsi="仿宋" w:eastAsia="仿宋" w:cs="ArialUnicodeMS"/>
          <w:b w:val="0"/>
          <w:bCs w:val="0"/>
          <w:kern w:val="0"/>
          <w:sz w:val="32"/>
          <w:szCs w:val="32"/>
        </w:rPr>
        <w:t>（一）负责组织指导全县干部理论教育、农民教育、职工教育，队伍理论建设、教育队 伍建设和宣传阵地建设</w:t>
      </w:r>
      <w:r>
        <w:rPr>
          <w:rFonts w:hint="eastAsia" w:ascii="仿宋" w:hAnsi="仿宋" w:eastAsia="仿宋" w:cs="ArialUnicodeMS"/>
          <w:b w:val="0"/>
          <w:bCs w:val="0"/>
          <w:kern w:val="0"/>
          <w:sz w:val="32"/>
          <w:szCs w:val="32"/>
        </w:rPr>
        <w:t>。</w:t>
      </w:r>
      <w:r>
        <w:rPr>
          <w:rFonts w:ascii="仿宋" w:hAnsi="仿宋" w:eastAsia="仿宋" w:cs="ArialUnicodeMS"/>
          <w:b w:val="0"/>
          <w:bCs w:val="0"/>
          <w:kern w:val="0"/>
          <w:sz w:val="32"/>
          <w:szCs w:val="32"/>
        </w:rPr>
        <w:t>（二）负责全县的党员理论教育、路线方针教育、形势教育的计划安排辅导，编印有关 教育教材；负责总结宣传先进典型和基层党校建设。 （三）负责围绕党在各个时期的中心工作搞好宣传教育。（四）负责引导社会舆论，指导协调广播电视新闻工作，对广播电视管理局的工作实施 政治方向和方针、政策指导。（五）负责规划、部署全县精神文明建设活动，对全县文明单位、文明乡镇、文明村、 文明户进行检查评比。（六）负责从宏观上指导全县精神产品生产和文化市场的管理，对县文化体育和文联等 工作实施政治方向和方针政策的指导。</w:t>
      </w:r>
      <w:r>
        <w:rPr>
          <w:rFonts w:hint="eastAsia" w:ascii="仿宋" w:hAnsi="仿宋" w:eastAsia="仿宋" w:cs="ArialUnicodeMS"/>
          <w:b w:val="0"/>
          <w:bCs w:val="0"/>
          <w:kern w:val="0"/>
          <w:sz w:val="32"/>
          <w:szCs w:val="32"/>
        </w:rPr>
        <w:t xml:space="preserve"> </w:t>
      </w:r>
      <w:r>
        <w:rPr>
          <w:rFonts w:ascii="仿宋" w:hAnsi="仿宋" w:eastAsia="仿宋" w:cs="ArialUnicodeMS"/>
          <w:b w:val="0"/>
          <w:bCs w:val="0"/>
          <w:kern w:val="0"/>
          <w:sz w:val="32"/>
          <w:szCs w:val="32"/>
        </w:rPr>
        <w:t>(七）对乡镇党委宣传干部的调整、任免提出建议；负责政工系列职称评定工作。</w:t>
      </w:r>
    </w:p>
    <w:p>
      <w:pPr>
        <w:pStyle w:val="2"/>
        <w:spacing w:before="0" w:after="0" w:line="600" w:lineRule="exact"/>
        <w:jc w:val="left"/>
        <w:rPr>
          <w:rFonts w:ascii="黑体" w:eastAsia="黑体" w:cs="黑体" w:hAnsiTheme="minorHAnsi"/>
          <w:b w:val="0"/>
          <w:bCs w:val="0"/>
          <w:kern w:val="0"/>
          <w:sz w:val="32"/>
          <w:szCs w:val="32"/>
        </w:rPr>
      </w:pPr>
      <w:r>
        <w:rPr>
          <w:rFonts w:hint="eastAsia" w:ascii="黑体" w:eastAsia="黑体" w:cs="黑体" w:hAnsiTheme="minorHAnsi"/>
          <w:b w:val="0"/>
          <w:bCs w:val="0"/>
          <w:kern w:val="0"/>
          <w:sz w:val="32"/>
          <w:szCs w:val="32"/>
        </w:rPr>
        <w:t>二、机构设置</w:t>
      </w:r>
    </w:p>
    <w:p>
      <w:pPr>
        <w:spacing w:after="0" w:line="560" w:lineRule="exact"/>
        <w:ind w:firstLine="640" w:firstLineChars="200"/>
        <w:rPr>
          <w:rFonts w:ascii="仿宋_GB2312" w:eastAsia="仿宋_GB2312" w:cs="ArialUnicodeMS" w:hAnsiTheme="minorHAnsi"/>
          <w:kern w:val="0"/>
          <w:sz w:val="32"/>
          <w:szCs w:val="32"/>
        </w:rPr>
      </w:pPr>
      <w:r>
        <w:rPr>
          <w:rFonts w:hint="eastAsia" w:ascii="仿宋" w:hAnsi="仿宋" w:eastAsia="仿宋" w:cs="ArialUnicodeMS"/>
          <w:kern w:val="0"/>
          <w:sz w:val="32"/>
          <w:szCs w:val="32"/>
        </w:rPr>
        <w:t>从决算编报单位构成看，纳入2018 年度本部门决算汇编范围的独立核算单位（以下简称“单位”）共 1个，无下属独立核算单位，具体情况如下：</w:t>
      </w:r>
    </w:p>
    <w:tbl>
      <w:tblPr>
        <w:tblStyle w:val="13"/>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序号</w:t>
            </w:r>
          </w:p>
        </w:tc>
        <w:tc>
          <w:tcPr>
            <w:tcW w:w="348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单位名称</w:t>
            </w:r>
          </w:p>
        </w:tc>
        <w:tc>
          <w:tcPr>
            <w:tcW w:w="244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单位基本性质</w:t>
            </w:r>
          </w:p>
        </w:tc>
        <w:tc>
          <w:tcPr>
            <w:tcW w:w="2665" w:type="dxa"/>
            <w:vAlign w:val="center"/>
          </w:tcPr>
          <w:p>
            <w:pPr>
              <w:spacing w:after="0" w:line="560" w:lineRule="exact"/>
              <w:jc w:val="center"/>
              <w:rPr>
                <w:rFonts w:ascii="仿宋_GB2312" w:eastAsia="仿宋_GB2312" w:cs="ArialUnicodeMS" w:hAnsiTheme="minorHAnsi"/>
                <w:b/>
                <w:bCs/>
                <w:kern w:val="0"/>
                <w:sz w:val="28"/>
                <w:szCs w:val="28"/>
              </w:rPr>
            </w:pPr>
            <w:r>
              <w:rPr>
                <w:rFonts w:hint="eastAsia" w:ascii="仿宋_GB2312" w:eastAsia="仿宋_GB2312" w:cs="ArialUnicodeMS" w:hAnsiTheme="minorHAnsi"/>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rPr>
                <w:rFonts w:cs="宋体" w:asciiTheme="majorEastAsia" w:hAnsiTheme="majorEastAsia" w:eastAsiaTheme="majorEastAsia"/>
                <w:b/>
                <w:kern w:val="0"/>
                <w:sz w:val="32"/>
                <w:szCs w:val="32"/>
              </w:rPr>
            </w:pPr>
            <w:r>
              <w:rPr>
                <w:rFonts w:hint="eastAsia" w:cs="宋体" w:asciiTheme="majorEastAsia" w:hAnsiTheme="majorEastAsia" w:eastAsiaTheme="majorEastAsia"/>
                <w:b/>
                <w:kern w:val="0"/>
                <w:sz w:val="32"/>
                <w:szCs w:val="32"/>
              </w:rPr>
              <w:t>1</w:t>
            </w:r>
          </w:p>
        </w:tc>
        <w:tc>
          <w:tcPr>
            <w:tcW w:w="3485" w:type="dxa"/>
          </w:tcPr>
          <w:p>
            <w:pPr>
              <w:spacing w:after="0" w:line="560" w:lineRule="exact"/>
              <w:rPr>
                <w:rFonts w:cs="ArialUnicodeMS" w:asciiTheme="majorEastAsia" w:hAnsiTheme="majorEastAsia" w:eastAsiaTheme="majorEastAsia"/>
                <w:b/>
                <w:kern w:val="0"/>
                <w:sz w:val="32"/>
                <w:szCs w:val="32"/>
              </w:rPr>
            </w:pPr>
            <w:r>
              <w:rPr>
                <w:rFonts w:asciiTheme="majorEastAsia" w:hAnsiTheme="majorEastAsia" w:eastAsiaTheme="majorEastAsia"/>
                <w:b/>
                <w:sz w:val="32"/>
                <w:szCs w:val="32"/>
              </w:rPr>
              <w:t>中共青龙满族自治县委员会宣传部</w:t>
            </w:r>
          </w:p>
        </w:tc>
        <w:tc>
          <w:tcPr>
            <w:tcW w:w="2445" w:type="dxa"/>
          </w:tcPr>
          <w:p>
            <w:pPr>
              <w:spacing w:after="0" w:line="560" w:lineRule="exact"/>
              <w:jc w:val="center"/>
              <w:rPr>
                <w:rFonts w:cs="ArialUnicodeMS" w:asciiTheme="majorEastAsia" w:hAnsiTheme="majorEastAsia" w:eastAsiaTheme="majorEastAsia"/>
                <w:b/>
                <w:kern w:val="0"/>
                <w:sz w:val="32"/>
                <w:szCs w:val="32"/>
              </w:rPr>
            </w:pPr>
            <w:r>
              <w:rPr>
                <w:rFonts w:hint="eastAsia" w:cs="ArialUnicodeMS" w:asciiTheme="majorEastAsia" w:hAnsiTheme="majorEastAsia" w:eastAsiaTheme="majorEastAsia"/>
                <w:b/>
                <w:kern w:val="0"/>
                <w:sz w:val="32"/>
                <w:szCs w:val="32"/>
              </w:rPr>
              <w:t>行政单位</w:t>
            </w:r>
          </w:p>
        </w:tc>
        <w:tc>
          <w:tcPr>
            <w:tcW w:w="2665" w:type="dxa"/>
          </w:tcPr>
          <w:p>
            <w:pPr>
              <w:spacing w:after="0" w:line="560" w:lineRule="exact"/>
              <w:jc w:val="center"/>
              <w:rPr>
                <w:rFonts w:cs="ArialUnicodeMS" w:asciiTheme="majorEastAsia" w:hAnsiTheme="majorEastAsia" w:eastAsiaTheme="majorEastAsia"/>
                <w:b/>
                <w:kern w:val="0"/>
                <w:sz w:val="32"/>
                <w:szCs w:val="32"/>
              </w:rPr>
            </w:pPr>
            <w:r>
              <w:rPr>
                <w:rFonts w:hint="eastAsia" w:cs="ArialUnicodeMS" w:asciiTheme="majorEastAsia" w:hAnsiTheme="majorEastAsia" w:eastAsiaTheme="majorEastAsia"/>
                <w:b/>
                <w:kern w:val="0"/>
                <w:sz w:val="32"/>
                <w:szCs w:val="32"/>
              </w:rPr>
              <w:t>财政拨款</w:t>
            </w:r>
          </w:p>
        </w:tc>
      </w:tr>
    </w:tbl>
    <w:p>
      <w:pPr>
        <w:widowControl/>
        <w:spacing w:line="560" w:lineRule="exact"/>
        <w:jc w:val="center"/>
        <w:rPr>
          <w:rFonts w:ascii="黑体" w:eastAsia="黑体" w:cs="MS-UIGothic,Bold" w:hAnsiTheme="minorHAnsi"/>
          <w:bCs/>
          <w:kern w:val="0"/>
          <w:sz w:val="52"/>
          <w:szCs w:val="52"/>
        </w:rPr>
      </w:pPr>
      <w:r>
        <w:rPr>
          <w:rFonts w:hint="eastAsia" w:ascii="宋体" w:hAnsi="宋体" w:cs="ArialUnicodeMS"/>
          <w:color w:val="000000"/>
          <w:kern w:val="0"/>
        </w:rP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7" cstate="print"/>
                    <a:stretch>
                      <a:fillRect/>
                    </a:stretch>
                  </pic:blipFill>
                  <pic:spPr>
                    <a:xfrm>
                      <a:off x="0" y="0"/>
                      <a:ext cx="7571105" cy="10680065"/>
                    </a:xfrm>
                    <a:prstGeom prst="rect">
                      <a:avLst/>
                    </a:prstGeom>
                  </pic:spPr>
                </pic:pic>
              </a:graphicData>
            </a:graphic>
          </wp:anchor>
        </w:drawing>
      </w:r>
    </w:p>
    <w:p>
      <w:pPr>
        <w:widowControl/>
        <w:spacing w:line="560" w:lineRule="exact"/>
        <w:jc w:val="center"/>
        <w:rPr>
          <w:rFonts w:ascii="黑体" w:eastAsia="黑体" w:cs="MS-UIGothic,Bold" w:hAnsiTheme="minorHAnsi"/>
          <w:bCs/>
          <w:kern w:val="0"/>
          <w:sz w:val="52"/>
          <w:szCs w:val="52"/>
        </w:rPr>
      </w:pPr>
    </w:p>
    <w:p>
      <w:pPr>
        <w:rPr>
          <w:rFonts w:ascii="宋体" w:hAnsi="宋体" w:cs="ArialUnicodeMS"/>
          <w:color w:val="000000"/>
          <w:kern w:val="0"/>
        </w:r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sz w:val="72"/>
        </w:rPr>
        <w:pict>
          <v:shape id="文本框 17" o:spid="_x0000_s1037" o:spt="202" type="#_x0000_t202" style="position:absolute;left:0pt;margin-left:-74.2pt;margin-top:120.3pt;height:159.1pt;width:596.2pt;z-index:251663360;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第二部分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2018年度部门决算报表</w:t>
                  </w:r>
                </w:p>
              </w:txbxContent>
            </v:textbox>
          </v:shape>
        </w:pict>
      </w:r>
    </w:p>
    <w:p>
      <w:pPr>
        <w:autoSpaceDE w:val="0"/>
        <w:autoSpaceDN w:val="0"/>
        <w:adjustRightInd w:val="0"/>
        <w:spacing w:after="0" w:line="240" w:lineRule="auto"/>
        <w:jc w:val="left"/>
        <w:rPr>
          <w:rFonts w:ascii="仿宋" w:hAnsi="仿宋" w:eastAsia="仿宋" w:cs="仿宋_GB2312"/>
          <w:color w:val="000000"/>
          <w:kern w:val="0"/>
          <w:sz w:val="32"/>
          <w:szCs w:val="32"/>
        </w:rPr>
      </w:pPr>
      <w:r>
        <w:rPr>
          <w:rFonts w:hint="eastAsia" w:ascii="仿宋" w:hAnsi="仿宋" w:eastAsia="仿宋" w:cs="宋体"/>
          <w:color w:val="000000"/>
          <w:kern w:val="0"/>
          <w:sz w:val="32"/>
          <w:szCs w:val="32"/>
        </w:rPr>
        <w:t>详见附件</w:t>
      </w:r>
      <w:r>
        <w:rPr>
          <w:rFonts w:hint="eastAsia" w:ascii="仿宋" w:hAnsi="仿宋" w:eastAsia="仿宋" w:cs="___WRD_EMBED_SUB_39"/>
          <w:color w:val="000000"/>
          <w:kern w:val="0"/>
          <w:sz w:val="32"/>
          <w:szCs w:val="32"/>
        </w:rPr>
        <w:t>：</w:t>
      </w:r>
      <w:r>
        <w:rPr>
          <w:rFonts w:hint="eastAsia" w:ascii="仿宋" w:hAnsi="仿宋" w:eastAsia="仿宋" w:cs="ArialUnicodeMS"/>
          <w:kern w:val="0"/>
          <w:sz w:val="32"/>
          <w:szCs w:val="32"/>
        </w:rPr>
        <w:t>青龙满族自治县委宣传部</w:t>
      </w:r>
      <w:r>
        <w:rPr>
          <w:rFonts w:ascii="仿宋" w:hAnsi="仿宋" w:eastAsia="仿宋" w:cs="仿宋_GB2312"/>
          <w:color w:val="000000"/>
          <w:kern w:val="0"/>
          <w:sz w:val="32"/>
          <w:szCs w:val="32"/>
        </w:rPr>
        <w:t xml:space="preserve">2018 </w:t>
      </w:r>
      <w:r>
        <w:rPr>
          <w:rFonts w:hint="eastAsia" w:ascii="仿宋" w:hAnsi="仿宋" w:eastAsia="仿宋" w:cs="仿宋_GB2312"/>
          <w:color w:val="000000"/>
          <w:kern w:val="0"/>
          <w:sz w:val="32"/>
          <w:szCs w:val="32"/>
        </w:rPr>
        <w:t>年度部门决算公开报表（</w:t>
      </w:r>
      <w:r>
        <w:rPr>
          <w:rFonts w:ascii="仿宋" w:hAnsi="仿宋" w:eastAsia="仿宋" w:cs="仿宋_GB2312"/>
          <w:color w:val="000000"/>
          <w:kern w:val="0"/>
          <w:sz w:val="32"/>
          <w:szCs w:val="32"/>
        </w:rPr>
        <w:t xml:space="preserve">10 </w:t>
      </w:r>
      <w:r>
        <w:rPr>
          <w:rFonts w:hint="eastAsia" w:ascii="仿宋" w:hAnsi="仿宋" w:eastAsia="仿宋" w:cs="宋体"/>
          <w:color w:val="000000"/>
          <w:kern w:val="0"/>
          <w:sz w:val="32"/>
          <w:szCs w:val="32"/>
        </w:rPr>
        <w:t>张</w:t>
      </w:r>
      <w:r>
        <w:rPr>
          <w:rFonts w:hint="eastAsia" w:ascii="仿宋" w:hAnsi="仿宋" w:eastAsia="仿宋" w:cs="___WRD_EMBED_SUB_39"/>
          <w:color w:val="000000"/>
          <w:kern w:val="0"/>
          <w:sz w:val="32"/>
          <w:szCs w:val="32"/>
        </w:rPr>
        <w:t>）</w:t>
      </w:r>
    </w:p>
    <w:p/>
    <w:p/>
    <w:p/>
    <w:p>
      <w:pPr>
        <w:tabs>
          <w:tab w:val="left" w:pos="1086"/>
        </w:tabs>
        <w:jc w:val="left"/>
        <w:rPr>
          <w:rFonts w:ascii="仿宋_GB2312" w:eastAsia="仿宋_GB2312" w:hAnsiTheme="majorEastAsia"/>
          <w:b/>
          <w:sz w:val="28"/>
          <w:szCs w:val="28"/>
          <w:highlight w:val="yellow"/>
        </w:rPr>
        <w:sectPr>
          <w:pgSz w:w="11906" w:h="16838"/>
          <w:pgMar w:top="2098" w:right="1474" w:bottom="1984" w:left="1588" w:header="851" w:footer="992" w:gutter="0"/>
          <w:cols w:space="0" w:num="1"/>
          <w:docGrid w:type="lines" w:linePitch="312" w:charSpace="0"/>
        </w:sectPr>
      </w:pPr>
      <w:r>
        <w:rPr>
          <w:rFonts w:hint="eastAsia"/>
        </w:rPr>
        <w:tab/>
      </w: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6432"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文本框 5" o:spid="_x0000_s1068" o:spt="202" type="#_x0000_t202" style="position:absolute;left:0pt;margin-left:-78.7pt;margin-top:232.8pt;height:159.1pt;width:596.2pt;z-index:251665408;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第三部分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部门决算情况说明</w:t>
                  </w:r>
                </w:p>
              </w:txbxContent>
            </v:textbox>
          </v:shape>
        </w:pict>
      </w:r>
    </w:p>
    <w:p>
      <w:pPr>
        <w:pStyle w:val="3"/>
        <w:spacing w:before="0" w:after="0" w:line="580" w:lineRule="exact"/>
        <w:ind w:firstLine="640" w:firstLineChars="200"/>
        <w:rPr>
          <w:rFonts w:asciiTheme="majorEastAsia" w:hAnsiTheme="majorEastAsia"/>
          <w:b w:val="0"/>
          <w:bCs w:val="0"/>
        </w:rPr>
      </w:pPr>
      <w:r>
        <w:rPr>
          <w:rFonts w:hint="eastAsia" w:asciiTheme="majorEastAsia" w:hAnsiTheme="majorEastAsia"/>
          <w:b w:val="0"/>
          <w:bCs w:val="0"/>
        </w:rPr>
        <w:t>一、收入</w:t>
      </w:r>
      <w:r>
        <w:rPr>
          <w:rFonts w:hint="eastAsia" w:cs="黑体" w:asciiTheme="majorEastAsia" w:hAnsiTheme="majorEastAsia"/>
          <w:b w:val="0"/>
          <w:bCs w:val="0"/>
          <w:kern w:val="0"/>
        </w:rPr>
        <w:t>支</w:t>
      </w:r>
      <w:r>
        <w:rPr>
          <w:rFonts w:asciiTheme="majorEastAsia" w:hAnsiTheme="majorEastAsia"/>
        </w:rPr>
        <w:pict>
          <v:group id="组合 18" o:spid="_x0000_s1069" o:spt="203" style="position:absolute;left:0pt;margin-left:-0.55pt;margin-top:29.3pt;height:43.95pt;width:301.85pt;mso-position-horizontal-relative:page;mso-position-vertical-relative:page;z-index:25168076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">
            <o:lock v:ext="edit"/>
            <v:rect id="矩形 13" o:spid="_x0000_s1070"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nYMMA&#10;AADbAAAADwAAAGRycy9kb3ducmV2LnhtbERPS2vCQBC+F/oflin01mziQWyaVUJB8SC0jYr0NmQn&#10;D5qdDdnVpP76riD0Nh/fc7LVZDpxocG1lhUkUQyCuLS65VrBYb9+WYBwHlljZ5kU/JKD1fLxIcNU&#10;25G/6FL4WoQQdikqaLzvUyld2ZBBF9meOHCVHQz6AIda6gHHEG46OYvjuTTYcmhosKf3hsqf4mwU&#10;VHj9zNsNXb/np49NMhbdcbdYK/X8NOVvIDxN/l98d291mP8Kt1/CA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2nYMMAAADbAAAADwAAAAAAAAAAAAAAAACYAgAAZHJzL2Rv&#10;d25yZXYueG1sUEsFBgAAAAAEAAQA9QAAAIgDAAAAAA==&#10;">
              <v:path/>
              <v:fill on="t" focussize="0,0"/>
              <v:stroke on="f" weight="2pt"/>
              <v:imagedata o:title=""/>
              <o:lock v:ext="edit"/>
            </v:rect>
            <v:rect id="矩形 14" o:spid="_x0000_s1071"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jkV8AA&#10;AADbAAAADwAAAGRycy9kb3ducmV2LnhtbERPy4rCMBTdC/5DuIK7MbU4o1Sj6MCAsxFfIO6uzbUt&#10;NjelibX+vVkILg/nPVu0phQN1a6wrGA4iEAQp1YXnCk4Hv6+JiCcR9ZYWiYFT3KwmHc7M0y0ffCO&#10;mr3PRAhhl6CC3PsqkdKlORl0A1sRB+5qa4M+wDqTusZHCDeljKPoRxosODTkWNFvTultfzcKJt+k&#10;T6PLyjXpNovHI/7f3Ldnpfq9djkF4an1H/HbvdYK4rA+fA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rjkV8AAAADbAAAADwAAAAAAAAAAAAAAAACYAgAAZHJzL2Rvd25y&#10;ZXYueG1sUEsFBgAAAAAEAAQA9QAAAIU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cs="黑体" w:asciiTheme="majorEastAsia" w:hAnsiTheme="majorEastAsia"/>
          <w:b w:val="0"/>
          <w:bCs w:val="0"/>
          <w:kern w:val="0"/>
        </w:rPr>
        <w:t>出</w:t>
      </w:r>
      <w:r>
        <w:rPr>
          <w:rFonts w:hint="eastAsia" w:asciiTheme="majorEastAsia" w:hAnsiTheme="majorEastAsia"/>
          <w:b w:val="0"/>
          <w:bCs w:val="0"/>
        </w:rPr>
        <w:t>决算总体情况说明</w:t>
      </w:r>
    </w:p>
    <w:p>
      <w:pPr>
        <w:pStyle w:val="3"/>
        <w:spacing w:before="0" w:after="0" w:line="580" w:lineRule="exact"/>
        <w:ind w:firstLine="640" w:firstLineChars="200"/>
        <w:rPr>
          <w:rFonts w:cs="DengXian-Regular" w:asciiTheme="majorEastAsia" w:hAnsiTheme="majorEastAsia"/>
          <w:b w:val="0"/>
          <w:bCs w:val="0"/>
        </w:rPr>
      </w:pPr>
      <w:r>
        <w:rPr>
          <w:rFonts w:cs="DengXian-Regular" w:asciiTheme="majorEastAsia" w:hAnsiTheme="majorEastAsia"/>
          <w:b w:val="0"/>
          <w:bCs w:val="0"/>
        </w:rPr>
        <w:t>本部门 2018 年度收入总计（含结转和结余）2264.13 万元，支出总计 304 万元，年末结转 1960.13 万元。与 2017 年度决算相比，收入减少 540.66 万元，下降 19.</w:t>
      </w:r>
      <w:r>
        <w:rPr>
          <w:rFonts w:hint="eastAsia" w:cs="DengXian-Regular" w:asciiTheme="majorEastAsia" w:hAnsiTheme="majorEastAsia"/>
          <w:b w:val="0"/>
          <w:bCs w:val="0"/>
        </w:rPr>
        <w:t>3</w:t>
      </w:r>
      <w:r>
        <w:rPr>
          <w:rFonts w:cs="DengXian-Regular" w:asciiTheme="majorEastAsia" w:hAnsiTheme="majorEastAsia"/>
          <w:b w:val="0"/>
          <w:bCs w:val="0"/>
        </w:rPr>
        <w:t>%，主要原因是中央和省级综合文化服务中心项目建设资金减少；支出减少 2500.79 万元，下降 89.</w:t>
      </w:r>
      <w:r>
        <w:rPr>
          <w:rFonts w:hint="eastAsia" w:cs="DengXian-Regular" w:asciiTheme="majorEastAsia" w:hAnsiTheme="majorEastAsia"/>
          <w:b w:val="0"/>
          <w:bCs w:val="0"/>
        </w:rPr>
        <w:t>2</w:t>
      </w:r>
      <w:r>
        <w:rPr>
          <w:rFonts w:cs="DengXian-Regular" w:asciiTheme="majorEastAsia" w:hAnsiTheme="majorEastAsia"/>
          <w:b w:val="0"/>
          <w:bCs w:val="0"/>
        </w:rPr>
        <w:t>%，主要原因是综合文化服务中心项目未完工，资金未支付，专项资金结转。</w:t>
      </w:r>
    </w:p>
    <w:p>
      <w:pPr>
        <w:pStyle w:val="3"/>
        <w:spacing w:before="0" w:after="0" w:line="580" w:lineRule="exact"/>
        <w:ind w:firstLine="640" w:firstLineChars="200"/>
        <w:rPr>
          <w:rFonts w:asciiTheme="majorEastAsia" w:hAnsiTheme="majorEastAsia"/>
          <w:b w:val="0"/>
          <w:bCs w:val="0"/>
        </w:rPr>
      </w:pPr>
      <w:r>
        <w:rPr>
          <w:rFonts w:hint="eastAsia" w:asciiTheme="majorEastAsia" w:hAnsiTheme="majorEastAsia"/>
          <w:b w:val="0"/>
          <w:bCs w:val="0"/>
        </w:rPr>
        <w:t>二、收入决算情况说明</w:t>
      </w:r>
    </w:p>
    <w:p>
      <w:pPr>
        <w:adjustRightInd w:val="0"/>
        <w:snapToGrid w:val="0"/>
        <w:spacing w:after="0" w:line="580" w:lineRule="exact"/>
        <w:ind w:firstLine="640" w:firstLineChars="200"/>
        <w:rPr>
          <w:rFonts w:cs="DengXian-Regular" w:asciiTheme="majorEastAsia" w:hAnsiTheme="majorEastAsia" w:eastAsiaTheme="majorEastAsia"/>
          <w:sz w:val="32"/>
          <w:szCs w:val="32"/>
        </w:rPr>
      </w:pPr>
      <w:r>
        <w:rPr>
          <w:rFonts w:cs="DengXian-Regular" w:asciiTheme="majorEastAsia" w:hAnsiTheme="majorEastAsia" w:eastAsiaTheme="majorEastAsia"/>
          <w:sz w:val="32"/>
          <w:szCs w:val="32"/>
        </w:rPr>
        <w:t>本部门 2018 年度本年收入合计 2264.13 万元，其中：财政拨款收入 2264.13 万元，占 100%</w:t>
      </w:r>
      <w:r>
        <w:rPr>
          <w:rFonts w:hint="eastAsia" w:cs="DengXian-Regular" w:asciiTheme="majorEastAsia" w:hAnsiTheme="majorEastAsia" w:eastAsiaTheme="majorEastAsia"/>
          <w:sz w:val="32"/>
          <w:szCs w:val="32"/>
        </w:rPr>
        <w:t>。</w:t>
      </w:r>
    </w:p>
    <w:p>
      <w:pPr>
        <w:pStyle w:val="3"/>
        <w:spacing w:before="0" w:after="0" w:line="580" w:lineRule="exact"/>
        <w:ind w:firstLine="640" w:firstLineChars="200"/>
        <w:rPr>
          <w:rFonts w:asciiTheme="majorEastAsia" w:hAnsiTheme="majorEastAsia"/>
          <w:b w:val="0"/>
          <w:bCs w:val="0"/>
        </w:rPr>
      </w:pPr>
      <w:r>
        <w:rPr>
          <w:rFonts w:hint="eastAsia" w:asciiTheme="majorEastAsia" w:hAnsiTheme="majorEastAsia"/>
          <w:b w:val="0"/>
          <w:bCs w:val="0"/>
        </w:rPr>
        <w:t>三、支出决算情况说明</w:t>
      </w:r>
    </w:p>
    <w:p>
      <w:pPr>
        <w:pStyle w:val="3"/>
        <w:spacing w:before="0" w:after="0" w:line="580" w:lineRule="exact"/>
        <w:ind w:firstLine="640" w:firstLineChars="200"/>
        <w:rPr>
          <w:rFonts w:cs="DengXian-Regular" w:asciiTheme="majorEastAsia" w:hAnsiTheme="majorEastAsia"/>
          <w:b w:val="0"/>
          <w:bCs w:val="0"/>
        </w:rPr>
      </w:pPr>
      <w:r>
        <w:rPr>
          <w:rFonts w:cs="DengXian-Regular" w:asciiTheme="majorEastAsia" w:hAnsiTheme="majorEastAsia"/>
          <w:b w:val="0"/>
          <w:bCs w:val="0"/>
        </w:rPr>
        <w:t>本部门 2018 年度本年支出合计 304万元，其中：基本支出 209.27 万元</w:t>
      </w:r>
      <w:r>
        <w:rPr>
          <w:rFonts w:hint="eastAsia" w:cs="DengXian-Regular" w:asciiTheme="majorEastAsia" w:hAnsiTheme="majorEastAsia"/>
          <w:b w:val="0"/>
          <w:bCs w:val="0"/>
        </w:rPr>
        <w:t>，</w:t>
      </w:r>
      <w:r>
        <w:rPr>
          <w:rFonts w:cs="DengXian-Regular" w:asciiTheme="majorEastAsia" w:hAnsiTheme="majorEastAsia"/>
          <w:b w:val="0"/>
          <w:bCs w:val="0"/>
        </w:rPr>
        <w:t>占 68.8%</w:t>
      </w:r>
      <w:r>
        <w:rPr>
          <w:rFonts w:hint="eastAsia" w:cs="DengXian-Regular" w:asciiTheme="majorEastAsia" w:hAnsiTheme="majorEastAsia"/>
          <w:b w:val="0"/>
          <w:bCs w:val="0"/>
        </w:rPr>
        <w:t>，</w:t>
      </w:r>
      <w:r>
        <w:rPr>
          <w:rFonts w:cs="DengXian-Regular" w:asciiTheme="majorEastAsia" w:hAnsiTheme="majorEastAsia"/>
          <w:b w:val="0"/>
          <w:bCs w:val="0"/>
        </w:rPr>
        <w:t>项目支出 94.73万元，占 31.</w:t>
      </w:r>
      <w:r>
        <w:rPr>
          <w:rFonts w:hint="eastAsia" w:cs="DengXian-Regular" w:asciiTheme="majorEastAsia" w:hAnsiTheme="majorEastAsia"/>
          <w:b w:val="0"/>
          <w:bCs w:val="0"/>
        </w:rPr>
        <w:t>2</w:t>
      </w:r>
      <w:r>
        <w:rPr>
          <w:rFonts w:cs="DengXian-Regular" w:asciiTheme="majorEastAsia" w:hAnsiTheme="majorEastAsia"/>
          <w:b w:val="0"/>
          <w:bCs w:val="0"/>
        </w:rPr>
        <w:t>%</w:t>
      </w:r>
      <w:r>
        <w:rPr>
          <w:rFonts w:hint="eastAsia" w:cs="DengXian-Regular" w:asciiTheme="majorEastAsia" w:hAnsiTheme="majorEastAsia"/>
          <w:b w:val="0"/>
          <w:bCs w:val="0"/>
        </w:rPr>
        <w:t>。</w:t>
      </w:r>
    </w:p>
    <w:p>
      <w:pPr>
        <w:pStyle w:val="3"/>
        <w:spacing w:before="0" w:after="0" w:line="580" w:lineRule="exact"/>
        <w:ind w:firstLine="640" w:firstLineChars="200"/>
        <w:rPr>
          <w:rFonts w:asciiTheme="majorEastAsia" w:hAnsiTheme="majorEastAsia"/>
          <w:b w:val="0"/>
          <w:bCs w:val="0"/>
        </w:rPr>
      </w:pPr>
      <w:r>
        <w:rPr>
          <w:rFonts w:hint="eastAsia" w:asciiTheme="majorEastAsia" w:hAnsiTheme="majorEastAsia"/>
          <w:b w:val="0"/>
          <w:bCs w:val="0"/>
        </w:rPr>
        <w:t>四、</w:t>
      </w:r>
      <w:r>
        <w:rPr>
          <w:rFonts w:hint="eastAsia" w:cs="黑体" w:asciiTheme="majorEastAsia" w:hAnsiTheme="majorEastAsia"/>
          <w:b w:val="0"/>
          <w:bCs w:val="0"/>
          <w:kern w:val="0"/>
        </w:rPr>
        <w:t>财政</w:t>
      </w:r>
      <w:r>
        <w:rPr>
          <w:rFonts w:hint="eastAsia" w:asciiTheme="majorEastAsia" w:hAnsiTheme="majorEastAsia"/>
          <w:b w:val="0"/>
          <w:bCs w:val="0"/>
        </w:rPr>
        <w:t>拨款收入支出决算情况说明</w:t>
      </w:r>
    </w:p>
    <w:p>
      <w:pPr>
        <w:spacing w:after="0" w:line="580" w:lineRule="exact"/>
        <w:ind w:firstLine="643" w:firstLineChars="200"/>
        <w:rPr>
          <w:rFonts w:cs="DengXian-Bold" w:asciiTheme="majorEastAsia" w:hAnsiTheme="majorEastAsia" w:eastAsiaTheme="majorEastAsia"/>
          <w:b/>
          <w:bCs/>
          <w:sz w:val="32"/>
          <w:szCs w:val="32"/>
        </w:rPr>
      </w:pPr>
      <w:r>
        <w:rPr>
          <w:rFonts w:hint="eastAsia" w:cs="DengXian-Bold" w:asciiTheme="majorEastAsia" w:hAnsiTheme="majorEastAsia" w:eastAsiaTheme="majorEastAsia"/>
          <w:b/>
          <w:bCs/>
          <w:sz w:val="32"/>
          <w:szCs w:val="32"/>
        </w:rPr>
        <w:t>（一）财政拨款收支与2017 年度决算对比情况</w:t>
      </w:r>
    </w:p>
    <w:p>
      <w:pPr>
        <w:adjustRightInd w:val="0"/>
        <w:snapToGrid w:val="0"/>
        <w:spacing w:after="0" w:line="580" w:lineRule="exact"/>
        <w:ind w:firstLine="640" w:firstLineChars="200"/>
        <w:rPr>
          <w:rFonts w:cs="DengXian-Regular" w:asciiTheme="majorEastAsia" w:hAnsiTheme="majorEastAsia" w:eastAsiaTheme="majorEastAsia"/>
          <w:sz w:val="32"/>
          <w:szCs w:val="32"/>
        </w:rPr>
      </w:pPr>
      <w:r>
        <w:rPr>
          <w:rFonts w:cs="DengXian-Regular" w:asciiTheme="majorEastAsia" w:hAnsiTheme="majorEastAsia" w:eastAsiaTheme="majorEastAsia"/>
          <w:sz w:val="32"/>
          <w:szCs w:val="32"/>
        </w:rPr>
        <w:t>本部门 2018 年度形成的财政拨款收支均为一般公共预算财政拨款，其中一般公共预算 财政拨款本年收入 2264.13 万元,比 2017 年度减少 540.66 万元，下降 19.</w:t>
      </w:r>
      <w:r>
        <w:rPr>
          <w:rFonts w:hint="eastAsia" w:cs="DengXian-Regular" w:asciiTheme="majorEastAsia" w:hAnsiTheme="majorEastAsia" w:eastAsiaTheme="majorEastAsia"/>
          <w:sz w:val="32"/>
          <w:szCs w:val="32"/>
        </w:rPr>
        <w:t>3</w:t>
      </w:r>
      <w:r>
        <w:rPr>
          <w:rFonts w:cs="DengXian-Regular" w:asciiTheme="majorEastAsia" w:hAnsiTheme="majorEastAsia" w:eastAsiaTheme="majorEastAsia"/>
          <w:sz w:val="32"/>
          <w:szCs w:val="32"/>
        </w:rPr>
        <w:t>%，主要原因是中央和省级综合文化服务中心项目建设资金减少；本年支出 304万元，减少 2500.79 万元，下降 89.</w:t>
      </w:r>
      <w:r>
        <w:rPr>
          <w:rFonts w:hint="eastAsia" w:cs="DengXian-Regular" w:asciiTheme="majorEastAsia" w:hAnsiTheme="majorEastAsia" w:eastAsiaTheme="majorEastAsia"/>
          <w:sz w:val="32"/>
          <w:szCs w:val="32"/>
        </w:rPr>
        <w:t>2</w:t>
      </w:r>
      <w:r>
        <w:rPr>
          <w:rFonts w:cs="DengXian-Regular" w:asciiTheme="majorEastAsia" w:hAnsiTheme="majorEastAsia" w:eastAsiaTheme="majorEastAsia"/>
          <w:sz w:val="32"/>
          <w:szCs w:val="32"/>
        </w:rPr>
        <w:t>%，主要是综合文化服务中心项目未完工，资金未支付，专项资金结转。</w:t>
      </w:r>
    </w:p>
    <w:p>
      <w:pPr>
        <w:spacing w:after="0" w:line="580" w:lineRule="exact"/>
        <w:ind w:firstLine="643" w:firstLineChars="200"/>
        <w:rPr>
          <w:rFonts w:cs="DengXian-Bold" w:asciiTheme="majorEastAsia" w:hAnsiTheme="majorEastAsia" w:eastAsiaTheme="majorEastAsia"/>
          <w:b/>
          <w:bCs/>
          <w:sz w:val="32"/>
          <w:szCs w:val="32"/>
        </w:rPr>
      </w:pPr>
      <w:r>
        <w:rPr>
          <w:rFonts w:hint="eastAsia" w:cs="DengXian-Bold" w:asciiTheme="majorEastAsia" w:hAnsiTheme="majorEastAsia" w:eastAsiaTheme="majorEastAsia"/>
          <w:b/>
          <w:bCs/>
          <w:sz w:val="32"/>
          <w:szCs w:val="32"/>
        </w:rPr>
        <w:t>（二）财政拨款收支与年初预算数对比情况</w:t>
      </w:r>
    </w:p>
    <w:p>
      <w:pPr>
        <w:adjustRightInd w:val="0"/>
        <w:snapToGrid w:val="0"/>
        <w:spacing w:after="0" w:line="580" w:lineRule="exact"/>
        <w:ind w:firstLine="640" w:firstLineChars="200"/>
        <w:rPr>
          <w:rFonts w:cs="DengXian-Regular" w:asciiTheme="majorEastAsia" w:hAnsiTheme="majorEastAsia" w:eastAsiaTheme="majorEastAsia"/>
          <w:sz w:val="32"/>
          <w:szCs w:val="32"/>
        </w:rPr>
      </w:pPr>
      <w:r>
        <w:rPr>
          <w:rFonts w:cs="DengXian-Regular" w:asciiTheme="majorEastAsia" w:hAnsiTheme="majorEastAsia" w:eastAsiaTheme="majorEastAsia"/>
          <w:sz w:val="32"/>
          <w:szCs w:val="32"/>
        </w:rPr>
        <w:t>本部门 2018 年度一般公共预算财政拨款收入 2264.13 万元，完成年初预算的 325.</w:t>
      </w:r>
      <w:r>
        <w:rPr>
          <w:rFonts w:hint="eastAsia" w:cs="DengXian-Regular" w:asciiTheme="majorEastAsia" w:hAnsiTheme="majorEastAsia" w:eastAsiaTheme="majorEastAsia"/>
          <w:sz w:val="32"/>
          <w:szCs w:val="32"/>
        </w:rPr>
        <w:t>8</w:t>
      </w:r>
      <w:r>
        <w:rPr>
          <w:rFonts w:cs="DengXian-Regular" w:asciiTheme="majorEastAsia" w:hAnsiTheme="majorEastAsia" w:eastAsiaTheme="majorEastAsia"/>
          <w:sz w:val="32"/>
          <w:szCs w:val="32"/>
        </w:rPr>
        <w:t>%, 比年初预算增加 1569.15 万元，决算数大于预算数主要原因是追加中央和省级综合文化服务 中心项目建设资金；本年支出 304万元，完成年初预算的 43.7%,比年初预算减少 390.98 万元，决算数小于预算数主要原因是综合文化服务中心项目未完工，资金未支付，专项资金结转。</w:t>
      </w:r>
    </w:p>
    <w:p>
      <w:pPr>
        <w:numPr>
          <w:ilvl w:val="0"/>
          <w:numId w:val="1"/>
        </w:numPr>
        <w:adjustRightInd w:val="0"/>
        <w:snapToGrid w:val="0"/>
        <w:spacing w:after="0" w:line="580" w:lineRule="exact"/>
        <w:ind w:left="420" w:leftChars="200"/>
        <w:rPr>
          <w:rFonts w:cs="DengXian-Bold" w:asciiTheme="majorEastAsia" w:hAnsiTheme="majorEastAsia" w:eastAsiaTheme="majorEastAsia"/>
          <w:b/>
          <w:bCs/>
          <w:sz w:val="32"/>
          <w:szCs w:val="32"/>
        </w:rPr>
      </w:pPr>
      <w:r>
        <w:rPr>
          <w:rFonts w:hint="eastAsia" w:cs="DengXian-Bold" w:asciiTheme="majorEastAsia" w:hAnsiTheme="majorEastAsia" w:eastAsiaTheme="majorEastAsia"/>
          <w:b/>
          <w:bCs/>
          <w:sz w:val="32"/>
          <w:szCs w:val="32"/>
        </w:rPr>
        <w:t>财政拨款支出决算结构情况。</w:t>
      </w:r>
    </w:p>
    <w:p>
      <w:pPr>
        <w:adjustRightInd w:val="0"/>
        <w:snapToGrid w:val="0"/>
        <w:spacing w:after="0" w:line="580" w:lineRule="exact"/>
        <w:ind w:left="420" w:firstLine="640" w:firstLineChars="200"/>
        <w:rPr>
          <w:rFonts w:cs="DengXian-Bold" w:asciiTheme="majorEastAsia" w:hAnsiTheme="majorEastAsia" w:eastAsiaTheme="majorEastAsia"/>
          <w:b/>
          <w:bCs/>
          <w:sz w:val="32"/>
          <w:szCs w:val="32"/>
        </w:rPr>
      </w:pPr>
      <w:r>
        <w:rPr>
          <w:rFonts w:cs="DengXian-Regular" w:asciiTheme="majorEastAsia" w:hAnsiTheme="majorEastAsia" w:eastAsiaTheme="majorEastAsia"/>
          <w:sz w:val="32"/>
          <w:szCs w:val="32"/>
        </w:rPr>
        <w:t>2018 年度财政拨款支出 304 万元，主要用于以下方面：一般公共服务（类）支出:58.73 万元，占 19.3%；文化体育与传媒（类）支出 171.60 万元，占 56.</w:t>
      </w:r>
      <w:r>
        <w:rPr>
          <w:rFonts w:hint="eastAsia" w:cs="DengXian-Regular" w:asciiTheme="majorEastAsia" w:hAnsiTheme="majorEastAsia" w:eastAsiaTheme="majorEastAsia"/>
          <w:sz w:val="32"/>
          <w:szCs w:val="32"/>
        </w:rPr>
        <w:t>5</w:t>
      </w:r>
      <w:r>
        <w:rPr>
          <w:rFonts w:cs="DengXian-Regular" w:asciiTheme="majorEastAsia" w:hAnsiTheme="majorEastAsia" w:eastAsiaTheme="majorEastAsia"/>
          <w:sz w:val="32"/>
          <w:szCs w:val="32"/>
        </w:rPr>
        <w:t>%；社会保障和就业 （类）支出 30.52 万元，占 10.0%；医疗卫生与计划生育（类）支出 13.15万元，占 4.3%； 农林水（类）支出 30 万元，占 9.</w:t>
      </w:r>
      <w:r>
        <w:rPr>
          <w:rFonts w:hint="eastAsia" w:cs="DengXian-Regular" w:asciiTheme="majorEastAsia" w:hAnsiTheme="majorEastAsia" w:eastAsiaTheme="majorEastAsia"/>
          <w:sz w:val="32"/>
          <w:szCs w:val="32"/>
        </w:rPr>
        <w:t>9</w:t>
      </w:r>
      <w:r>
        <w:rPr>
          <w:rFonts w:cs="DengXian-Regular" w:asciiTheme="majorEastAsia" w:hAnsiTheme="majorEastAsia" w:eastAsiaTheme="majorEastAsia"/>
          <w:sz w:val="32"/>
          <w:szCs w:val="32"/>
        </w:rPr>
        <w:t>%。</w:t>
      </w:r>
    </w:p>
    <w:p>
      <w:pPr>
        <w:adjustRightInd w:val="0"/>
        <w:snapToGrid w:val="0"/>
        <w:spacing w:after="0" w:line="520" w:lineRule="exact"/>
        <w:rPr>
          <w:rFonts w:cs="DengXian-Bold" w:asciiTheme="majorEastAsia" w:hAnsiTheme="majorEastAsia" w:eastAsiaTheme="majorEastAsia"/>
          <w:b/>
          <w:bCs/>
          <w:sz w:val="32"/>
          <w:szCs w:val="32"/>
        </w:rPr>
      </w:pPr>
      <w:r>
        <w:rPr>
          <w:rFonts w:asciiTheme="majorEastAsia" w:hAnsiTheme="majorEastAsia" w:eastAsiaTheme="majorEastAsia"/>
          <w:sz w:val="32"/>
          <w:szCs w:val="32"/>
        </w:rPr>
        <w:pict>
          <v:group id="组合 79" o:spid="_x0000_s1096" o:spt="203" style="position:absolute;left:0pt;margin-left:-0.55pt;margin-top:29.3pt;height:43.95pt;width:301.85pt;mso-position-horizontal-relative:page;mso-position-vertical-relative:page;z-index:25167462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">
            <o:lock v:ext="edit"/>
            <v:rect id="矩形 13" o:spid="_x0000_s1097"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2besIA&#10;AADbAAAADwAAAGRycy9kb3ducmV2LnhtbERPTWvCQBC9F/oflhF6q5v0EELqKiJEehDU2FK8Ddkx&#10;CWZnQ3Zr0vx69yB4fLzvxWo0rbhR7xrLCuJ5BIK4tLrhSsH3KX9PQTiPrLG1TAr+ycFq+fqywEzb&#10;gY90K3wlQgi7DBXU3neZlK6syaCb2444cBfbG/QB9pXUPQ4h3LTyI4oSabDh0FBjR5uaymvxZxRc&#10;cDqsmy1N5+R3v42Hov3ZpblSb7Nx/QnC0+if4of7SytIw/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Zt6wgAAANsAAAAPAAAAAAAAAAAAAAAAAJgCAABkcnMvZG93&#10;bnJldi54bWxQSwUGAAAAAAQABAD1AAAAhwMAAAAA&#10;">
              <v:path/>
              <v:fill on="t" focussize="0,0"/>
              <v:stroke on="f" weight="2pt"/>
              <v:imagedata o:title=""/>
              <o:lock v:ext="edit"/>
            </v:rect>
            <v:rect id="矩形 14" o:spid="_x0000_s1098"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Ie9sQA&#10;AADbAAAADwAAAGRycy9kb3ducmV2LnhtbESPT2vCQBTE74LfYXmF3pqNojZEV7GFQnspmhaKt2f2&#10;mYRm34bs5o/fvisUPA4zvxlmsxtNLXpqXWVZwSyKQRDnVldcKPj+entKQDiPrLG2TAqu5GC3nU42&#10;mGo78JH6zBcilLBLUUHpfZNK6fKSDLrINsTBu9jWoA+yLaRucQjlppbzOF5JgxWHhRIbei0p/806&#10;oyBZkv5ZnF9cnx+K+fOCPz67w0mpx4dxvwbhafT38D/9rgM3g9uX8AP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SHvbEAAAA2wAAAA8AAAAAAAAAAAAAAAAAmAIAAGRycy9k&#10;b3ducmV2LnhtbFBLBQYAAAAABAAEAPUAAACJAwAAAAA=&#10;">
              <v:path/>
              <v:fill on="t" focussize="0,0"/>
              <v:stroke weight="2pt" color="#845209"/>
              <v:imagedata o:title=""/>
              <o:lock v:ext="edit"/>
              <v:textbox style="mso-next-textbox:#矩形 14;">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widowControl/>
                      <w:jc w:val="left"/>
                      <w:rPr>
                        <w:rFonts w:ascii="楷体" w:hAnsi="楷体" w:eastAsia="楷体" w:cs="楷体"/>
                        <w:b/>
                        <w:bCs/>
                        <w:color w:val="FDEFBE"/>
                        <w:sz w:val="36"/>
                        <w:szCs w:val="36"/>
                      </w:rPr>
                    </w:pPr>
                    <w:r>
                      <w:rPr>
                        <w:rFonts w:hint="eastAsia" w:ascii="楷体" w:hAnsi="楷体" w:eastAsia="楷体" w:cs="楷体"/>
                        <w:b/>
                        <w:bCs/>
                        <w:color w:val="FDEFBE"/>
                        <w:kern w:val="0"/>
                        <w:sz w:val="36"/>
                        <w:szCs w:val="36"/>
                      </w:rPr>
                      <w:t>2018年度部门决算☞目 录</w:t>
                    </w:r>
                  </w:p>
                  <w:p>
                    <w:pPr>
                      <w:jc w:val="center"/>
                    </w:pPr>
                  </w:p>
                </w:txbxContent>
              </v:textbox>
            </v:rect>
            <w10:anchorlock/>
          </v:group>
        </w:pict>
      </w:r>
      <w:r>
        <w:rPr>
          <w:rFonts w:hint="eastAsia" w:cs="DengXian-Bold" w:asciiTheme="majorEastAsia" w:hAnsiTheme="majorEastAsia" w:eastAsiaTheme="majorEastAsia"/>
          <w:b/>
          <w:bCs/>
          <w:sz w:val="32"/>
          <w:szCs w:val="32"/>
        </w:rPr>
        <w:t>（四）一般公共预算财政拨款基本支出决算情况说明</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cs="DengXian-Regular" w:asciiTheme="majorEastAsia" w:hAnsiTheme="majorEastAsia" w:eastAsiaTheme="majorEastAsia"/>
          <w:sz w:val="32"/>
          <w:szCs w:val="32"/>
        </w:rPr>
        <w:t>2018 年度一般公共预算财政拨款基本支出 209.27 万元，其中：人员经费 194.47 万元</w:t>
      </w:r>
      <w:r>
        <w:rPr>
          <w:rFonts w:hint="eastAsia" w:cs="DengXian-Regular" w:asciiTheme="majorEastAsia" w:hAnsiTheme="majorEastAsia" w:eastAsiaTheme="majorEastAsia"/>
          <w:sz w:val="32"/>
          <w:szCs w:val="32"/>
        </w:rPr>
        <w:t>，</w:t>
      </w:r>
      <w:r>
        <w:rPr>
          <w:rFonts w:cs="DengXian-Regular" w:asciiTheme="majorEastAsia" w:hAnsiTheme="majorEastAsia" w:eastAsiaTheme="majorEastAsia"/>
          <w:sz w:val="32"/>
          <w:szCs w:val="32"/>
        </w:rPr>
        <w:t>主要包括基本工资 94.64 万元，津贴补贴 33.50 万元，奖金 4.35 万元，绩效工资 17.58 万 元，机关事业单位基本养老保险缴费 30.52 万元，职工基本医疗保险缴费 13.15 万元，其他 社会保障缴费 0.73 万元；公用经费 14.80 万元，主要包括办公费 1.30 万元，邮电费 1.60 万元，差旅费 1.30 万元，维修（护）费 5 万元，公务接待费 1.60 万元，公务用车运行维 护费 4 万元。</w:t>
      </w:r>
    </w:p>
    <w:p>
      <w:pPr>
        <w:pStyle w:val="3"/>
        <w:spacing w:before="0" w:after="0" w:line="520" w:lineRule="exact"/>
        <w:ind w:firstLine="640" w:firstLineChars="200"/>
        <w:rPr>
          <w:rFonts w:asciiTheme="majorEastAsia" w:hAnsiTheme="majorEastAsia"/>
          <w:b w:val="0"/>
          <w:bCs w:val="0"/>
        </w:rPr>
      </w:pPr>
      <w:r>
        <w:rPr>
          <w:rFonts w:hint="eastAsia" w:asciiTheme="majorEastAsia" w:hAnsiTheme="majorEastAsia"/>
          <w:b w:val="0"/>
          <w:bCs w:val="0"/>
        </w:rPr>
        <w:t>五、一般公共预算财政拨款“三公” 经费支出决算情况说明</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cs="DengXian-Regular" w:asciiTheme="majorEastAsia" w:hAnsiTheme="majorEastAsia" w:eastAsiaTheme="majorEastAsia"/>
          <w:sz w:val="32"/>
          <w:szCs w:val="32"/>
        </w:rPr>
        <w:t>本部门 2018 年度“三公”经费支出共计 5.60 万元，与年初预算持平，主要是认真贯彻 落实中央</w:t>
      </w:r>
      <w:r>
        <w:rPr>
          <w:rFonts w:hint="eastAsia" w:cs="DengXian-Regular" w:asciiTheme="majorEastAsia" w:hAnsiTheme="majorEastAsia" w:eastAsiaTheme="majorEastAsia"/>
          <w:sz w:val="32"/>
          <w:szCs w:val="32"/>
          <w:lang w:eastAsia="zh-CN"/>
        </w:rPr>
        <w:t>八项规定</w:t>
      </w:r>
      <w:r>
        <w:rPr>
          <w:rFonts w:cs="DengXian-Regular" w:asciiTheme="majorEastAsia" w:hAnsiTheme="majorEastAsia" w:eastAsiaTheme="majorEastAsia"/>
          <w:sz w:val="32"/>
          <w:szCs w:val="32"/>
        </w:rPr>
        <w:t>精神和厉行节约要求，从严控制“三公”经费开支。具体情况如下：</w:t>
      </w:r>
    </w:p>
    <w:p>
      <w:pPr>
        <w:adjustRightInd w:val="0"/>
        <w:snapToGrid w:val="0"/>
        <w:spacing w:after="0" w:line="520" w:lineRule="exact"/>
        <w:ind w:firstLine="643" w:firstLineChars="200"/>
        <w:rPr>
          <w:rFonts w:cs="DengXian-Regular" w:asciiTheme="majorEastAsia" w:hAnsiTheme="majorEastAsia" w:eastAsiaTheme="majorEastAsia"/>
          <w:sz w:val="32"/>
          <w:szCs w:val="32"/>
        </w:rPr>
      </w:pPr>
      <w:r>
        <w:rPr>
          <w:rFonts w:hint="eastAsia" w:cs="DengXian-Bold" w:asciiTheme="majorEastAsia" w:hAnsiTheme="majorEastAsia" w:eastAsiaTheme="majorEastAsia"/>
          <w:b/>
          <w:bCs/>
          <w:sz w:val="32"/>
          <w:szCs w:val="32"/>
        </w:rPr>
        <w:t>（</w:t>
      </w:r>
      <w:r>
        <w:rPr>
          <w:rFonts w:asciiTheme="majorEastAsia" w:hAnsiTheme="majorEastAsia" w:eastAsiaTheme="majorEastAsia"/>
          <w:sz w:val="32"/>
          <w:szCs w:val="32"/>
        </w:rPr>
        <w:pict>
          <v:group id="组合 82" o:spid="_x0000_s1102" o:spt="203" style="position:absolute;left:0pt;margin-left:-0.55pt;margin-top:29.3pt;height:43.95pt;width:301.85pt;mso-position-horizontal-relative:page;mso-position-vertical-relative:page;z-index:251675648;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">
            <o:lock v:ext="edit"/>
            <v:rect id="矩形 13" o:spid="_x0000_s1103"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FDcUA&#10;AADbAAAADwAAAGRycy9kb3ducmV2LnhtbESPQWvCQBSE7wX/w/IEb3WjQgjRVaRg8FBom1bE2yP7&#10;TEKzb0N2m6T59d1CocdhZr5hdofRNKKnztWWFayWEQjiwuqaSwUf76fHBITzyBoby6Tgmxwc9rOH&#10;HabaDvxGfe5LESDsUlRQed+mUrqiIoNuaVvi4N1tZ9AH2ZVSdzgEuGnkOopiabDmsFBhS08VFZ/5&#10;l1Fwx+n1WGc03eLrS7Ya8ubynJyUWszH4xaEp9H/h//aZ60g2cDvl/AD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wUNxQAAANsAAAAPAAAAAAAAAAAAAAAAAJgCAABkcnMv&#10;ZG93bnJldi54bWxQSwUGAAAAAAQABAD1AAAAigMAAAAA&#10;">
              <v:path/>
              <v:fill on="t" focussize="0,0"/>
              <v:stroke on="f" weight="2pt"/>
              <v:imagedata o:title=""/>
              <o:lock v:ext="edit"/>
            </v:rect>
            <v:rect id="矩形 14" o:spid="_x0000_s1104"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bsMA&#10;AADbAAAADwAAAGRycy9kb3ducmV2LnhtbESPT4vCMBTE78J+h/AWvGm60l2lGmUVBL2I/0C8PZtn&#10;W2xeShNr99ubBcHjMPObYSaz1pSiodoVlhV89SMQxKnVBWcKjodlbwTCeWSNpWVS8EcOZtOPzgQT&#10;bR+8o2bvMxFK2CWoIPe+SqR0aU4GXd9WxMG72tqgD7LOpK7xEcpNKQdR9CMNFhwWcqxokVN629+N&#10;gtE36VN8mbsm3WaDYczrzX17Vqr72f6OQXhq/Tv8olc6cDH8fwk/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9bsMAAADb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cs="DengXian-Bold" w:asciiTheme="majorEastAsia" w:hAnsiTheme="majorEastAsia" w:eastAsiaTheme="majorEastAsia"/>
          <w:b/>
          <w:bCs/>
          <w:sz w:val="32"/>
          <w:szCs w:val="32"/>
        </w:rPr>
        <w:t>一）因公出国（境）费支出0万元。</w:t>
      </w:r>
      <w:r>
        <w:rPr>
          <w:rFonts w:hint="eastAsia" w:cs="DengXian-Regular" w:asciiTheme="majorEastAsia" w:hAnsiTheme="majorEastAsia" w:eastAsiaTheme="majorEastAsia"/>
          <w:sz w:val="32"/>
          <w:szCs w:val="32"/>
        </w:rPr>
        <w:t>本部门2018年度无因公出国（境）支出，与年初预算数一致。</w:t>
      </w:r>
    </w:p>
    <w:p>
      <w:pPr>
        <w:adjustRightInd w:val="0"/>
        <w:snapToGrid w:val="0"/>
        <w:spacing w:after="0" w:line="520" w:lineRule="exact"/>
        <w:ind w:firstLine="643" w:firstLineChars="200"/>
        <w:rPr>
          <w:rFonts w:cs="DengXian-Bold" w:asciiTheme="majorEastAsia" w:hAnsiTheme="majorEastAsia" w:eastAsiaTheme="majorEastAsia"/>
          <w:b/>
          <w:bCs/>
          <w:sz w:val="32"/>
          <w:szCs w:val="32"/>
        </w:rPr>
      </w:pPr>
      <w:r>
        <w:rPr>
          <w:rFonts w:hint="eastAsia" w:cs="DengXian-Bold" w:asciiTheme="majorEastAsia" w:hAnsiTheme="majorEastAsia" w:eastAsiaTheme="majorEastAsia"/>
          <w:b/>
          <w:bCs/>
          <w:sz w:val="32"/>
          <w:szCs w:val="32"/>
        </w:rPr>
        <w:t>（二）公务用车购置及运行维护费支出4万元。</w:t>
      </w:r>
      <w:r>
        <w:rPr>
          <w:rFonts w:cs="DengXian-Regular" w:asciiTheme="majorEastAsia" w:hAnsiTheme="majorEastAsia" w:eastAsiaTheme="majorEastAsia"/>
          <w:sz w:val="32"/>
          <w:szCs w:val="32"/>
        </w:rPr>
        <w:t>本部门 2018 年度公务用车购置及运 行维护费与年初预算持平，主要是认真</w:t>
      </w:r>
      <w:r>
        <w:rPr>
          <w:rFonts w:hint="eastAsia" w:cs="DengXian-Regular" w:asciiTheme="majorEastAsia" w:hAnsiTheme="majorEastAsia" w:eastAsiaTheme="majorEastAsia"/>
          <w:sz w:val="32"/>
          <w:szCs w:val="32"/>
          <w:lang w:eastAsia="zh-CN"/>
        </w:rPr>
        <w:t>贯彻落实中央八项规定</w:t>
      </w:r>
      <w:r>
        <w:rPr>
          <w:rFonts w:cs="DengXian-Regular" w:asciiTheme="majorEastAsia" w:hAnsiTheme="majorEastAsia" w:eastAsiaTheme="majorEastAsia"/>
          <w:sz w:val="32"/>
          <w:szCs w:val="32"/>
        </w:rPr>
        <w:t>精神和厉行节约要求，从 严控制“三公”经费开支。</w:t>
      </w:r>
      <w:r>
        <w:rPr>
          <w:rFonts w:hint="eastAsia" w:cs="DengXian-Bold" w:asciiTheme="majorEastAsia" w:hAnsiTheme="majorEastAsia" w:eastAsiaTheme="majorEastAsia"/>
          <w:b/>
          <w:bCs/>
          <w:sz w:val="32"/>
          <w:szCs w:val="32"/>
        </w:rPr>
        <w:t>其中：</w:t>
      </w:r>
    </w:p>
    <w:p>
      <w:pPr>
        <w:adjustRightInd w:val="0"/>
        <w:snapToGrid w:val="0"/>
        <w:spacing w:after="0" w:line="520" w:lineRule="exact"/>
        <w:ind w:firstLine="643"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b/>
          <w:sz w:val="32"/>
          <w:szCs w:val="32"/>
        </w:rPr>
        <w:t>公务用车购置费：</w:t>
      </w:r>
      <w:r>
        <w:rPr>
          <w:rFonts w:cs="DengXian-Regular" w:asciiTheme="majorEastAsia" w:hAnsiTheme="majorEastAsia" w:eastAsiaTheme="majorEastAsia"/>
          <w:sz w:val="32"/>
          <w:szCs w:val="32"/>
        </w:rPr>
        <w:t>本部门 2018 年度未发生公务用车购置经费支出</w:t>
      </w:r>
      <w:r>
        <w:rPr>
          <w:rFonts w:hint="eastAsia" w:cs="DengXian-Regular" w:asciiTheme="majorEastAsia" w:hAnsiTheme="majorEastAsia" w:eastAsiaTheme="majorEastAsia"/>
          <w:sz w:val="32"/>
          <w:szCs w:val="32"/>
        </w:rPr>
        <w:t>。</w:t>
      </w:r>
    </w:p>
    <w:p>
      <w:pPr>
        <w:adjustRightInd w:val="0"/>
        <w:snapToGrid w:val="0"/>
        <w:spacing w:after="0" w:line="520" w:lineRule="exact"/>
        <w:ind w:firstLine="643"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b/>
          <w:sz w:val="32"/>
          <w:szCs w:val="32"/>
        </w:rPr>
        <w:t>公务用车运行维护费：</w:t>
      </w:r>
      <w:r>
        <w:rPr>
          <w:rFonts w:cs="DengXian-Regular" w:asciiTheme="majorEastAsia" w:hAnsiTheme="majorEastAsia" w:eastAsiaTheme="majorEastAsia"/>
          <w:sz w:val="32"/>
          <w:szCs w:val="32"/>
        </w:rPr>
        <w:t>本部门 2018 年度单位公务用车保有量 1 辆。公车运行维护费支出 4万元，与年初预算持平，主要是认真</w:t>
      </w:r>
      <w:r>
        <w:rPr>
          <w:rFonts w:hint="eastAsia" w:cs="DengXian-Regular" w:asciiTheme="majorEastAsia" w:hAnsiTheme="majorEastAsia" w:eastAsiaTheme="majorEastAsia"/>
          <w:sz w:val="32"/>
          <w:szCs w:val="32"/>
          <w:lang w:eastAsia="zh-CN"/>
        </w:rPr>
        <w:t>贯彻落实中央八项规定</w:t>
      </w:r>
      <w:r>
        <w:rPr>
          <w:rFonts w:cs="DengXian-Regular" w:asciiTheme="majorEastAsia" w:hAnsiTheme="majorEastAsia" w:eastAsiaTheme="majorEastAsia"/>
          <w:sz w:val="32"/>
          <w:szCs w:val="32"/>
        </w:rPr>
        <w:t>精神和厉行节约要求，从严控制“三公”经费开支。</w:t>
      </w:r>
    </w:p>
    <w:p>
      <w:pPr>
        <w:adjustRightInd w:val="0"/>
        <w:snapToGrid w:val="0"/>
        <w:spacing w:after="0" w:line="520" w:lineRule="exact"/>
        <w:ind w:firstLine="643" w:firstLineChars="200"/>
        <w:rPr>
          <w:rFonts w:cs="DengXian-Regular" w:asciiTheme="majorEastAsia" w:hAnsiTheme="majorEastAsia" w:eastAsiaTheme="majorEastAsia"/>
          <w:sz w:val="32"/>
          <w:szCs w:val="32"/>
        </w:rPr>
      </w:pPr>
      <w:r>
        <w:rPr>
          <w:rFonts w:hint="eastAsia" w:cs="DengXian-Bold" w:asciiTheme="majorEastAsia" w:hAnsiTheme="majorEastAsia" w:eastAsiaTheme="majorEastAsia"/>
          <w:b/>
          <w:bCs/>
          <w:sz w:val="32"/>
          <w:szCs w:val="32"/>
        </w:rPr>
        <w:t>（三）公务接待费支出1.6万元。</w:t>
      </w:r>
      <w:r>
        <w:rPr>
          <w:rFonts w:cs="DengXian-Regular" w:asciiTheme="majorEastAsia" w:hAnsiTheme="majorEastAsia" w:eastAsiaTheme="majorEastAsia"/>
          <w:sz w:val="32"/>
          <w:szCs w:val="32"/>
        </w:rPr>
        <w:pict>
          <v:group id="组合 85" o:spid="_x0000_s1105" o:spt="203" style="position:absolute;left:0pt;margin-left:-0.55pt;margin-top:29.3pt;height:43.95pt;width:301.85pt;mso-position-horizontal-relative:page;mso-position-vertical-relative:page;z-index:25167667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">
            <o:lock v:ext="edit"/>
            <v:rect id="矩形 13" o:spid="_x0000_s110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imlcUA&#10;AADbAAAADwAAAGRycy9kb3ducmV2LnhtbESPQWuDQBSE74H+h+UVektWexCx2YQQUHootLEpIbeH&#10;+6IS9624W7X59dlCocdhZr5h1tvZdGKkwbWWFcSrCARxZXXLtYLjZ75MQTiPrLGzTAp+yMF287BY&#10;Y6btxAcaS1+LAGGXoYLG+z6T0lUNGXQr2xMH72IHgz7IoZZ6wCnATSefoyiRBlsOCw32tG+oupbf&#10;RsEFbx+7tqDbOTm9F/FUdl9vaa7U0+O8ewHhafb/4b/2q1aQJvD7JfwA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CKaVxQAAANsAAAAPAAAAAAAAAAAAAAAAAJgCAABkcnMv&#10;ZG93bnJldi54bWxQSwUGAAAAAAQABAD1AAAAigMAAAAA&#10;">
              <v:path/>
              <v:fill on="t" focussize="0,0"/>
              <v:stroke on="f" weight="2pt"/>
              <v:imagedata o:title=""/>
              <o:lock v:ext="edit"/>
            </v:rect>
            <v:rect id="矩形 14" o:spid="_x0000_s110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cjGcQA&#10;AADbAAAADwAAAGRycy9kb3ducmV2LnhtbESPQWvCQBSE7wX/w/KE3uqmkqpEV2kLhfYiNi0Ub8/s&#10;MwnNvg27mxj/vSsIHoeZb4ZZbQbTiJ6cry0reJ4kIIgLq2suFfz+fDwtQPiArLGxTArO5GGzHj2s&#10;MNP2xN/U56EUsYR9hgqqENpMSl9UZNBPbEscvaN1BkOUrpTa4SmWm0ZOk2QmDdYcFyps6b2i4j/v&#10;jILFC+m/9PDm+2JXTucpf2273V6px/HwugQRaAj38I3+1JGbw/VL/AF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3IxnEAAAA2wAAAA8AAAAAAAAAAAAAAAAAmAIAAGRycy9k&#10;b3ducmV2LnhtbFBLBQYAAAAABAAEAPUAAACJ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cs="DengXian-Regular" w:asciiTheme="majorEastAsia" w:hAnsiTheme="majorEastAsia" w:eastAsiaTheme="majorEastAsia"/>
          <w:sz w:val="32"/>
          <w:szCs w:val="32"/>
        </w:rPr>
        <w:t>本部门 2018 年度公务接待共 56 批次、542 人次。公务接待费支出与年初预算持平，主要是认真</w:t>
      </w:r>
      <w:r>
        <w:rPr>
          <w:rFonts w:hint="eastAsia" w:cs="DengXian-Regular" w:asciiTheme="majorEastAsia" w:hAnsiTheme="majorEastAsia" w:eastAsiaTheme="majorEastAsia"/>
          <w:sz w:val="32"/>
          <w:szCs w:val="32"/>
          <w:lang w:eastAsia="zh-CN"/>
        </w:rPr>
        <w:t>贯彻落实中央八项规定</w:t>
      </w:r>
      <w:r>
        <w:rPr>
          <w:rFonts w:cs="DengXian-Regular" w:asciiTheme="majorEastAsia" w:hAnsiTheme="majorEastAsia" w:eastAsiaTheme="majorEastAsia"/>
          <w:sz w:val="32"/>
          <w:szCs w:val="32"/>
        </w:rPr>
        <w:t>精神和厉行节约要 求，从严控制“三公”经费开支。</w:t>
      </w:r>
    </w:p>
    <w:p>
      <w:pPr>
        <w:adjustRightInd w:val="0"/>
        <w:snapToGrid w:val="0"/>
        <w:spacing w:after="0" w:line="520" w:lineRule="exact"/>
        <w:ind w:firstLine="640" w:firstLineChars="200"/>
        <w:rPr>
          <w:rFonts w:asciiTheme="majorEastAsia" w:hAnsiTheme="majorEastAsia" w:eastAsiaTheme="majorEastAsia"/>
          <w:sz w:val="32"/>
          <w:szCs w:val="32"/>
        </w:rPr>
      </w:pPr>
      <w:r>
        <w:rPr>
          <w:rFonts w:hint="eastAsia" w:asciiTheme="majorEastAsia" w:hAnsiTheme="majorEastAsia" w:eastAsiaTheme="majorEastAsia"/>
          <w:sz w:val="32"/>
          <w:szCs w:val="32"/>
        </w:rPr>
        <w:t>六、预算绩效情况说明</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（一）预算绩效管理工作开展情况。</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cs="DengXian-Regular" w:asciiTheme="majorEastAsia" w:hAnsiTheme="majorEastAsia" w:eastAsiaTheme="majorEastAsia"/>
          <w:sz w:val="32"/>
          <w:szCs w:val="32"/>
        </w:rPr>
        <w:t>一是加强组织领导，完善部门职责分工。为进一步增强支出责任和效率意识，全面加强 预算管理，优化资源配置，提高财政资金科学化、精细化管理水平，成立了由</w:t>
      </w:r>
      <w:r>
        <w:rPr>
          <w:rFonts w:hint="eastAsia" w:cs="DengXian-Regular" w:asciiTheme="majorEastAsia" w:hAnsiTheme="majorEastAsia" w:eastAsiaTheme="majorEastAsia"/>
          <w:sz w:val="32"/>
          <w:szCs w:val="32"/>
        </w:rPr>
        <w:t>青龙满族自治县委</w:t>
      </w:r>
      <w:r>
        <w:rPr>
          <w:rFonts w:cs="DengXian-Regular" w:asciiTheme="majorEastAsia" w:hAnsiTheme="majorEastAsia" w:eastAsiaTheme="majorEastAsia"/>
          <w:sz w:val="32"/>
          <w:szCs w:val="32"/>
        </w:rPr>
        <w:t>宣传部常务副 部长任组长，分管副部长任副组长，其他班子成员为成员的预算绩效管理工作领导小组，领 导小组下设办公室，办公室设在</w:t>
      </w:r>
      <w:r>
        <w:rPr>
          <w:rFonts w:hint="eastAsia" w:cs="DengXian-Regular" w:asciiTheme="majorEastAsia" w:hAnsiTheme="majorEastAsia" w:eastAsiaTheme="majorEastAsia"/>
          <w:sz w:val="32"/>
          <w:szCs w:val="32"/>
        </w:rPr>
        <w:t>青龙满族自治县委</w:t>
      </w:r>
      <w:r>
        <w:rPr>
          <w:rFonts w:cs="DengXian-Regular" w:asciiTheme="majorEastAsia" w:hAnsiTheme="majorEastAsia" w:eastAsiaTheme="majorEastAsia"/>
          <w:sz w:val="32"/>
          <w:szCs w:val="32"/>
        </w:rPr>
        <w:t xml:space="preserve">宣传部办公室，具体负责本单位预算绩效管理日常工作。研 究建立本部门“部门职责-工作活动”目录及绩效目标、绩效指标和评价标准体系，确保部门 职责、工作活动绩效目标的落实。 </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cs="DengXian-Regular" w:asciiTheme="majorEastAsia" w:hAnsiTheme="majorEastAsia" w:eastAsiaTheme="majorEastAsia"/>
          <w:sz w:val="32"/>
          <w:szCs w:val="32"/>
        </w:rPr>
        <w:t>二是强化预算执行，认真组织实施。严格落实中央、省、市、县厉行节约有关规定，牢 固树立节约意识，从预算编制入手，大力压减一般性开支，节约财政资金。紧紧围绕完善公 －33－ 共财政体制机制和强化部门支出责任这根主线，遵循全面部署、分步实施、稳步推进的原则， 对较大金额的项目支出开展绩效评价，强化了绩效目标管理。强化项目单位支出责任，提高 资金使用效益起到促进作用。</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（二）项目绩效自评结果。</w:t>
      </w:r>
    </w:p>
    <w:p>
      <w:pPr>
        <w:widowControl/>
        <w:spacing w:after="0" w:line="240" w:lineRule="auto"/>
        <w:jc w:val="left"/>
        <w:rPr>
          <w:rFonts w:cs="DengXian-Regular" w:asciiTheme="majorEastAsia" w:hAnsiTheme="majorEastAsia" w:eastAsiaTheme="majorEastAsia"/>
          <w:sz w:val="32"/>
          <w:szCs w:val="32"/>
        </w:rPr>
      </w:pPr>
      <w:r>
        <w:rPr>
          <w:rFonts w:cs="DengXian-Regular" w:asciiTheme="majorEastAsia" w:hAnsiTheme="majorEastAsia" w:eastAsiaTheme="majorEastAsia"/>
          <w:sz w:val="32"/>
          <w:szCs w:val="32"/>
        </w:rPr>
        <w:br w:type="page"/>
      </w:r>
      <w:r>
        <w:rPr>
          <w:rFonts w:hint="eastAsia" w:cs="DengXian-Regular" w:asciiTheme="majorEastAsia" w:hAnsiTheme="majorEastAsia" w:eastAsiaTheme="majorEastAsia"/>
          <w:sz w:val="32"/>
          <w:szCs w:val="32"/>
        </w:rPr>
        <w:drawing>
          <wp:inline distT="0" distB="0" distL="0" distR="0">
            <wp:extent cx="5953125" cy="7052310"/>
            <wp:effectExtent l="19050" t="0" r="9304" b="0"/>
            <wp:docPr id="3" name="图片 1" descr="360软件小助手截图2019102510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360软件小助手截图20191025103247.jpg"/>
                    <pic:cNvPicPr>
                      <a:picLocks noChangeAspect="1"/>
                    </pic:cNvPicPr>
                  </pic:nvPicPr>
                  <pic:blipFill>
                    <a:blip r:embed="rId8" cstate="print"/>
                    <a:stretch>
                      <a:fillRect/>
                    </a:stretch>
                  </pic:blipFill>
                  <pic:spPr>
                    <a:xfrm>
                      <a:off x="0" y="0"/>
                      <a:ext cx="5961724" cy="7062732"/>
                    </a:xfrm>
                    <a:prstGeom prst="rect">
                      <a:avLst/>
                    </a:prstGeom>
                  </pic:spPr>
                </pic:pic>
              </a:graphicData>
            </a:graphic>
          </wp:inline>
        </w:drawing>
      </w:r>
    </w:p>
    <w:p>
      <w:pPr>
        <w:adjustRightInd w:val="0"/>
        <w:snapToGrid w:val="0"/>
        <w:spacing w:after="0" w:line="580" w:lineRule="exact"/>
        <w:ind w:firstLine="640" w:firstLineChars="200"/>
        <w:rPr>
          <w:rFonts w:cs="DengXian-Regular" w:asciiTheme="majorEastAsia" w:hAnsiTheme="majorEastAsia" w:eastAsiaTheme="majorEastAsia"/>
          <w:sz w:val="32"/>
          <w:szCs w:val="32"/>
        </w:rPr>
      </w:pPr>
    </w:p>
    <w:p>
      <w:pPr>
        <w:adjustRightInd w:val="0"/>
        <w:snapToGrid w:val="0"/>
        <w:spacing w:after="0" w:line="580" w:lineRule="exact"/>
        <w:rPr>
          <w:rFonts w:cs="DengXian-Regular" w:asciiTheme="majorEastAsia" w:hAnsiTheme="majorEastAsia" w:eastAsiaTheme="majorEastAsia"/>
          <w:sz w:val="32"/>
          <w:szCs w:val="32"/>
        </w:rPr>
      </w:pP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（三）重点项目绩效评价结果。</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sz w:val="32"/>
          <w:szCs w:val="32"/>
        </w:rPr>
        <w:t>为全面落实县委县政府各项决策部署，围绕中央和省级综合文化服务中心项目开展建设 资金拨付及项目督导，规划、部署全县精神文明建设活动。</w:t>
      </w:r>
    </w:p>
    <w:p>
      <w:pPr>
        <w:pStyle w:val="3"/>
        <w:spacing w:before="0" w:after="0" w:line="520" w:lineRule="exact"/>
        <w:ind w:firstLine="640" w:firstLineChars="200"/>
        <w:rPr>
          <w:rFonts w:cs="Times New Roman" w:asciiTheme="majorEastAsia" w:hAnsiTheme="majorEastAsia"/>
          <w:b w:val="0"/>
          <w:bCs w:val="0"/>
        </w:rPr>
      </w:pPr>
      <w:r>
        <w:rPr>
          <w:rFonts w:hint="eastAsia" w:cs="Times New Roman" w:asciiTheme="majorEastAsia" w:hAnsiTheme="majorEastAsia"/>
          <w:b w:val="0"/>
          <w:bCs w:val="0"/>
        </w:rPr>
        <w:t>七、其他重要事项的说明</w:t>
      </w:r>
    </w:p>
    <w:p>
      <w:pPr>
        <w:pStyle w:val="4"/>
        <w:spacing w:before="0" w:after="0" w:line="520" w:lineRule="exact"/>
        <w:ind w:firstLine="643" w:firstLineChars="200"/>
        <w:rPr>
          <w:rFonts w:cs="DengXian-Bold" w:asciiTheme="majorEastAsia" w:hAnsiTheme="majorEastAsia" w:eastAsiaTheme="majorEastAsia"/>
        </w:rPr>
      </w:pPr>
      <w:r>
        <w:rPr>
          <w:rFonts w:hint="eastAsia" w:cs="DengXian-Bold" w:asciiTheme="majorEastAsia" w:hAnsiTheme="majorEastAsia" w:eastAsiaTheme="majorEastAsia"/>
        </w:rPr>
        <w:t>（一）机关运行经费情况</w:t>
      </w:r>
    </w:p>
    <w:p>
      <w:pPr>
        <w:adjustRightInd w:val="0"/>
        <w:snapToGrid w:val="0"/>
        <w:spacing w:after="0" w:line="520" w:lineRule="exact"/>
        <w:ind w:firstLine="640" w:firstLineChars="200"/>
        <w:rPr>
          <w:sz w:val="32"/>
          <w:szCs w:val="32"/>
        </w:rPr>
      </w:pPr>
      <w:r>
        <w:rPr>
          <w:sz w:val="32"/>
          <w:szCs w:val="32"/>
        </w:rPr>
        <w:t>本部门 2018 年度机关运行经费支出 14.80 万元，与年初预算持平，主要是认真贯彻落</w:t>
      </w:r>
      <w:bookmarkStart w:id="0" w:name="_GoBack"/>
      <w:bookmarkEnd w:id="0"/>
      <w:r>
        <w:rPr>
          <w:sz w:val="32"/>
          <w:szCs w:val="32"/>
        </w:rPr>
        <w:t>实中央</w:t>
      </w:r>
      <w:r>
        <w:rPr>
          <w:rFonts w:hint="eastAsia"/>
          <w:sz w:val="32"/>
          <w:szCs w:val="32"/>
          <w:lang w:eastAsia="zh-CN"/>
        </w:rPr>
        <w:t>八项规定</w:t>
      </w:r>
      <w:r>
        <w:rPr>
          <w:sz w:val="32"/>
          <w:szCs w:val="32"/>
        </w:rPr>
        <w:t>精神和厉行节约要求，从严控制各项经费开支。</w:t>
      </w:r>
    </w:p>
    <w:p>
      <w:pPr>
        <w:pStyle w:val="4"/>
        <w:spacing w:before="0" w:after="0" w:line="520" w:lineRule="exact"/>
        <w:ind w:firstLine="643" w:firstLineChars="200"/>
        <w:rPr>
          <w:rFonts w:cs="DengXian-Bold" w:asciiTheme="majorEastAsia" w:hAnsiTheme="majorEastAsia" w:eastAsiaTheme="majorEastAsia"/>
        </w:rPr>
      </w:pPr>
      <w:r>
        <w:rPr>
          <w:rFonts w:hint="eastAsia" w:cs="DengXian-Bold" w:asciiTheme="majorEastAsia" w:hAnsiTheme="majorEastAsia" w:eastAsiaTheme="majorEastAsia"/>
        </w:rPr>
        <w:t>（二）政府采购情况</w:t>
      </w:r>
    </w:p>
    <w:p>
      <w:pPr>
        <w:pStyle w:val="4"/>
        <w:spacing w:before="0" w:after="0" w:line="520" w:lineRule="exact"/>
        <w:ind w:firstLine="640" w:firstLineChars="200"/>
        <w:rPr>
          <w:b w:val="0"/>
          <w:bCs w:val="0"/>
        </w:rPr>
      </w:pPr>
      <w:r>
        <w:rPr>
          <w:b w:val="0"/>
          <w:bCs w:val="0"/>
        </w:rPr>
        <w:t>本部门 2018 年度无政府采购支出。</w:t>
      </w:r>
    </w:p>
    <w:p>
      <w:pPr>
        <w:pStyle w:val="4"/>
        <w:spacing w:before="0" w:after="0" w:line="520" w:lineRule="exact"/>
        <w:ind w:firstLine="643" w:firstLineChars="200"/>
        <w:rPr>
          <w:rFonts w:cs="DengXian-Bold" w:asciiTheme="majorEastAsia" w:hAnsiTheme="majorEastAsia" w:eastAsiaTheme="majorEastAsia"/>
        </w:rPr>
      </w:pPr>
      <w:r>
        <w:rPr>
          <w:rFonts w:hint="eastAsia" w:cs="DengXian-Bold" w:asciiTheme="majorEastAsia" w:hAnsiTheme="majorEastAsia" w:eastAsiaTheme="majorEastAsia"/>
        </w:rPr>
        <w:t>（三）国有资产占用情况</w:t>
      </w:r>
    </w:p>
    <w:p>
      <w:pPr>
        <w:adjustRightInd w:val="0"/>
        <w:snapToGrid w:val="0"/>
        <w:spacing w:after="0" w:line="520" w:lineRule="exact"/>
        <w:ind w:firstLine="640" w:firstLineChars="200"/>
        <w:rPr>
          <w:sz w:val="32"/>
          <w:szCs w:val="32"/>
        </w:rPr>
      </w:pPr>
      <w:r>
        <w:rPr>
          <w:rFonts w:hint="eastAsia"/>
          <w:sz w:val="32"/>
          <w:szCs w:val="32"/>
        </w:rPr>
        <w:t>截至2018年12月31日，本部门共有车辆1辆，</w:t>
      </w:r>
      <w:r>
        <w:rPr>
          <w:sz w:val="32"/>
          <w:szCs w:val="32"/>
        </w:rPr>
        <w:t xml:space="preserve"> 主要是一般公务用车</w:t>
      </w:r>
      <w:r>
        <w:rPr>
          <w:rFonts w:hint="eastAsia"/>
          <w:sz w:val="32"/>
          <w:szCs w:val="32"/>
        </w:rPr>
        <w:t>，数量</w:t>
      </w:r>
      <w:r>
        <w:rPr>
          <w:sz w:val="32"/>
          <w:szCs w:val="32"/>
        </w:rPr>
        <w:t>与上年</w:t>
      </w:r>
      <w:r>
        <w:rPr>
          <w:rFonts w:hint="eastAsia"/>
          <w:sz w:val="32"/>
          <w:szCs w:val="32"/>
        </w:rPr>
        <w:t>一致。其中，无副部（省）级及以上领导用车，单位无价值50万元以上通用设备，与上年持平，单位无价值100万元以上专用设备与上年持平。</w:t>
      </w:r>
    </w:p>
    <w:p>
      <w:pPr>
        <w:pStyle w:val="4"/>
        <w:spacing w:before="0" w:after="0" w:line="520" w:lineRule="exact"/>
        <w:ind w:firstLine="643" w:firstLineChars="200"/>
        <w:rPr>
          <w:rFonts w:cs="DengXian-Bold" w:asciiTheme="majorEastAsia" w:hAnsiTheme="majorEastAsia" w:eastAsiaTheme="majorEastAsia"/>
        </w:rPr>
      </w:pPr>
      <w:r>
        <w:rPr>
          <w:rFonts w:hint="eastAsia" w:cs="DengXian-Bold" w:asciiTheme="majorEastAsia" w:hAnsiTheme="majorEastAsia" w:eastAsiaTheme="majorEastAsia"/>
        </w:rPr>
        <w:t>（四）其他需要说明的情况</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cs="DengXian-Regular" w:asciiTheme="majorEastAsia" w:hAnsiTheme="majorEastAsia" w:eastAsiaTheme="majorEastAsia"/>
          <w:sz w:val="32"/>
          <w:szCs w:val="32"/>
        </w:rPr>
        <w:t>1、本部门 2018 年度无政府性基金预算财政拨款收入支出、无国有资本经营预算财政拨 款支出、无政府采购支出，故政府性基金预算财政拨款收入支出决算表、国有资本经营预算 财政拨款支出决算表、政府采购情况表以空表列示。</w:t>
      </w:r>
    </w:p>
    <w:p>
      <w:pPr>
        <w:adjustRightInd w:val="0"/>
        <w:snapToGrid w:val="0"/>
        <w:spacing w:after="0" w:line="520" w:lineRule="exact"/>
        <w:ind w:firstLine="640" w:firstLineChars="200"/>
        <w:rPr>
          <w:rFonts w:cs="DengXian-Regular" w:asciiTheme="majorEastAsia" w:hAnsiTheme="majorEastAsia" w:eastAsiaTheme="majorEastAsia"/>
          <w:sz w:val="32"/>
          <w:szCs w:val="32"/>
        </w:rPr>
      </w:pPr>
      <w:r>
        <w:rPr>
          <w:rFonts w:hint="eastAsia" w:cs="DengXian-Regular" w:asciiTheme="majorEastAsia" w:hAnsiTheme="majorEastAsia" w:eastAsiaTheme="majorEastAsia"/>
          <w:sz w:val="32"/>
          <w:szCs w:val="32"/>
        </w:rPr>
        <w:t>2、由于决算公开表格中金额数值应当保留两位小数，公开数据为四舍五入计算结</w:t>
      </w:r>
      <w:r>
        <w:rPr>
          <w:rFonts w:asciiTheme="majorEastAsia" w:hAnsiTheme="majorEastAsia" w:eastAsiaTheme="majorEastAsia"/>
          <w:sz w:val="32"/>
          <w:szCs w:val="32"/>
        </w:rPr>
        <w:pict>
          <v:group id="组合 91" o:spid="_x0000_s1111" o:spt="203" style="position:absolute;left:0pt;margin-left:-0.55pt;margin-top:29.3pt;height:43.95pt;width:301.85pt;mso-position-horizontal-relative:page;mso-position-vertical-relative:page;z-index:251677696;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">
            <o:lock v:ext="edit"/>
            <v:rect id="矩形 13" o:spid="_x0000_s111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o2S8MA&#10;AADbAAAADwAAAGRycy9kb3ducmV2LnhtbESPQYvCMBSE7wv7H8ITvGmqB9FqFBGUPQhq3UW8PZpn&#10;W2xeShNt9dcbQdjjMDPfMLNFa0pxp9oVlhUM+hEI4tTqgjMFv8d1bwzCeWSNpWVS8CAHi/n31wxj&#10;bRs+0D3xmQgQdjEqyL2vYildmpNB17cVcfAutjbog6wzqWtsAtyUchhFI2mw4LCQY0WrnNJrcjMK&#10;LvjcL4sNPc+j024zaJLybzteK9XttMspCE+t/w9/2j9awWQI7y/hB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o2S8MAAADbAAAADwAAAAAAAAAAAAAAAACYAgAAZHJzL2Rv&#10;d25yZXYueG1sUEsFBgAAAAAEAAQA9QAAAIgDAAAAAA==&#10;">
              <v:path/>
              <v:fill on="t" focussize="0,0"/>
              <v:stroke on="f" weight="2pt"/>
              <v:imagedata o:title=""/>
              <o:lock v:ext="edit"/>
            </v:rect>
            <v:rect id="矩形 14" o:spid="_x0000_s111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Wzx8UA&#10;AADbAAAADwAAAGRycy9kb3ducmV2LnhtbESPQWvCQBSE74L/YXlCb2ZTtVbTbKQWCvVS1Ari7TX7&#10;moRm34bsGuO/d4VCj8PMfMOkq97UoqPWVZYVPEYxCOLc6ooLBYev9/EChPPIGmvLpOBKDlbZcJBi&#10;ou2Fd9TtfSEChF2CCkrvm0RKl5dk0EW2IQ7ej20N+iDbQuoWLwFuajmJ47k0WHFYKLGht5Ly3/3Z&#10;KFg8kT7Ovteuy7fF5HnGm8/z9qTUw6h/fQHhqff/4b/2h1awnML9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bPHxQAAANsAAAAPAAAAAAAAAAAAAAAAAJgCAABkcnMv&#10;ZG93bnJldi54bWxQSwUGAAAAAAQABAD1AAAAigM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2018年度部门决算☞部门决算情况说明</w:t>
                    </w:r>
                  </w:p>
                  <w:p>
                    <w:pPr>
                      <w:jc w:val="center"/>
                    </w:pPr>
                  </w:p>
                </w:txbxContent>
              </v:textbox>
            </v:rect>
            <w10:anchorlock/>
          </v:group>
        </w:pict>
      </w:r>
      <w:r>
        <w:rPr>
          <w:rFonts w:hint="eastAsia" w:cs="DengXian-Regular" w:asciiTheme="majorEastAsia" w:hAnsiTheme="majorEastAsia" w:eastAsiaTheme="majorEastAsia"/>
          <w:sz w:val="32"/>
          <w:szCs w:val="32"/>
        </w:rPr>
        <w:t>果，个别数据合计项与分项之和存在小数点后差额，特此说明。</w:t>
      </w:r>
    </w:p>
    <w:p>
      <w:pPr>
        <w:widowControl/>
        <w:spacing w:after="0" w:line="580" w:lineRule="exact"/>
        <w:ind w:firstLine="643" w:firstLineChars="200"/>
        <w:jc w:val="left"/>
        <w:rPr>
          <w:rFonts w:cs="MS-UIGothic,Bold" w:asciiTheme="majorEastAsia" w:hAnsiTheme="majorEastAsia" w:eastAsiaTheme="majorEastAsia"/>
          <w:b/>
          <w:bCs/>
          <w:kern w:val="0"/>
          <w:sz w:val="32"/>
          <w:szCs w:val="32"/>
        </w:rPr>
        <w:sectPr>
          <w:pgSz w:w="11906" w:h="16838"/>
          <w:pgMar w:top="2098" w:right="1474" w:bottom="1984" w:left="1588" w:header="851" w:footer="992" w:gutter="0"/>
          <w:cols w:space="0" w:num="1"/>
          <w:docGrid w:type="lines" w:linePitch="312" w:charSpace="0"/>
        </w:sectPr>
      </w:pPr>
    </w:p>
    <w:p>
      <w:pPr>
        <w:rPr>
          <w:rFonts w:ascii="宋体" w:hAnsi="宋体" w:cs="ArialUnicodeMS"/>
          <w:color w:val="000000"/>
          <w:kern w:val="0"/>
        </w:rPr>
        <w:sectPr>
          <w:pgSz w:w="11906" w:h="16838"/>
          <w:pgMar w:top="2098" w:right="1474" w:bottom="1984" w:left="1588" w:header="851" w:footer="992" w:gutter="0"/>
          <w:cols w:space="0" w:num="1"/>
          <w:docGrid w:type="lines" w:linePitch="312" w:charSpace="0"/>
        </w:sectPr>
      </w:pPr>
      <w:r>
        <w:rPr>
          <w:rFonts w:hint="eastAsia" w:ascii="宋体" w:hAnsi="宋体" w:cs="ArialUnicodeMS"/>
          <w:color w:val="000000"/>
          <w:kern w:val="0"/>
        </w:rP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21"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2"/>
                    <pic:cNvPicPr>
                      <a:picLocks noChangeAspect="1"/>
                    </pic:cNvPicPr>
                  </pic:nvPicPr>
                  <pic:blipFill>
                    <a:blip r:embed="rId7" cstate="print"/>
                    <a:stretch>
                      <a:fillRect/>
                    </a:stretch>
                  </pic:blipFill>
                  <pic:spPr>
                    <a:xfrm>
                      <a:off x="0" y="0"/>
                      <a:ext cx="7550150" cy="10680065"/>
                    </a:xfrm>
                    <a:prstGeom prst="rect">
                      <a:avLst/>
                    </a:prstGeom>
                  </pic:spPr>
                </pic:pic>
              </a:graphicData>
            </a:graphic>
          </wp:anchor>
        </w:drawing>
      </w:r>
      <w:r>
        <w:rPr>
          <w:sz w:val="72"/>
        </w:rPr>
        <w:pict>
          <v:shape id="文本框 22" o:spid="_x0000_s1114" o:spt="202" type="#_x0000_t202" style="position:absolute;left:0pt;margin-left:-78.7pt;margin-top:232.8pt;height:159.1pt;width:596.2pt;z-index:251667456;mso-width-relative:page;mso-height-relative:page;" filled="f"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">
            <v:path/>
            <v:fill on="f" focussize="0,0"/>
            <v:stroke on="f" weight="0.5pt" joinstyle="miter"/>
            <v:imagedata o:title=""/>
            <o:lock v:ext="edit"/>
            <v:textbox>
              <w:txbxContent>
                <w:p>
                  <w:pPr>
                    <w:widowControl/>
                    <w:spacing w:line="1200" w:lineRule="exact"/>
                    <w:jc w:val="center"/>
                    <w:rPr>
                      <w:rFonts w:hAnsi="宋体" w:asciiTheme="minorEastAsia" w:eastAsiaTheme="minorEastAsia"/>
                      <w:color w:val="FDEFBE"/>
                      <w:sz w:val="96"/>
                      <w:szCs w:val="96"/>
                    </w:rPr>
                  </w:pPr>
                  <w:r>
                    <w:rPr>
                      <w:rFonts w:hint="eastAsia" w:hAnsi="宋体" w:asciiTheme="minorEastAsia" w:eastAsiaTheme="minorEastAsia"/>
                      <w:color w:val="FDEFBE"/>
                      <w:sz w:val="96"/>
                      <w:szCs w:val="96"/>
                    </w:rPr>
                    <w:t>第四部分</w:t>
                  </w:r>
                </w:p>
                <w:p>
                  <w:pPr>
                    <w:widowControl/>
                    <w:spacing w:line="1200" w:lineRule="exact"/>
                    <w:jc w:val="center"/>
                    <w:rPr>
                      <w:color w:val="FDEFBE"/>
                      <w:sz w:val="96"/>
                      <w:szCs w:val="96"/>
                    </w:rPr>
                  </w:pPr>
                  <w:r>
                    <w:rPr>
                      <w:rFonts w:hint="eastAsia" w:hAnsi="宋体" w:asciiTheme="minorEastAsia" w:eastAsiaTheme="minorEastAsia"/>
                      <w:color w:val="FDEFBE"/>
                      <w:sz w:val="96"/>
                      <w:szCs w:val="96"/>
                    </w:rPr>
                    <w:t>名词解释</w:t>
                  </w:r>
                </w:p>
              </w:txbxContent>
            </v:textbox>
          </v:shape>
        </w:pic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（一）财政拨款收入：</w:t>
      </w:r>
      <w:r>
        <w:rPr>
          <w:rFonts w:hint="eastAsia" w:asciiTheme="majorEastAsia" w:hAnsiTheme="majorEastAsia" w:eastAsiaTheme="majorEastAsia"/>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（二）事业收入：</w:t>
      </w:r>
      <w:r>
        <w:rPr>
          <w:rFonts w:hint="eastAsia" w:asciiTheme="majorEastAsia" w:hAnsiTheme="majorEastAsia" w:eastAsiaTheme="majorEastAsia"/>
          <w:color w:val="000000"/>
          <w:kern w:val="0"/>
          <w:sz w:val="32"/>
          <w:szCs w:val="32"/>
        </w:rPr>
        <w:t>指事业单位开展专业业务活动及辅助活动所取得的收入。</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（三）其他收入：</w:t>
      </w:r>
      <w:r>
        <w:rPr>
          <w:rFonts w:hint="eastAsia" w:asciiTheme="majorEastAsia" w:hAnsiTheme="majorEastAsia" w:eastAsiaTheme="majorEastAsia"/>
          <w:color w:val="000000"/>
          <w:kern w:val="0"/>
          <w:sz w:val="32"/>
          <w:szCs w:val="32"/>
        </w:rPr>
        <w:t>指除上述“财政拨款收入”“事业收入”“经营收入”等以外的收入。</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（四）用事业基金弥补收支差额：</w:t>
      </w:r>
      <w:r>
        <w:rPr>
          <w:rFonts w:hint="eastAsia" w:asciiTheme="majorEastAsia" w:hAnsiTheme="majorEastAsia" w:eastAsiaTheme="majorEastAsia"/>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（五）年初结转和结余：</w:t>
      </w:r>
      <w:r>
        <w:rPr>
          <w:rFonts w:hint="eastAsia" w:asciiTheme="majorEastAsia" w:hAnsiTheme="majorEastAsia" w:eastAsiaTheme="majorEastAsia"/>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（六）结余分配：</w:t>
      </w:r>
      <w:r>
        <w:rPr>
          <w:rFonts w:hint="eastAsia" w:asciiTheme="majorEastAsia" w:hAnsiTheme="majorEastAsia" w:eastAsiaTheme="majorEastAsia"/>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（七）年末结转和结</w:t>
      </w:r>
      <w:r>
        <w:rPr>
          <w:rFonts w:asciiTheme="majorEastAsia" w:hAnsiTheme="majorEastAsia" w:eastAsiaTheme="majorEastAsia"/>
          <w:b/>
          <w:bCs/>
          <w:color w:val="000000"/>
          <w:kern w:val="0"/>
          <w:sz w:val="32"/>
          <w:szCs w:val="32"/>
        </w:rPr>
        <w:pict>
          <v:group id="组合 149" o:spid="_x0000_s1115" o:spt="203" style="position:absolute;left:0pt;margin-left:-81.05pt;margin-top:39.65pt;height:43.95pt;width:264.85pt;mso-position-vertical-relative:page;z-index:251671552;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">
            <o:lock v:ext="edit"/>
            <v:rect id="矩形 13" o:spid="_x0000_s1116"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u7cYA&#10;AADcAAAADwAAAGRycy9kb3ducmV2LnhtbESPQWvCQBCF74L/YZlCb7pRqEjqKlJQPBRao1J6G7Jj&#10;EpqdDdnVpP565yB4m+G9ee+bxap3tbpSGyrPBibjBBRx7m3FhYHjYTOagwoR2WLtmQz8U4DVcjhY&#10;YGp9x3u6ZrFQEsIhRQNljE2qdchLchjGviEW7exbh1HWttC2xU7CXa2nSTLTDiuWhhIb+igp/8su&#10;zsAZb9/raku339nP13bSZfXpc74x5vWlX7+DitTHp/lxvbOC/yb48oxM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Lu7cYAAADcAAAADwAAAAAAAAAAAAAAAACYAgAAZHJz&#10;L2Rvd25yZXYueG1sUEsFBgAAAAAEAAQA9QAAAIsDAAAAAA==&#10;">
              <v:path/>
              <v:fill on="t" focussize="0,0"/>
              <v:stroke on="f" weight="2pt"/>
              <v:imagedata o:title=""/>
              <o:lock v:ext="edit"/>
            </v:rect>
            <v:rect id="矩形 14" o:spid="_x0000_s1117"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z8MA&#10;AADcAAAADwAAAGRycy9kb3ducmV2LnhtbERPS2vCQBC+C/0PyxR6041iWkldRQuFepHUFsTbNDsm&#10;wexsyG4e/nu3IHibj+85y/VgKtFR40rLCqaTCARxZnXJuYLfn8/xAoTzyBory6TgSg7Wq6fREhNt&#10;e/6m7uBzEULYJaig8L5OpHRZQQbdxNbEgTvbxqAPsMmlbrAP4aaSsyh6lQZLDg0F1vRRUHY5tEbB&#10;IiZ9nP9tXZel+extzrt9m56UenkeNu8gPA3+Ib67v3SYH0/h/5lwgV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6z8MAAADc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Theme="majorEastAsia" w:hAnsiTheme="majorEastAsia" w:eastAsiaTheme="majorEastAsia"/>
          <w:b/>
          <w:bCs/>
          <w:color w:val="000000"/>
          <w:kern w:val="0"/>
          <w:sz w:val="32"/>
          <w:szCs w:val="32"/>
        </w:rPr>
        <w:t>余：</w:t>
      </w:r>
      <w:r>
        <w:rPr>
          <w:rFonts w:hint="eastAsia" w:asciiTheme="majorEastAsia" w:hAnsiTheme="majorEastAsia" w:eastAsiaTheme="majorEastAsia"/>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（八）基本支出：</w:t>
      </w:r>
      <w:r>
        <w:rPr>
          <w:rFonts w:hint="eastAsia" w:asciiTheme="majorEastAsia" w:hAnsiTheme="majorEastAsia" w:eastAsiaTheme="majorEastAsia"/>
          <w:color w:val="000000"/>
          <w:kern w:val="0"/>
          <w:sz w:val="32"/>
          <w:szCs w:val="32"/>
        </w:rPr>
        <w:t>填列单位为保障机构正常运转、完成日常工作任务而发生的各项支出。</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（九）项目支出：</w:t>
      </w:r>
      <w:r>
        <w:rPr>
          <w:rFonts w:hint="eastAsia" w:asciiTheme="majorEastAsia" w:hAnsiTheme="majorEastAsia" w:eastAsiaTheme="majorEastAsia"/>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（十）资本性支出（基本建设）：</w:t>
      </w:r>
      <w:r>
        <w:rPr>
          <w:rFonts w:hint="eastAsia" w:asciiTheme="majorEastAsia" w:hAnsiTheme="majorEastAsia" w:eastAsiaTheme="majorEastAsia"/>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（十一）资本性支出：</w:t>
      </w:r>
      <w:r>
        <w:rPr>
          <w:rFonts w:hint="eastAsia" w:asciiTheme="majorEastAsia" w:hAnsiTheme="majorEastAsia" w:eastAsiaTheme="majorEastAsia"/>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（十二）“三公”经费：</w:t>
      </w:r>
      <w:r>
        <w:rPr>
          <w:rFonts w:hint="eastAsia" w:asciiTheme="majorEastAsia" w:hAnsiTheme="majorEastAsia" w:eastAsiaTheme="majorEastAsia"/>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w:rPr>
          <w:rFonts w:asciiTheme="majorEastAsia" w:hAnsiTheme="majorEastAsia" w:eastAsiaTheme="majorEastAsia"/>
          <w:b/>
          <w:bCs/>
          <w:color w:val="000000"/>
          <w:kern w:val="0"/>
          <w:sz w:val="32"/>
          <w:szCs w:val="32"/>
        </w:rPr>
        <w:pict>
          <v:group id="_x0000_s1118" o:spid="_x0000_s1118" o:spt="203" style="position:absolute;left:0pt;margin-left:-81.05pt;margin-top:39.65pt;height:43.95pt;width:264.85pt;mso-position-vertical-relative:page;z-index:251678720;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">
            <o:lock v:ext="edit"/>
            <v:rect id="矩形 13" o:spid="_x0000_s1119"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uP8QA&#10;AADbAAAADwAAAGRycy9kb3ducmV2LnhtbESPQYvCMBSE78L+h/AWvGnqguJWo8iC4kFw7Sri7dE8&#10;22LzUppoq7/eLAgeh5n5hpnOW1OKG9WusKxg0I9AEKdWF5wp2P8te2MQziNrLC2Tgjs5mM8+OlOM&#10;tW14R7fEZyJA2MWoIPe+iqV0aU4GXd9WxME729qgD7LOpK6xCXBTyq8oGkmDBYeFHCv6ySm9JFej&#10;4IyP30WxosdpdNyuBk1SHjbjpVLdz3YxAeGp9e/wq73WCr6H8P8l/AA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Drj/EAAAA2wAAAA8AAAAAAAAAAAAAAAAAmAIAAGRycy9k&#10;b3ducmV2LnhtbFBLBQYAAAAABAAEAPUAAACJAwAAAAA=&#10;">
              <v:path/>
              <v:fill on="t" focussize="0,0"/>
              <v:stroke on="f" weight="2pt"/>
              <v:imagedata o:title=""/>
              <o:lock v:ext="edit"/>
            </v:rect>
            <v:rect id="矩形 14" o:spid="_x0000_s1120"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QX8MA&#10;AADbAAAADwAAAGRycy9kb3ducmV2LnhtbESPS4vCQBCE7wv+h6EFb+tE8RkdRQXBvSy+QLy1mTYJ&#10;ZnpCZozZf7+zIOyxqKqvqPmyMYWoqXK5ZQW9bgSCOLE651TB+bT9nIBwHlljYZkU/JCD5aL1McdY&#10;2xcfqD76VAQIuxgVZN6XsZQuycig69qSOHh3Wxn0QVap1BW+AtwUsh9FI2kw57CQYUmbjJLH8WkU&#10;TIakL4Pb2tXJPu2PB/z1/dxfleq0m9UMhKfG/4ff7Z1WMB3B3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IQX8MAAADbAAAADwAAAAAAAAAAAAAAAACYAgAAZHJzL2Rv&#10;d25yZXYueG1sUEsFBgAAAAAEAAQA9QAAAIgDA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Theme="majorEastAsia" w:hAnsiTheme="majorEastAsia" w:eastAsiaTheme="majorEastAsia"/>
          <w:color w:val="000000"/>
          <w:kern w:val="0"/>
          <w:sz w:val="32"/>
          <w:szCs w:val="32"/>
        </w:rPr>
        <w:t>待费反映单位按规定开支的各类公务接待（含外宾接待）支出。</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（十三）其</w:t>
      </w:r>
      <w:r>
        <w:rPr>
          <w:rFonts w:asciiTheme="majorEastAsia" w:hAnsiTheme="majorEastAsia" w:eastAsiaTheme="majorEastAsia"/>
          <w:b/>
          <w:bCs/>
          <w:color w:val="000000"/>
          <w:kern w:val="0"/>
          <w:sz w:val="32"/>
          <w:szCs w:val="32"/>
        </w:rPr>
        <w:pict>
          <v:group id="_x0000_s1121" o:spid="_x0000_s1121" o:spt="203" style="position:absolute;left:0pt;margin-left:-81.05pt;margin-top:39.65pt;height:43.95pt;width:264.85pt;mso-position-vertical-relative:page;z-index:251679744;mso-width-relative:page;mso-height-relative:page;" coordorigin="4551,52615" coordsize="8546,1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">
            <o:lock v:ext="edit"/>
            <v:rect id="矩形 13" o:spid="_x0000_s1122" o:spt="1" style="position:absolute;left:4551;top:52615;height:1175;width:8546;v-text-anchor:middle;" fillcolor="#96DA9D" filled="t" stroked="f"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IBocEA&#10;AADbAAAADwAAAGRycy9kb3ducmV2LnhtbERPTYvCMBC9L/gfwix4W1M9iFuNpSwoHgS1KrK3oRnb&#10;ss2kNNFWf705CHt8vO9F0pta3Kl1lWUF41EEgji3uuJCwem4+pqBcB5ZY22ZFDzIQbIcfCww1rbj&#10;A90zX4gQwi5GBaX3TSyly0sy6Ea2IQ7c1bYGfYBtIXWLXQg3tZxE0VQarDg0lNjQT0n5X3YzCq74&#10;3KfVmp6/08tuPe6y+rydrZQafvbpHISn3v+L3+6NVvAdxoY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CAaHBAAAA2wAAAA8AAAAAAAAAAAAAAAAAmAIAAGRycy9kb3du&#10;cmV2LnhtbFBLBQYAAAAABAAEAPUAAACGAwAAAAA=&#10;">
              <v:path/>
              <v:fill on="t" focussize="0,0"/>
              <v:stroke on="f" weight="2pt"/>
              <v:imagedata o:title=""/>
              <o:lock v:ext="edit"/>
            </v:rect>
            <v:rect id="矩形 14" o:spid="_x0000_s1123" o:spt="1" style="position:absolute;left:4577;top:52890;height:1123;width:8324;v-text-anchor:middle;" fillcolor="#AD002D" filled="t" stroked="t"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2ELcQA&#10;AADbAAAADwAAAGRycy9kb3ducmV2LnhtbESPT4vCMBTE7wt+h/AEb5oqrn+qUVQQ9LK4Koi3Z/Ns&#10;i81LaWLtfnuzsLDHYWZ+w8yXjSlETZXLLSvo9yIQxInVOacKzqdtdwLCeWSNhWVS8EMOlovWxxxj&#10;bV/8TfXRpyJA2MWoIPO+jKV0SUYGXc+WxMG728qgD7JKpa7wFeCmkIMoGkmDOYeFDEvaZJQ8jk+j&#10;YPJJ+jK8rV2dHNLBeMj7r+fhqlSn3axmIDw1/j/8195pBdMp/H4JP0Au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9hC3EAAAA2wAAAA8AAAAAAAAAAAAAAAAAmAIAAGRycy9k&#10;b3ducmV2LnhtbFBLBQYAAAAABAAEAPUAAACJAwAAAAA=&#10;">
              <v:path/>
              <v:fill on="t" focussize="0,0"/>
              <v:stroke weight="2pt" color="#845209"/>
              <v:imagedata o:title=""/>
              <o:lock v:ext="edit"/>
              <v:textbox>
                <w:txbxContent>
                  <w:p>
                    <w:pPr>
                      <w:widowControl/>
                      <w:jc w:val="left"/>
                      <w:rPr>
                        <w:rFonts w:ascii="楷体" w:hAnsi="楷体" w:eastAsia="楷体" w:cs="楷体"/>
                        <w:b/>
                        <w:bCs/>
                        <w:color w:val="FDEFBE"/>
                        <w:sz w:val="32"/>
                        <w:szCs w:val="32"/>
                      </w:rPr>
                    </w:pPr>
                    <w:r>
                      <w:rPr>
                        <w:rFonts w:hint="eastAsia" w:ascii="楷体" w:hAnsi="楷体" w:eastAsia="楷体" w:cs="楷体"/>
                        <w:b/>
                        <w:bCs/>
                        <w:color w:val="FDEFBE"/>
                        <w:kern w:val="0"/>
                        <w:sz w:val="32"/>
                        <w:szCs w:val="32"/>
                      </w:rPr>
                      <w:t>2018年度部门决算☞名词解释</w:t>
                    </w:r>
                  </w:p>
                  <w:p>
                    <w:pPr>
                      <w:jc w:val="center"/>
                    </w:pPr>
                  </w:p>
                </w:txbxContent>
              </v:textbox>
            </v:rect>
            <w10:anchorlock/>
          </v:group>
        </w:pict>
      </w:r>
      <w:r>
        <w:rPr>
          <w:rFonts w:hint="eastAsia" w:asciiTheme="majorEastAsia" w:hAnsiTheme="majorEastAsia" w:eastAsiaTheme="majorEastAsia"/>
          <w:b/>
          <w:bCs/>
          <w:color w:val="000000"/>
          <w:kern w:val="0"/>
          <w:sz w:val="32"/>
          <w:szCs w:val="32"/>
        </w:rPr>
        <w:t>他交通费用：</w:t>
      </w:r>
      <w:r>
        <w:rPr>
          <w:rFonts w:hint="eastAsia" w:asciiTheme="majorEastAsia" w:hAnsiTheme="majorEastAsia" w:eastAsiaTheme="majorEastAsia"/>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（十四）公务用车购置：</w:t>
      </w:r>
      <w:r>
        <w:rPr>
          <w:rFonts w:hint="eastAsia" w:asciiTheme="majorEastAsia" w:hAnsiTheme="majorEastAsia" w:eastAsiaTheme="majorEastAsia"/>
          <w:color w:val="000000"/>
          <w:kern w:val="0"/>
          <w:sz w:val="32"/>
          <w:szCs w:val="32"/>
        </w:rPr>
        <w:t>填列单位公务用车购置支出（含车辆购置税、牌照费）。</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（十五）其他交通工具购置：</w:t>
      </w:r>
      <w:r>
        <w:rPr>
          <w:rFonts w:hint="eastAsia" w:asciiTheme="majorEastAsia" w:hAnsiTheme="majorEastAsia" w:eastAsiaTheme="majorEastAsia"/>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Theme="majorEastAsia" w:hAnsiTheme="majorEastAsia" w:eastAsiaTheme="majorEastAsia"/>
          <w:color w:val="000000"/>
          <w:kern w:val="0"/>
          <w:sz w:val="32"/>
          <w:szCs w:val="32"/>
        </w:rPr>
      </w:pPr>
      <w:r>
        <w:rPr>
          <w:rFonts w:hint="eastAsia" w:asciiTheme="majorEastAsia" w:hAnsiTheme="majorEastAsia" w:eastAsiaTheme="majorEastAsia"/>
          <w:b/>
          <w:bCs/>
          <w:color w:val="000000"/>
          <w:kern w:val="0"/>
          <w:sz w:val="32"/>
          <w:szCs w:val="32"/>
        </w:rPr>
        <w:t>（十六）机关运行经费：</w:t>
      </w:r>
      <w:r>
        <w:rPr>
          <w:rFonts w:hint="eastAsia" w:asciiTheme="majorEastAsia" w:hAnsiTheme="majorEastAsia" w:eastAsiaTheme="majorEastAsia"/>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cs="ArialUnicodeMS" w:asciiTheme="majorEastAsia" w:hAnsiTheme="majorEastAsia" w:eastAsiaTheme="majorEastAsia"/>
          <w:kern w:val="0"/>
          <w:sz w:val="32"/>
          <w:szCs w:val="32"/>
        </w:rPr>
        <w:sectPr>
          <w:pgSz w:w="11906" w:h="16838"/>
          <w:pgMar w:top="2098" w:right="1474" w:bottom="1985" w:left="1588" w:header="851" w:footer="992" w:gutter="0"/>
          <w:cols w:space="425" w:num="1"/>
          <w:docGrid w:type="lines" w:linePitch="312" w:charSpace="0"/>
        </w:sectPr>
      </w:pPr>
      <w:r>
        <w:rPr>
          <w:rFonts w:hint="eastAsia" w:asciiTheme="majorEastAsia" w:hAnsiTheme="majorEastAsia" w:eastAsiaTheme="majorEastAsia"/>
          <w:b/>
          <w:bCs/>
          <w:color w:val="000000"/>
          <w:kern w:val="0"/>
          <w:sz w:val="32"/>
          <w:szCs w:val="32"/>
        </w:rPr>
        <w:t>（十七）经费形式:</w:t>
      </w:r>
      <w:r>
        <w:rPr>
          <w:rFonts w:hint="eastAsia" w:asciiTheme="majorEastAsia" w:hAnsiTheme="majorEastAsia" w:eastAsiaTheme="majorEastAsia"/>
          <w:color w:val="000000"/>
          <w:kern w:val="0"/>
          <w:sz w:val="32"/>
          <w:szCs w:val="32"/>
        </w:rPr>
        <w:t>按照经费来源，</w:t>
      </w:r>
      <w:r>
        <w:rPr>
          <w:rFonts w:hint="eastAsia" w:cs="ArialUnicodeMS" w:asciiTheme="majorEastAsia" w:hAnsiTheme="majorEastAsia" w:eastAsiaTheme="majorEastAsia"/>
          <w:kern w:val="0"/>
          <w:sz w:val="32"/>
          <w:szCs w:val="32"/>
        </w:rPr>
        <w:t>可分为财政拨款、财政性资金基本保证、财政性资金定额或定项补助、财政性资金零补助四类。</w:t>
      </w:r>
    </w:p>
    <w:p>
      <w:pPr>
        <w:widowControl/>
        <w:spacing w:after="0" w:line="560" w:lineRule="exact"/>
        <w:ind w:firstLine="640" w:firstLineChars="200"/>
        <w:rPr>
          <w:rFonts w:ascii="仿宋_GB2312" w:eastAsia="仿宋_GB2312" w:cs="ArialUnicodeMS" w:hAnsiTheme="minorHAnsi"/>
          <w:kern w:val="0"/>
          <w:sz w:val="32"/>
          <w:szCs w:val="32"/>
        </w:rPr>
      </w:pPr>
      <w:r>
        <w:rPr>
          <w:rFonts w:ascii="仿宋_GB2312" w:eastAsia="仿宋_GB2312" w:cs="ArialUnicodeMS" w:hAnsiTheme="minorHAnsi"/>
          <w:kern w:val="0"/>
          <w:sz w:val="32"/>
          <w:szCs w:val="32"/>
        </w:rP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01"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3"/>
                    <pic:cNvPicPr>
                      <a:picLocks noChangeAspect="1"/>
                    </pic:cNvPicPr>
                  </pic:nvPicPr>
                  <pic:blipFill>
                    <a:blip r:embed="rId9" cstate="print"/>
                    <a:stretch>
                      <a:fillRect/>
                    </a:stretch>
                  </pic:blipFill>
                  <pic:spPr>
                    <a:xfrm>
                      <a:off x="0" y="0"/>
                      <a:ext cx="7590155" cy="10735945"/>
                    </a:xfrm>
                    <a:prstGeom prst="rect">
                      <a:avLst/>
                    </a:prstGeom>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6F36122-1E4B-40DF-8042-8BE7A8BE6E37}"/>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Cambria">
    <w:panose1 w:val="02040503050406030204"/>
    <w:charset w:val="00"/>
    <w:family w:val="roman"/>
    <w:pitch w:val="default"/>
    <w:sig w:usb0="A00002EF" w:usb1="4000004B" w:usb2="00000000" w:usb3="00000000" w:csb0="2000009F" w:csb1="00000000"/>
    <w:embedRegular r:id="rId2" w:fontKey="{88F33E4C-7445-44FB-B616-35AB27CFA174}"/>
  </w:font>
  <w:font w:name="楷体">
    <w:panose1 w:val="02010609060101010101"/>
    <w:charset w:val="86"/>
    <w:family w:val="modern"/>
    <w:pitch w:val="default"/>
    <w:sig w:usb0="800002BF" w:usb1="38CF7CFA" w:usb2="00000016" w:usb3="00000000" w:csb0="00040001" w:csb1="00000000"/>
    <w:embedRegular r:id="rId3" w:fontKey="{BDD22A48-B361-46B9-9019-2C453483CB8A}"/>
  </w:font>
  <w:font w:name="ArialUnicodeMS">
    <w:altName w:val="Malgun Gothic"/>
    <w:panose1 w:val="00000000000000000000"/>
    <w:charset w:val="81"/>
    <w:family w:val="auto"/>
    <w:pitch w:val="default"/>
    <w:sig w:usb0="00000000" w:usb1="00000000" w:usb2="00000010" w:usb3="00000000" w:csb0="00080001" w:csb1="00000000"/>
    <w:embedRegular r:id="rId4" w:fontKey="{B8B4D82A-B6C8-4DCF-8892-12AA7E5235DF}"/>
  </w:font>
  <w:font w:name="仿宋">
    <w:panose1 w:val="02010609060101010101"/>
    <w:charset w:val="86"/>
    <w:family w:val="modern"/>
    <w:pitch w:val="default"/>
    <w:sig w:usb0="800002BF" w:usb1="38CF7CFA" w:usb2="00000016" w:usb3="00000000" w:csb0="00040001" w:csb1="00000000"/>
    <w:embedRegular r:id="rId5" w:fontKey="{7B814442-70A2-4B99-BBC9-34B9F0164044}"/>
  </w:font>
  <w:font w:name="仿宋_GB2312">
    <w:panose1 w:val="02010609030101010101"/>
    <w:charset w:val="86"/>
    <w:family w:val="modern"/>
    <w:pitch w:val="default"/>
    <w:sig w:usb0="00000001" w:usb1="080E0000" w:usb2="00000000" w:usb3="00000000" w:csb0="00040000" w:csb1="00000000"/>
    <w:embedRegular r:id="rId6" w:fontKey="{57AF651F-9B20-4600-A9CF-4798545200E5}"/>
  </w:font>
  <w:font w:name="MS-UIGothic,Bold">
    <w:altName w:val="Malgun Gothic"/>
    <w:panose1 w:val="00000000000000000000"/>
    <w:charset w:val="81"/>
    <w:family w:val="auto"/>
    <w:pitch w:val="default"/>
    <w:sig w:usb0="00000000" w:usb1="00000000" w:usb2="00000010" w:usb3="00000000" w:csb0="00080000" w:csb1="00000000"/>
    <w:embedRegular r:id="rId7" w:fontKey="{8159FBD7-4B05-4BC3-BE72-5457F37098B7}"/>
  </w:font>
  <w:font w:name="___WRD_EMBED_SUB_39">
    <w:altName w:val="宋体"/>
    <w:panose1 w:val="02010609030101010101"/>
    <w:charset w:val="86"/>
    <w:family w:val="modern"/>
    <w:pitch w:val="default"/>
    <w:sig w:usb0="00000000" w:usb1="00000000" w:usb2="00000010" w:usb3="00000000" w:csb0="00040000" w:csb1="00000000"/>
    <w:embedRegular r:id="rId8" w:fontKey="{EA3636D9-7346-4759-B4E3-2F3FA050D7D8}"/>
  </w:font>
  <w:font w:name="DengXian-Regular">
    <w:altName w:val="宋体"/>
    <w:panose1 w:val="00000000000000000000"/>
    <w:charset w:val="86"/>
    <w:family w:val="auto"/>
    <w:pitch w:val="default"/>
    <w:sig w:usb0="00000000" w:usb1="00000000" w:usb2="00000010" w:usb3="00000000" w:csb0="00040001" w:csb1="00000000"/>
    <w:embedRegular r:id="rId9" w:fontKey="{36EF428E-4CA9-44AB-AB08-C2BA7C639176}"/>
  </w:font>
  <w:font w:name="DengXian-Bold">
    <w:altName w:val="宋体"/>
    <w:panose1 w:val="00000000000000000000"/>
    <w:charset w:val="86"/>
    <w:family w:val="auto"/>
    <w:pitch w:val="default"/>
    <w:sig w:usb0="00000000" w:usb1="00000000" w:usb2="00000010" w:usb3="00000000" w:csb0="00040001" w:csb1="00000000"/>
    <w:embedRegular r:id="rId10" w:fontKey="{954EE29D-F20C-42F3-907B-74FBAA25C478}"/>
  </w:font>
  <w:font w:name="Gulim">
    <w:panose1 w:val="020B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OGNiNjc0MTQwNDFjNTUxZmFlM2IxZjE3ZjU0ZDI4ZWQifQ=="/>
  </w:docVars>
  <w:rsids>
    <w:rsidRoot w:val="003C1413"/>
    <w:rsid w:val="00024E7F"/>
    <w:rsid w:val="000475A0"/>
    <w:rsid w:val="000838C3"/>
    <w:rsid w:val="000B2446"/>
    <w:rsid w:val="000D7C65"/>
    <w:rsid w:val="000E2F81"/>
    <w:rsid w:val="00117946"/>
    <w:rsid w:val="00117E2C"/>
    <w:rsid w:val="00146C47"/>
    <w:rsid w:val="00152FB8"/>
    <w:rsid w:val="00156553"/>
    <w:rsid w:val="00176658"/>
    <w:rsid w:val="0018239E"/>
    <w:rsid w:val="001B3410"/>
    <w:rsid w:val="001C030D"/>
    <w:rsid w:val="001C4A84"/>
    <w:rsid w:val="001E5902"/>
    <w:rsid w:val="00233705"/>
    <w:rsid w:val="00275CA2"/>
    <w:rsid w:val="00294972"/>
    <w:rsid w:val="002A2CD9"/>
    <w:rsid w:val="002A65A5"/>
    <w:rsid w:val="002C04C4"/>
    <w:rsid w:val="002D08B0"/>
    <w:rsid w:val="002D1AE3"/>
    <w:rsid w:val="002F2ECE"/>
    <w:rsid w:val="0033463A"/>
    <w:rsid w:val="00341C8F"/>
    <w:rsid w:val="0035463A"/>
    <w:rsid w:val="00367611"/>
    <w:rsid w:val="00391D9D"/>
    <w:rsid w:val="003A6EA5"/>
    <w:rsid w:val="003B6C51"/>
    <w:rsid w:val="003C1413"/>
    <w:rsid w:val="003C549F"/>
    <w:rsid w:val="003D5A16"/>
    <w:rsid w:val="003E7DB3"/>
    <w:rsid w:val="003F1321"/>
    <w:rsid w:val="00431175"/>
    <w:rsid w:val="004B51B8"/>
    <w:rsid w:val="004B5C51"/>
    <w:rsid w:val="004B6E37"/>
    <w:rsid w:val="004C32BA"/>
    <w:rsid w:val="00575922"/>
    <w:rsid w:val="005A6C90"/>
    <w:rsid w:val="005E30C8"/>
    <w:rsid w:val="005E3FB0"/>
    <w:rsid w:val="005F4B66"/>
    <w:rsid w:val="005F5208"/>
    <w:rsid w:val="00636391"/>
    <w:rsid w:val="00641318"/>
    <w:rsid w:val="0064405D"/>
    <w:rsid w:val="00670D45"/>
    <w:rsid w:val="00695557"/>
    <w:rsid w:val="006D4EA7"/>
    <w:rsid w:val="0070012A"/>
    <w:rsid w:val="0070664B"/>
    <w:rsid w:val="007071B8"/>
    <w:rsid w:val="007414DE"/>
    <w:rsid w:val="007905A9"/>
    <w:rsid w:val="007E5500"/>
    <w:rsid w:val="007F055B"/>
    <w:rsid w:val="00811C2F"/>
    <w:rsid w:val="00833D46"/>
    <w:rsid w:val="00840A97"/>
    <w:rsid w:val="008715B2"/>
    <w:rsid w:val="008C0149"/>
    <w:rsid w:val="008D5DED"/>
    <w:rsid w:val="008E25CA"/>
    <w:rsid w:val="008F34FC"/>
    <w:rsid w:val="008F7CC3"/>
    <w:rsid w:val="00944CD7"/>
    <w:rsid w:val="009831B2"/>
    <w:rsid w:val="00984939"/>
    <w:rsid w:val="0099625B"/>
    <w:rsid w:val="009A1ABE"/>
    <w:rsid w:val="009E21A4"/>
    <w:rsid w:val="009F22C6"/>
    <w:rsid w:val="00A07E50"/>
    <w:rsid w:val="00A15397"/>
    <w:rsid w:val="00A35CE0"/>
    <w:rsid w:val="00A4462E"/>
    <w:rsid w:val="00A44AA4"/>
    <w:rsid w:val="00A61623"/>
    <w:rsid w:val="00A65274"/>
    <w:rsid w:val="00A80BA3"/>
    <w:rsid w:val="00A84687"/>
    <w:rsid w:val="00A937F1"/>
    <w:rsid w:val="00AA42B2"/>
    <w:rsid w:val="00AB0A0E"/>
    <w:rsid w:val="00AD3B6E"/>
    <w:rsid w:val="00B14B76"/>
    <w:rsid w:val="00B1751F"/>
    <w:rsid w:val="00B56722"/>
    <w:rsid w:val="00B74D39"/>
    <w:rsid w:val="00B91DA4"/>
    <w:rsid w:val="00C12630"/>
    <w:rsid w:val="00C33FDC"/>
    <w:rsid w:val="00C34562"/>
    <w:rsid w:val="00C3774E"/>
    <w:rsid w:val="00C57456"/>
    <w:rsid w:val="00C65387"/>
    <w:rsid w:val="00C87FAB"/>
    <w:rsid w:val="00C91FF7"/>
    <w:rsid w:val="00C94E53"/>
    <w:rsid w:val="00D0048E"/>
    <w:rsid w:val="00D23E7A"/>
    <w:rsid w:val="00D61063"/>
    <w:rsid w:val="00D70DB9"/>
    <w:rsid w:val="00DB35AF"/>
    <w:rsid w:val="00DD72D7"/>
    <w:rsid w:val="00DE6BE7"/>
    <w:rsid w:val="00DF5B88"/>
    <w:rsid w:val="00E0589E"/>
    <w:rsid w:val="00E241FA"/>
    <w:rsid w:val="00E2595E"/>
    <w:rsid w:val="00E35374"/>
    <w:rsid w:val="00E41A97"/>
    <w:rsid w:val="00E50C19"/>
    <w:rsid w:val="00E64655"/>
    <w:rsid w:val="00E73081"/>
    <w:rsid w:val="00E856C9"/>
    <w:rsid w:val="00EB6A8B"/>
    <w:rsid w:val="00EF38C6"/>
    <w:rsid w:val="00F679C7"/>
    <w:rsid w:val="00F728E2"/>
    <w:rsid w:val="00F7711A"/>
    <w:rsid w:val="00FA0D58"/>
    <w:rsid w:val="00FA56F4"/>
    <w:rsid w:val="00FB4EDA"/>
    <w:rsid w:val="00FD3BD5"/>
    <w:rsid w:val="00FE3DC8"/>
    <w:rsid w:val="04073F84"/>
    <w:rsid w:val="0B01276E"/>
    <w:rsid w:val="0B60750A"/>
    <w:rsid w:val="10686488"/>
    <w:rsid w:val="10DF728A"/>
    <w:rsid w:val="1264200E"/>
    <w:rsid w:val="141C5B77"/>
    <w:rsid w:val="18D8339D"/>
    <w:rsid w:val="1A21388F"/>
    <w:rsid w:val="1A570D2F"/>
    <w:rsid w:val="28FB0B8D"/>
    <w:rsid w:val="2D2B7942"/>
    <w:rsid w:val="2D46481D"/>
    <w:rsid w:val="2E733B28"/>
    <w:rsid w:val="31852B5A"/>
    <w:rsid w:val="32D01238"/>
    <w:rsid w:val="3DFC59A8"/>
    <w:rsid w:val="3ECF245E"/>
    <w:rsid w:val="3F525E81"/>
    <w:rsid w:val="3FB96314"/>
    <w:rsid w:val="53A44FAF"/>
    <w:rsid w:val="594329EC"/>
    <w:rsid w:val="5BEE1540"/>
    <w:rsid w:val="5DE61A5D"/>
    <w:rsid w:val="63C04243"/>
    <w:rsid w:val="649C01C7"/>
    <w:rsid w:val="699A3F60"/>
    <w:rsid w:val="72902E62"/>
    <w:rsid w:val="73C61104"/>
    <w:rsid w:val="776452EA"/>
    <w:rsid w:val="797A0B5C"/>
    <w:rsid w:val="7DC663B9"/>
    <w:rsid w:val="7FD210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1"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7"/>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28"/>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30"/>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6">
    <w:name w:val="Date"/>
    <w:basedOn w:val="1"/>
    <w:next w:val="1"/>
    <w:link w:val="31"/>
    <w:autoRedefine/>
    <w:semiHidden/>
    <w:unhideWhenUsed/>
    <w:qFormat/>
    <w:uiPriority w:val="99"/>
    <w:pPr>
      <w:ind w:left="100" w:leftChars="2500"/>
    </w:pPr>
  </w:style>
  <w:style w:type="paragraph" w:styleId="7">
    <w:name w:val="Balloon Text"/>
    <w:basedOn w:val="1"/>
    <w:link w:val="19"/>
    <w:autoRedefine/>
    <w:semiHidden/>
    <w:unhideWhenUsed/>
    <w:qFormat/>
    <w:uiPriority w:val="99"/>
    <w:rPr>
      <w:sz w:val="18"/>
      <w:szCs w:val="18"/>
    </w:rPr>
  </w:style>
  <w:style w:type="paragraph" w:styleId="8">
    <w:name w:val="footer"/>
    <w:basedOn w:val="1"/>
    <w:link w:val="16"/>
    <w:autoRedefine/>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9">
    <w:name w:val="header"/>
    <w:basedOn w:val="1"/>
    <w:link w:val="15"/>
    <w:autoRedefine/>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0">
    <w:name w:val="Subtitle"/>
    <w:basedOn w:val="1"/>
    <w:next w:val="1"/>
    <w:link w:val="21"/>
    <w:qFormat/>
    <w:uiPriority w:val="11"/>
    <w:pPr>
      <w:widowControl/>
      <w:spacing w:after="200" w:line="276" w:lineRule="auto"/>
      <w:jc w:val="left"/>
    </w:pPr>
    <w:rPr>
      <w:rFonts w:asciiTheme="majorHAnsi" w:hAnsiTheme="majorHAnsi" w:eastAsiaTheme="majorEastAsia" w:cstheme="majorBidi"/>
      <w:i/>
      <w:iCs/>
      <w:color w:val="F0A22E" w:themeColor="accent1"/>
      <w:spacing w:val="15"/>
      <w:kern w:val="0"/>
      <w:sz w:val="24"/>
    </w:rPr>
  </w:style>
  <w:style w:type="paragraph" w:styleId="11">
    <w:name w:val="Title"/>
    <w:basedOn w:val="1"/>
    <w:next w:val="1"/>
    <w:link w:val="20"/>
    <w:qFormat/>
    <w:uiPriority w:val="10"/>
    <w:pPr>
      <w:widowControl/>
      <w:pBdr>
        <w:bottom w:val="single" w:color="F0A22E" w:themeColor="accent1" w:sz="8" w:space="4"/>
      </w:pBdr>
      <w:spacing w:after="300"/>
      <w:contextualSpacing/>
      <w:jc w:val="left"/>
    </w:pPr>
    <w:rPr>
      <w:rFonts w:asciiTheme="majorHAnsi" w:hAnsiTheme="majorHAnsi" w:eastAsiaTheme="majorEastAsia" w:cstheme="majorBidi"/>
      <w:color w:val="3A2C23" w:themeColor="text2" w:themeShade="BF"/>
      <w:spacing w:val="5"/>
      <w:kern w:val="28"/>
      <w:sz w:val="52"/>
      <w:szCs w:val="52"/>
    </w:rPr>
  </w:style>
  <w:style w:type="table" w:styleId="13">
    <w:name w:val="Table Grid"/>
    <w:basedOn w:val="12"/>
    <w:autoRedefine/>
    <w:qFormat/>
    <w:uiPriority w:val="1"/>
    <w:rPr>
      <w:sz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页眉 Char"/>
    <w:basedOn w:val="14"/>
    <w:link w:val="9"/>
    <w:autoRedefine/>
    <w:qFormat/>
    <w:uiPriority w:val="99"/>
    <w:rPr>
      <w:sz w:val="18"/>
      <w:szCs w:val="18"/>
    </w:rPr>
  </w:style>
  <w:style w:type="character" w:customStyle="1" w:styleId="16">
    <w:name w:val="页脚 Char"/>
    <w:basedOn w:val="14"/>
    <w:link w:val="8"/>
    <w:autoRedefine/>
    <w:qFormat/>
    <w:uiPriority w:val="99"/>
    <w:rPr>
      <w:sz w:val="18"/>
      <w:szCs w:val="18"/>
    </w:rPr>
  </w:style>
  <w:style w:type="paragraph" w:styleId="17">
    <w:name w:val="No Spacing"/>
    <w:link w:val="18"/>
    <w:autoRedefine/>
    <w:qFormat/>
    <w:uiPriority w:val="1"/>
    <w:pPr>
      <w:spacing w:after="160" w:line="480" w:lineRule="auto"/>
    </w:pPr>
    <w:rPr>
      <w:rFonts w:asciiTheme="minorHAnsi" w:hAnsiTheme="minorHAnsi" w:eastAsiaTheme="minorEastAsia" w:cstheme="minorBidi"/>
      <w:sz w:val="22"/>
      <w:szCs w:val="22"/>
      <w:lang w:val="en-US" w:eastAsia="zh-CN" w:bidi="ar-SA"/>
    </w:rPr>
  </w:style>
  <w:style w:type="character" w:customStyle="1" w:styleId="18">
    <w:name w:val="无间隔 Char"/>
    <w:basedOn w:val="14"/>
    <w:link w:val="17"/>
    <w:autoRedefine/>
    <w:qFormat/>
    <w:uiPriority w:val="1"/>
    <w:rPr>
      <w:kern w:val="0"/>
      <w:sz w:val="22"/>
    </w:rPr>
  </w:style>
  <w:style w:type="character" w:customStyle="1" w:styleId="19">
    <w:name w:val="批注框文本 Char"/>
    <w:basedOn w:val="14"/>
    <w:link w:val="7"/>
    <w:autoRedefine/>
    <w:semiHidden/>
    <w:qFormat/>
    <w:uiPriority w:val="99"/>
    <w:rPr>
      <w:rFonts w:ascii="Times New Roman" w:hAnsi="Times New Roman" w:eastAsia="宋体" w:cs="Times New Roman"/>
      <w:sz w:val="18"/>
      <w:szCs w:val="18"/>
    </w:rPr>
  </w:style>
  <w:style w:type="character" w:customStyle="1" w:styleId="20">
    <w:name w:val="标题 Char"/>
    <w:basedOn w:val="14"/>
    <w:link w:val="11"/>
    <w:autoRedefine/>
    <w:qFormat/>
    <w:uiPriority w:val="10"/>
    <w:rPr>
      <w:rFonts w:asciiTheme="majorHAnsi" w:hAnsiTheme="majorHAnsi" w:eastAsiaTheme="majorEastAsia" w:cstheme="majorBidi"/>
      <w:color w:val="3A2C23" w:themeColor="text2" w:themeShade="BF"/>
      <w:spacing w:val="5"/>
      <w:kern w:val="28"/>
      <w:sz w:val="52"/>
      <w:szCs w:val="52"/>
    </w:rPr>
  </w:style>
  <w:style w:type="character" w:customStyle="1" w:styleId="21">
    <w:name w:val="副标题 Char"/>
    <w:basedOn w:val="14"/>
    <w:link w:val="10"/>
    <w:autoRedefine/>
    <w:qFormat/>
    <w:uiPriority w:val="11"/>
    <w:rPr>
      <w:rFonts w:asciiTheme="majorHAnsi" w:hAnsiTheme="majorHAnsi" w:eastAsiaTheme="majorEastAsia" w:cstheme="majorBidi"/>
      <w:i/>
      <w:iCs/>
      <w:color w:val="F0A22E" w:themeColor="accent1"/>
      <w:spacing w:val="15"/>
      <w:kern w:val="0"/>
      <w:sz w:val="24"/>
      <w:szCs w:val="24"/>
    </w:rPr>
  </w:style>
  <w:style w:type="character" w:customStyle="1" w:styleId="22">
    <w:name w:val="Style1"/>
    <w:basedOn w:val="14"/>
    <w:autoRedefine/>
    <w:qFormat/>
    <w:uiPriority w:val="1"/>
    <w:rPr>
      <w:rFonts w:asciiTheme="minorHAnsi" w:hAnsiTheme="minorEastAsia" w:eastAsiaTheme="minorEastAsia" w:cstheme="minorBidi"/>
      <w:sz w:val="22"/>
      <w:szCs w:val="22"/>
      <w:lang w:eastAsia="zh-CN"/>
    </w:rPr>
  </w:style>
  <w:style w:type="character" w:customStyle="1" w:styleId="23">
    <w:name w:val="Style2"/>
    <w:basedOn w:val="14"/>
    <w:qFormat/>
    <w:uiPriority w:val="1"/>
    <w:rPr>
      <w:rFonts w:asciiTheme="minorHAnsi" w:hAnsiTheme="minorEastAsia" w:eastAsiaTheme="minorEastAsia" w:cstheme="minorBidi"/>
      <w:sz w:val="22"/>
      <w:szCs w:val="22"/>
      <w:lang w:eastAsia="zh-CN"/>
    </w:rPr>
  </w:style>
  <w:style w:type="character" w:customStyle="1" w:styleId="24">
    <w:name w:val="Style3"/>
    <w:basedOn w:val="14"/>
    <w:qFormat/>
    <w:uiPriority w:val="1"/>
    <w:rPr>
      <w:rFonts w:asciiTheme="minorHAnsi" w:hAnsiTheme="minorEastAsia" w:eastAsiaTheme="minorEastAsia" w:cstheme="minorBidi"/>
      <w:szCs w:val="22"/>
      <w:lang w:eastAsia="zh-CN"/>
    </w:rPr>
  </w:style>
  <w:style w:type="character" w:customStyle="1" w:styleId="25">
    <w:name w:val="Style4"/>
    <w:basedOn w:val="14"/>
    <w:autoRedefine/>
    <w:qFormat/>
    <w:uiPriority w:val="1"/>
    <w:rPr>
      <w:rFonts w:asciiTheme="minorHAnsi" w:hAnsiTheme="minorEastAsia" w:eastAsiaTheme="minorEastAsia" w:cstheme="minorBidi"/>
      <w:szCs w:val="22"/>
      <w:lang w:eastAsia="zh-CN"/>
    </w:rPr>
  </w:style>
  <w:style w:type="character" w:customStyle="1" w:styleId="26">
    <w:name w:val="Style5"/>
    <w:basedOn w:val="14"/>
    <w:autoRedefine/>
    <w:qFormat/>
    <w:uiPriority w:val="1"/>
    <w:rPr>
      <w:rFonts w:asciiTheme="minorHAnsi" w:hAnsiTheme="minorEastAsia" w:eastAsiaTheme="minorEastAsia" w:cstheme="minorBidi"/>
      <w:sz w:val="22"/>
      <w:szCs w:val="22"/>
      <w:lang w:eastAsia="zh-CN"/>
    </w:rPr>
  </w:style>
  <w:style w:type="character" w:customStyle="1" w:styleId="27">
    <w:name w:val="标题 1 Char"/>
    <w:basedOn w:val="14"/>
    <w:link w:val="2"/>
    <w:qFormat/>
    <w:uiPriority w:val="9"/>
    <w:rPr>
      <w:rFonts w:ascii="Times New Roman" w:hAnsi="Times New Roman" w:eastAsia="宋体" w:cs="Times New Roman"/>
      <w:b/>
      <w:bCs/>
      <w:kern w:val="44"/>
      <w:sz w:val="44"/>
      <w:szCs w:val="44"/>
    </w:rPr>
  </w:style>
  <w:style w:type="character" w:customStyle="1" w:styleId="28">
    <w:name w:val="标题 2 Char"/>
    <w:basedOn w:val="14"/>
    <w:link w:val="3"/>
    <w:autoRedefine/>
    <w:qFormat/>
    <w:uiPriority w:val="9"/>
    <w:rPr>
      <w:rFonts w:asciiTheme="majorHAnsi" w:hAnsiTheme="majorHAnsi" w:eastAsiaTheme="majorEastAsia" w:cstheme="majorBidi"/>
      <w:b/>
      <w:bCs/>
      <w:sz w:val="32"/>
      <w:szCs w:val="32"/>
    </w:rPr>
  </w:style>
  <w:style w:type="character" w:customStyle="1" w:styleId="29">
    <w:name w:val="标题 3 Char"/>
    <w:basedOn w:val="14"/>
    <w:link w:val="4"/>
    <w:autoRedefine/>
    <w:qFormat/>
    <w:uiPriority w:val="9"/>
    <w:rPr>
      <w:rFonts w:ascii="Times New Roman" w:hAnsi="Times New Roman" w:eastAsia="宋体" w:cs="Times New Roman"/>
      <w:b/>
      <w:bCs/>
      <w:sz w:val="32"/>
      <w:szCs w:val="32"/>
    </w:rPr>
  </w:style>
  <w:style w:type="character" w:customStyle="1" w:styleId="30">
    <w:name w:val="标题 4 Char"/>
    <w:basedOn w:val="14"/>
    <w:link w:val="5"/>
    <w:autoRedefine/>
    <w:qFormat/>
    <w:uiPriority w:val="9"/>
    <w:rPr>
      <w:rFonts w:asciiTheme="majorHAnsi" w:hAnsiTheme="majorHAnsi" w:eastAsiaTheme="majorEastAsia" w:cstheme="majorBidi"/>
      <w:b/>
      <w:bCs/>
      <w:sz w:val="28"/>
      <w:szCs w:val="28"/>
    </w:rPr>
  </w:style>
  <w:style w:type="character" w:customStyle="1" w:styleId="31">
    <w:name w:val="日期 Char"/>
    <w:basedOn w:val="14"/>
    <w:link w:val="6"/>
    <w:autoRedefine/>
    <w:semiHidden/>
    <w:qFormat/>
    <w:uiPriority w:val="99"/>
    <w:rPr>
      <w:rFonts w:ascii="Times New Roman" w:hAnsi="Times New Roman" w:eastAsia="宋体" w:cs="Times New Roman"/>
      <w:szCs w:val="24"/>
    </w:rPr>
  </w:style>
  <w:style w:type="paragraph" w:styleId="32">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3.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跋涉">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凤舞九天">
      <a:fillStyleLst>
        <a:solidFill>
          <a:schemeClr val="phClr">
            <a:tint val="100000"/>
            <a:shade val="100000"/>
            <a:hueMod val="100000"/>
            <a:satMod val="100000"/>
          </a:schemeClr>
        </a:solidFill>
        <a:gradFill rotWithShape="1">
          <a:gsLst>
            <a:gs pos="0">
              <a:schemeClr val="phClr">
                <a:tint val="65000"/>
                <a:satMod val="180000"/>
              </a:schemeClr>
            </a:gs>
            <a:gs pos="50000">
              <a:schemeClr val="phClr">
                <a:tint val="40000"/>
                <a:satMod val="175000"/>
              </a:schemeClr>
            </a:gs>
            <a:gs pos="100000">
              <a:schemeClr val="phClr">
                <a:tint val="65000"/>
                <a:satMod val="180000"/>
              </a:schemeClr>
            </a:gs>
          </a:gsLst>
          <a:lin ang="0" scaled="1"/>
        </a:gradFill>
        <a:gradFill rotWithShape="1">
          <a:gsLst>
            <a:gs pos="0">
              <a:schemeClr val="phClr">
                <a:shade val="38000"/>
                <a:satMod val="150000"/>
              </a:schemeClr>
            </a:gs>
            <a:gs pos="50000">
              <a:schemeClr val="phClr">
                <a:shade val="100000"/>
                <a:satMod val="100000"/>
              </a:schemeClr>
            </a:gs>
            <a:gs pos="100000">
              <a:schemeClr val="phClr">
                <a:shade val="38000"/>
                <a:satMod val="150000"/>
              </a:schemeClr>
            </a:gs>
          </a:gsLst>
          <a:lin ang="0" scaled="1"/>
        </a:gradFill>
      </a:fillStyleLst>
      <a:lnStyleLst>
        <a:ln w="12700" cap="flat" cmpd="sng" algn="ctr">
          <a:solidFill>
            <a:schemeClr val="phClr"/>
          </a:solidFill>
          <a:prstDash val="solid"/>
        </a:ln>
        <a:ln w="25400" cap="flat" cmpd="sng" algn="ctr">
          <a:solidFill>
            <a:schemeClr val="phClr"/>
          </a:solidFill>
          <a:prstDash val="solid"/>
        </a:ln>
        <a:ln w="38100" cap="flat" cmpd="dbl" algn="ctr">
          <a:solidFill>
            <a:schemeClr val="phClr"/>
          </a:solidFill>
          <a:prstDash val="solid"/>
        </a:ln>
      </a:lnStyleLst>
      <a:effectStyleLst>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effectStyle>
        <a:effectStyle>
          <a:effectLst>
            <a:outerShdw blurRad="190500" dist="78600" dir="2700000" rotWithShape="0">
              <a:srgbClr val="000000">
                <a:alpha val="35500"/>
              </a:srgbClr>
            </a:outerShdw>
          </a:effectLst>
          <a:scene3d>
            <a:camera prst="orthographicFront" fov="0">
              <a:rot lat="0" lon="0" rev="0"/>
            </a:camera>
            <a:lightRig rig="soft" dir="tl">
              <a:rot lat="0" lon="0" rev="20100000"/>
            </a:lightRig>
          </a:scene3d>
          <a:sp3d>
            <a:bevelT w="50800" h="508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Info spid="_x0000_s1028"/>
    <customShpInfo spid="_x0000_s1029"/>
    <customShpInfo spid="_x0000_s1027"/>
    <customShpInfo spid="_x0000_s1031"/>
    <customShpInfo spid="_x0000_s1032"/>
    <customShpInfo spid="_x0000_s1030"/>
    <customShpInfo spid="_x0000_s1033"/>
    <customShpInfo spid="_x0000_s1035"/>
    <customShpInfo spid="_x0000_s1036"/>
    <customShpInfo spid="_x0000_s1034"/>
    <customShpInfo spid="_x0000_s1037"/>
    <customShpInfo spid="_x0000_s1068"/>
    <customShpInfo spid="_x0000_s1070"/>
    <customShpInfo spid="_x0000_s1071"/>
    <customShpInfo spid="_x0000_s1069"/>
    <customShpInfo spid="_x0000_s1097"/>
    <customShpInfo spid="_x0000_s1098"/>
    <customShpInfo spid="_x0000_s1096"/>
    <customShpInfo spid="_x0000_s1103"/>
    <customShpInfo spid="_x0000_s1104"/>
    <customShpInfo spid="_x0000_s1102"/>
    <customShpInfo spid="_x0000_s1106"/>
    <customShpInfo spid="_x0000_s1107"/>
    <customShpInfo spid="_x0000_s1105"/>
    <customShpInfo spid="_x0000_s1112"/>
    <customShpInfo spid="_x0000_s1113"/>
    <customShpInfo spid="_x0000_s1111"/>
    <customShpInfo spid="_x0000_s1114"/>
    <customShpInfo spid="_x0000_s1116"/>
    <customShpInfo spid="_x0000_s1117"/>
    <customShpInfo spid="_x0000_s1115"/>
    <customShpInfo spid="_x0000_s1119"/>
    <customShpInfo spid="_x0000_s1120"/>
    <customShpInfo spid="_x0000_s1118"/>
    <customShpInfo spid="_x0000_s1122"/>
    <customShpInfo spid="_x0000_s1123"/>
    <customShpInfo spid="_x0000_s112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overPageProperties xmlns="http://schemas.microsoft.com/office/2006/coverPageProps">
  <PublishDate>2017</PublishDate>
  <Abstract/>
  <CompanyAddress/>
  <CompanyPhone/>
  <CompanyFax/>
  <CompanyEmail/>
</CoverPage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2F8905-2AAB-4F34-AA61-78DD94ED228E}">
  <ds:schemaRefs/>
</ds:datastoreItem>
</file>

<file path=customXml/itemProps3.xml><?xml version="1.0" encoding="utf-8"?>
<ds:datastoreItem xmlns:ds="http://schemas.openxmlformats.org/officeDocument/2006/customXml" ds:itemID="{55AF091B-3C7A-41E3-B477-F2FDAA23CFD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19</Pages>
  <Words>724</Words>
  <Characters>4130</Characters>
  <Lines>34</Lines>
  <Paragraphs>9</Paragraphs>
  <TotalTime>578</TotalTime>
  <ScaleCrop>false</ScaleCrop>
  <LinksUpToDate>false</LinksUpToDate>
  <CharactersWithSpaces>4845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WPS_1642474233</cp:lastModifiedBy>
  <cp:lastPrinted>2019-08-02T01:01:00Z</cp:lastPrinted>
  <dcterms:modified xsi:type="dcterms:W3CDTF">2024-04-12T06:37:19Z</dcterms:modified>
  <dc:subject>石家庄市xxx部门</dc:subject>
  <dc:title>2017年度部门决算</dc:title>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CDDE6AB59CDB4AF0A6D4D80902656CD8</vt:lpwstr>
  </property>
</Properties>
</file>