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264795</wp:posOffset>
                </wp:positionV>
                <wp:extent cx="7531735" cy="3556000"/>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31735" cy="355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96"/>
                                <w:szCs w:val="96"/>
                                <w:lang w:val="en-US" w:eastAsia="zh-CN"/>
                              </w:rPr>
                            </w:pPr>
                            <w:r>
                              <w:rPr>
                                <w:rFonts w:hint="eastAsia" w:hAnsi="宋体" w:asciiTheme="minorEastAsia" w:eastAsiaTheme="minorEastAsia"/>
                                <w:color w:val="FDEFBE"/>
                                <w:sz w:val="96"/>
                                <w:szCs w:val="96"/>
                                <w:lang w:eastAsia="zh-CN"/>
                              </w:rPr>
                              <w:t>河北青龙物流产业</w:t>
                            </w:r>
                            <w:r>
                              <w:rPr>
                                <w:rFonts w:hint="eastAsia" w:hAnsi="宋体" w:asciiTheme="minorEastAsia" w:eastAsiaTheme="minorEastAsia"/>
                                <w:color w:val="FDEFBE"/>
                                <w:sz w:val="96"/>
                                <w:szCs w:val="96"/>
                                <w:lang w:val="en-US" w:eastAsia="zh-CN"/>
                              </w:rPr>
                              <w:t xml:space="preserve"> </w:t>
                            </w:r>
                          </w:p>
                          <w:p>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lang w:eastAsia="zh-CN"/>
                              </w:rPr>
                              <w:t>聚集区管理委员会</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20.85pt;height:280pt;width:593.05pt;z-index:251660288;mso-width-relative:page;mso-height-relative:page;" filled="f" stroked="f" coordsize="21600,21600" o:gfxdata="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CmafdwAAAAMAQAA&#10;DwAAAAAAAAABACAAAAAiAAAAZHJzL2Rvd25yZXYueG1sUEsBAhQAFAAAAAgAh07iQDDLV0BOAgAA&#10;gQQAAA4AAAAAAAAAAQAgAAAAKwEAAGRycy9lMm9Eb2MueG1sUEsFBgAAAAAGAAYAWQEAAOsFAAAA&#10;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val="en-US" w:eastAsia="zh-CN"/>
                        </w:rPr>
                      </w:pPr>
                      <w:r>
                        <w:rPr>
                          <w:rFonts w:hint="eastAsia" w:hAnsi="宋体" w:asciiTheme="minorEastAsia" w:eastAsiaTheme="minorEastAsia"/>
                          <w:color w:val="FDEFBE"/>
                          <w:sz w:val="96"/>
                          <w:szCs w:val="96"/>
                          <w:lang w:eastAsia="zh-CN"/>
                        </w:rPr>
                        <w:t>河北青龙物流产业</w:t>
                      </w:r>
                      <w:r>
                        <w:rPr>
                          <w:rFonts w:hint="eastAsia" w:hAnsi="宋体" w:asciiTheme="minorEastAsia" w:eastAsiaTheme="minorEastAsia"/>
                          <w:color w:val="FDEFBE"/>
                          <w:sz w:val="96"/>
                          <w:szCs w:val="96"/>
                          <w:lang w:val="en-US" w:eastAsia="zh-CN"/>
                        </w:rPr>
                        <w:t xml:space="preserve"> </w:t>
                      </w:r>
                    </w:p>
                    <w:p>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lang w:eastAsia="zh-CN"/>
                        </w:rPr>
                        <w:t>聚集区管理委员会</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 xml:space="preserve">      </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二〇一九年十月</w:t>
      </w:r>
    </w:p>
    <w:p>
      <w:pPr>
        <w:pStyle w:val="33"/>
        <w:widowControl/>
        <w:spacing w:after="0" w:line="600" w:lineRule="exact"/>
        <w:ind w:left="1360" w:firstLine="0" w:firstLineChars="0"/>
        <w:jc w:val="left"/>
        <w:rPr>
          <w:rFonts w:asciiTheme="minorEastAsia" w:hAnsiTheme="minorEastAsia" w:eastAsiaTheme="minorEastAsia" w:cstheme="minorEastAsia"/>
          <w:bCs/>
          <w:sz w:val="32"/>
          <w:szCs w:val="32"/>
          <w:highlight w:val="yellow"/>
        </w:rPr>
      </w:pPr>
    </w:p>
    <w:p>
      <w:pPr>
        <w:spacing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5" name="矩形 13"/>
                        <wps:cNvSpPr/>
                        <wps:spPr>
                          <a:xfrm>
                            <a:off x="4551" y="52615"/>
                            <a:ext cx="8546" cy="1175"/>
                          </a:xfrm>
                          <a:prstGeom prst="rect">
                            <a:avLst/>
                          </a:prstGeom>
                          <a:solidFill>
                            <a:srgbClr val="96DA9D"/>
                          </a:solidFill>
                          <a:ln w="25400">
                            <a:noFill/>
                          </a:ln>
                        </wps:spPr>
                        <wps:bodyPr anchor="ctr" upright="1"/>
                      </wps:wsp>
                      <wps:wsp>
                        <wps:cNvPr id="1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anchor="ctr"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YPMNU2wAAAAsBAAAP&#10;AAAAAAAAAAEAIAAAACIAAABkcnMvZG93bnJldi54bWxQSwECFAAUAAAACACHTuJAi0GyicACAAAL&#10;BwAADgAAAAAAAAABACAAAAAq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RtlyrgAAADb&#10;AAAADwAAAGRycy9kb3ducmV2LnhtbEVPTWsCMRC9C/0PYQq91ckKFlmNHgqFngq19eBt2Iybxc1k&#10;SeK6/vtGKHibx/uczW7yvRo5pi6IgWquQbE0wXbSGvj9+XhdgUqZxFIfhA3cOMFu+zTbUG3DVb55&#10;3OdWlRBJNRlwOQ81Ymoce0rzMLAU7hSip1xgbNFGupZw3+NC6zf01ElpcDTwu+PmvL94Axg5oovT&#10;KR7TeMHqSx+WzdmYl+dKr0FlnvJD/O/+tGX+Eu6/lANw+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ly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Z7DwL4AAADb&#10;AAAADwAAAGRycy9kb3ducmV2LnhtbEWPT2vCQBDF7wW/wzKCt7qxh1BSVxFBrIKU2oh4G7JjNpid&#10;Ddn1T/vpO4dCbzO8N+/9Zjp/+FbdqI9NYAOTcQaKuAq24dpA+bV6fgUVE7LFNjAZ+KYI89ngaYqF&#10;DXf+pNs+1UpCOBZowKXUFVrHypHHOA4dsWjn0HtMsva1tj3eJdy3+iXLcu2xYWlw2NHSUXXZX72B&#10;j9Kd1rilo99tL4dy0WD+s8mNGQ0n2RuoRI/0b/67freCL7Dyiwy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7Dw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肖营子镇</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4"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1" name="矩形 13"/>
                        <wps:cNvSpPr/>
                        <wps:spPr>
                          <a:xfrm>
                            <a:off x="4551" y="52615"/>
                            <a:ext cx="8546" cy="1175"/>
                          </a:xfrm>
                          <a:prstGeom prst="rect">
                            <a:avLst/>
                          </a:prstGeom>
                          <a:solidFill>
                            <a:srgbClr val="96DA9D"/>
                          </a:solidFill>
                          <a:ln w="25400">
                            <a:noFill/>
                          </a:ln>
                        </wps:spPr>
                        <wps:bodyPr anchor="ctr" upright="1"/>
                      </wps:wsp>
                      <wps:wsp>
                        <wps:cNvPr id="1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anchor="ctr"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ezVw+2wAAAAsBAAAPAAAA&#10;AAAAAAEAIAAAACIAAABkcnMvZG93bnJldi54bWxQSwECFAAUAAAACACHTuJAr4P3y70CAAAL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hiBjybgAAADb&#10;AAAADwAAAGRycy9kb3ducmV2LnhtbEVPPWvDMBDdA/0P4gLd4pMDLcWNkqEQ6BRo2g7dDutimVgn&#10;IymO+++rQiDbPd7nbXazH9TEMfVBDNSVBsXSBttLZ+Drc796AZUyiaUhCBv45QS77cNiQ40NV/ng&#10;6Zg7VUIkNWTA5Tw2iKl17ClVYWQp3ClET7nA2KGNdC3hfsC11s/oqZfS4GjkN8ft+XjxBjByRBfn&#10;U/xJ0wXrg/5+as/GPC5r/Qoq85zv4pv73Zb5Nfz/Ug7A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Bjy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zpRsbsAAADb&#10;AAAADwAAAGRycy9kb3ducmV2LnhtbEVP24rCMBB9F/yHMIJvmupCWapRRBB3BZF1K+Lb0IxNsZmU&#10;Juvt683Cwr7N4VxnOr/bWlyp9ZVjBaNhAoK4cLriUkH+vRq8g/ABWWPtmBQ8yMN81u1MMdPuxl90&#10;3YdSxBD2GSowITSZlL4wZNEPXUMcubNrLYYI21LqFm8x3NZynCSptFhxbDDY0NJQcdn/WAW73JzW&#10;uKGj3W4uh3xRYfr8TJXq90bJBESge/gX/7k/dJz/Br+/x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pRsb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3"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1" name="矩形 13"/>
                        <wps:cNvSpPr/>
                        <wps:spPr>
                          <a:xfrm>
                            <a:off x="4551" y="52615"/>
                            <a:ext cx="8546" cy="1175"/>
                          </a:xfrm>
                          <a:prstGeom prst="rect">
                            <a:avLst/>
                          </a:prstGeom>
                          <a:solidFill>
                            <a:srgbClr val="96DA9D"/>
                          </a:solidFill>
                          <a:ln w="25400">
                            <a:noFill/>
                          </a:ln>
                        </wps:spPr>
                        <wps:bodyPr anchor="ctr" upright="1"/>
                      </wps:wsp>
                      <wps:wsp>
                        <wps:cNvPr id="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anchor="ctr"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IMnUENsAAAALAQAADwAAAAAA&#10;AAABACAAAAAiAAAAZHJzL2Rvd25yZXYueG1sUEsBAhQAFAAAAAgAh07iQHZdgY+7AgAABw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5a3inbcAAADa&#10;AAAADwAAAGRycy9kb3ducmV2LnhtbEVPTWsCMRC9C/0PYQq91ckKFVmNHgqFngq19eBt2Iybxc1k&#10;SeK6/vtGKHgaHu9zNrvJ92rkmLogBqq5BsXSBNtJa+D35+N1BSplEkt9EDZw4wS77dNsQ7UNV/nm&#10;cZ9bVUIk1WTA5TzUiKlx7CnNw8BSuFOInnKBsUUb6VrCfY8LrZfoqZPS4Gjgd8fNeX/xBjByRBen&#10;Uzym8YLVlz68NWdjXp4rvQaVecoP8b/705b5cH/lfnH7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reKdtwAAANoAAAAP&#10;AAAAAAAAAAEAIAAAACIAAABkcnMvZG93bnJldi54bWxQSwECFAAUAAAACACHTuJAMy8FnjsAAAA5&#10;AAAAEAAAAAAAAAABACAAAAAGAQAAZHJzL3NoYXBleG1sLnhtbFBLBQYAAAAABgAGAFsBAACwAwAA&#10;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EXDh70AAADa&#10;AAAADwAAAGRycy9kb3ducmV2LnhtbEWPzWrDMBCE74G8g9hCb7EcH0xxrIRSKGkNITRxKb0t1tYy&#10;sVbGUvP39FUhkOMwM98w5epse3Gk0XeOFcyTFARx43THrYJ6/zp7AuEDssbeMSm4kIfVcjopsdDu&#10;xB903IVWRAj7AhWYEIZCSt8YsugTNxBH78eNFkOUYyv1iKcIt73M0jSXFjuOCwYHejHUHHa/VsG2&#10;Nt9rrOjLbqrDZ/3cYX59z5V6fJinCxCBzuEevrXftIIM/q/EG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RcOH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ind w:firstLine="627" w:firstLineChars="196"/>
        <w:rPr>
          <w:rFonts w:ascii="仿宋" w:hAnsi="仿宋" w:eastAsia="仿宋"/>
          <w:sz w:val="32"/>
          <w:szCs w:val="32"/>
        </w:rPr>
      </w:pPr>
      <w:r>
        <w:rPr>
          <w:rFonts w:hint="eastAsia" w:ascii="仿宋" w:hAnsi="仿宋" w:eastAsia="仿宋"/>
          <w:sz w:val="32"/>
          <w:szCs w:val="32"/>
        </w:rPr>
        <w:t>宣传、贯彻执行党的路线、方针、政策和国家的法律法规，执行本级人民代表大会决议和上级国家行政机关的决定和命令，其主要职责是：</w:t>
      </w:r>
    </w:p>
    <w:p>
      <w:pPr>
        <w:ind w:firstLine="627" w:firstLineChars="196"/>
        <w:rPr>
          <w:rFonts w:ascii="仿宋" w:hAnsi="仿宋" w:eastAsia="仿宋"/>
          <w:sz w:val="32"/>
          <w:szCs w:val="32"/>
        </w:rPr>
      </w:pPr>
      <w:r>
        <w:rPr>
          <w:rFonts w:hint="eastAsia" w:ascii="仿宋" w:hAnsi="仿宋" w:eastAsia="仿宋"/>
          <w:sz w:val="32"/>
          <w:szCs w:val="32"/>
        </w:rPr>
        <w:t>（一）促进经济发展。围绕“工业强县、钢铁立县、开放活县、和谐兴县”的发展战略，科学制定本镇产业发展规划，谋划适应镇实际的经济发展模式；推进农业产业结构调整，努力提高农业产业化和农民进入市场的组织化水平，促进粮食生产稳定发展，农民持续增收；营造良好的发展环境，促进招商引资和项目建设；增强农村集体经济实力，大力发展民营经济，培育和发展农民专业合作组织和中介组织，壮大第二、第三产业，加快城镇化进程。</w:t>
      </w:r>
    </w:p>
    <w:p>
      <w:pPr>
        <w:ind w:firstLine="627" w:firstLineChars="196"/>
        <w:rPr>
          <w:rFonts w:ascii="仿宋" w:hAnsi="仿宋" w:eastAsia="仿宋"/>
          <w:sz w:val="32"/>
          <w:szCs w:val="32"/>
        </w:rPr>
      </w:pPr>
      <w:r>
        <w:rPr>
          <w:rFonts w:hint="eastAsia" w:ascii="仿宋" w:hAnsi="仿宋" w:eastAsia="仿宋"/>
          <w:sz w:val="32"/>
          <w:szCs w:val="32"/>
        </w:rPr>
        <w:t>（二）加强社会管理。组织、监督国家基本公共政策的实施，加强镇村财政资金监管，加强义务教育、公共卫生、计划生育、镇村建设等社会事务的行政管理，促进各项社会事业的发展；协助县直有关部门做好国土资源管理、环境保护、动物防疫、减灾救灾等工作；保障法律法规赋予公民的经济、政治、文化权利，落实公民在选举、决策、管理和监督方面的民主权利，依法行政；加强农村党组织建设，依法推进村民组织自治，加强农村宣传文化工作，抓好农村的思想政治建设和精神文明建设；制定文明生态村建设和构建和谐社会的相关措施，抓好组织实施。</w:t>
      </w:r>
    </w:p>
    <w:p>
      <w:pPr>
        <w:ind w:firstLine="627" w:firstLineChars="196"/>
        <w:rPr>
          <w:rFonts w:ascii="仿宋" w:hAnsi="仿宋" w:eastAsia="仿宋"/>
          <w:sz w:val="32"/>
          <w:szCs w:val="32"/>
        </w:rPr>
      </w:pPr>
      <w:r>
        <w:rPr>
          <w:rFonts w:hint="eastAsia" w:ascii="仿宋" w:hAnsi="仿宋" w:eastAsia="仿宋"/>
          <w:sz w:val="32"/>
          <w:szCs w:val="32"/>
        </w:rPr>
        <w:t>（三）提供公共服务。1、生产保障。提供水利灌溉、道路运输、电力供应、农技推广、病虫害防治等生产性公共产品；2、教育保障。协助教育部门普及九年义务制教育，加强对农村劳动力的职业培训，提高农民的科学文化素质和就业本领；3、医疗保障。农村医疗设施、医疗手段的完善和提高，农村医疗保险制度的建立和落实；4、养老保障。福利院、敬老院的建设，农村养老保险制度的推行；5、生活保障。建设乡村社会各种生活基础设施。建立农村特困户的救助制度和救助体系；6、生育保障。为控制人口数量、提高人口素质和生殖健康提供各种优质服务。</w:t>
      </w:r>
    </w:p>
    <w:p>
      <w:pPr>
        <w:pStyle w:val="34"/>
        <w:keepNext w:val="0"/>
        <w:keepLines w:val="0"/>
        <w:pageBreakBefore w:val="0"/>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kinsoku/>
        <w:wordWrap/>
        <w:overflowPunct/>
        <w:topLinePunct w:val="0"/>
        <w:autoSpaceDE/>
        <w:autoSpaceDN/>
        <w:bidi w:val="0"/>
        <w:adjustRightInd/>
        <w:snapToGrid/>
        <w:spacing w:after="0" w:line="240" w:lineRule="auto"/>
        <w:ind w:firstLine="561"/>
        <w:jc w:val="left"/>
        <w:textAlignment w:val="auto"/>
        <w:rPr>
          <w:rFonts w:hint="eastAsia" w:ascii="仿宋_GB2312" w:hAnsi="仿宋"/>
          <w:sz w:val="28"/>
        </w:rPr>
      </w:pPr>
      <w:r>
        <w:rPr>
          <w:rFonts w:hint="eastAsia" w:ascii="仿宋" w:hAnsi="仿宋" w:eastAsia="仿宋"/>
          <w:sz w:val="32"/>
          <w:szCs w:val="32"/>
        </w:rPr>
        <w:t>（四）维护农村稳定。贯彻执行国家法律法规和政策，增强农民法律意识，维护社会秩序和社会稳定。</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 w:hAnsi="仿宋" w:eastAsia="仿宋" w:cs="ArialUnicodeMS"/>
          <w:kern w:val="0"/>
          <w:sz w:val="32"/>
          <w:szCs w:val="32"/>
        </w:rPr>
        <w:t>从决算编报单位构成看，纳入2018 年度本部门决算汇编范围的独立核算单位（以下简称“单位”）共 1个，无下属独立核算单位，具体情况如下：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eastAsia" w:ascii="仿宋_GB2312" w:eastAsia="方正书宋_GBK" w:cs="ArialUnicodeMS" w:hAnsiTheme="minorHAnsi"/>
                <w:kern w:val="0"/>
                <w:sz w:val="28"/>
                <w:szCs w:val="28"/>
                <w:lang w:eastAsia="zh-CN"/>
              </w:rPr>
            </w:pPr>
            <w:r>
              <w:rPr>
                <w:rFonts w:hint="eastAsia" w:ascii="方正书宋_GBK" w:eastAsia="方正书宋_GBK"/>
                <w:sz w:val="18"/>
                <w:szCs w:val="18"/>
                <w:lang w:eastAsia="zh-CN"/>
              </w:rPr>
              <w:t>河北</w:t>
            </w:r>
            <w:r>
              <w:rPr>
                <w:rFonts w:hint="eastAsia" w:ascii="方正书宋_GBK" w:eastAsia="方正书宋_GBK"/>
                <w:sz w:val="18"/>
                <w:szCs w:val="18"/>
              </w:rPr>
              <w:t>青龙</w:t>
            </w:r>
            <w:r>
              <w:rPr>
                <w:rFonts w:hint="eastAsia" w:ascii="方正书宋_GBK" w:eastAsia="方正书宋_GBK"/>
                <w:sz w:val="18"/>
                <w:szCs w:val="18"/>
                <w:lang w:eastAsia="zh-CN"/>
              </w:rPr>
              <w:t>物流产业聚集区管理委员会</w:t>
            </w:r>
          </w:p>
        </w:tc>
        <w:tc>
          <w:tcPr>
            <w:tcW w:w="2445" w:type="dxa"/>
          </w:tcPr>
          <w:p>
            <w:pPr>
              <w:spacing w:after="0" w:line="560" w:lineRule="exact"/>
              <w:jc w:val="center"/>
              <w:rPr>
                <w:rFonts w:hint="eastAsia" w:ascii="仿宋_GB2312" w:eastAsia="仿宋_GB2312" w:cs="ArialUnicodeMS" w:hAnsiTheme="minorHAnsi"/>
                <w:kern w:val="0"/>
                <w:sz w:val="18"/>
                <w:szCs w:val="18"/>
                <w:lang w:eastAsia="zh-CN"/>
              </w:rPr>
            </w:pPr>
            <w:r>
              <w:rPr>
                <w:rFonts w:hint="eastAsia" w:ascii="仿宋_GB2312" w:eastAsia="仿宋_GB2312" w:cs="ArialUnicodeMS" w:hAnsiTheme="minorHAnsi"/>
                <w:kern w:val="0"/>
                <w:sz w:val="18"/>
                <w:szCs w:val="18"/>
                <w:lang w:eastAsia="zh-CN"/>
              </w:rPr>
              <w:t>行政单位</w:t>
            </w:r>
          </w:p>
        </w:tc>
        <w:tc>
          <w:tcPr>
            <w:tcW w:w="2665" w:type="dxa"/>
          </w:tcPr>
          <w:p>
            <w:pPr>
              <w:spacing w:after="0" w:line="560" w:lineRule="exact"/>
              <w:jc w:val="center"/>
              <w:rPr>
                <w:rFonts w:hint="eastAsia" w:ascii="仿宋_GB2312" w:eastAsia="仿宋_GB2312" w:cs="ArialUnicodeMS" w:hAnsiTheme="minorHAnsi"/>
                <w:kern w:val="0"/>
                <w:sz w:val="18"/>
                <w:szCs w:val="18"/>
                <w:lang w:eastAsia="zh-CN"/>
              </w:rPr>
            </w:pPr>
            <w:r>
              <w:rPr>
                <w:rFonts w:hint="eastAsia" w:ascii="仿宋_GB2312" w:eastAsia="仿宋_GB2312" w:cs="ArialUnicodeMS" w:hAnsiTheme="minorHAnsi"/>
                <w:kern w:val="0"/>
                <w:sz w:val="18"/>
                <w:szCs w:val="1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top w:val="single" w:color="auto" w:sz="4" w:space="0"/>
              <w:left w:val="single" w:color="auto" w:sz="4" w:space="0"/>
              <w:bottom w:val="single" w:color="auto" w:sz="4" w:space="0"/>
              <w:right w:val="single" w:color="auto" w:sz="4" w:space="0"/>
            </w:tcBorders>
          </w:tcPr>
          <w:p>
            <w:pPr>
              <w:spacing w:after="0" w:line="560" w:lineRule="exact"/>
              <w:ind w:firstLine="280" w:firstLineChars="100"/>
              <w:jc w:val="left"/>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2</w:t>
            </w:r>
          </w:p>
        </w:tc>
        <w:tc>
          <w:tcPr>
            <w:tcW w:w="3485" w:type="dxa"/>
            <w:tcBorders>
              <w:top w:val="single" w:color="auto" w:sz="4" w:space="0"/>
              <w:left w:val="single" w:color="auto" w:sz="4" w:space="0"/>
              <w:bottom w:val="single" w:color="auto" w:sz="4" w:space="0"/>
              <w:right w:val="single" w:color="auto" w:sz="4" w:space="0"/>
            </w:tcBorders>
          </w:tcPr>
          <w:p>
            <w:pPr>
              <w:spacing w:after="0" w:line="560" w:lineRule="exact"/>
              <w:ind w:firstLine="560" w:firstLineChars="200"/>
              <w:jc w:val="left"/>
              <w:rPr>
                <w:rFonts w:ascii="仿宋_GB2312" w:eastAsia="仿宋_GB2312" w:cs="ArialUnicodeMS" w:hAnsiTheme="minorHAnsi"/>
                <w:kern w:val="0"/>
                <w:sz w:val="28"/>
                <w:szCs w:val="28"/>
              </w:rPr>
            </w:pPr>
          </w:p>
        </w:tc>
        <w:tc>
          <w:tcPr>
            <w:tcW w:w="2445" w:type="dxa"/>
            <w:tcBorders>
              <w:top w:val="single" w:color="auto" w:sz="4" w:space="0"/>
              <w:left w:val="single" w:color="auto" w:sz="4" w:space="0"/>
              <w:bottom w:val="single" w:color="auto" w:sz="4" w:space="0"/>
              <w:right w:val="single" w:color="auto" w:sz="4" w:space="0"/>
            </w:tcBorders>
          </w:tcPr>
          <w:p>
            <w:pPr>
              <w:spacing w:after="0" w:line="560" w:lineRule="exact"/>
              <w:ind w:firstLine="560" w:firstLineChars="200"/>
              <w:jc w:val="left"/>
              <w:rPr>
                <w:rFonts w:ascii="仿宋_GB2312" w:eastAsia="仿宋_GB2312" w:cs="ArialUnicodeMS" w:hAnsiTheme="minorHAnsi"/>
                <w:kern w:val="0"/>
                <w:sz w:val="28"/>
                <w:szCs w:val="28"/>
              </w:rPr>
            </w:pPr>
          </w:p>
        </w:tc>
        <w:tc>
          <w:tcPr>
            <w:tcW w:w="2665" w:type="dxa"/>
            <w:tcBorders>
              <w:top w:val="single" w:color="auto" w:sz="4" w:space="0"/>
              <w:left w:val="single" w:color="auto" w:sz="4" w:space="0"/>
              <w:bottom w:val="single" w:color="auto" w:sz="4" w:space="0"/>
              <w:right w:val="single" w:color="auto" w:sz="4" w:space="0"/>
            </w:tcBorders>
          </w:tcPr>
          <w:p>
            <w:pPr>
              <w:spacing w:after="0" w:line="560" w:lineRule="exact"/>
              <w:ind w:firstLine="560" w:firstLineChars="200"/>
              <w:jc w:val="left"/>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top w:val="single" w:color="auto" w:sz="4" w:space="0"/>
              <w:left w:val="single" w:color="auto" w:sz="4" w:space="0"/>
              <w:bottom w:val="single" w:color="auto" w:sz="4" w:space="0"/>
              <w:right w:val="single" w:color="auto" w:sz="4" w:space="0"/>
            </w:tcBorders>
          </w:tcPr>
          <w:p>
            <w:pPr>
              <w:spacing w:after="0" w:line="560" w:lineRule="exact"/>
              <w:ind w:firstLine="280" w:firstLineChars="100"/>
              <w:jc w:val="left"/>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3</w:t>
            </w:r>
          </w:p>
        </w:tc>
        <w:tc>
          <w:tcPr>
            <w:tcW w:w="3485" w:type="dxa"/>
            <w:tcBorders>
              <w:top w:val="single" w:color="auto" w:sz="4" w:space="0"/>
              <w:left w:val="single" w:color="auto" w:sz="4" w:space="0"/>
              <w:bottom w:val="single" w:color="auto" w:sz="4" w:space="0"/>
              <w:right w:val="single" w:color="auto" w:sz="4" w:space="0"/>
            </w:tcBorders>
          </w:tcPr>
          <w:p>
            <w:pPr>
              <w:spacing w:after="0" w:line="560" w:lineRule="exact"/>
              <w:ind w:firstLine="560" w:firstLineChars="200"/>
              <w:jc w:val="left"/>
              <w:rPr>
                <w:rFonts w:ascii="仿宋_GB2312" w:eastAsia="仿宋_GB2312" w:cs="ArialUnicodeMS" w:hAnsiTheme="minorHAnsi"/>
                <w:kern w:val="0"/>
                <w:sz w:val="28"/>
                <w:szCs w:val="28"/>
              </w:rPr>
            </w:pPr>
          </w:p>
        </w:tc>
        <w:tc>
          <w:tcPr>
            <w:tcW w:w="2445" w:type="dxa"/>
            <w:tcBorders>
              <w:top w:val="single" w:color="auto" w:sz="4" w:space="0"/>
              <w:left w:val="single" w:color="auto" w:sz="4" w:space="0"/>
              <w:bottom w:val="single" w:color="auto" w:sz="4" w:space="0"/>
              <w:right w:val="single" w:color="auto" w:sz="4" w:space="0"/>
            </w:tcBorders>
          </w:tcPr>
          <w:p>
            <w:pPr>
              <w:spacing w:after="0" w:line="560" w:lineRule="exact"/>
              <w:ind w:firstLine="560" w:firstLineChars="200"/>
              <w:jc w:val="left"/>
              <w:rPr>
                <w:rFonts w:ascii="仿宋_GB2312" w:eastAsia="仿宋_GB2312" w:cs="ArialUnicodeMS" w:hAnsiTheme="minorHAnsi"/>
                <w:kern w:val="0"/>
                <w:sz w:val="28"/>
                <w:szCs w:val="28"/>
              </w:rPr>
            </w:pPr>
          </w:p>
        </w:tc>
        <w:tc>
          <w:tcPr>
            <w:tcW w:w="2665" w:type="dxa"/>
            <w:tcBorders>
              <w:top w:val="single" w:color="auto" w:sz="4" w:space="0"/>
              <w:left w:val="single" w:color="auto" w:sz="4" w:space="0"/>
              <w:bottom w:val="single" w:color="auto" w:sz="4" w:space="0"/>
              <w:right w:val="single" w:color="auto" w:sz="4" w:space="0"/>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-1003300</wp:posOffset>
            </wp:positionH>
            <wp:positionV relativeFrom="paragraph">
              <wp:posOffset>-1226185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8076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51"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49" name="矩形 13"/>
                        <wps:cNvSpPr/>
                        <wps:spPr>
                          <a:xfrm>
                            <a:off x="4551" y="52615"/>
                            <a:ext cx="8546" cy="1175"/>
                          </a:xfrm>
                          <a:prstGeom prst="rect">
                            <a:avLst/>
                          </a:prstGeom>
                          <a:solidFill>
                            <a:srgbClr val="96DA9D"/>
                          </a:solidFill>
                          <a:ln w="25400">
                            <a:noFill/>
                          </a:ln>
                        </wps:spPr>
                        <wps:bodyPr anchor="ctr" upright="1"/>
                      </wps:wsp>
                      <wps:wsp>
                        <wps:cNvPr id="5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upright="1"/>
                      </wps:wsp>
                    </wpg:wgp>
                  </a:graphicData>
                </a:graphic>
              </wp:anchor>
            </w:drawing>
          </mc:Choice>
          <mc:Fallback>
            <w:pict>
              <v:group id="组合 18" o:spid="_x0000_s1026" o:spt="203" style="position:absolute;left:0pt;margin-left:-0.55pt;margin-top:29.3pt;height:43.95pt;width:301.85pt;mso-position-horizontal-relative:page;mso-position-vertical-relative:page;z-index:25168076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SfsrO2wAAAAsBAAAPAAAA&#10;AAAAAAEAIAAAACIAAABkcnMvZG93bnJldi54bWxQSwECFAAUAAAACACHTuJAOhJFxr0CAAAK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a+VA0rsAAADb&#10;AAAADwAAAGRycy9kb3ducmV2LnhtbEWPQUsDMRSE70L/Q3gFb+3Li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A0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wYJ2BroAAADb&#10;AAAADwAAAGRycy9kb3ducmV2LnhtbEVPy4rCMBTdC/MP4Q6401TB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gnY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万元。与2017年度决算相比，收支各增加</w:t>
      </w:r>
      <w:r>
        <w:rPr>
          <w:rFonts w:hint="eastAsia" w:ascii="仿宋_GB2312" w:eastAsia="仿宋_GB2312" w:cs="DengXian-Regular"/>
          <w:sz w:val="32"/>
          <w:szCs w:val="32"/>
          <w:lang w:val="en-US" w:eastAsia="zh-CN"/>
        </w:rPr>
        <w:t>16.74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17.43</w:t>
      </w:r>
      <w:r>
        <w:rPr>
          <w:rFonts w:hint="eastAsia" w:ascii="仿宋_GB2312" w:eastAsia="仿宋_GB2312" w:cs="DengXian-Regular"/>
          <w:sz w:val="32"/>
          <w:szCs w:val="32"/>
        </w:rPr>
        <w:t>%，主要原因是工资调整</w:t>
      </w:r>
      <w:r>
        <w:rPr>
          <w:rFonts w:hint="eastAsia" w:ascii="仿宋_GB2312" w:eastAsia="仿宋_GB2312" w:cs="DengXian-Regular"/>
          <w:sz w:val="32"/>
          <w:szCs w:val="32"/>
          <w:lang w:eastAsia="zh-CN"/>
        </w:rPr>
        <w:t>、</w:t>
      </w:r>
      <w:r>
        <w:rPr>
          <w:rFonts w:hint="eastAsia" w:ascii="仿宋_GB2312" w:eastAsia="仿宋_GB2312" w:cs="DengXian-Regular"/>
          <w:sz w:val="32"/>
          <w:szCs w:val="32"/>
        </w:rPr>
        <w:t>人员经费增加。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万元。与2017年度决算相比，增加</w:t>
      </w:r>
      <w:r>
        <w:rPr>
          <w:rFonts w:hint="eastAsia" w:ascii="仿宋_GB2312" w:eastAsia="仿宋_GB2312" w:cs="DengXian-Regular"/>
          <w:sz w:val="32"/>
          <w:szCs w:val="32"/>
          <w:lang w:val="en-US" w:eastAsia="zh-CN"/>
        </w:rPr>
        <w:t>16.74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17.43</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主要原因是工资调整</w:t>
      </w:r>
      <w:r>
        <w:rPr>
          <w:rFonts w:hint="eastAsia" w:ascii="仿宋_GB2312" w:eastAsia="仿宋_GB2312" w:cs="DengXian-Regular"/>
          <w:sz w:val="32"/>
          <w:szCs w:val="32"/>
          <w:lang w:eastAsia="zh-CN"/>
        </w:rPr>
        <w:t>、</w:t>
      </w:r>
      <w:r>
        <w:rPr>
          <w:rFonts w:hint="eastAsia" w:ascii="仿宋_GB2312" w:eastAsia="仿宋_GB2312" w:cs="DengXian-Regular"/>
          <w:sz w:val="32"/>
          <w:szCs w:val="32"/>
        </w:rPr>
        <w:t>人员经费增加；本年支出</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16.74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17.43</w:t>
      </w:r>
      <w:r>
        <w:rPr>
          <w:rFonts w:hint="eastAsia" w:ascii="仿宋_GB2312" w:eastAsia="仿宋_GB2312" w:cs="DengXian-Regular"/>
          <w:sz w:val="32"/>
          <w:szCs w:val="32"/>
        </w:rPr>
        <w:t>%，主要是工资调整</w:t>
      </w:r>
      <w:r>
        <w:rPr>
          <w:rFonts w:hint="eastAsia" w:ascii="仿宋_GB2312" w:eastAsia="仿宋_GB2312" w:cs="DengXian-Regular"/>
          <w:sz w:val="32"/>
          <w:szCs w:val="32"/>
          <w:lang w:eastAsia="zh-CN"/>
        </w:rPr>
        <w:t>、</w:t>
      </w:r>
      <w:r>
        <w:rPr>
          <w:rFonts w:hint="eastAsia" w:ascii="仿宋_GB2312" w:eastAsia="仿宋_GB2312" w:cs="DengXian-Regular"/>
          <w:sz w:val="32"/>
          <w:szCs w:val="32"/>
        </w:rPr>
        <w:t>人员经费增加。</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100.21</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0.24</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调资增加人员经费额度</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100.21</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0.24</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调资增加人员经费额度</w:t>
      </w:r>
      <w:r>
        <w:rPr>
          <w:rFonts w:hint="eastAsia" w:ascii="仿宋_GB2312" w:eastAsia="仿宋_GB2312" w:cs="DengXian-Regular"/>
          <w:sz w:val="32"/>
          <w:szCs w:val="32"/>
        </w:rPr>
        <w:t>。</w:t>
      </w:r>
    </w:p>
    <w:p>
      <w:pPr>
        <w:numPr>
          <w:ilvl w:val="0"/>
          <w:numId w:val="0"/>
        </w:num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lang w:eastAsia="zh-CN"/>
        </w:rPr>
        <w:t>（三）</w: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95.75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84.87</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11.99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10.63</w:t>
      </w:r>
      <w:r>
        <w:rPr>
          <w:rFonts w:hint="eastAsia" w:ascii="仿宋_GB2312" w:eastAsia="仿宋_GB2312" w:cs="DengXian-Regular"/>
          <w:sz w:val="32"/>
          <w:szCs w:val="32"/>
        </w:rPr>
        <w:t>%；</w:t>
      </w:r>
      <w:r>
        <w:rPr>
          <w:rFonts w:hint="eastAsia" w:ascii="仿宋_GB2312" w:eastAsia="仿宋_GB2312" w:cs="DengXian-Regular"/>
          <w:sz w:val="32"/>
          <w:szCs w:val="32"/>
          <w:lang w:eastAsia="zh-CN"/>
        </w:rPr>
        <w:t>医疗卫生与计划生育</w:t>
      </w:r>
      <w:r>
        <w:rPr>
          <w:rFonts w:hint="eastAsia" w:ascii="仿宋_GB2312" w:eastAsia="仿宋_GB2312" w:cs="DengXian-Regular"/>
          <w:sz w:val="32"/>
          <w:szCs w:val="32"/>
        </w:rPr>
        <w:t>（类）支出</w:t>
      </w:r>
      <w:r>
        <w:rPr>
          <w:rFonts w:hint="eastAsia" w:ascii="仿宋_GB2312" w:eastAsia="仿宋_GB2312" w:cs="DengXian-Regular"/>
          <w:sz w:val="32"/>
          <w:szCs w:val="32"/>
          <w:lang w:val="en-US" w:eastAsia="zh-CN"/>
        </w:rPr>
        <w:t>5.08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4.5</w:t>
      </w:r>
      <w:r>
        <w:rPr>
          <w:rFonts w:hint="eastAsia" w:ascii="仿宋_GB2312" w:eastAsia="仿宋_GB2312" w:cs="DengXian-Regular"/>
          <w:sz w:val="32"/>
          <w:szCs w:val="32"/>
        </w:rPr>
        <w:t>%。</w:t>
      </w:r>
    </w:p>
    <w:p>
      <w:pPr>
        <w:adjustRightInd w:val="0"/>
        <w:snapToGrid w:val="0"/>
        <w:spacing w:after="0" w:line="580" w:lineRule="exact"/>
        <w:ind w:firstLine="440" w:firstLineChars="100"/>
        <w:rPr>
          <w:rFonts w:ascii="楷体_GB2312" w:eastAsia="楷体_GB2312" w:cs="DengXian-Bold"/>
          <w:b/>
          <w:bCs/>
          <w:sz w:val="32"/>
          <w:szCs w:val="32"/>
        </w:rPr>
      </w:pPr>
      <w:r>
        <w:rPr>
          <w:sz w:val="44"/>
        </w:rPr>
        <mc:AlternateContent>
          <mc:Choice Requires="wpg">
            <w:drawing>
              <wp:anchor distT="0" distB="0" distL="114300" distR="114300" simplePos="0" relativeHeight="25167462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30"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8" name="矩形 13"/>
                        <wps:cNvSpPr/>
                        <wps:spPr>
                          <a:xfrm>
                            <a:off x="4551" y="52615"/>
                            <a:ext cx="8546" cy="1175"/>
                          </a:xfrm>
                          <a:prstGeom prst="rect">
                            <a:avLst/>
                          </a:prstGeom>
                          <a:solidFill>
                            <a:srgbClr val="96DA9D"/>
                          </a:solidFill>
                          <a:ln w="25400">
                            <a:noFill/>
                          </a:ln>
                        </wps:spPr>
                        <wps:bodyPr anchor="ctr" upright="1"/>
                      </wps:wsp>
                      <wps:wsp>
                        <wps:cNvPr id="2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upright="1"/>
                      </wps:wsp>
                    </wpg:wgp>
                  </a:graphicData>
                </a:graphic>
              </wp:anchor>
            </w:drawing>
          </mc:Choice>
          <mc:Fallback>
            <w:pict>
              <v:group id="组合 79"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J+ys7bAAAACwEAAA8A&#10;AAAAAAAAAQAgAAAAIgAAAGRycy9kb3ducmV2LnhtbFBLAQIUABQAAAAIAIdO4kAG2mWPvwIAAAo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2XYA6bgAAADb&#10;AAAADwAAAGRycy9kb3ducmV2LnhtbEVPPWvDMBDdC/0P4gLdmpMDKcWN7KEQ6FRomg7dDutimVgn&#10;IymO8++jodDx8b537eJHNXNMQxAD1VqDYumCHaQ3cPzeP7+CSpnE0hiEDdw4Qds8PuyotuEqXzwf&#10;cq9KiKSaDLicpxoxdY49pXWYWAp3CtFTLjD2aCNdS7gfcaP1C3oapDQ4mvjdcXc+XLwBjBzRxeUU&#10;f9N8wepT/2y7szFPq0q/gcq85H/xn/vDGtiUs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XYA6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L6s5r4AAADb&#10;AAAADwAAAGRycy9kb3ducmV2LnhtbEWPT4vCMBTE78J+h/AWvGmqh7J2jbIsLKuCiFpZvD2aZ1Ns&#10;XkoT/+2nN4LgcZiZ3zDj6dXW4kytrxwrGPQTEMSF0xWXCvLtT+8DhA/IGmvHpOBGHqaTt84YM+0u&#10;vKbzJpQiQthnqMCE0GRS+sKQRd93DXH0Dq61GKJsS6lbvES4reUwSVJpseK4YLChb0PFcXOyCla5&#10;2f/igv7scnHc5V8Vpv/zVKnu+yD5BBHoGl7hZ3umFQxH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6s5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112.83</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85.13</w:t>
      </w:r>
      <w:r>
        <w:rPr>
          <w:rFonts w:hint="eastAsia" w:ascii="仿宋_GB2312" w:eastAsia="仿宋_GB2312" w:cs="DengXian-Regular"/>
          <w:sz w:val="32"/>
          <w:szCs w:val="32"/>
        </w:rPr>
        <w:t>万元，主要包括基本工资</w:t>
      </w:r>
      <w:r>
        <w:rPr>
          <w:rFonts w:hint="eastAsia" w:ascii="仿宋_GB2312" w:eastAsia="仿宋_GB2312" w:cs="DengXian-Regular"/>
          <w:sz w:val="32"/>
          <w:szCs w:val="32"/>
          <w:lang w:val="en-US" w:eastAsia="zh-CN"/>
        </w:rPr>
        <w:t>40.98万元</w:t>
      </w:r>
      <w:r>
        <w:rPr>
          <w:rFonts w:hint="eastAsia" w:ascii="仿宋_GB2312" w:eastAsia="仿宋_GB2312" w:cs="DengXian-Regular"/>
          <w:sz w:val="32"/>
          <w:szCs w:val="32"/>
        </w:rPr>
        <w:t>、津贴补贴</w:t>
      </w:r>
      <w:r>
        <w:rPr>
          <w:rFonts w:hint="eastAsia" w:ascii="仿宋_GB2312" w:eastAsia="仿宋_GB2312" w:cs="DengXian-Regular"/>
          <w:sz w:val="32"/>
          <w:szCs w:val="32"/>
          <w:lang w:val="en-US" w:eastAsia="zh-CN"/>
        </w:rPr>
        <w:t>17.91万元</w:t>
      </w:r>
      <w:r>
        <w:rPr>
          <w:rFonts w:hint="eastAsia" w:ascii="仿宋_GB2312" w:eastAsia="仿宋_GB2312" w:cs="DengXian-Regular"/>
          <w:sz w:val="32"/>
          <w:szCs w:val="32"/>
        </w:rPr>
        <w:t>、奖金</w:t>
      </w:r>
      <w:r>
        <w:rPr>
          <w:rFonts w:hint="eastAsia" w:ascii="仿宋_GB2312" w:eastAsia="仿宋_GB2312" w:cs="DengXian-Regular"/>
          <w:sz w:val="32"/>
          <w:szCs w:val="32"/>
          <w:lang w:val="en-US" w:eastAsia="zh-CN"/>
        </w:rPr>
        <w:t>1.86万元</w:t>
      </w:r>
      <w:r>
        <w:rPr>
          <w:rFonts w:hint="eastAsia" w:ascii="仿宋_GB2312" w:eastAsia="仿宋_GB2312" w:cs="DengXian-Regular"/>
          <w:sz w:val="32"/>
          <w:szCs w:val="32"/>
        </w:rPr>
        <w:t>、绩效工资</w:t>
      </w:r>
      <w:r>
        <w:rPr>
          <w:rFonts w:hint="eastAsia" w:ascii="仿宋_GB2312" w:eastAsia="仿宋_GB2312" w:cs="DengXian-Regular"/>
          <w:sz w:val="32"/>
          <w:szCs w:val="32"/>
          <w:lang w:val="en-US" w:eastAsia="zh-CN"/>
        </w:rPr>
        <w:t>6.99万元</w:t>
      </w:r>
      <w:r>
        <w:rPr>
          <w:rFonts w:hint="eastAsia" w:ascii="仿宋_GB2312" w:eastAsia="仿宋_GB2312" w:cs="DengXian-Regular"/>
          <w:sz w:val="32"/>
          <w:szCs w:val="32"/>
        </w:rPr>
        <w:t>、机关事业单位基本养老保险缴费</w:t>
      </w:r>
      <w:r>
        <w:rPr>
          <w:rFonts w:hint="eastAsia" w:ascii="仿宋_GB2312" w:eastAsia="仿宋_GB2312" w:cs="DengXian-Regular"/>
          <w:sz w:val="32"/>
          <w:szCs w:val="32"/>
          <w:lang w:val="en-US" w:eastAsia="zh-CN"/>
        </w:rPr>
        <w:t>11.99万元</w:t>
      </w:r>
      <w:r>
        <w:rPr>
          <w:rFonts w:hint="eastAsia" w:ascii="仿宋_GB2312" w:eastAsia="仿宋_GB2312" w:cs="DengXian-Regular"/>
          <w:sz w:val="32"/>
          <w:szCs w:val="32"/>
        </w:rPr>
        <w:t>、职工基本医疗保险缴费</w:t>
      </w:r>
      <w:r>
        <w:rPr>
          <w:rFonts w:hint="eastAsia" w:ascii="仿宋_GB2312" w:eastAsia="仿宋_GB2312" w:cs="DengXian-Regular"/>
          <w:sz w:val="32"/>
          <w:szCs w:val="32"/>
          <w:lang w:val="en-US" w:eastAsia="zh-CN"/>
        </w:rPr>
        <w:t>5.08万元</w:t>
      </w:r>
      <w:r>
        <w:rPr>
          <w:rFonts w:hint="eastAsia" w:ascii="仿宋_GB2312" w:eastAsia="仿宋_GB2312" w:cs="DengXian-Regular"/>
          <w:sz w:val="32"/>
          <w:szCs w:val="32"/>
        </w:rPr>
        <w:t>、其他工资福利支出</w:t>
      </w:r>
      <w:r>
        <w:rPr>
          <w:rFonts w:hint="eastAsia" w:ascii="仿宋_GB2312" w:eastAsia="仿宋_GB2312" w:cs="DengXian-Regular"/>
          <w:sz w:val="32"/>
          <w:szCs w:val="32"/>
          <w:lang w:val="en-US" w:eastAsia="zh-CN"/>
        </w:rPr>
        <w:t>0.14万元</w:t>
      </w:r>
      <w:r>
        <w:rPr>
          <w:rFonts w:hint="eastAsia" w:ascii="仿宋_GB2312" w:eastAsia="仿宋_GB2312" w:cs="DengXian-Regular"/>
          <w:sz w:val="32"/>
          <w:szCs w:val="32"/>
        </w:rPr>
        <w:t>；公用经费</w:t>
      </w:r>
      <w:r>
        <w:rPr>
          <w:rFonts w:hint="eastAsia" w:ascii="仿宋_GB2312" w:eastAsia="仿宋_GB2312" w:cs="DengXian-Regular"/>
          <w:sz w:val="32"/>
          <w:szCs w:val="32"/>
          <w:lang w:val="en-US" w:eastAsia="zh-CN"/>
        </w:rPr>
        <w:t>27.70</w:t>
      </w:r>
      <w:r>
        <w:rPr>
          <w:rFonts w:hint="eastAsia" w:ascii="仿宋_GB2312" w:eastAsia="仿宋_GB2312" w:cs="DengXian-Regular"/>
          <w:sz w:val="32"/>
          <w:szCs w:val="32"/>
        </w:rPr>
        <w:t>万元，主要包括办公费</w:t>
      </w:r>
      <w:r>
        <w:rPr>
          <w:rFonts w:hint="eastAsia" w:ascii="仿宋_GB2312" w:eastAsia="仿宋_GB2312" w:cs="DengXian-Regular"/>
          <w:sz w:val="32"/>
          <w:szCs w:val="32"/>
          <w:lang w:val="en-US" w:eastAsia="zh-CN"/>
        </w:rPr>
        <w:t>8.05万元</w:t>
      </w:r>
      <w:r>
        <w:rPr>
          <w:rFonts w:hint="eastAsia" w:ascii="仿宋_GB2312" w:eastAsia="仿宋_GB2312" w:cs="DengXian-Regular"/>
          <w:sz w:val="32"/>
          <w:szCs w:val="32"/>
        </w:rPr>
        <w:t>、印刷费</w:t>
      </w:r>
      <w:r>
        <w:rPr>
          <w:rFonts w:hint="eastAsia" w:ascii="仿宋_GB2312" w:eastAsia="仿宋_GB2312" w:cs="DengXian-Regular"/>
          <w:sz w:val="32"/>
          <w:szCs w:val="32"/>
          <w:lang w:val="en-US" w:eastAsia="zh-CN"/>
        </w:rPr>
        <w:t>1万元</w:t>
      </w:r>
      <w:r>
        <w:rPr>
          <w:rFonts w:hint="eastAsia" w:ascii="仿宋_GB2312" w:eastAsia="仿宋_GB2312" w:cs="DengXian-Regular"/>
          <w:sz w:val="32"/>
          <w:szCs w:val="32"/>
        </w:rPr>
        <w:t>、</w:t>
      </w:r>
      <w:r>
        <w:rPr>
          <w:rFonts w:hint="eastAsia" w:ascii="仿宋_GB2312" w:eastAsia="仿宋_GB2312" w:cs="DengXian-Regular"/>
          <w:sz w:val="32"/>
          <w:szCs w:val="32"/>
          <w:lang w:eastAsia="zh-CN"/>
        </w:rPr>
        <w:t>取暖</w:t>
      </w:r>
      <w:r>
        <w:rPr>
          <w:rFonts w:hint="eastAsia" w:ascii="仿宋_GB2312" w:eastAsia="仿宋_GB2312" w:cs="DengXian-Regular"/>
          <w:sz w:val="32"/>
          <w:szCs w:val="32"/>
        </w:rPr>
        <w:t>费</w:t>
      </w:r>
      <w:r>
        <w:rPr>
          <w:rFonts w:hint="eastAsia" w:ascii="仿宋_GB2312" w:eastAsia="仿宋_GB2312" w:cs="DengXian-Regular"/>
          <w:sz w:val="32"/>
          <w:szCs w:val="32"/>
          <w:lang w:val="en-US" w:eastAsia="zh-CN"/>
        </w:rPr>
        <w:t>7万元</w:t>
      </w:r>
      <w:r>
        <w:rPr>
          <w:rFonts w:hint="eastAsia" w:ascii="仿宋_GB2312" w:eastAsia="仿宋_GB2312" w:cs="DengXian-Regular"/>
          <w:sz w:val="32"/>
          <w:szCs w:val="32"/>
        </w:rPr>
        <w:t>、差旅费</w:t>
      </w:r>
      <w:r>
        <w:rPr>
          <w:rFonts w:hint="eastAsia" w:ascii="仿宋_GB2312" w:eastAsia="仿宋_GB2312" w:cs="DengXian-Regular"/>
          <w:sz w:val="32"/>
          <w:szCs w:val="32"/>
          <w:lang w:val="en-US" w:eastAsia="zh-CN"/>
        </w:rPr>
        <w:t>8.05万元</w:t>
      </w:r>
      <w:r>
        <w:rPr>
          <w:rFonts w:hint="eastAsia" w:ascii="仿宋_GB2312" w:eastAsia="仿宋_GB2312" w:cs="DengXian-Regular"/>
          <w:sz w:val="32"/>
          <w:szCs w:val="32"/>
        </w:rPr>
        <w:t>、公务接待费</w:t>
      </w:r>
      <w:r>
        <w:rPr>
          <w:rFonts w:hint="eastAsia" w:ascii="仿宋_GB2312" w:eastAsia="仿宋_GB2312" w:cs="DengXian-Regular"/>
          <w:sz w:val="32"/>
          <w:szCs w:val="32"/>
          <w:lang w:val="en-US" w:eastAsia="zh-CN"/>
        </w:rPr>
        <w:t>3.6万元</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w:t>
      </w:r>
      <w:r>
        <w:rPr>
          <w:rFonts w:hint="eastAsia" w:ascii="仿宋_GB2312" w:eastAsia="仿宋_GB2312" w:cs="DengXian-Regular"/>
          <w:sz w:val="32"/>
          <w:szCs w:val="32"/>
          <w:lang w:val="en-US" w:eastAsia="zh-CN"/>
        </w:rPr>
        <w:t>3.6</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0.37</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9.32</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564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33"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31" name="矩形 13"/>
                        <wps:cNvSpPr/>
                        <wps:spPr>
                          <a:xfrm>
                            <a:off x="4551" y="52615"/>
                            <a:ext cx="8546" cy="1175"/>
                          </a:xfrm>
                          <a:prstGeom prst="rect">
                            <a:avLst/>
                          </a:prstGeom>
                          <a:solidFill>
                            <a:srgbClr val="96DA9D"/>
                          </a:solidFill>
                          <a:ln w="25400">
                            <a:noFill/>
                          </a:ln>
                        </wps:spPr>
                        <wps:bodyPr anchor="ctr" upright="1"/>
                      </wps:wsp>
                      <wps:wsp>
                        <wps:cNvPr id="3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upright="1"/>
                      </wps:wsp>
                    </wpg:wgp>
                  </a:graphicData>
                </a:graphic>
              </wp:anchor>
            </w:drawing>
          </mc:Choice>
          <mc:Fallback>
            <w:pict>
              <v:group id="组合 82"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BJ+ys7bAAAACwEAAA8AAAAAAAAA&#10;AQAgAAAAIgAAAGRycy9kb3ducmV2LnhtbFBLAQIUABQAAAAIAIdO4kD78PsiuQIAAAoHAAAOAAAA&#10;AAAAAAEAIAAAACoBAABkcnMvZTJvRG9jLnhtbFBLBQYAAAAABgAGAFkBAABVBgAAAAA=&#10;">
                <o:lock v:ext="edit" aspectratio="f"/>
                <v:rect id="矩形 13" o:spid="_x0000_s1026" o:spt="1" style="position:absolute;left:4551;top:52615;height:1175;width:8546;v-text-anchor:middle;" fillcolor="#96DA9D" filled="t" stroked="f" coordsize="21600,21600" o:gfxdata="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U/q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8OoSr0AAADb&#10;AAAADwAAAGRycy9kb3ducmV2LnhtbEWPQWsCMRSE74L/ITyhN81qYZ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6hK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w:t>
      </w:r>
      <w:r>
        <w:rPr>
          <w:rFonts w:hint="eastAsia" w:ascii="仿宋_GB2312" w:eastAsia="仿宋_GB2312" w:cs="DengXian-Regular"/>
          <w:sz w:val="32"/>
          <w:szCs w:val="32"/>
          <w:lang w:eastAsia="zh-CN"/>
        </w:rPr>
        <w:t>未发生</w:t>
      </w:r>
      <w:r>
        <w:rPr>
          <w:rFonts w:hint="eastAsia" w:ascii="仿宋_GB2312" w:eastAsia="仿宋_GB2312" w:cs="DengXian-Regular"/>
          <w:sz w:val="32"/>
          <w:szCs w:val="32"/>
        </w:rPr>
        <w:t>因公出国（境）</w:t>
      </w:r>
      <w:r>
        <w:rPr>
          <w:rFonts w:hint="eastAsia" w:ascii="仿宋_GB2312" w:eastAsia="仿宋_GB2312" w:cs="DengXian-Regular"/>
          <w:sz w:val="32"/>
          <w:szCs w:val="32"/>
          <w:lang w:eastAsia="zh-CN"/>
        </w:rPr>
        <w:t>支出</w:t>
      </w:r>
      <w:r>
        <w:rPr>
          <w:rFonts w:hint="eastAsia" w:ascii="仿宋_GB2312" w:eastAsia="仿宋_GB2312" w:cs="DengXian-Regular"/>
          <w:sz w:val="32"/>
          <w:szCs w:val="32"/>
        </w:rPr>
        <w:t>。</w:t>
      </w:r>
    </w:p>
    <w:p>
      <w:pPr>
        <w:adjustRightInd w:val="0"/>
        <w:snapToGrid w:val="0"/>
        <w:spacing w:after="0" w:line="580" w:lineRule="exact"/>
        <w:ind w:firstLine="643" w:firstLineChars="200"/>
        <w:rPr>
          <w:rFonts w:hint="eastAsia" w:ascii="仿宋_GB2312" w:eastAsia="仿宋_GB2312" w:cs="DengXian-Bold"/>
          <w:b/>
          <w:bCs/>
          <w:sz w:val="32"/>
          <w:szCs w:val="32"/>
          <w:lang w:eastAsia="zh-CN"/>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按照镇区一体管理模式要求，公务用车与肖营子镇政府公用，费用在肖营子镇政府列支。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3.6</w:t>
      </w:r>
      <w:r>
        <w:rPr>
          <w:rFonts w:hint="eastAsia" w:ascii="楷体_GB2312" w:eastAsia="楷体_GB2312" w:cs="DengXian-Bold"/>
          <w:b/>
          <w:bCs/>
          <w:sz w:val="32"/>
          <w:szCs w:val="32"/>
        </w:rPr>
        <w:t>万元。</w:t>
      </w:r>
      <w:r>
        <w:rPr>
          <w:sz w:val="44"/>
        </w:rPr>
        <mc:AlternateContent>
          <mc:Choice Requires="wpg">
            <w:drawing>
              <wp:anchor distT="0" distB="0" distL="114300" distR="114300" simplePos="0" relativeHeight="25167667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36"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34" name="矩形 13"/>
                        <wps:cNvSpPr/>
                        <wps:spPr>
                          <a:xfrm>
                            <a:off x="4551" y="52615"/>
                            <a:ext cx="8546" cy="1175"/>
                          </a:xfrm>
                          <a:prstGeom prst="rect">
                            <a:avLst/>
                          </a:prstGeom>
                          <a:solidFill>
                            <a:srgbClr val="96DA9D"/>
                          </a:solidFill>
                          <a:ln w="25400">
                            <a:noFill/>
                          </a:ln>
                        </wps:spPr>
                        <wps:bodyPr anchor="ctr" upright="1"/>
                      </wps:wsp>
                      <wps:wsp>
                        <wps:cNvPr id="3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upright="1"/>
                      </wps:wsp>
                    </wpg:wgp>
                  </a:graphicData>
                </a:graphic>
              </wp:anchor>
            </w:drawing>
          </mc:Choice>
          <mc:Fallback>
            <w:pict>
              <v:group id="组合 85"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SfsrO2wAAAAsBAAAPAAAA&#10;AAAAAAEAIAAAACIAAABkcnMvZG93bnJldi54bWxQSwECFAAUAAAACACHTuJAbPmMUL0CAAAK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3eKcMbsAAADb&#10;AAAADwAAAGRycy9kb3ducmV2LnhtbEWPQUsDMRSE70L/Q3gFb+3LqhXZNu2hIHgSbOvB22Pzulm6&#10;eVmSdLv+eyMIHoeZ+YbZ7Cbfq5Fj6oIYqJYaFEsTbCetgdPxdfECKmUSS30QNvDNCXbb2d2Gahtu&#10;8sHjIbeqQCTVZMDlPNSIqXHsKS3DwFK8c4iecpGxRRvpVuC+xwetn9FTJ2XB0cB7x83lcPUGMHJE&#10;F6dz/ErjFat3/blqLsbczyu9BpV5yv/hv/abNfD4B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KcM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CowPr8AAADb&#10;AAAADwAAAGRycy9kb3ducmV2LnhtbEWP3WrCQBSE7wu+w3IKvasbWww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MD6/&#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187</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864</w:t>
      </w:r>
      <w:r>
        <w:rPr>
          <w:rFonts w:hint="eastAsia" w:ascii="仿宋_GB2312" w:eastAsia="仿宋_GB2312" w:cs="DengXian-Regular"/>
          <w:sz w:val="32"/>
          <w:szCs w:val="32"/>
        </w:rPr>
        <w:t>人次。公务接待费支出较年初预算减少</w:t>
      </w:r>
      <w:r>
        <w:rPr>
          <w:rFonts w:hint="eastAsia" w:ascii="仿宋_GB2312" w:eastAsia="仿宋_GB2312" w:cs="DengXian-Regular"/>
          <w:sz w:val="32"/>
          <w:szCs w:val="32"/>
          <w:lang w:val="en-US" w:eastAsia="zh-CN"/>
        </w:rPr>
        <w:t>0.37</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9.32</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w:t>
      </w:r>
      <w:bookmarkStart w:id="0" w:name="_GoBack"/>
      <w:bookmarkEnd w:id="0"/>
      <w:r>
        <w:rPr>
          <w:rFonts w:hint="eastAsia" w:ascii="仿宋_GB2312" w:eastAsia="仿宋_GB2312" w:cs="DengXian-Regular"/>
          <w:sz w:val="32"/>
          <w:szCs w:val="32"/>
        </w:rPr>
        <w:t>开支，全年实际支出比预算有所节约。</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pStyle w:val="11"/>
        <w:keepNext w:val="0"/>
        <w:keepLines w:val="0"/>
        <w:widowControl/>
        <w:suppressLineNumbers w:val="0"/>
        <w:shd w:val="clear" w:fill="FFFFFF"/>
        <w:spacing w:before="0" w:beforeAutospacing="0" w:after="240" w:afterAutospacing="0"/>
        <w:ind w:left="0" w:right="0" w:firstLine="320" w:firstLineChars="1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pStyle w:val="11"/>
        <w:keepNext w:val="0"/>
        <w:keepLines w:val="0"/>
        <w:widowControl/>
        <w:suppressLineNumbers w:val="0"/>
        <w:shd w:val="clear" w:fill="FFFFFF"/>
        <w:spacing w:before="0" w:beforeAutospacing="0" w:after="240" w:afterAutospacing="0"/>
        <w:ind w:left="0" w:right="0"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一是加强组织领导。为进一步增强支出责任和效率意识，全面加强预算管理，优化资源配置，提高财政资金科学化、精细化管理水平，成立了由</w:t>
      </w:r>
      <w:r>
        <w:rPr>
          <w:rFonts w:hint="eastAsia" w:ascii="仿宋_GB2312" w:eastAsia="仿宋_GB2312" w:cs="DengXian-Regular"/>
          <w:kern w:val="2"/>
          <w:sz w:val="32"/>
          <w:szCs w:val="32"/>
          <w:lang w:val="en-US" w:eastAsia="zh-CN" w:bidi="ar-SA"/>
        </w:rPr>
        <w:t>园区副主任（肖营子镇</w:t>
      </w:r>
      <w:r>
        <w:rPr>
          <w:rFonts w:hint="eastAsia" w:ascii="仿宋_GB2312" w:hAnsi="Times New Roman" w:eastAsia="仿宋_GB2312" w:cs="DengXian-Regular"/>
          <w:kern w:val="2"/>
          <w:sz w:val="32"/>
          <w:szCs w:val="32"/>
          <w:lang w:val="en-US" w:eastAsia="zh-CN" w:bidi="ar-SA"/>
        </w:rPr>
        <w:t>镇长</w:t>
      </w:r>
      <w:r>
        <w:rPr>
          <w:rFonts w:hint="eastAsia" w:ascii="仿宋_GB2312" w:eastAsia="仿宋_GB2312" w:cs="DengXian-Regular"/>
          <w:kern w:val="2"/>
          <w:sz w:val="32"/>
          <w:szCs w:val="32"/>
          <w:lang w:val="en-US" w:eastAsia="zh-CN" w:bidi="ar-SA"/>
        </w:rPr>
        <w:t>）</w:t>
      </w:r>
      <w:r>
        <w:rPr>
          <w:rFonts w:hint="eastAsia" w:ascii="仿宋_GB2312" w:hAnsi="Times New Roman" w:eastAsia="仿宋_GB2312" w:cs="DengXian-Regular"/>
          <w:kern w:val="2"/>
          <w:sz w:val="32"/>
          <w:szCs w:val="32"/>
          <w:lang w:val="en-US" w:eastAsia="zh-CN" w:bidi="ar-SA"/>
        </w:rPr>
        <w:t>任组长，其他</w:t>
      </w:r>
      <w:r>
        <w:rPr>
          <w:rFonts w:hint="eastAsia" w:ascii="仿宋_GB2312" w:eastAsia="仿宋_GB2312" w:cs="DengXian-Regular"/>
          <w:kern w:val="2"/>
          <w:sz w:val="32"/>
          <w:szCs w:val="32"/>
          <w:lang w:val="en-US" w:eastAsia="zh-CN" w:bidi="ar-SA"/>
        </w:rPr>
        <w:t>管委会</w:t>
      </w:r>
      <w:r>
        <w:rPr>
          <w:rFonts w:hint="eastAsia" w:ascii="仿宋_GB2312" w:hAnsi="Times New Roman" w:eastAsia="仿宋_GB2312" w:cs="DengXian-Regular"/>
          <w:kern w:val="2"/>
          <w:sz w:val="32"/>
          <w:szCs w:val="32"/>
          <w:lang w:val="en-US" w:eastAsia="zh-CN" w:bidi="ar-SA"/>
        </w:rPr>
        <w:t>班子成员为副组长，党政办、财政</w:t>
      </w:r>
      <w:r>
        <w:rPr>
          <w:rFonts w:hint="eastAsia" w:ascii="仿宋_GB2312" w:eastAsia="仿宋_GB2312" w:cs="DengXian-Regular"/>
          <w:kern w:val="2"/>
          <w:sz w:val="32"/>
          <w:szCs w:val="32"/>
          <w:lang w:val="en-US" w:eastAsia="zh-CN" w:bidi="ar-SA"/>
        </w:rPr>
        <w:t>局</w:t>
      </w:r>
      <w:r>
        <w:rPr>
          <w:rFonts w:hint="eastAsia" w:ascii="仿宋_GB2312" w:hAnsi="Times New Roman" w:eastAsia="仿宋_GB2312" w:cs="DengXian-Regular"/>
          <w:kern w:val="2"/>
          <w:sz w:val="32"/>
          <w:szCs w:val="32"/>
          <w:lang w:val="en-US" w:eastAsia="zh-CN" w:bidi="ar-SA"/>
        </w:rPr>
        <w:t>、</w:t>
      </w:r>
      <w:r>
        <w:rPr>
          <w:rFonts w:hint="eastAsia" w:ascii="仿宋_GB2312" w:eastAsia="仿宋_GB2312" w:cs="DengXian-Regular"/>
          <w:kern w:val="2"/>
          <w:sz w:val="32"/>
          <w:szCs w:val="32"/>
          <w:lang w:val="en-US" w:eastAsia="zh-CN" w:bidi="ar-SA"/>
        </w:rPr>
        <w:t>招商局</w:t>
      </w:r>
      <w:r>
        <w:rPr>
          <w:rFonts w:hint="eastAsia" w:ascii="仿宋_GB2312" w:hAnsi="Times New Roman" w:eastAsia="仿宋_GB2312" w:cs="DengXian-Regular"/>
          <w:kern w:val="2"/>
          <w:sz w:val="32"/>
          <w:szCs w:val="32"/>
          <w:lang w:val="en-US" w:eastAsia="zh-CN" w:bidi="ar-SA"/>
        </w:rPr>
        <w:t>为成员的预算绩效管理工作领导小组，领导小组下设办公室，办公室设在财政</w:t>
      </w:r>
      <w:r>
        <w:rPr>
          <w:rFonts w:hint="eastAsia" w:ascii="仿宋_GB2312" w:eastAsia="仿宋_GB2312" w:cs="DengXian-Regular"/>
          <w:kern w:val="2"/>
          <w:sz w:val="32"/>
          <w:szCs w:val="32"/>
          <w:lang w:val="en-US" w:eastAsia="zh-CN" w:bidi="ar-SA"/>
        </w:rPr>
        <w:t>局</w:t>
      </w:r>
      <w:r>
        <w:rPr>
          <w:rFonts w:hint="eastAsia" w:ascii="仿宋_GB2312" w:hAnsi="Times New Roman" w:eastAsia="仿宋_GB2312" w:cs="DengXian-Regular"/>
          <w:kern w:val="2"/>
          <w:sz w:val="32"/>
          <w:szCs w:val="32"/>
          <w:lang w:val="en-US" w:eastAsia="zh-CN" w:bidi="ar-SA"/>
        </w:rPr>
        <w:t>，具体负责全县预算绩效管理日常工作。</w:t>
      </w:r>
    </w:p>
    <w:p>
      <w:pPr>
        <w:pStyle w:val="11"/>
        <w:keepNext w:val="0"/>
        <w:keepLines w:val="0"/>
        <w:widowControl/>
        <w:suppressLineNumbers w:val="0"/>
        <w:shd w:val="clear" w:fill="FFFFFF"/>
        <w:spacing w:before="0" w:beforeAutospacing="0" w:after="240" w:afterAutospacing="0"/>
        <w:ind w:left="0" w:right="0" w:firstLine="640" w:firstLineChars="200"/>
        <w:rPr>
          <w:rFonts w:hint="eastAsia" w:ascii="仿宋_GB2312" w:hAnsi="Times New Roman"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二是完善制度建设。为确保预算绩效管理工作的有序操作，结合我镇实际情况，制定《肖营子镇</w:t>
      </w:r>
      <w:r>
        <w:rPr>
          <w:rFonts w:hint="eastAsia" w:ascii="仿宋_GB2312" w:eastAsia="仿宋_GB2312" w:cs="DengXian-Regular"/>
          <w:kern w:val="2"/>
          <w:sz w:val="32"/>
          <w:szCs w:val="32"/>
          <w:lang w:val="en-US" w:eastAsia="zh-CN" w:bidi="ar-SA"/>
        </w:rPr>
        <w:t>（物流园区）</w:t>
      </w:r>
      <w:r>
        <w:rPr>
          <w:rFonts w:hint="eastAsia" w:ascii="仿宋_GB2312" w:hAnsi="Times New Roman" w:eastAsia="仿宋_GB2312" w:cs="DengXian-Regular"/>
          <w:kern w:val="2"/>
          <w:sz w:val="32"/>
          <w:szCs w:val="32"/>
          <w:lang w:val="en-US" w:eastAsia="zh-CN" w:bidi="ar-SA"/>
        </w:rPr>
        <w:t>财政支出绩效评价实施办法(试行)》等规范性文件，初步构建了预算绩效管理制度体系。</w:t>
      </w:r>
    </w:p>
    <w:p>
      <w:pPr>
        <w:pStyle w:val="11"/>
        <w:keepNext w:val="0"/>
        <w:keepLines w:val="0"/>
        <w:widowControl/>
        <w:suppressLineNumbers w:val="0"/>
        <w:shd w:val="clear" w:fill="FFFFFF"/>
        <w:spacing w:before="0" w:beforeAutospacing="0" w:after="240" w:afterAutospacing="0"/>
        <w:ind w:left="0" w:right="0" w:firstLine="640" w:firstLineChars="200"/>
        <w:rPr>
          <w:rFonts w:hint="eastAsia" w:ascii="仿宋_GB2312" w:eastAsia="仿宋_GB2312" w:cs="DengXian-Regular"/>
          <w:kern w:val="2"/>
          <w:sz w:val="32"/>
          <w:szCs w:val="32"/>
          <w:lang w:val="en-US" w:eastAsia="zh-CN" w:bidi="ar-SA"/>
        </w:rPr>
      </w:pPr>
      <w:r>
        <w:rPr>
          <w:rFonts w:hint="eastAsia" w:ascii="仿宋_GB2312" w:hAnsi="Times New Roman" w:eastAsia="仿宋_GB2312" w:cs="DengXian-Regular"/>
          <w:kern w:val="2"/>
          <w:sz w:val="32"/>
          <w:szCs w:val="32"/>
          <w:lang w:val="en-US" w:eastAsia="zh-CN" w:bidi="ar-SA"/>
        </w:rPr>
        <w:t>三是认真组织实施。紧紧围绕完善公共财政体制机制和强化部门支出责任这根主线，遵循全面部署、分步实施、稳步推进的原则，对较大金额的项目支出开展绩效评价，强化了绩效目标管理。强化项目单位支出责任，提高资金使用效益起到促进作用。</w:t>
      </w:r>
      <w:r>
        <w:rPr>
          <w:rFonts w:hint="eastAsia" w:ascii="仿宋_GB2312" w:eastAsia="仿宋_GB2312" w:cs="DengXian-Regular"/>
          <w:kern w:val="2"/>
          <w:sz w:val="32"/>
          <w:szCs w:val="32"/>
          <w:lang w:val="en-US" w:eastAsia="zh-CN" w:bidi="ar-SA"/>
        </w:rPr>
        <w:t xml:space="preserve">    </w:t>
      </w:r>
    </w:p>
    <w:p>
      <w:pPr>
        <w:pStyle w:val="11"/>
        <w:keepNext w:val="0"/>
        <w:keepLines w:val="0"/>
        <w:widowControl/>
        <w:suppressLineNumbers w:val="0"/>
        <w:shd w:val="clear" w:fill="FFFFFF"/>
        <w:spacing w:before="0" w:beforeAutospacing="0" w:after="240" w:afterAutospacing="0"/>
        <w:ind w:left="0" w:right="0"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（二）项目绩效自评结果。</w:t>
      </w:r>
      <w:r>
        <w:rPr>
          <w:rFonts w:hint="eastAsia" w:ascii="仿宋_GB2312" w:eastAsia="仿宋_GB2312" w:cs="DengXian-Regular"/>
          <w:sz w:val="32"/>
          <w:szCs w:val="32"/>
          <w:lang w:eastAsia="zh-CN"/>
        </w:rPr>
        <w:t>（见附表）</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（三）重点项目绩效评价结果。</w:t>
      </w:r>
      <w:r>
        <w:rPr>
          <w:rFonts w:hint="eastAsia" w:ascii="仿宋_GB2312" w:eastAsia="仿宋_GB2312" w:cs="DengXian-Regular"/>
          <w:sz w:val="32"/>
          <w:szCs w:val="32"/>
          <w:lang w:eastAsia="zh-CN"/>
        </w:rPr>
        <w:t>我单位无重点项目。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27.7</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4.7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20.43</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行政事业类预算项目</w:t>
      </w:r>
      <w:r>
        <w:rPr>
          <w:rFonts w:hint="eastAsia" w:ascii="仿宋_GB2312" w:eastAsia="仿宋_GB2312" w:cs="DengXian-Regular"/>
          <w:sz w:val="32"/>
          <w:szCs w:val="32"/>
          <w:lang w:val="en-US" w:eastAsia="zh-CN"/>
        </w:rPr>
        <w:t>-机关办公取暖</w:t>
      </w:r>
      <w:r>
        <w:rPr>
          <w:rFonts w:hint="eastAsia" w:ascii="仿宋_GB2312" w:eastAsia="仿宋_GB2312" w:cs="DengXian-Regular"/>
          <w:sz w:val="32"/>
          <w:szCs w:val="32"/>
          <w:lang w:eastAsia="zh-CN"/>
        </w:rPr>
        <w:t>支出纳入机关运行经费决算中。</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eastAsia="仿宋_GB2312" w:cs="DengXian-Regular"/>
          <w:sz w:val="32"/>
          <w:szCs w:val="32"/>
          <w:lang w:eastAsia="zh-CN"/>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无变动</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无变动</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无变动</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政府性基金预算、国有资本经营预算</w:t>
      </w:r>
      <w:r>
        <w:rPr>
          <w:rFonts w:hint="eastAsia" w:ascii="仿宋_GB2312" w:eastAsia="仿宋_GB2312" w:cs="DengXian-Regular"/>
          <w:sz w:val="32"/>
          <w:szCs w:val="32"/>
        </w:rPr>
        <w:t>无收支及结转结余情况，</w:t>
      </w:r>
      <w:r>
        <w:rPr>
          <w:rFonts w:hint="eastAsia" w:ascii="仿宋_GB2312" w:eastAsia="仿宋_GB2312" w:cs="DengXian-Regular"/>
          <w:sz w:val="32"/>
          <w:szCs w:val="32"/>
          <w:lang w:eastAsia="zh-CN"/>
        </w:rPr>
        <w:t>未发生大型政府采购行为，</w:t>
      </w:r>
      <w:r>
        <w:rPr>
          <w:rFonts w:hint="eastAsia" w:ascii="仿宋_GB2312" w:eastAsia="仿宋_GB2312" w:cs="DengXian-Regular"/>
          <w:sz w:val="32"/>
          <w:szCs w:val="32"/>
        </w:rPr>
        <w:t>故</w:t>
      </w:r>
      <w:r>
        <w:rPr>
          <w:rFonts w:hint="eastAsia" w:ascii="仿宋_GB2312" w:eastAsia="仿宋_GB2312" w:cs="DengXian-Regular"/>
          <w:sz w:val="32"/>
          <w:szCs w:val="32"/>
          <w:lang w:eastAsia="zh-CN"/>
        </w:rPr>
        <w:t>政府性基金预算财政拨款收入支出决算表、国有资本经营预算财政拨款收入支出决算</w:t>
      </w:r>
      <w:r>
        <w:rPr>
          <w:rFonts w:hint="eastAsia" w:ascii="仿宋_GB2312" w:eastAsia="仿宋_GB2312" w:cs="DengXian-Regular"/>
          <w:sz w:val="32"/>
          <w:szCs w:val="32"/>
        </w:rPr>
        <w:t>表</w:t>
      </w:r>
      <w:r>
        <w:rPr>
          <w:rFonts w:hint="eastAsia" w:ascii="仿宋_GB2312" w:eastAsia="仿宋_GB2312" w:cs="DengXian-Regular"/>
          <w:sz w:val="32"/>
          <w:szCs w:val="32"/>
          <w:lang w:eastAsia="zh-CN"/>
        </w:rPr>
        <w:t>及政府采购情况表</w:t>
      </w:r>
      <w:r>
        <w:rPr>
          <w:rFonts w:hint="eastAsia" w:ascii="仿宋_GB2312" w:eastAsia="仿宋_GB2312" w:cs="DengXian-Regular"/>
          <w:sz w:val="32"/>
          <w:szCs w:val="32"/>
        </w:rPr>
        <w:t>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7769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42"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40" name="矩形 13"/>
                        <wps:cNvSpPr/>
                        <wps:spPr>
                          <a:xfrm>
                            <a:off x="4551" y="52615"/>
                            <a:ext cx="8546" cy="1175"/>
                          </a:xfrm>
                          <a:prstGeom prst="rect">
                            <a:avLst/>
                          </a:prstGeom>
                          <a:solidFill>
                            <a:srgbClr val="96DA9D"/>
                          </a:solidFill>
                          <a:ln w="25400">
                            <a:noFill/>
                          </a:ln>
                        </wps:spPr>
                        <wps:bodyPr anchor="ctr" upright="1"/>
                      </wps:wsp>
                      <wps:wsp>
                        <wps:cNvPr id="4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anchor="ctr" upright="1"/>
                      </wps:wsp>
                    </wpg:wgp>
                  </a:graphicData>
                </a:graphic>
              </wp:anchor>
            </w:drawing>
          </mc:Choice>
          <mc:Fallback>
            <w:pict>
              <v:group id="组合 91"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J+ys7bAAAACwEAAA8AAAAA&#10;AAAAAQAgAAAAIgAAAGRycy9kb3ducmV2LnhtbFBLAQIUABQAAAAIAIdO4kBiF59o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t/pT7gAAADb&#10;AAAADwAAAGRycy9kb3ducmV2LnhtbEVPTWsCMRC9C/6HMEJvOllp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T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xdFQL4AAADb&#10;AAAADwAAAGRycy9kb3ducmV2LnhtbEWPQWvCQBSE70L/w/IK3nSTU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FQ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0"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 name="矩形 13"/>
                        <wps:cNvSpPr/>
                        <wps:spPr>
                          <a:xfrm>
                            <a:off x="4551" y="52615"/>
                            <a:ext cx="8546" cy="1175"/>
                          </a:xfrm>
                          <a:prstGeom prst="rect">
                            <a:avLst/>
                          </a:prstGeom>
                          <a:solidFill>
                            <a:srgbClr val="96DA9D"/>
                          </a:solidFill>
                          <a:ln w="25400">
                            <a:noFill/>
                          </a:ln>
                        </wps:spPr>
                        <wps:bodyPr anchor="ctr" upright="1"/>
                      </wps:wsp>
                      <wps:wsp>
                        <wps:cNvPr id="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Yz8m9sAAAALAQAADwAA&#10;AAAAAAABACAAAAAiAAAAZHJzL2Rvd25yZXYueG1sUEsBAhQAFAAAAAgAh07iQKCjI2y+AgAACQ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akR66bkAAADa&#10;AAAADwAAAGRycy9kb3ducmV2LnhtbEWPQWsCMRSE70L/Q3iF3vRlhYqsRg+FQk+F2vbg7bF5bhY3&#10;L0sS1/XfN4LQ4zAz3zDb/eR7NXJMXRAD1UKDYmmC7aQ18PP9Pl+DSpnEUh+EDdw4wX73NNtSbcNV&#10;vng85FYViKSaDLichxoxNY49pUUYWIp3CtFTLjK2aCNdC9z3uNR6hZ46KQuOBn5z3JwPF28AI0d0&#10;cTrFYxovWH3q39fmbMzLc6U3oDJP+T/8aH9YAyu4Xyk3AH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Eeum5AAAA2gAA&#10;AA8AAAAAAAAAAQAgAAAAIgAAAGRycy9kb3ducmV2LnhtbFBLAQIUABQAAAAIAIdO4kAzLwWeOwAA&#10;ADkAAAAQAAAAAAAAAAEAIAAAAAgBAABkcnMvc2hhcGV4bWwueG1sUEsFBgAAAAAGAAYAWwEAALID&#10;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uFR9r0AAADa&#10;AAAADwAAAGRycy9kb3ducmV2LnhtbEWPW4vCMBSE3xf8D+EIvq2pPpS1GmURxAuIrFaWfTs0Z5ti&#10;c1KaeNtfbxYEH4eZ+YaZzG62FhdqfeVYwaCfgCAunK64VJAfFu8fIHxA1lg7JgV38jCbdt4mmGl3&#10;5S+67EMpIoR9hgpMCE0mpS8MWfR91xBH79e1FkOUbSl1i9cIt7UcJkkqLVYcFww2NDdUnPZnq2CX&#10;m58lbujbbjenY/5ZYfq3TpXqdQfJGESgW3iFn+2VVjCC/yvxBs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4VH2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872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45"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43" name="矩形 13"/>
                        <wps:cNvSpPr/>
                        <wps:spPr>
                          <a:xfrm>
                            <a:off x="4551" y="52615"/>
                            <a:ext cx="8546" cy="1175"/>
                          </a:xfrm>
                          <a:prstGeom prst="rect">
                            <a:avLst/>
                          </a:prstGeom>
                          <a:solidFill>
                            <a:srgbClr val="96DA9D"/>
                          </a:solidFill>
                          <a:ln w="25400">
                            <a:noFill/>
                          </a:ln>
                        </wps:spPr>
                        <wps:bodyPr anchor="ctr" upright="1"/>
                      </wps:wsp>
                      <wps:wsp>
                        <wps:cNvPr id="4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upright="1"/>
                      </wps:wsp>
                    </wpg:wgp>
                  </a:graphicData>
                </a:graphic>
              </wp:anchor>
            </w:drawing>
          </mc:Choice>
          <mc:Fallback>
            <w:pict>
              <v:group id="组合 94" o:spid="_x0000_s1026" o:spt="203" style="position:absolute;left:0pt;margin-left:-81.05pt;margin-top:39.65pt;height:43.95pt;width:264.85pt;mso-position-vertical-relative:page;z-index:25167872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Yz8m9sAAAALAQAADwAAAAAA&#10;AAABACAAAAAiAAAAZHJzL2Rvd25yZXYueG1sUEsBAhQAFAAAAAgAh07iQIw7Aai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Cg13OLsAAADb&#10;AAAADwAAAGRycy9kb3ducmV2LnhtbEWPQUsDMRSE70L/Q3gFb+3LqhXZNu2hIHgSbOvB22Pzulm6&#10;eVmSdLv+eyMIHoeZ+YbZ7Cbfq5Fj6oIYqJYaFEsTbCetgdPxdfECKmUSS30QNvDNCXbb2d2Gahtu&#10;8sHjIbeqQCTVZMDlPNSIqXHsKS3DwFK8c4iecpGxRRvpVuC+xwetn9FTJ2XB0cB7x83lcPUGMHJE&#10;F6dz/ErjFat3/blqLsbczyu9BpV5yv/hv/abNfD0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13O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O2Dm2L0AAADb&#10;AAAADwAAAGRycy9kb3ducmV2LnhtbEWP3WoCMRSE74W+QzgF7zSry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YObY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974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48"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46" name="矩形 13"/>
                        <wps:cNvSpPr/>
                        <wps:spPr>
                          <a:xfrm>
                            <a:off x="4551" y="52615"/>
                            <a:ext cx="8546" cy="1175"/>
                          </a:xfrm>
                          <a:prstGeom prst="rect">
                            <a:avLst/>
                          </a:prstGeom>
                          <a:solidFill>
                            <a:srgbClr val="96DA9D"/>
                          </a:solidFill>
                          <a:ln w="25400">
                            <a:noFill/>
                          </a:ln>
                        </wps:spPr>
                        <wps:bodyPr anchor="ctr" upright="1"/>
                      </wps:wsp>
                      <wps:wsp>
                        <wps:cNvPr id="4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anchor="ctr" upright="1"/>
                      </wps:wsp>
                    </wpg:wgp>
                  </a:graphicData>
                </a:graphic>
              </wp:anchor>
            </w:drawing>
          </mc:Choice>
          <mc:Fallback>
            <w:pict>
              <v:group id="组合 97" o:spid="_x0000_s1026" o:spt="203" style="position:absolute;left:0pt;margin-left:-81.05pt;margin-top:39.65pt;height:43.95pt;width:264.85pt;mso-position-vertical-relative:page;z-index:25167974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M/JvbAAAACwEAAA8AAAAA&#10;AAAAAQAgAAAAIgAAAGRycy9kb3ducmV2LnhtbFBLAQIUABQAAAAIAIdO4kDSd5cP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GnrUoLsAAADb&#10;AAAADwAAAGRycy9kb3ducmV2LnhtbEWPQWsCMRSE74L/ITyht/qyp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rUo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7J4r74AAADb&#10;AAAADwAAAGRycy9kb3ducmV2LnhtbEWP3WoCMRSE7wXfIZxC7zSrlF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J4r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8"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4B41954-94A1-4D8D-80CA-9294AE92B5A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1050AE1-0432-4589-B75A-76CDDF31273A}"/>
  </w:font>
  <w:font w:name="Cambria">
    <w:panose1 w:val="02040503050406030204"/>
    <w:charset w:val="00"/>
    <w:family w:val="roman"/>
    <w:pitch w:val="default"/>
    <w:sig w:usb0="E00002FF" w:usb1="400004FF" w:usb2="00000000" w:usb3="00000000" w:csb0="2000019F" w:csb1="00000000"/>
    <w:embedRegular r:id="rId3" w:fontKey="{F30855F6-D968-495F-89BB-DC1D52A538D4}"/>
  </w:font>
  <w:font w:name="楷体">
    <w:panose1 w:val="02010609060101010101"/>
    <w:charset w:val="86"/>
    <w:family w:val="modern"/>
    <w:pitch w:val="default"/>
    <w:sig w:usb0="800002BF" w:usb1="38CF7CFA" w:usb2="00000016" w:usb3="00000000" w:csb0="00040001" w:csb1="00000000"/>
    <w:embedRegular r:id="rId4" w:fontKey="{01901BEF-855C-43F7-B0C3-0F2066CDB59E}"/>
  </w:font>
  <w:font w:name="仿宋_GB2312">
    <w:panose1 w:val="02010609030101010101"/>
    <w:charset w:val="86"/>
    <w:family w:val="modern"/>
    <w:pitch w:val="default"/>
    <w:sig w:usb0="00000001" w:usb1="080E0000" w:usb2="00000000" w:usb3="00000000" w:csb0="00040000" w:csb1="00000000"/>
    <w:embedRegular r:id="rId5" w:fontKey="{404D3F81-38A3-4E6D-A31C-26D9F30B127D}"/>
  </w:font>
  <w:font w:name="ArialUnicodeMS">
    <w:altName w:val="Malgun Gothic"/>
    <w:panose1 w:val="00000000000000000000"/>
    <w:charset w:val="81"/>
    <w:family w:val="auto"/>
    <w:pitch w:val="default"/>
    <w:sig w:usb0="00000000" w:usb1="00000000" w:usb2="00000010" w:usb3="00000000" w:csb0="00080001" w:csb1="00000000"/>
    <w:embedRegular r:id="rId6" w:fontKey="{0752E8BD-5587-4F28-9351-87CAEA907A66}"/>
  </w:font>
  <w:font w:name="仿宋">
    <w:panose1 w:val="02010609060101010101"/>
    <w:charset w:val="86"/>
    <w:family w:val="modern"/>
    <w:pitch w:val="default"/>
    <w:sig w:usb0="800002BF" w:usb1="38CF7CFA" w:usb2="00000016" w:usb3="00000000" w:csb0="00040001" w:csb1="00000000"/>
    <w:embedRegular r:id="rId7" w:fontKey="{DCFF92DC-C3BD-43EA-B55E-712D109CE278}"/>
  </w:font>
  <w:font w:name="方正书宋_GBK">
    <w:panose1 w:val="02000000000000000000"/>
    <w:charset w:val="86"/>
    <w:family w:val="auto"/>
    <w:pitch w:val="default"/>
    <w:sig w:usb0="A00002BF" w:usb1="38CF7CFA" w:usb2="00082016" w:usb3="00000000" w:csb0="00040001" w:csb1="00000000"/>
    <w:embedRegular r:id="rId8" w:fontKey="{1B5B706F-2592-4FDC-AA8D-89FB33AFC94D}"/>
  </w:font>
  <w:font w:name="MS-UIGothic,Bold">
    <w:altName w:val="Malgun Gothic"/>
    <w:panose1 w:val="00000000000000000000"/>
    <w:charset w:val="81"/>
    <w:family w:val="auto"/>
    <w:pitch w:val="default"/>
    <w:sig w:usb0="00000000" w:usb1="00000000" w:usb2="00000010" w:usb3="00000000" w:csb0="00080000" w:csb1="00000000"/>
    <w:embedRegular r:id="rId9" w:fontKey="{C876C93E-1A14-4766-B038-32F9D1503CED}"/>
  </w:font>
  <w:font w:name="DengXian-Regular">
    <w:altName w:val="宋体"/>
    <w:panose1 w:val="00000000000000000000"/>
    <w:charset w:val="86"/>
    <w:family w:val="auto"/>
    <w:pitch w:val="default"/>
    <w:sig w:usb0="00000000" w:usb1="00000000" w:usb2="00000010" w:usb3="00000000" w:csb0="00040001" w:csb1="00000000"/>
    <w:embedRegular r:id="rId10" w:fontKey="{5D1141AD-65EC-415C-A095-84B99B4B07FC}"/>
  </w:font>
  <w:font w:name="楷体_GB2312">
    <w:panose1 w:val="02010609030101010101"/>
    <w:charset w:val="86"/>
    <w:family w:val="modern"/>
    <w:pitch w:val="default"/>
    <w:sig w:usb0="00000001" w:usb1="080E0000" w:usb2="00000000" w:usb3="00000000" w:csb0="00040000" w:csb1="00000000"/>
    <w:embedRegular r:id="rId11" w:fontKey="{CD1AFEBE-3D04-43F1-9E37-B3482D6C5607}"/>
  </w:font>
  <w:font w:name="DengXian-Bold">
    <w:altName w:val="宋体"/>
    <w:panose1 w:val="00000000000000000000"/>
    <w:charset w:val="86"/>
    <w:family w:val="auto"/>
    <w:pitch w:val="default"/>
    <w:sig w:usb0="00000000" w:usb1="00000000" w:usb2="00000010" w:usb3="00000000" w:csb0="00040001" w:csb1="00000000"/>
    <w:embedRegular r:id="rId12" w:fontKey="{41AB0E8B-7EB0-419F-8B03-7D7A8622D647}"/>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hNmY3ZWM1NmU2Yjc4NzRiZjRhMGQxMDhhMzJmZTk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13B1"/>
    <w:rsid w:val="001B3410"/>
    <w:rsid w:val="001C030D"/>
    <w:rsid w:val="001C4A84"/>
    <w:rsid w:val="001E5902"/>
    <w:rsid w:val="00233705"/>
    <w:rsid w:val="00275CA2"/>
    <w:rsid w:val="00294972"/>
    <w:rsid w:val="002A2CD9"/>
    <w:rsid w:val="002A65A5"/>
    <w:rsid w:val="002C04C4"/>
    <w:rsid w:val="002D08B0"/>
    <w:rsid w:val="002D1AE3"/>
    <w:rsid w:val="002F2ECE"/>
    <w:rsid w:val="00341C8F"/>
    <w:rsid w:val="0035463A"/>
    <w:rsid w:val="00367611"/>
    <w:rsid w:val="00391D9D"/>
    <w:rsid w:val="003B6C51"/>
    <w:rsid w:val="003C1413"/>
    <w:rsid w:val="003C549F"/>
    <w:rsid w:val="003D5A16"/>
    <w:rsid w:val="003E7DB3"/>
    <w:rsid w:val="003F1321"/>
    <w:rsid w:val="00431175"/>
    <w:rsid w:val="00480388"/>
    <w:rsid w:val="004B51B8"/>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715B2"/>
    <w:rsid w:val="008C0149"/>
    <w:rsid w:val="008D5DED"/>
    <w:rsid w:val="008E25CA"/>
    <w:rsid w:val="008F34FC"/>
    <w:rsid w:val="008F7CC3"/>
    <w:rsid w:val="00944CD7"/>
    <w:rsid w:val="009831B2"/>
    <w:rsid w:val="009A1ABE"/>
    <w:rsid w:val="009C7906"/>
    <w:rsid w:val="009E21A4"/>
    <w:rsid w:val="009F22C6"/>
    <w:rsid w:val="00A07E50"/>
    <w:rsid w:val="00A15397"/>
    <w:rsid w:val="00A35CE0"/>
    <w:rsid w:val="00A4462E"/>
    <w:rsid w:val="00A44AA4"/>
    <w:rsid w:val="00A61623"/>
    <w:rsid w:val="00A80BA3"/>
    <w:rsid w:val="00A84687"/>
    <w:rsid w:val="00AB0A0E"/>
    <w:rsid w:val="00AD3B6E"/>
    <w:rsid w:val="00B14B76"/>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E6BE7"/>
    <w:rsid w:val="00DF5B88"/>
    <w:rsid w:val="00E0589E"/>
    <w:rsid w:val="00E241FA"/>
    <w:rsid w:val="00E2595E"/>
    <w:rsid w:val="00E35374"/>
    <w:rsid w:val="00E50C19"/>
    <w:rsid w:val="00E64655"/>
    <w:rsid w:val="00E73081"/>
    <w:rsid w:val="00E856C9"/>
    <w:rsid w:val="00EB6A8B"/>
    <w:rsid w:val="00EF38C6"/>
    <w:rsid w:val="00F679C7"/>
    <w:rsid w:val="00F728E2"/>
    <w:rsid w:val="00F7711A"/>
    <w:rsid w:val="00FA0D58"/>
    <w:rsid w:val="00FA56F4"/>
    <w:rsid w:val="00FB4EDA"/>
    <w:rsid w:val="00FD3BD5"/>
    <w:rsid w:val="00FE3DC8"/>
    <w:rsid w:val="04073F84"/>
    <w:rsid w:val="09EC5C57"/>
    <w:rsid w:val="0B60750A"/>
    <w:rsid w:val="10686488"/>
    <w:rsid w:val="10DF728A"/>
    <w:rsid w:val="1264200E"/>
    <w:rsid w:val="141C5B77"/>
    <w:rsid w:val="18D8339D"/>
    <w:rsid w:val="19E8785B"/>
    <w:rsid w:val="1A21388F"/>
    <w:rsid w:val="1A570D2F"/>
    <w:rsid w:val="21BE4A3E"/>
    <w:rsid w:val="220E220C"/>
    <w:rsid w:val="236B766F"/>
    <w:rsid w:val="25A179BA"/>
    <w:rsid w:val="26902615"/>
    <w:rsid w:val="28FB0B8D"/>
    <w:rsid w:val="2D2B7942"/>
    <w:rsid w:val="2D46481D"/>
    <w:rsid w:val="2E733B28"/>
    <w:rsid w:val="31852B5A"/>
    <w:rsid w:val="32B92C73"/>
    <w:rsid w:val="32D01238"/>
    <w:rsid w:val="377C4A95"/>
    <w:rsid w:val="3DFC59A8"/>
    <w:rsid w:val="3ECF245E"/>
    <w:rsid w:val="3FB96314"/>
    <w:rsid w:val="46172C5B"/>
    <w:rsid w:val="499A3909"/>
    <w:rsid w:val="4C906B1D"/>
    <w:rsid w:val="50265B17"/>
    <w:rsid w:val="53A44FAF"/>
    <w:rsid w:val="54A81C6C"/>
    <w:rsid w:val="55534DEF"/>
    <w:rsid w:val="57156285"/>
    <w:rsid w:val="594329EC"/>
    <w:rsid w:val="5BEE1540"/>
    <w:rsid w:val="5DE61A5D"/>
    <w:rsid w:val="5E2A79EA"/>
    <w:rsid w:val="63357BD7"/>
    <w:rsid w:val="63C04243"/>
    <w:rsid w:val="64600473"/>
    <w:rsid w:val="649C01C7"/>
    <w:rsid w:val="699A3F60"/>
    <w:rsid w:val="70180C5A"/>
    <w:rsid w:val="72902E62"/>
    <w:rsid w:val="73C61104"/>
    <w:rsid w:val="776452EA"/>
    <w:rsid w:val="79E1751C"/>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autoRedefine/>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2">
    <w:name w:val="Title"/>
    <w:basedOn w:val="1"/>
    <w:next w:val="1"/>
    <w:link w:val="21"/>
    <w:autoRedefine/>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4">
    <w:name w:val="Table Grid"/>
    <w:basedOn w:val="13"/>
    <w:autoRedefine/>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autoRedefine/>
    <w:qFormat/>
    <w:uiPriority w:val="99"/>
    <w:rPr>
      <w:sz w:val="18"/>
      <w:szCs w:val="18"/>
    </w:rPr>
  </w:style>
  <w:style w:type="character" w:customStyle="1" w:styleId="17">
    <w:name w:val="页脚 Char"/>
    <w:basedOn w:val="15"/>
    <w:link w:val="8"/>
    <w:autoRedefine/>
    <w:qFormat/>
    <w:uiPriority w:val="99"/>
    <w:rPr>
      <w:sz w:val="18"/>
      <w:szCs w:val="18"/>
    </w:rPr>
  </w:style>
  <w:style w:type="paragraph" w:styleId="18">
    <w:name w:val="No Spacing"/>
    <w:link w:val="19"/>
    <w:autoRedefine/>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autoRedefine/>
    <w:qFormat/>
    <w:uiPriority w:val="1"/>
    <w:rPr>
      <w:kern w:val="0"/>
      <w:sz w:val="22"/>
    </w:rPr>
  </w:style>
  <w:style w:type="character" w:customStyle="1" w:styleId="20">
    <w:name w:val="批注框文本 Char"/>
    <w:basedOn w:val="15"/>
    <w:link w:val="7"/>
    <w:autoRedefine/>
    <w:semiHidden/>
    <w:qFormat/>
    <w:uiPriority w:val="99"/>
    <w:rPr>
      <w:rFonts w:ascii="Times New Roman" w:hAnsi="Times New Roman" w:eastAsia="宋体" w:cs="Times New Roman"/>
      <w:sz w:val="18"/>
      <w:szCs w:val="18"/>
    </w:rPr>
  </w:style>
  <w:style w:type="character" w:customStyle="1" w:styleId="21">
    <w:name w:val="标题 Char"/>
    <w:basedOn w:val="15"/>
    <w:link w:val="12"/>
    <w:autoRedefine/>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2">
    <w:name w:val="副标题 Char"/>
    <w:basedOn w:val="15"/>
    <w:link w:val="10"/>
    <w:autoRedefine/>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autoRedefine/>
    <w:qFormat/>
    <w:uiPriority w:val="1"/>
    <w:rPr>
      <w:rFonts w:asciiTheme="minorHAnsi" w:hAnsiTheme="minorEastAsia" w:eastAsiaTheme="minorEastAsia" w:cstheme="minorBidi"/>
      <w:sz w:val="22"/>
      <w:szCs w:val="22"/>
      <w:lang w:eastAsia="zh-CN"/>
    </w:rPr>
  </w:style>
  <w:style w:type="character" w:customStyle="1" w:styleId="25">
    <w:name w:val="Style3"/>
    <w:basedOn w:val="15"/>
    <w:autoRedefine/>
    <w:qFormat/>
    <w:uiPriority w:val="1"/>
    <w:rPr>
      <w:rFonts w:asciiTheme="minorHAnsi" w:hAnsiTheme="minorEastAsia" w:eastAsiaTheme="minorEastAsia" w:cstheme="minorBidi"/>
      <w:szCs w:val="22"/>
      <w:lang w:eastAsia="zh-CN"/>
    </w:rPr>
  </w:style>
  <w:style w:type="character" w:customStyle="1" w:styleId="26">
    <w:name w:val="Style4"/>
    <w:basedOn w:val="15"/>
    <w:autoRedefine/>
    <w:qFormat/>
    <w:uiPriority w:val="1"/>
    <w:rPr>
      <w:rFonts w:asciiTheme="minorHAnsi" w:hAnsiTheme="minorEastAsia" w:eastAsiaTheme="minorEastAsia" w:cstheme="minorBidi"/>
      <w:szCs w:val="22"/>
      <w:lang w:eastAsia="zh-CN"/>
    </w:rPr>
  </w:style>
  <w:style w:type="character" w:customStyle="1" w:styleId="27">
    <w:name w:val="Style5"/>
    <w:basedOn w:val="15"/>
    <w:autoRedefine/>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autoRedefine/>
    <w:qFormat/>
    <w:uiPriority w:val="9"/>
    <w:rPr>
      <w:rFonts w:ascii="Times New Roman" w:hAnsi="Times New Roman" w:eastAsia="宋体" w:cs="Times New Roman"/>
      <w:b/>
      <w:bCs/>
      <w:kern w:val="44"/>
      <w:sz w:val="44"/>
      <w:szCs w:val="44"/>
    </w:rPr>
  </w:style>
  <w:style w:type="character" w:customStyle="1" w:styleId="29">
    <w:name w:val="标题 2 Char"/>
    <w:basedOn w:val="15"/>
    <w:link w:val="3"/>
    <w:autoRedefine/>
    <w:qFormat/>
    <w:uiPriority w:val="9"/>
    <w:rPr>
      <w:rFonts w:asciiTheme="majorHAnsi" w:hAnsiTheme="majorHAnsi" w:eastAsiaTheme="majorEastAsia" w:cstheme="majorBidi"/>
      <w:b/>
      <w:bCs/>
      <w:sz w:val="32"/>
      <w:szCs w:val="32"/>
    </w:rPr>
  </w:style>
  <w:style w:type="character" w:customStyle="1" w:styleId="30">
    <w:name w:val="标题 3 Char"/>
    <w:basedOn w:val="15"/>
    <w:link w:val="4"/>
    <w:autoRedefine/>
    <w:qFormat/>
    <w:uiPriority w:val="9"/>
    <w:rPr>
      <w:rFonts w:ascii="Times New Roman" w:hAnsi="Times New Roman" w:eastAsia="宋体" w:cs="Times New Roman"/>
      <w:b/>
      <w:bCs/>
      <w:sz w:val="32"/>
      <w:szCs w:val="32"/>
    </w:rPr>
  </w:style>
  <w:style w:type="character" w:customStyle="1" w:styleId="31">
    <w:name w:val="标题 4 Char"/>
    <w:basedOn w:val="15"/>
    <w:link w:val="5"/>
    <w:autoRedefine/>
    <w:qFormat/>
    <w:uiPriority w:val="9"/>
    <w:rPr>
      <w:rFonts w:asciiTheme="majorHAnsi" w:hAnsiTheme="majorHAnsi" w:eastAsiaTheme="majorEastAsia" w:cstheme="majorBidi"/>
      <w:b/>
      <w:bCs/>
      <w:sz w:val="28"/>
      <w:szCs w:val="28"/>
    </w:rPr>
  </w:style>
  <w:style w:type="character" w:customStyle="1" w:styleId="32">
    <w:name w:val="日期 Char"/>
    <w:basedOn w:val="15"/>
    <w:link w:val="6"/>
    <w:autoRedefine/>
    <w:semiHidden/>
    <w:qFormat/>
    <w:uiPriority w:val="99"/>
    <w:rPr>
      <w:rFonts w:ascii="Times New Roman" w:hAnsi="Times New Roman" w:eastAsia="宋体" w:cs="Times New Roman"/>
      <w:szCs w:val="24"/>
    </w:rPr>
  </w:style>
  <w:style w:type="paragraph" w:styleId="33">
    <w:name w:val="List Paragraph"/>
    <w:basedOn w:val="1"/>
    <w:autoRedefine/>
    <w:unhideWhenUsed/>
    <w:qFormat/>
    <w:uiPriority w:val="99"/>
    <w:pPr>
      <w:ind w:firstLine="420" w:firstLineChars="200"/>
    </w:pPr>
  </w:style>
  <w:style w:type="paragraph" w:customStyle="1" w:styleId="34">
    <w:name w:val="正文1"/>
    <w:basedOn w:val="1"/>
    <w:autoRedefine/>
    <w:qFormat/>
    <w:uiPriority w:val="99"/>
    <w:rPr>
      <w:rFonts w:eastAsia="宋体" w:cs="宋体"/>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3FD32B-138A-4BF2-AD60-45F45FE3E0C5}">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927</Words>
  <Characters>5288</Characters>
  <Lines>44</Lines>
  <Paragraphs>12</Paragraphs>
  <TotalTime>2</TotalTime>
  <ScaleCrop>false</ScaleCrop>
  <LinksUpToDate>false</LinksUpToDate>
  <CharactersWithSpaces>6203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2024-04-12T06:18:22Z</dcterms:modified>
  <dc:subject>石家庄市xxx部门</dc:subject>
  <dc:title>2017年度部门决算</dc:title>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3DCC9389D3144B429FD46A448E06826D</vt:lpwstr>
  </property>
</Properties>
</file>