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ind w:firstLine="5040" w:firstLineChars="700"/>
        <w:jc w:val="both"/>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348青龙满族自治县交通运输局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8790.90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1403.00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11581.17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10193.90</w:t>
            </w:r>
          </w:p>
        </w:tc>
        <w:tc>
          <w:tcPr>
            <w:tcW w:w="4535" w:type="dxa"/>
            <w:vAlign w:val="center"/>
          </w:tcPr>
          <w:p>
            <w:pPr>
              <w:pStyle w:val="14"/>
            </w:pPr>
            <w:r>
              <w:t>本年支出合计</w:t>
            </w:r>
          </w:p>
        </w:tc>
        <w:tc>
          <w:tcPr>
            <w:tcW w:w="2126" w:type="dxa"/>
            <w:vAlign w:val="center"/>
          </w:tcPr>
          <w:p>
            <w:pPr>
              <w:pStyle w:val="15"/>
            </w:pPr>
            <w:r>
              <w:t>13107.49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2913.59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13107.49</w:t>
            </w:r>
          </w:p>
        </w:tc>
        <w:tc>
          <w:tcPr>
            <w:tcW w:w="4535" w:type="dxa"/>
            <w:vAlign w:val="center"/>
          </w:tcPr>
          <w:p>
            <w:pPr>
              <w:pStyle w:val="14"/>
            </w:pPr>
            <w:r>
              <w:t>支出总计</w:t>
            </w:r>
          </w:p>
        </w:tc>
        <w:tc>
          <w:tcPr>
            <w:tcW w:w="2126" w:type="dxa"/>
            <w:vAlign w:val="center"/>
          </w:tcPr>
          <w:p>
            <w:pPr>
              <w:pStyle w:val="15"/>
            </w:pPr>
            <w:r>
              <w:t>13107.49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348青龙满族自治县交通运输局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13107.49</w:t>
            </w:r>
          </w:p>
        </w:tc>
        <w:tc>
          <w:tcPr>
            <w:tcW w:w="1134" w:type="dxa"/>
            <w:vAlign w:val="center"/>
          </w:tcPr>
          <w:p>
            <w:pPr>
              <w:pStyle w:val="15"/>
            </w:pPr>
            <w:r>
              <w:t>10193.90</w:t>
            </w:r>
          </w:p>
        </w:tc>
        <w:tc>
          <w:tcPr>
            <w:tcW w:w="1134" w:type="dxa"/>
            <w:vAlign w:val="center"/>
          </w:tcPr>
          <w:p>
            <w:pPr>
              <w:pStyle w:val="15"/>
            </w:pPr>
            <w:r>
              <w:t>10193.90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91.46</w:t>
            </w:r>
          </w:p>
        </w:tc>
        <w:tc>
          <w:tcPr>
            <w:tcW w:w="1134" w:type="dxa"/>
            <w:vAlign w:val="center"/>
          </w:tcPr>
          <w:p>
            <w:pPr>
              <w:pStyle w:val="11"/>
            </w:pPr>
            <w:r>
              <w:t>91.46</w:t>
            </w:r>
          </w:p>
        </w:tc>
        <w:tc>
          <w:tcPr>
            <w:tcW w:w="1134" w:type="dxa"/>
            <w:vAlign w:val="center"/>
          </w:tcPr>
          <w:p>
            <w:pPr>
              <w:pStyle w:val="11"/>
            </w:pPr>
            <w:r>
              <w:t>91.46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15.66</w:t>
            </w:r>
          </w:p>
        </w:tc>
        <w:tc>
          <w:tcPr>
            <w:tcW w:w="1134" w:type="dxa"/>
            <w:vAlign w:val="center"/>
          </w:tcPr>
          <w:p>
            <w:pPr>
              <w:pStyle w:val="11"/>
            </w:pPr>
            <w:r>
              <w:t>15.66</w:t>
            </w:r>
          </w:p>
        </w:tc>
        <w:tc>
          <w:tcPr>
            <w:tcW w:w="1134" w:type="dxa"/>
            <w:vAlign w:val="center"/>
          </w:tcPr>
          <w:p>
            <w:pPr>
              <w:pStyle w:val="11"/>
            </w:pPr>
            <w:r>
              <w:t>15.66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11581.17</w:t>
            </w:r>
          </w:p>
        </w:tc>
        <w:tc>
          <w:tcPr>
            <w:tcW w:w="1134" w:type="dxa"/>
            <w:vAlign w:val="center"/>
          </w:tcPr>
          <w:p>
            <w:pPr>
              <w:pStyle w:val="11"/>
            </w:pPr>
            <w:r>
              <w:t>8667.58</w:t>
            </w:r>
          </w:p>
        </w:tc>
        <w:tc>
          <w:tcPr>
            <w:tcW w:w="1134" w:type="dxa"/>
            <w:vAlign w:val="center"/>
          </w:tcPr>
          <w:p>
            <w:pPr>
              <w:pStyle w:val="11"/>
            </w:pPr>
            <w:r>
              <w:t>8667.58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11235.58</w:t>
            </w:r>
          </w:p>
        </w:tc>
        <w:tc>
          <w:tcPr>
            <w:tcW w:w="1134" w:type="dxa"/>
            <w:vAlign w:val="center"/>
          </w:tcPr>
          <w:p>
            <w:pPr>
              <w:pStyle w:val="11"/>
            </w:pPr>
            <w:r>
              <w:t>8667.58</w:t>
            </w:r>
          </w:p>
        </w:tc>
        <w:tc>
          <w:tcPr>
            <w:tcW w:w="1134" w:type="dxa"/>
            <w:vAlign w:val="center"/>
          </w:tcPr>
          <w:p>
            <w:pPr>
              <w:pStyle w:val="11"/>
            </w:pPr>
            <w:r>
              <w:t>8667.58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416.08</w:t>
            </w:r>
          </w:p>
        </w:tc>
        <w:tc>
          <w:tcPr>
            <w:tcW w:w="1134" w:type="dxa"/>
            <w:vAlign w:val="center"/>
          </w:tcPr>
          <w:p>
            <w:pPr>
              <w:pStyle w:val="11"/>
            </w:pPr>
            <w:r>
              <w:t>416.08</w:t>
            </w:r>
          </w:p>
        </w:tc>
        <w:tc>
          <w:tcPr>
            <w:tcW w:w="1134" w:type="dxa"/>
            <w:vAlign w:val="center"/>
          </w:tcPr>
          <w:p>
            <w:pPr>
              <w:pStyle w:val="11"/>
            </w:pPr>
            <w:r>
              <w:t>416.08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4996.50</w:t>
            </w:r>
          </w:p>
        </w:tc>
        <w:tc>
          <w:tcPr>
            <w:tcW w:w="1134" w:type="dxa"/>
            <w:vAlign w:val="center"/>
          </w:tcPr>
          <w:p>
            <w:pPr>
              <w:pStyle w:val="11"/>
            </w:pPr>
            <w:r>
              <w:t>2806.50</w:t>
            </w:r>
          </w:p>
        </w:tc>
        <w:tc>
          <w:tcPr>
            <w:tcW w:w="1134" w:type="dxa"/>
            <w:vAlign w:val="center"/>
          </w:tcPr>
          <w:p>
            <w:pPr>
              <w:pStyle w:val="11"/>
            </w:pPr>
            <w:r>
              <w:t>2806.50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4183.00</w:t>
            </w:r>
          </w:p>
        </w:tc>
        <w:tc>
          <w:tcPr>
            <w:tcW w:w="1134" w:type="dxa"/>
            <w:vAlign w:val="center"/>
          </w:tcPr>
          <w:p>
            <w:pPr>
              <w:pStyle w:val="11"/>
            </w:pPr>
            <w:r>
              <w:t>3805.00</w:t>
            </w:r>
          </w:p>
        </w:tc>
        <w:tc>
          <w:tcPr>
            <w:tcW w:w="1134" w:type="dxa"/>
            <w:vAlign w:val="center"/>
          </w:tcPr>
          <w:p>
            <w:pPr>
              <w:pStyle w:val="11"/>
            </w:pPr>
            <w:r>
              <w:t>3805.00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1640.00</w:t>
            </w:r>
          </w:p>
        </w:tc>
        <w:tc>
          <w:tcPr>
            <w:tcW w:w="1134" w:type="dxa"/>
            <w:vAlign w:val="center"/>
          </w:tcPr>
          <w:p>
            <w:pPr>
              <w:pStyle w:val="11"/>
            </w:pPr>
            <w:r>
              <w:t>1640.00</w:t>
            </w:r>
          </w:p>
        </w:tc>
        <w:tc>
          <w:tcPr>
            <w:tcW w:w="1134" w:type="dxa"/>
            <w:vAlign w:val="center"/>
          </w:tcPr>
          <w:p>
            <w:pPr>
              <w:pStyle w:val="11"/>
            </w:pPr>
            <w:r>
              <w:t>1640.00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345.59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334.55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2149999</w:t>
            </w:r>
          </w:p>
        </w:tc>
        <w:tc>
          <w:tcPr>
            <w:tcW w:w="1559" w:type="dxa"/>
            <w:vAlign w:val="center"/>
          </w:tcPr>
          <w:p>
            <w:pPr>
              <w:pStyle w:val="12"/>
            </w:pPr>
            <w:r>
              <w:t>其他交通运输支出</w:t>
            </w:r>
          </w:p>
        </w:tc>
        <w:tc>
          <w:tcPr>
            <w:tcW w:w="1134" w:type="dxa"/>
            <w:vAlign w:val="center"/>
          </w:tcPr>
          <w:p>
            <w:pPr>
              <w:pStyle w:val="11"/>
            </w:pPr>
            <w:r>
              <w:t>11.04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13107.49</w:t>
            </w:r>
          </w:p>
        </w:tc>
        <w:tc>
          <w:tcPr>
            <w:tcW w:w="1361" w:type="dxa"/>
            <w:vAlign w:val="center"/>
          </w:tcPr>
          <w:p>
            <w:pPr>
              <w:pStyle w:val="15"/>
            </w:pPr>
            <w:r>
              <w:t>539.40</w:t>
            </w:r>
          </w:p>
        </w:tc>
        <w:tc>
          <w:tcPr>
            <w:tcW w:w="1361" w:type="dxa"/>
            <w:vAlign w:val="center"/>
          </w:tcPr>
          <w:p>
            <w:pPr>
              <w:pStyle w:val="15"/>
            </w:pPr>
            <w:r>
              <w:t>12568.09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107.12</w:t>
            </w:r>
          </w:p>
        </w:tc>
        <w:tc>
          <w:tcPr>
            <w:tcW w:w="1361" w:type="dxa"/>
            <w:vAlign w:val="center"/>
          </w:tcPr>
          <w:p>
            <w:pPr>
              <w:pStyle w:val="11"/>
            </w:pPr>
            <w:r>
              <w:t>107.12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107.12</w:t>
            </w:r>
          </w:p>
        </w:tc>
        <w:tc>
          <w:tcPr>
            <w:tcW w:w="1361" w:type="dxa"/>
            <w:vAlign w:val="center"/>
          </w:tcPr>
          <w:p>
            <w:pPr>
              <w:pStyle w:val="11"/>
            </w:pPr>
            <w:r>
              <w:t>107.12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91.46</w:t>
            </w:r>
          </w:p>
        </w:tc>
        <w:tc>
          <w:tcPr>
            <w:tcW w:w="1361" w:type="dxa"/>
            <w:vAlign w:val="center"/>
          </w:tcPr>
          <w:p>
            <w:pPr>
              <w:pStyle w:val="11"/>
            </w:pPr>
            <w:r>
              <w:t>91.46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15.66</w:t>
            </w:r>
          </w:p>
        </w:tc>
        <w:tc>
          <w:tcPr>
            <w:tcW w:w="1361" w:type="dxa"/>
            <w:vAlign w:val="center"/>
          </w:tcPr>
          <w:p>
            <w:pPr>
              <w:pStyle w:val="11"/>
            </w:pPr>
            <w:r>
              <w:t>15.66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11581.17</w:t>
            </w:r>
          </w:p>
        </w:tc>
        <w:tc>
          <w:tcPr>
            <w:tcW w:w="1361" w:type="dxa"/>
            <w:vAlign w:val="center"/>
          </w:tcPr>
          <w:p>
            <w:pPr>
              <w:pStyle w:val="11"/>
            </w:pPr>
            <w:r>
              <w:t>416.08</w:t>
            </w:r>
          </w:p>
        </w:tc>
        <w:tc>
          <w:tcPr>
            <w:tcW w:w="1361" w:type="dxa"/>
            <w:vAlign w:val="center"/>
          </w:tcPr>
          <w:p>
            <w:pPr>
              <w:pStyle w:val="11"/>
            </w:pPr>
            <w:r>
              <w:t>11165.09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11235.58</w:t>
            </w:r>
          </w:p>
        </w:tc>
        <w:tc>
          <w:tcPr>
            <w:tcW w:w="1361" w:type="dxa"/>
            <w:vAlign w:val="center"/>
          </w:tcPr>
          <w:p>
            <w:pPr>
              <w:pStyle w:val="11"/>
            </w:pPr>
            <w:r>
              <w:t>416.08</w:t>
            </w:r>
          </w:p>
        </w:tc>
        <w:tc>
          <w:tcPr>
            <w:tcW w:w="1361" w:type="dxa"/>
            <w:vAlign w:val="center"/>
          </w:tcPr>
          <w:p>
            <w:pPr>
              <w:pStyle w:val="11"/>
            </w:pPr>
            <w:r>
              <w:t>10819.50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416.08</w:t>
            </w:r>
          </w:p>
        </w:tc>
        <w:tc>
          <w:tcPr>
            <w:tcW w:w="1361" w:type="dxa"/>
            <w:vAlign w:val="center"/>
          </w:tcPr>
          <w:p>
            <w:pPr>
              <w:pStyle w:val="11"/>
            </w:pPr>
            <w:r>
              <w:t>416.08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4996.50</w:t>
            </w:r>
          </w:p>
        </w:tc>
        <w:tc>
          <w:tcPr>
            <w:tcW w:w="1361" w:type="dxa"/>
            <w:vAlign w:val="center"/>
          </w:tcPr>
          <w:p>
            <w:pPr>
              <w:pStyle w:val="11"/>
            </w:pPr>
          </w:p>
        </w:tc>
        <w:tc>
          <w:tcPr>
            <w:tcW w:w="1361" w:type="dxa"/>
            <w:vAlign w:val="center"/>
          </w:tcPr>
          <w:p>
            <w:pPr>
              <w:pStyle w:val="11"/>
            </w:pPr>
            <w:r>
              <w:t>4996.50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4183.00</w:t>
            </w:r>
          </w:p>
        </w:tc>
        <w:tc>
          <w:tcPr>
            <w:tcW w:w="1361" w:type="dxa"/>
            <w:vAlign w:val="center"/>
          </w:tcPr>
          <w:p>
            <w:pPr>
              <w:pStyle w:val="11"/>
            </w:pPr>
          </w:p>
        </w:tc>
        <w:tc>
          <w:tcPr>
            <w:tcW w:w="1361" w:type="dxa"/>
            <w:vAlign w:val="center"/>
          </w:tcPr>
          <w:p>
            <w:pPr>
              <w:pStyle w:val="11"/>
            </w:pPr>
            <w:r>
              <w:t>4183.00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1640.00</w:t>
            </w:r>
          </w:p>
        </w:tc>
        <w:tc>
          <w:tcPr>
            <w:tcW w:w="1361" w:type="dxa"/>
            <w:vAlign w:val="center"/>
          </w:tcPr>
          <w:p>
            <w:pPr>
              <w:pStyle w:val="11"/>
            </w:pPr>
          </w:p>
        </w:tc>
        <w:tc>
          <w:tcPr>
            <w:tcW w:w="1361" w:type="dxa"/>
            <w:vAlign w:val="center"/>
          </w:tcPr>
          <w:p>
            <w:pPr>
              <w:pStyle w:val="11"/>
            </w:pPr>
            <w:r>
              <w:t>1640.00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345.59</w:t>
            </w:r>
          </w:p>
        </w:tc>
        <w:tc>
          <w:tcPr>
            <w:tcW w:w="1361" w:type="dxa"/>
            <w:vAlign w:val="center"/>
          </w:tcPr>
          <w:p>
            <w:pPr>
              <w:pStyle w:val="11"/>
            </w:pPr>
          </w:p>
        </w:tc>
        <w:tc>
          <w:tcPr>
            <w:tcW w:w="1361" w:type="dxa"/>
            <w:vAlign w:val="center"/>
          </w:tcPr>
          <w:p>
            <w:pPr>
              <w:pStyle w:val="11"/>
            </w:pPr>
            <w:r>
              <w:t>345.59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334.55</w:t>
            </w:r>
          </w:p>
        </w:tc>
        <w:tc>
          <w:tcPr>
            <w:tcW w:w="1361" w:type="dxa"/>
            <w:vAlign w:val="center"/>
          </w:tcPr>
          <w:p>
            <w:pPr>
              <w:pStyle w:val="11"/>
            </w:pPr>
          </w:p>
        </w:tc>
        <w:tc>
          <w:tcPr>
            <w:tcW w:w="1361" w:type="dxa"/>
            <w:vAlign w:val="center"/>
          </w:tcPr>
          <w:p>
            <w:pPr>
              <w:pStyle w:val="11"/>
            </w:pPr>
            <w:r>
              <w:t>334.55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2149999</w:t>
            </w:r>
          </w:p>
        </w:tc>
        <w:tc>
          <w:tcPr>
            <w:tcW w:w="4535" w:type="dxa"/>
            <w:vAlign w:val="center"/>
          </w:tcPr>
          <w:p>
            <w:pPr>
              <w:pStyle w:val="12"/>
            </w:pPr>
            <w:r>
              <w:t>其他交通运输支出</w:t>
            </w:r>
          </w:p>
        </w:tc>
        <w:tc>
          <w:tcPr>
            <w:tcW w:w="1361" w:type="dxa"/>
            <w:vAlign w:val="center"/>
          </w:tcPr>
          <w:p>
            <w:pPr>
              <w:pStyle w:val="11"/>
            </w:pPr>
            <w:r>
              <w:t>11.04</w:t>
            </w:r>
          </w:p>
        </w:tc>
        <w:tc>
          <w:tcPr>
            <w:tcW w:w="1361" w:type="dxa"/>
            <w:vAlign w:val="center"/>
          </w:tcPr>
          <w:p>
            <w:pPr>
              <w:pStyle w:val="11"/>
            </w:pPr>
          </w:p>
        </w:tc>
        <w:tc>
          <w:tcPr>
            <w:tcW w:w="1361" w:type="dxa"/>
            <w:vAlign w:val="center"/>
          </w:tcPr>
          <w:p>
            <w:pPr>
              <w:pStyle w:val="11"/>
            </w:pPr>
            <w:r>
              <w:t>11.04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8790.90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1403.00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107.12</w:t>
            </w:r>
          </w:p>
        </w:tc>
        <w:tc>
          <w:tcPr>
            <w:tcW w:w="1474" w:type="dxa"/>
            <w:vAlign w:val="center"/>
          </w:tcPr>
          <w:p>
            <w:pPr>
              <w:pStyle w:val="11"/>
            </w:pPr>
            <w:r>
              <w:t>107.12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8.37</w:t>
            </w:r>
          </w:p>
        </w:tc>
        <w:tc>
          <w:tcPr>
            <w:tcW w:w="1474" w:type="dxa"/>
            <w:vAlign w:val="center"/>
          </w:tcPr>
          <w:p>
            <w:pPr>
              <w:pStyle w:val="11"/>
            </w:pPr>
            <w:r>
              <w:t>8.37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1403.00</w:t>
            </w:r>
          </w:p>
        </w:tc>
        <w:tc>
          <w:tcPr>
            <w:tcW w:w="1474" w:type="dxa"/>
            <w:vAlign w:val="center"/>
          </w:tcPr>
          <w:p>
            <w:pPr>
              <w:pStyle w:val="11"/>
            </w:pPr>
          </w:p>
        </w:tc>
        <w:tc>
          <w:tcPr>
            <w:tcW w:w="1474" w:type="dxa"/>
            <w:vAlign w:val="center"/>
          </w:tcPr>
          <w:p>
            <w:pPr>
              <w:pStyle w:val="11"/>
            </w:pPr>
            <w:r>
              <w:t>1403.00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11581.17</w:t>
            </w:r>
          </w:p>
        </w:tc>
        <w:tc>
          <w:tcPr>
            <w:tcW w:w="1474" w:type="dxa"/>
            <w:vAlign w:val="center"/>
          </w:tcPr>
          <w:p>
            <w:pPr>
              <w:pStyle w:val="11"/>
            </w:pPr>
            <w:r>
              <w:t>11581.17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7.83</w:t>
            </w:r>
          </w:p>
        </w:tc>
        <w:tc>
          <w:tcPr>
            <w:tcW w:w="1474" w:type="dxa"/>
            <w:vAlign w:val="center"/>
          </w:tcPr>
          <w:p>
            <w:pPr>
              <w:pStyle w:val="11"/>
            </w:pPr>
            <w:r>
              <w:t>7.83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10193.90</w:t>
            </w:r>
          </w:p>
        </w:tc>
        <w:tc>
          <w:tcPr>
            <w:tcW w:w="3402" w:type="dxa"/>
            <w:vAlign w:val="center"/>
          </w:tcPr>
          <w:p>
            <w:pPr>
              <w:pStyle w:val="14"/>
            </w:pPr>
            <w:r>
              <w:t>本年支出合计</w:t>
            </w:r>
          </w:p>
        </w:tc>
        <w:tc>
          <w:tcPr>
            <w:tcW w:w="1474" w:type="dxa"/>
            <w:vAlign w:val="center"/>
          </w:tcPr>
          <w:p>
            <w:pPr>
              <w:pStyle w:val="15"/>
            </w:pPr>
            <w:r>
              <w:t>13107.49</w:t>
            </w:r>
          </w:p>
        </w:tc>
        <w:tc>
          <w:tcPr>
            <w:tcW w:w="1474" w:type="dxa"/>
            <w:vAlign w:val="center"/>
          </w:tcPr>
          <w:p>
            <w:pPr>
              <w:pStyle w:val="15"/>
            </w:pPr>
            <w:r>
              <w:t>11704.49</w:t>
            </w:r>
          </w:p>
        </w:tc>
        <w:tc>
          <w:tcPr>
            <w:tcW w:w="1474" w:type="dxa"/>
            <w:vAlign w:val="center"/>
          </w:tcPr>
          <w:p>
            <w:pPr>
              <w:pStyle w:val="15"/>
            </w:pPr>
            <w:r>
              <w:t>1403.00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2913.59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2913.59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13107.49</w:t>
            </w:r>
          </w:p>
        </w:tc>
        <w:tc>
          <w:tcPr>
            <w:tcW w:w="3402" w:type="dxa"/>
            <w:vAlign w:val="center"/>
          </w:tcPr>
          <w:p>
            <w:pPr>
              <w:pStyle w:val="14"/>
            </w:pPr>
            <w:r>
              <w:t>支出总计</w:t>
            </w:r>
          </w:p>
        </w:tc>
        <w:tc>
          <w:tcPr>
            <w:tcW w:w="1474" w:type="dxa"/>
            <w:vAlign w:val="center"/>
          </w:tcPr>
          <w:p>
            <w:pPr>
              <w:pStyle w:val="15"/>
            </w:pPr>
            <w:r>
              <w:t>13107.49</w:t>
            </w:r>
          </w:p>
        </w:tc>
        <w:tc>
          <w:tcPr>
            <w:tcW w:w="1474" w:type="dxa"/>
            <w:vAlign w:val="center"/>
          </w:tcPr>
          <w:p>
            <w:pPr>
              <w:pStyle w:val="15"/>
            </w:pPr>
            <w:r>
              <w:t>11704.49</w:t>
            </w:r>
          </w:p>
        </w:tc>
        <w:tc>
          <w:tcPr>
            <w:tcW w:w="1474" w:type="dxa"/>
            <w:vAlign w:val="center"/>
          </w:tcPr>
          <w:p>
            <w:pPr>
              <w:pStyle w:val="15"/>
            </w:pPr>
            <w:r>
              <w:t>1403.00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11704.49</w:t>
            </w:r>
          </w:p>
        </w:tc>
        <w:tc>
          <w:tcPr>
            <w:tcW w:w="2551" w:type="dxa"/>
            <w:vAlign w:val="center"/>
          </w:tcPr>
          <w:p>
            <w:pPr>
              <w:pStyle w:val="15"/>
            </w:pPr>
            <w:r>
              <w:t>539.40</w:t>
            </w:r>
          </w:p>
        </w:tc>
        <w:tc>
          <w:tcPr>
            <w:tcW w:w="2551" w:type="dxa"/>
            <w:vAlign w:val="center"/>
          </w:tcPr>
          <w:p>
            <w:pPr>
              <w:pStyle w:val="15"/>
            </w:pPr>
            <w:r>
              <w:t>11165.09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107.12</w:t>
            </w:r>
          </w:p>
        </w:tc>
        <w:tc>
          <w:tcPr>
            <w:tcW w:w="2551" w:type="dxa"/>
            <w:vAlign w:val="center"/>
          </w:tcPr>
          <w:p>
            <w:pPr>
              <w:pStyle w:val="11"/>
            </w:pPr>
            <w:r>
              <w:t>107.12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107.12</w:t>
            </w:r>
          </w:p>
        </w:tc>
        <w:tc>
          <w:tcPr>
            <w:tcW w:w="2551" w:type="dxa"/>
            <w:vAlign w:val="center"/>
          </w:tcPr>
          <w:p>
            <w:pPr>
              <w:pStyle w:val="11"/>
            </w:pPr>
            <w:r>
              <w:t>107.12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91.46</w:t>
            </w:r>
          </w:p>
        </w:tc>
        <w:tc>
          <w:tcPr>
            <w:tcW w:w="2551" w:type="dxa"/>
            <w:vAlign w:val="center"/>
          </w:tcPr>
          <w:p>
            <w:pPr>
              <w:pStyle w:val="11"/>
            </w:pPr>
            <w:r>
              <w:t>91.46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15.66</w:t>
            </w:r>
          </w:p>
        </w:tc>
        <w:tc>
          <w:tcPr>
            <w:tcW w:w="2551" w:type="dxa"/>
            <w:vAlign w:val="center"/>
          </w:tcPr>
          <w:p>
            <w:pPr>
              <w:pStyle w:val="11"/>
            </w:pPr>
            <w:r>
              <w:t>15.66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11581.17</w:t>
            </w:r>
          </w:p>
        </w:tc>
        <w:tc>
          <w:tcPr>
            <w:tcW w:w="2551" w:type="dxa"/>
            <w:vAlign w:val="center"/>
          </w:tcPr>
          <w:p>
            <w:pPr>
              <w:pStyle w:val="11"/>
            </w:pPr>
            <w:r>
              <w:t>416.08</w:t>
            </w:r>
          </w:p>
        </w:tc>
        <w:tc>
          <w:tcPr>
            <w:tcW w:w="2551" w:type="dxa"/>
            <w:vAlign w:val="center"/>
          </w:tcPr>
          <w:p>
            <w:pPr>
              <w:pStyle w:val="11"/>
            </w:pPr>
            <w:r>
              <w:t>11165.09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11235.58</w:t>
            </w:r>
          </w:p>
        </w:tc>
        <w:tc>
          <w:tcPr>
            <w:tcW w:w="2551" w:type="dxa"/>
            <w:vAlign w:val="center"/>
          </w:tcPr>
          <w:p>
            <w:pPr>
              <w:pStyle w:val="11"/>
            </w:pPr>
            <w:r>
              <w:t>416.08</w:t>
            </w:r>
          </w:p>
        </w:tc>
        <w:tc>
          <w:tcPr>
            <w:tcW w:w="2551" w:type="dxa"/>
            <w:vAlign w:val="center"/>
          </w:tcPr>
          <w:p>
            <w:pPr>
              <w:pStyle w:val="11"/>
            </w:pPr>
            <w:r>
              <w:t>10819.50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416.08</w:t>
            </w:r>
          </w:p>
        </w:tc>
        <w:tc>
          <w:tcPr>
            <w:tcW w:w="2551" w:type="dxa"/>
            <w:vAlign w:val="center"/>
          </w:tcPr>
          <w:p>
            <w:pPr>
              <w:pStyle w:val="11"/>
            </w:pPr>
            <w:r>
              <w:t>416.08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4996.50</w:t>
            </w:r>
          </w:p>
        </w:tc>
        <w:tc>
          <w:tcPr>
            <w:tcW w:w="2551" w:type="dxa"/>
            <w:vAlign w:val="center"/>
          </w:tcPr>
          <w:p>
            <w:pPr>
              <w:pStyle w:val="11"/>
            </w:pPr>
          </w:p>
        </w:tc>
        <w:tc>
          <w:tcPr>
            <w:tcW w:w="2551" w:type="dxa"/>
            <w:vAlign w:val="center"/>
          </w:tcPr>
          <w:p>
            <w:pPr>
              <w:pStyle w:val="11"/>
            </w:pPr>
            <w:r>
              <w:t>4996.50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4183.00</w:t>
            </w:r>
          </w:p>
        </w:tc>
        <w:tc>
          <w:tcPr>
            <w:tcW w:w="2551" w:type="dxa"/>
            <w:vAlign w:val="center"/>
          </w:tcPr>
          <w:p>
            <w:pPr>
              <w:pStyle w:val="11"/>
            </w:pPr>
          </w:p>
        </w:tc>
        <w:tc>
          <w:tcPr>
            <w:tcW w:w="2551" w:type="dxa"/>
            <w:vAlign w:val="center"/>
          </w:tcPr>
          <w:p>
            <w:pPr>
              <w:pStyle w:val="11"/>
            </w:pPr>
            <w:r>
              <w:t>4183.00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1640.00</w:t>
            </w:r>
          </w:p>
        </w:tc>
        <w:tc>
          <w:tcPr>
            <w:tcW w:w="2551" w:type="dxa"/>
            <w:vAlign w:val="center"/>
          </w:tcPr>
          <w:p>
            <w:pPr>
              <w:pStyle w:val="11"/>
            </w:pPr>
          </w:p>
        </w:tc>
        <w:tc>
          <w:tcPr>
            <w:tcW w:w="2551" w:type="dxa"/>
            <w:vAlign w:val="center"/>
          </w:tcPr>
          <w:p>
            <w:pPr>
              <w:pStyle w:val="11"/>
            </w:pPr>
            <w:r>
              <w:t>1640.00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345.59</w:t>
            </w:r>
          </w:p>
        </w:tc>
        <w:tc>
          <w:tcPr>
            <w:tcW w:w="2551" w:type="dxa"/>
            <w:vAlign w:val="center"/>
          </w:tcPr>
          <w:p>
            <w:pPr>
              <w:pStyle w:val="11"/>
            </w:pPr>
          </w:p>
        </w:tc>
        <w:tc>
          <w:tcPr>
            <w:tcW w:w="2551" w:type="dxa"/>
            <w:vAlign w:val="center"/>
          </w:tcPr>
          <w:p>
            <w:pPr>
              <w:pStyle w:val="11"/>
            </w:pPr>
            <w:r>
              <w:t>345.59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334.55</w:t>
            </w:r>
          </w:p>
        </w:tc>
        <w:tc>
          <w:tcPr>
            <w:tcW w:w="2551" w:type="dxa"/>
            <w:vAlign w:val="center"/>
          </w:tcPr>
          <w:p>
            <w:pPr>
              <w:pStyle w:val="11"/>
            </w:pPr>
          </w:p>
        </w:tc>
        <w:tc>
          <w:tcPr>
            <w:tcW w:w="2551" w:type="dxa"/>
            <w:vAlign w:val="center"/>
          </w:tcPr>
          <w:p>
            <w:pPr>
              <w:pStyle w:val="11"/>
            </w:pPr>
            <w:r>
              <w:t>334.55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2149999</w:t>
            </w:r>
          </w:p>
        </w:tc>
        <w:tc>
          <w:tcPr>
            <w:tcW w:w="4535" w:type="dxa"/>
            <w:vAlign w:val="center"/>
          </w:tcPr>
          <w:p>
            <w:pPr>
              <w:pStyle w:val="12"/>
            </w:pPr>
            <w:r>
              <w:t>其他交通运输支出</w:t>
            </w:r>
          </w:p>
        </w:tc>
        <w:tc>
          <w:tcPr>
            <w:tcW w:w="2551" w:type="dxa"/>
            <w:vAlign w:val="center"/>
          </w:tcPr>
          <w:p>
            <w:pPr>
              <w:pStyle w:val="11"/>
            </w:pPr>
            <w:r>
              <w:t>11.04</w:t>
            </w:r>
          </w:p>
        </w:tc>
        <w:tc>
          <w:tcPr>
            <w:tcW w:w="2551" w:type="dxa"/>
            <w:vAlign w:val="center"/>
          </w:tcPr>
          <w:p>
            <w:pPr>
              <w:pStyle w:val="11"/>
            </w:pPr>
          </w:p>
        </w:tc>
        <w:tc>
          <w:tcPr>
            <w:tcW w:w="2551"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539.40</w:t>
            </w:r>
          </w:p>
        </w:tc>
        <w:tc>
          <w:tcPr>
            <w:tcW w:w="2551" w:type="dxa"/>
            <w:vAlign w:val="center"/>
          </w:tcPr>
          <w:p>
            <w:pPr>
              <w:pStyle w:val="15"/>
            </w:pPr>
            <w:r>
              <w:t>525.82</w:t>
            </w:r>
          </w:p>
        </w:tc>
        <w:tc>
          <w:tcPr>
            <w:tcW w:w="2551" w:type="dxa"/>
            <w:vAlign w:val="center"/>
          </w:tcPr>
          <w:p>
            <w:pPr>
              <w:pStyle w:val="15"/>
            </w:pPr>
            <w: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434.36</w:t>
            </w:r>
          </w:p>
        </w:tc>
        <w:tc>
          <w:tcPr>
            <w:tcW w:w="2551" w:type="dxa"/>
            <w:vAlign w:val="center"/>
          </w:tcPr>
          <w:p>
            <w:pPr>
              <w:pStyle w:val="11"/>
            </w:pPr>
            <w:r>
              <w:t>434.36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61.41</w:t>
            </w:r>
          </w:p>
        </w:tc>
        <w:tc>
          <w:tcPr>
            <w:tcW w:w="2551" w:type="dxa"/>
            <w:vAlign w:val="center"/>
          </w:tcPr>
          <w:p>
            <w:pPr>
              <w:pStyle w:val="11"/>
            </w:pPr>
            <w:r>
              <w:t>61.41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27.14</w:t>
            </w:r>
          </w:p>
        </w:tc>
        <w:tc>
          <w:tcPr>
            <w:tcW w:w="2551" w:type="dxa"/>
            <w:vAlign w:val="center"/>
          </w:tcPr>
          <w:p>
            <w:pPr>
              <w:pStyle w:val="11"/>
            </w:pPr>
            <w:r>
              <w:t>27.14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313.46</w:t>
            </w:r>
          </w:p>
        </w:tc>
        <w:tc>
          <w:tcPr>
            <w:tcW w:w="2551" w:type="dxa"/>
            <w:vAlign w:val="center"/>
          </w:tcPr>
          <w:p>
            <w:pPr>
              <w:pStyle w:val="11"/>
            </w:pPr>
            <w:r>
              <w:t>313.46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15.66</w:t>
            </w:r>
          </w:p>
        </w:tc>
        <w:tc>
          <w:tcPr>
            <w:tcW w:w="2551" w:type="dxa"/>
            <w:vAlign w:val="center"/>
          </w:tcPr>
          <w:p>
            <w:pPr>
              <w:pStyle w:val="11"/>
            </w:pPr>
            <w:r>
              <w:t>15.66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13.58</w:t>
            </w:r>
          </w:p>
        </w:tc>
        <w:tc>
          <w:tcPr>
            <w:tcW w:w="2551" w:type="dxa"/>
            <w:vAlign w:val="center"/>
          </w:tcPr>
          <w:p>
            <w:pPr>
              <w:pStyle w:val="11"/>
            </w:pPr>
          </w:p>
        </w:tc>
        <w:tc>
          <w:tcPr>
            <w:tcW w:w="2551" w:type="dxa"/>
            <w:vAlign w:val="center"/>
          </w:tcPr>
          <w:p>
            <w:pPr>
              <w:pStyle w:val="11"/>
            </w:pPr>
            <w: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1.92</w:t>
            </w:r>
          </w:p>
        </w:tc>
        <w:tc>
          <w:tcPr>
            <w:tcW w:w="2551" w:type="dxa"/>
            <w:vAlign w:val="center"/>
          </w:tcPr>
          <w:p>
            <w:pPr>
              <w:pStyle w:val="11"/>
            </w:pPr>
          </w:p>
        </w:tc>
        <w:tc>
          <w:tcPr>
            <w:tcW w:w="2551"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8.46</w:t>
            </w:r>
          </w:p>
        </w:tc>
        <w:tc>
          <w:tcPr>
            <w:tcW w:w="2551" w:type="dxa"/>
            <w:vAlign w:val="center"/>
          </w:tcPr>
          <w:p>
            <w:pPr>
              <w:pStyle w:val="11"/>
            </w:pPr>
          </w:p>
        </w:tc>
        <w:tc>
          <w:tcPr>
            <w:tcW w:w="2551"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91.46</w:t>
            </w:r>
          </w:p>
        </w:tc>
        <w:tc>
          <w:tcPr>
            <w:tcW w:w="2551" w:type="dxa"/>
            <w:vAlign w:val="center"/>
          </w:tcPr>
          <w:p>
            <w:pPr>
              <w:pStyle w:val="11"/>
            </w:pPr>
            <w:r>
              <w:t>91.46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91.46</w:t>
            </w:r>
          </w:p>
        </w:tc>
        <w:tc>
          <w:tcPr>
            <w:tcW w:w="2551" w:type="dxa"/>
            <w:vAlign w:val="center"/>
          </w:tcPr>
          <w:p>
            <w:pPr>
              <w:pStyle w:val="11"/>
            </w:pPr>
            <w:r>
              <w:t>91.46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1403.00</w:t>
            </w:r>
          </w:p>
        </w:tc>
        <w:tc>
          <w:tcPr>
            <w:tcW w:w="2551" w:type="dxa"/>
            <w:vAlign w:val="center"/>
          </w:tcPr>
          <w:p>
            <w:pPr>
              <w:pStyle w:val="15"/>
            </w:pPr>
          </w:p>
        </w:tc>
        <w:tc>
          <w:tcPr>
            <w:tcW w:w="2551" w:type="dxa"/>
            <w:vAlign w:val="center"/>
          </w:tcPr>
          <w:p>
            <w:pPr>
              <w:pStyle w:val="15"/>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1403.00</w:t>
            </w:r>
          </w:p>
        </w:tc>
        <w:tc>
          <w:tcPr>
            <w:tcW w:w="2551" w:type="dxa"/>
            <w:vAlign w:val="center"/>
          </w:tcPr>
          <w:p>
            <w:pPr>
              <w:pStyle w:val="11"/>
            </w:pPr>
          </w:p>
        </w:tc>
        <w:tc>
          <w:tcPr>
            <w:tcW w:w="2551" w:type="dxa"/>
            <w:vAlign w:val="center"/>
          </w:tcPr>
          <w:p>
            <w:pPr>
              <w:pStyle w:val="11"/>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1403.00</w:t>
            </w:r>
          </w:p>
        </w:tc>
        <w:tc>
          <w:tcPr>
            <w:tcW w:w="2551" w:type="dxa"/>
            <w:vAlign w:val="center"/>
          </w:tcPr>
          <w:p>
            <w:pPr>
              <w:pStyle w:val="11"/>
            </w:pPr>
          </w:p>
        </w:tc>
        <w:tc>
          <w:tcPr>
            <w:tcW w:w="2551" w:type="dxa"/>
            <w:vAlign w:val="center"/>
          </w:tcPr>
          <w:p>
            <w:pPr>
              <w:pStyle w:val="11"/>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1403.00</w:t>
            </w:r>
          </w:p>
        </w:tc>
        <w:tc>
          <w:tcPr>
            <w:tcW w:w="2551" w:type="dxa"/>
            <w:vAlign w:val="center"/>
          </w:tcPr>
          <w:p>
            <w:pPr>
              <w:pStyle w:val="11"/>
            </w:pPr>
          </w:p>
        </w:tc>
        <w:tc>
          <w:tcPr>
            <w:tcW w:w="2551" w:type="dxa"/>
            <w:vAlign w:val="center"/>
          </w:tcPr>
          <w:p>
            <w:pPr>
              <w:pStyle w:val="11"/>
            </w:pPr>
            <w:r>
              <w:t>1403.00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348青龙满族自治县交通运输局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18.00</w:t>
            </w:r>
          </w:p>
        </w:tc>
        <w:tc>
          <w:tcPr>
            <w:tcW w:w="2381" w:type="dxa"/>
            <w:vAlign w:val="center"/>
          </w:tcPr>
          <w:p>
            <w:pPr>
              <w:pStyle w:val="15"/>
            </w:pPr>
            <w:r>
              <w:t>3.20</w:t>
            </w:r>
          </w:p>
        </w:tc>
        <w:tc>
          <w:tcPr>
            <w:tcW w:w="2381" w:type="dxa"/>
            <w:vAlign w:val="center"/>
          </w:tcPr>
          <w:p>
            <w:pPr>
              <w:pStyle w:val="15"/>
            </w:pPr>
            <w:r>
              <w:t>14.80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18.00</w:t>
            </w:r>
          </w:p>
        </w:tc>
        <w:tc>
          <w:tcPr>
            <w:tcW w:w="2381" w:type="dxa"/>
            <w:vAlign w:val="center"/>
          </w:tcPr>
          <w:p>
            <w:pPr>
              <w:pStyle w:val="11"/>
            </w:pPr>
            <w:r>
              <w:t>3.20</w:t>
            </w:r>
          </w:p>
        </w:tc>
        <w:tc>
          <w:tcPr>
            <w:tcW w:w="2381" w:type="dxa"/>
            <w:vAlign w:val="center"/>
          </w:tcPr>
          <w:p>
            <w:pPr>
              <w:pStyle w:val="11"/>
            </w:pPr>
            <w:r>
              <w:t>14.80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16.00</w:t>
            </w:r>
          </w:p>
        </w:tc>
        <w:tc>
          <w:tcPr>
            <w:tcW w:w="2381" w:type="dxa"/>
            <w:vAlign w:val="center"/>
          </w:tcPr>
          <w:p>
            <w:pPr>
              <w:pStyle w:val="11"/>
            </w:pPr>
            <w:r>
              <w:t>3.20</w:t>
            </w:r>
          </w:p>
        </w:tc>
        <w:tc>
          <w:tcPr>
            <w:tcW w:w="2381" w:type="dxa"/>
            <w:vAlign w:val="center"/>
          </w:tcPr>
          <w:p>
            <w:pPr>
              <w:pStyle w:val="11"/>
            </w:pPr>
            <w:r>
              <w:t>12.80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16.00</w:t>
            </w:r>
          </w:p>
        </w:tc>
        <w:tc>
          <w:tcPr>
            <w:tcW w:w="2381" w:type="dxa"/>
            <w:vAlign w:val="center"/>
          </w:tcPr>
          <w:p>
            <w:pPr>
              <w:pStyle w:val="11"/>
            </w:pPr>
            <w:r>
              <w:t>3.20</w:t>
            </w:r>
          </w:p>
        </w:tc>
        <w:tc>
          <w:tcPr>
            <w:tcW w:w="2381" w:type="dxa"/>
            <w:vAlign w:val="center"/>
          </w:tcPr>
          <w:p>
            <w:pPr>
              <w:pStyle w:val="11"/>
            </w:pPr>
            <w:r>
              <w:t>12.80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r>
              <w:t>2.00</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青龙满族自治县交通运输局2023年部门预算信息公开情况说明</w:t>
      </w:r>
    </w:p>
    <w:p>
      <w:pPr>
        <w:jc w:val="center"/>
      </w:pPr>
      <w:r>
        <w:rPr>
          <w:rFonts w:ascii="方正小标宋_GBK" w:hAnsi="方正小标宋_GBK" w:eastAsia="方正小标宋_GBK" w:cs="方正小标宋_GBK"/>
          <w:color w:val="000000"/>
          <w:sz w:val="44"/>
        </w:rPr>
        <w:t>青龙满族自治县交通运输局2023年部门预算信息公开情况说明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预算法》、《地方预决算公开操作规程》和《关于进一步推进预算公开工作的实施意见》规定，现将青龙满族自治县交通运输局2023年部门预算公开如下：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执行国家、省、市有关交通运输行业发展的方针、政策和法律、法规、规章；承担全县综合运输体系的规划协调工作，会同有关单位组织编制全县综合运输体系规划，加快推进城乡交通运输一体化；承担国防交通战备工作。</w:t>
      </w:r>
    </w:p>
    <w:p>
      <w:pPr>
        <w:pStyle w:val="17"/>
      </w:pPr>
      <w:r>
        <w:t>（二）组织拟订全县国省干线公路、地方道路、城市客运中长期发展规划及交通基础设施、国省干线公路、地方道路、城市客运等专项规划并监督实施。</w:t>
      </w:r>
    </w:p>
    <w:p>
      <w:pPr>
        <w:pStyle w:val="17"/>
      </w:pPr>
      <w:r>
        <w:t>（三）贯彻执行国家、省、市有关物流业发展的法律、法规、政策和技术标准；参与拟订全县物流业发展规划，拟订有关政策和标准并监督实施。</w:t>
      </w:r>
    </w:p>
    <w:p>
      <w:pPr>
        <w:pStyle w:val="17"/>
      </w:pPr>
      <w:r>
        <w:t>（四）负责全县交通运输行业精神文明建设、职工队伍建设及思想政治工作；围绕全县交通运输工作中心，对重大决策、重要工作部署及重点交通运输建设项目的实施进行督察督办。</w:t>
      </w:r>
    </w:p>
    <w:p>
      <w:pPr>
        <w:pStyle w:val="17"/>
      </w:pPr>
      <w:r>
        <w:t>（五）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pStyle w:val="17"/>
      </w:pPr>
      <w:r>
        <w:t>（六）负责全县交通运输行业信息化建设，监测分析运行情况，发布相关信息；负责全县交通运输行业环境保护和节能减排工作。</w:t>
      </w:r>
    </w:p>
    <w:p>
      <w:pPr>
        <w:pStyle w:val="17"/>
      </w:pPr>
      <w:r>
        <w:t>（七）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 依法组织或参与有关事故的调查处理工作。</w:t>
      </w:r>
    </w:p>
    <w:p>
      <w:pPr>
        <w:pStyle w:val="17"/>
      </w:pPr>
      <w:r>
        <w:t>（八）负责全县交通运输综合行政执法和队伍建设有关工作。组织、指导、协调并监督交通运输行业的行政执法、行政应讼及有关行政复议工作。</w:t>
      </w:r>
    </w:p>
    <w:p>
      <w:pPr>
        <w:pStyle w:val="17"/>
      </w:pPr>
      <w:r>
        <w:t>（九）负责运输市场、运输服务、车辆维修、运输场站、搬运装卸、汽车驾驶学校、驾驶员培训、出租汽车及现代物流业的行业管理。</w:t>
      </w:r>
    </w:p>
    <w:p>
      <w:pPr>
        <w:pStyle w:val="17"/>
      </w:pPr>
      <w:r>
        <w:t>（十）负责城市客运行业管理；负责城市公共交通基础设施建设、城市客运特许经营权的许可和运输市场监管工作； 紧急情况时临时接管城市客运业务的经营。</w:t>
      </w:r>
    </w:p>
    <w:p>
      <w:pPr>
        <w:pStyle w:val="17"/>
      </w:pPr>
      <w:r>
        <w:t>（十一）负责渔船检验和监督管理工作。</w:t>
      </w:r>
    </w:p>
    <w:p>
      <w:pPr>
        <w:pStyle w:val="17"/>
      </w:pPr>
      <w:r>
        <w:t>（十二）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pStyle w:val="17"/>
      </w:pPr>
      <w:r>
        <w:t>（十三）承担全县公路工程建设、养护和管理责任；负责公路工程质量检查验收和编制工程预决算工作；负责工程技术资料的收集、整理工作，积极推广和使用公路建设和管养的新技术、新工艺；指导乡镇搞好农村公路建设规划、技术服务和工程质量的监督工作。</w:t>
      </w:r>
    </w:p>
    <w:p>
      <w:pPr>
        <w:pStyle w:val="17"/>
      </w:pPr>
      <w:r>
        <w:t>（十四）承办县政府交办的其他事项。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按照预算管理有关规定，目前我省部门预算的编制实行综合预算管理，即全部收入和支出都反映在预算中。青龙满族自治县交通运输局机关及所属事业单位的收支包含在部门预算中。</w:t>
      </w:r>
    </w:p>
    <w:p>
      <w:pPr>
        <w:pStyle w:val="18"/>
      </w:pPr>
      <w:r>
        <w:t>1、收入说明</w:t>
      </w:r>
    </w:p>
    <w:p>
      <w:pPr>
        <w:pStyle w:val="18"/>
      </w:pPr>
      <w:r>
        <w:t>反映本单位当年全部收入。2023年预算收入</w:t>
      </w:r>
      <w:r>
        <w:rPr>
          <w:rFonts w:hint="eastAsia"/>
          <w:lang w:val="en-US" w:eastAsia="zh-CN"/>
        </w:rPr>
        <w:t>13107.49</w:t>
      </w:r>
      <w:r>
        <w:t xml:space="preserve">  万元，</w:t>
      </w:r>
      <w:r>
        <w:rPr>
          <w:rFonts w:hint="eastAsia"/>
          <w:lang w:eastAsia="zh-CN"/>
        </w:rPr>
        <w:t>上年结转</w:t>
      </w:r>
      <w:r>
        <w:rPr>
          <w:rFonts w:hint="eastAsia"/>
          <w:lang w:val="en-US" w:eastAsia="zh-CN"/>
        </w:rPr>
        <w:t>2913.59万元，本年预算收入10193.90万元，</w:t>
      </w:r>
      <w:r>
        <w:t>其中：一般公共预算收入 8790.9万元，基金预算收入 1403万元，财政专户核拨收入 0 万元，国有资本经营收入 0 万元，其他来源收入 0 万元。</w:t>
      </w:r>
    </w:p>
    <w:p>
      <w:pPr>
        <w:pStyle w:val="18"/>
      </w:pPr>
      <w:r>
        <w:t>2、支出说明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 xml:space="preserve">收支预算总表支出栏、基本支出表、项目支出表按经济分类和支出功能分类科目编制，反映交通局年度单位预算中支出预算的总体情况。2023年支出预算 </w:t>
      </w:r>
      <w:r>
        <w:rPr>
          <w:rFonts w:hint="eastAsia"/>
          <w:lang w:val="en-US" w:eastAsia="zh-CN"/>
        </w:rPr>
        <w:t>13107.49</w:t>
      </w:r>
      <w:r>
        <w:t>万元，其中基本支出539.4 万元，包括人员经费525.82万元和日常公用经费 13.58 万元；项目支出</w:t>
      </w:r>
      <w:r>
        <w:rPr>
          <w:rFonts w:hint="eastAsia"/>
          <w:lang w:val="en-US" w:eastAsia="zh-CN"/>
        </w:rPr>
        <w:t>12568.09</w:t>
      </w:r>
      <w:r>
        <w:t>万元，主要为: 2021年债券资金-X636（木界线）木头凳至南寨段改建工程280万元；关于提前下达2023年中央车辆购置税收入补助地方资金预算（第一批）的通知（冀财建【2022】246号573万元；2021年债券资金-南八线（马道沟至西马道段）240万元；农村公路养护及运行补贴500万元；农村公路建设改造工程资金511万元；农村公路养护工程资金524万元；普通国省干线公路日常养护经费1722万元；交通事业人员经费1600万元；交通战备费3万元；交通人员事业经费1200万元；城市客运补贴经费200万元；农村公路养护工程补助资金268万元；农村公路日常养护资金110万元；农村公路建设改造补助资金1451万元；干线公路日常养护补助资金170万元；普通公路超限检测站补助资金40万元； 2018年公路水毁桥梁恢复重建工程（28座）262.5万元</w:t>
      </w:r>
      <w:r>
        <w:rPr>
          <w:rFonts w:hint="eastAsia"/>
          <w:lang w:eastAsia="zh-CN"/>
        </w:rPr>
        <w:t>；上年结转项目支出</w:t>
      </w:r>
      <w:r>
        <w:rPr>
          <w:rFonts w:hint="eastAsia"/>
          <w:lang w:val="en-US" w:eastAsia="zh-CN"/>
        </w:rPr>
        <w:t>2913.59万元</w:t>
      </w:r>
      <w:r>
        <w:t>。</w:t>
      </w:r>
    </w:p>
    <w:p>
      <w:pPr>
        <w:pStyle w:val="18"/>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lang w:val="en-US" w:eastAsia="zh-CN"/>
        </w:rPr>
        <w:t>比上年增减情况</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lang w:val="en-US" w:eastAsia="zh-CN"/>
        </w:rPr>
        <w:t xml:space="preserve">        2023年预算收支安排13107.49万元，较2022年增加842.25万元，其中：基本支出增加8.5万元，主要为人员经费增加支出；项目支出增加833.75万元，主要是增加了燃油税农村公路建设改造补助资金预算。</w:t>
      </w:r>
    </w:p>
    <w:p>
      <w:pPr>
        <w:keepNext w:val="0"/>
        <w:keepLines w:val="0"/>
        <w:pageBreakBefore w:val="0"/>
        <w:widowControl/>
        <w:kinsoku/>
        <w:wordWrap/>
        <w:overflowPunct/>
        <w:topLinePunct w:val="0"/>
        <w:autoSpaceDE/>
        <w:autoSpaceDN/>
        <w:bidi w:val="0"/>
        <w:adjustRightInd/>
        <w:snapToGrid/>
        <w:spacing w:before="10" w:after="10" w:line="480" w:lineRule="exact"/>
        <w:ind w:firstLine="640" w:firstLineChars="200"/>
        <w:textAlignment w:val="auto"/>
        <w:outlineLvl w:val="2"/>
      </w:pPr>
      <w:bookmarkStart w:id="11" w:name="_Toc_3_3_0000000012"/>
      <w:r>
        <w:rPr>
          <w:rFonts w:ascii="黑体" w:hAnsi="黑体" w:eastAsia="黑体" w:cs="黑体"/>
          <w:color w:val="000000"/>
          <w:sz w:val="32"/>
        </w:rPr>
        <w:t>三、机关运行经费安排情况</w:t>
      </w:r>
      <w:bookmarkEnd w:id="11"/>
    </w:p>
    <w:p>
      <w:pPr>
        <w:pStyle w:val="19"/>
        <w:keepNext w:val="0"/>
        <w:keepLines w:val="0"/>
        <w:pageBreakBefore w:val="0"/>
        <w:widowControl/>
        <w:kinsoku/>
        <w:wordWrap/>
        <w:overflowPunct/>
        <w:topLinePunct w:val="0"/>
        <w:autoSpaceDE/>
        <w:autoSpaceDN/>
        <w:bidi w:val="0"/>
        <w:adjustRightInd/>
        <w:snapToGrid/>
        <w:spacing w:line="480" w:lineRule="exact"/>
        <w:textAlignment w:val="auto"/>
      </w:pPr>
      <w:r>
        <w:t>2023年，我单位机关运行经费共计安排 13.58 万元，主要用于办公费日常运行支出，其中办公费 1.92 万元，公务用车运行维护费 3.2 万元、公务交通补贴 8.46万元。</w:t>
      </w:r>
    </w:p>
    <w:p>
      <w:pPr>
        <w:keepNext w:val="0"/>
        <w:keepLines w:val="0"/>
        <w:pageBreakBefore w:val="0"/>
        <w:widowControl/>
        <w:kinsoku/>
        <w:wordWrap/>
        <w:overflowPunct/>
        <w:topLinePunct w:val="0"/>
        <w:autoSpaceDE/>
        <w:autoSpaceDN/>
        <w:bidi w:val="0"/>
        <w:adjustRightInd/>
        <w:snapToGrid/>
        <w:spacing w:before="10" w:after="10" w:line="480" w:lineRule="exact"/>
        <w:ind w:firstLine="640"/>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keepNext w:val="0"/>
        <w:keepLines w:val="0"/>
        <w:pageBreakBefore w:val="0"/>
        <w:widowControl/>
        <w:kinsoku/>
        <w:wordWrap/>
        <w:overflowPunct/>
        <w:topLinePunct w:val="0"/>
        <w:autoSpaceDE/>
        <w:autoSpaceDN/>
        <w:bidi w:val="0"/>
        <w:adjustRightInd/>
        <w:snapToGrid/>
        <w:spacing w:line="480" w:lineRule="exact"/>
        <w:textAlignment w:val="auto"/>
      </w:pPr>
      <w:r>
        <w:t>2023年，我单位财政拨款“三公”经费预算安排 18 万元，其中因公出国（境）费 0 万元，同比无变化，原因是无因公出国（境）安排；公务用车购置及运维费 16 万元（其中：公务用车购置费为 0 万元，公务用车运维费 16 万元)；公务接待费 2 万元。202</w:t>
      </w:r>
      <w:r>
        <w:rPr>
          <w:rFonts w:hint="eastAsia"/>
          <w:lang w:val="en-US" w:eastAsia="zh-CN"/>
        </w:rPr>
        <w:t>2</w:t>
      </w:r>
      <w:r>
        <w:t>年三公经费预算安排</w:t>
      </w:r>
      <w:r>
        <w:rPr>
          <w:rFonts w:hint="eastAsia"/>
          <w:lang w:val="en-US" w:eastAsia="zh-CN"/>
        </w:rPr>
        <w:t>19.67万元</w:t>
      </w:r>
      <w:r>
        <w:t>，2023 年</w:t>
      </w:r>
      <w:r>
        <w:rPr>
          <w:rFonts w:hint="eastAsia"/>
          <w:lang w:val="en-US" w:eastAsia="zh-CN"/>
        </w:rPr>
        <w:t>比2022年预算安排减少1.67万元，原因为公务用车</w:t>
      </w:r>
      <w:r>
        <w:t>购置及运维费</w:t>
      </w:r>
      <w:r>
        <w:rPr>
          <w:rFonts w:hint="eastAsia"/>
          <w:lang w:val="en-US" w:eastAsia="zh-CN"/>
        </w:rPr>
        <w:t>减少1.67</w:t>
      </w:r>
      <w:r>
        <w:t>万元</w:t>
      </w:r>
      <w:r>
        <w:rPr>
          <w:rFonts w:hint="eastAsia"/>
          <w:lang w:eastAsia="zh-CN"/>
        </w:rPr>
        <w:t>，</w:t>
      </w:r>
      <w:r>
        <w:t>主要原因是认真贯彻落实中央八项规定要求，严格执行公务用车管理办法，严格控制公务用车运行费。</w:t>
      </w:r>
    </w:p>
    <w:p>
      <w:pPr>
        <w:keepNext w:val="0"/>
        <w:keepLines w:val="0"/>
        <w:pageBreakBefore w:val="0"/>
        <w:widowControl/>
        <w:kinsoku/>
        <w:wordWrap/>
        <w:overflowPunct/>
        <w:topLinePunct w:val="0"/>
        <w:autoSpaceDE/>
        <w:autoSpaceDN/>
        <w:bidi w:val="0"/>
        <w:adjustRightInd/>
        <w:snapToGrid/>
        <w:spacing w:before="10" w:after="10" w:line="480" w:lineRule="exact"/>
        <w:ind w:firstLine="640"/>
        <w:textAlignment w:val="auto"/>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认真贯彻党的</w:t>
      </w:r>
      <w:r>
        <w:rPr>
          <w:rFonts w:hint="eastAsia"/>
          <w:lang w:val="en-US" w:eastAsia="zh-CN"/>
        </w:rPr>
        <w:t>二十大</w:t>
      </w:r>
      <w:r>
        <w:t>精神，紧紧围绕京津冀协同发展，“一带一路”建设国家战略的实施和走加快转型、绿色发展、跨越提升的新路，以京津冀空间格局优化调整为基础，以强化四大发展功能为导向，巩固扶贫脱贫攻坚为重点，补齐基础设施短板，完善服务功能，提升运营管理效率，增加有效运输供给，加快构建南北贯通、东出西联的综合交通运输格局。公路建设方面，优化公路网结构、完善布局，构建高速公路、国省干线通道发达，高速公路连接线、省道干线支路成网，农村公路末梢广覆盖的便捷通畅公路网。一是加强全县“四好农村路”建设，保证全县公路畅通，重点解决农村公路的断头路、瓶颈路；消灭四五类危桥。二是交通工程质量监管全面覆盖。将全县交通建设重点项目全部纳入监管范围，工程优良率达到省、市标准。三是深入开展"打非治违"、“三超三驾”等专项治理活动，继续保持对非法营运车辆高压打击态势，加强对道路客运、危货运输、驾校、汽车维修等行业的日常监管治理，保证全县道路运输市场秩序更加规范有序。四是公路治超养护持之以恒。交通、公路、交警等单位紧密合作，重拳出击，全面开展专项行动，全县国省干线公路超限超载率明显降低，达到县政府超限率控制目标。加强公路日常养护管理，干线支线公路和农村公路优良率达到省、市考核标准。五是解决村民的出行安全问题和改善群众的生产生活条件。六是做好安全生产及大气污染防治工作，着力做好项目建设安全及道路运输安全保障工作，防止重大交通安全事故的发生。带动全县人民早日全面建成小康社会。</w:t>
      </w:r>
    </w:p>
    <w:p>
      <w:pPr>
        <w:spacing w:line="500" w:lineRule="exact"/>
        <w:ind w:firstLine="560"/>
      </w:pPr>
      <w:r>
        <w:rPr>
          <w:rFonts w:eastAsia="方正仿宋_GBK"/>
          <w:color w:val="000000"/>
          <w:sz w:val="28"/>
        </w:rPr>
        <w:t>（二）分项绩效目标</w:t>
      </w:r>
    </w:p>
    <w:p>
      <w:pPr>
        <w:pStyle w:val="22"/>
      </w:pPr>
      <w:r>
        <w:t>（一）农村公路建设养护</w:t>
      </w:r>
    </w:p>
    <w:p>
      <w:pPr>
        <w:pStyle w:val="22"/>
      </w:pPr>
      <w:r>
        <w:t>1、绩效目标</w:t>
      </w:r>
    </w:p>
    <w:p>
      <w:pPr>
        <w:pStyle w:val="22"/>
      </w:pPr>
      <w:r>
        <w:t>完成全县县、乡及村级公路建设管理；组织实施全县农村公路养护工作；按照四好农村公路标准完成建设任务。</w:t>
      </w:r>
    </w:p>
    <w:p>
      <w:pPr>
        <w:pStyle w:val="22"/>
      </w:pPr>
      <w:r>
        <w:t>2、绩效指标</w:t>
      </w:r>
    </w:p>
    <w:p>
      <w:pPr>
        <w:pStyle w:val="22"/>
      </w:pPr>
      <w:r>
        <w:t>（1）</w:t>
      </w:r>
      <w:r>
        <w:tab/>
      </w:r>
      <w:r>
        <w:t>农村建公路及桥梁的设完成率达到 100%；</w:t>
      </w:r>
    </w:p>
    <w:p>
      <w:pPr>
        <w:pStyle w:val="22"/>
      </w:pPr>
      <w:r>
        <w:t>（2）</w:t>
      </w:r>
      <w:r>
        <w:tab/>
      </w:r>
      <w:r>
        <w:t>养护公里数</w:t>
      </w:r>
      <w:r>
        <w:tab/>
      </w:r>
      <w:r>
        <w:t>≥289 公里；路肩培土公里数</w:t>
      </w:r>
      <w:r>
        <w:tab/>
      </w:r>
      <w:r>
        <w:t>≥20 公里、疏通边沟公里数≥40 公里；绿化养护公里数≥100 公里；</w:t>
      </w:r>
    </w:p>
    <w:p>
      <w:pPr>
        <w:pStyle w:val="22"/>
      </w:pPr>
      <w:r>
        <w:t>（3）</w:t>
      </w:r>
      <w:r>
        <w:tab/>
      </w:r>
      <w:r>
        <w:t>道路良好率</w:t>
      </w:r>
      <w:r>
        <w:tab/>
      </w:r>
      <w:r>
        <w:t>≥75%。</w:t>
      </w:r>
    </w:p>
    <w:p>
      <w:pPr>
        <w:pStyle w:val="22"/>
      </w:pPr>
      <w:r>
        <w:t>（二）国省干线公路养护</w:t>
      </w:r>
    </w:p>
    <w:p>
      <w:pPr>
        <w:pStyle w:val="22"/>
        <w:rPr>
          <w:rFonts w:eastAsiaTheme="minorEastAsia"/>
          <w:lang w:eastAsia="zh-CN"/>
        </w:rPr>
      </w:pPr>
      <w:r>
        <w:t>1、绩效目标</w:t>
      </w:r>
    </w:p>
    <w:p>
      <w:pPr>
        <w:pStyle w:val="22"/>
      </w:pPr>
      <w:r>
        <w:t>完成全年国省干线公路养护目标任务，保证干线公路畅通运行。</w:t>
      </w:r>
    </w:p>
    <w:p>
      <w:pPr>
        <w:pStyle w:val="22"/>
      </w:pPr>
      <w:r>
        <w:t>2、绩效指标</w:t>
      </w:r>
    </w:p>
    <w:p>
      <w:pPr>
        <w:pStyle w:val="22"/>
      </w:pPr>
      <w:r>
        <w:t>（1）</w:t>
      </w:r>
      <w:r>
        <w:tab/>
      </w:r>
      <w:r>
        <w:t>养护里程公里数≥295.03 公里；</w:t>
      </w:r>
    </w:p>
    <w:p>
      <w:pPr>
        <w:pStyle w:val="22"/>
      </w:pPr>
      <w:r>
        <w:t>（2）</w:t>
      </w:r>
      <w:r>
        <w:tab/>
      </w:r>
      <w:r>
        <w:t>道路良好率 ≥75%；</w:t>
      </w:r>
    </w:p>
    <w:p>
      <w:pPr>
        <w:pStyle w:val="22"/>
      </w:pPr>
      <w:r>
        <w:t>（3）</w:t>
      </w:r>
      <w:r>
        <w:tab/>
      </w:r>
      <w:r>
        <w:t>绿化补植完成率</w:t>
      </w:r>
      <w:r>
        <w:tab/>
      </w:r>
      <w:r>
        <w:t>100%</w:t>
      </w:r>
    </w:p>
    <w:p>
      <w:pPr>
        <w:pStyle w:val="22"/>
      </w:pPr>
      <w:r>
        <w:t>（三）道路客货运输管理</w:t>
      </w:r>
    </w:p>
    <w:p>
      <w:pPr>
        <w:pStyle w:val="22"/>
      </w:pPr>
      <w:r>
        <w:t>1、绩效目标</w:t>
      </w:r>
    </w:p>
    <w:p>
      <w:pPr>
        <w:pStyle w:val="22"/>
      </w:pPr>
      <w:r>
        <w:t>完成全县公路运输、城市客运、客货运输市场监管任务。指导全县公路运输、城市客运及运营的安全生产和应急管理。完成交通运输行业内部安全管理进行综合指导与监督，督促法人安全责任制的落实；组织协调全县交通运输行业重特大责任事故应急救援和突发事件的处置，依法组织或参与有关事故调查处理工作；完成国防交通战备工作。完成全县道路客、货运输市场、汽车维修市场、搬运装卸、运输服务、汽车综合性能检测、汽车驾驶学校和驾驶员培训工作的行业管理工作。</w:t>
      </w:r>
    </w:p>
    <w:p>
      <w:pPr>
        <w:pStyle w:val="22"/>
      </w:pPr>
      <w:r>
        <w:t>2、绩效指标</w:t>
      </w:r>
    </w:p>
    <w:p>
      <w:pPr>
        <w:pStyle w:val="22"/>
      </w:pPr>
      <w:r>
        <w:t>（1）</w:t>
      </w:r>
      <w:r>
        <w:tab/>
      </w:r>
      <w:r>
        <w:t>管理公交及出租车总辆数≥358 辆；管理农村客运班车总辆数≥80 台；</w:t>
      </w:r>
    </w:p>
    <w:p>
      <w:pPr>
        <w:pStyle w:val="22"/>
      </w:pPr>
      <w:r>
        <w:t>（2）</w:t>
      </w:r>
      <w:r>
        <w:tab/>
      </w:r>
      <w:r>
        <w:t>完成战备物资采购批次≥1 批；</w:t>
      </w:r>
    </w:p>
    <w:p>
      <w:pPr>
        <w:pStyle w:val="22"/>
      </w:pPr>
      <w:r>
        <w:t>（3）</w:t>
      </w:r>
      <w:r>
        <w:tab/>
      </w:r>
      <w:r>
        <w:t>对农村客运班车及公交车、出租车司机安全培训次数≥10 次；</w:t>
      </w:r>
    </w:p>
    <w:p>
      <w:pPr>
        <w:pStyle w:val="22"/>
      </w:pPr>
      <w:r>
        <w:t>（4）</w:t>
      </w:r>
      <w:r>
        <w:tab/>
      </w:r>
      <w:r>
        <w:t>对长途客运站、公交公司、出租车公司安全检查次数≥6 次；</w:t>
      </w:r>
    </w:p>
    <w:p>
      <w:pPr>
        <w:pStyle w:val="22"/>
      </w:pPr>
      <w:r>
        <w:t>（5）</w:t>
      </w:r>
      <w:r>
        <w:tab/>
      </w:r>
      <w:r>
        <w:t>监管覆盖率</w:t>
      </w:r>
      <w:r>
        <w:tab/>
      </w:r>
      <w:r>
        <w:t>100%</w:t>
      </w:r>
    </w:p>
    <w:p>
      <w:pPr>
        <w:pStyle w:val="22"/>
        <w:rPr>
          <w:rFonts w:eastAsiaTheme="minorEastAsia"/>
          <w:lang w:val="uk-UA" w:eastAsia="zh-CN"/>
        </w:rPr>
      </w:pPr>
      <w:r>
        <w:t>（四）道路路政、治超管理</w:t>
      </w:r>
    </w:p>
    <w:p>
      <w:pPr>
        <w:pStyle w:val="22"/>
      </w:pPr>
      <w:r>
        <w:t>1、绩效目标</w:t>
      </w:r>
    </w:p>
    <w:p>
      <w:pPr>
        <w:pStyle w:val="22"/>
      </w:pPr>
      <w:r>
        <w:t>完成道路损坏路赔费收缴工作；治理路域环境，维护路产路权；完成治超监控系统维护建设，严防严控货运超限超载， 开展监督检查全覆盖。完成治超站管理工作，保障其工作正常运行。</w:t>
      </w:r>
    </w:p>
    <w:p>
      <w:pPr>
        <w:pStyle w:val="22"/>
      </w:pPr>
      <w:r>
        <w:t>2、绩效指标</w:t>
      </w:r>
    </w:p>
    <w:p>
      <w:pPr>
        <w:pStyle w:val="22"/>
      </w:pPr>
      <w:r>
        <w:t>（1）</w:t>
      </w:r>
      <w:r>
        <w:tab/>
      </w:r>
      <w:r>
        <w:t>路政监管覆盖率 100%</w:t>
      </w:r>
    </w:p>
    <w:p>
      <w:pPr>
        <w:pStyle w:val="22"/>
      </w:pPr>
      <w:r>
        <w:t>（2）</w:t>
      </w:r>
      <w:r>
        <w:tab/>
      </w:r>
      <w:r>
        <w:t>治超检测站正常运行率 100%；</w:t>
      </w:r>
    </w:p>
    <w:p>
      <w:pPr>
        <w:pStyle w:val="22"/>
      </w:pPr>
      <w:r>
        <w:t>（3）</w:t>
      </w:r>
      <w:r>
        <w:tab/>
      </w:r>
      <w:r>
        <w:t>违章检测率 100%；</w:t>
      </w:r>
    </w:p>
    <w:p>
      <w:pPr>
        <w:pStyle w:val="22"/>
      </w:pPr>
      <w:r>
        <w:t>（4）</w:t>
      </w:r>
      <w:r>
        <w:tab/>
      </w:r>
      <w:r>
        <w:t>货车超限超载率 ≤5%；</w:t>
      </w:r>
    </w:p>
    <w:p>
      <w:pPr>
        <w:pStyle w:val="22"/>
      </w:pPr>
      <w:r>
        <w:t>（5）</w:t>
      </w:r>
      <w:r>
        <w:tab/>
      </w:r>
      <w:r>
        <w:t>路边违建拆除率≥90%；</w:t>
      </w:r>
    </w:p>
    <w:p>
      <w:pPr>
        <w:pStyle w:val="22"/>
      </w:pPr>
      <w:r>
        <w:t>（五）工程质量监督管理</w:t>
      </w:r>
    </w:p>
    <w:p>
      <w:pPr>
        <w:pStyle w:val="22"/>
      </w:pPr>
      <w:r>
        <w:t>1、绩效目标</w:t>
      </w:r>
    </w:p>
    <w:p>
      <w:pPr>
        <w:pStyle w:val="22"/>
      </w:pPr>
      <w:r>
        <w:t>负责交通运输领域工程质量监督行政执法工作，参与全县农村公路工程质量和安全生产监督、检查、指导，对已完成的农村公路、桥梁竣工验收，保证交通工程质量。</w:t>
      </w:r>
    </w:p>
    <w:p>
      <w:pPr>
        <w:pStyle w:val="22"/>
      </w:pPr>
      <w:r>
        <w:t>2、指标</w:t>
      </w:r>
    </w:p>
    <w:p>
      <w:pPr>
        <w:pStyle w:val="22"/>
      </w:pPr>
      <w:r>
        <w:t>监督检查覆盖率</w:t>
      </w:r>
      <w:r>
        <w:tab/>
      </w:r>
      <w:r>
        <w:t>100%</w:t>
      </w:r>
    </w:p>
    <w:p>
      <w:pPr>
        <w:pStyle w:val="22"/>
      </w:pPr>
      <w:r>
        <w:t>验收合格率</w:t>
      </w:r>
      <w:r>
        <w:tab/>
      </w:r>
      <w:r>
        <w:t>100%</w:t>
      </w:r>
    </w:p>
    <w:p>
      <w:pPr>
        <w:spacing w:line="500" w:lineRule="exact"/>
        <w:ind w:firstLine="560"/>
      </w:pPr>
      <w:r>
        <w:rPr>
          <w:rFonts w:eastAsia="方正仿宋_GBK"/>
          <w:color w:val="000000"/>
          <w:sz w:val="28"/>
        </w:rPr>
        <w:t>（三）工作保障措施</w:t>
      </w:r>
    </w:p>
    <w:p>
      <w:pPr>
        <w:pStyle w:val="23"/>
      </w:pPr>
      <w:r>
        <w:t>（一）做好各项工作任务</w:t>
      </w:r>
    </w:p>
    <w:p>
      <w:pPr>
        <w:pStyle w:val="23"/>
      </w:pPr>
      <w:r>
        <w:t>以脱贫攻坚为重点，全面加强交通基础设施建设；以便捷服务为抓手，提升公路养护水平；以平安出行为宗旨，推进行业规范管理；以“双违整治”为驱动，全面展开“清零”工作；强化“两个责任”，推动党建工作再上新台阶。</w:t>
      </w:r>
    </w:p>
    <w:p>
      <w:pPr>
        <w:pStyle w:val="23"/>
      </w:pPr>
      <w:r>
        <w:t>（二）完善制度建设。进一步完善制度建设，优化城镇管理制度，完善考评制度，制定并完善项目资金的管理办法， 使用项目资金管理制度化、规范化，提高项目资金的使用效率。</w:t>
      </w:r>
    </w:p>
    <w:p>
      <w:pPr>
        <w:pStyle w:val="23"/>
      </w:pPr>
      <w:r>
        <w:t>（三）加强支出管理。全面加强支出管理，对项目经费支出加强监督管理，对每个项目及时跟进，确保项目经费按照预算进度使用，及时获取项目资金，确保支出进度达标。</w:t>
      </w:r>
    </w:p>
    <w:p>
      <w:pPr>
        <w:pStyle w:val="23"/>
      </w:pPr>
      <w:r>
        <w:t>（四）加强绩效运行监控。按照单位预算的要求，认真编制预算，对支出实行分类管理，要有支出标准、有制度依据， 严格按照绩效目标的要求，监控项目经费的使用，确保项目经费使用达到指标要求。</w:t>
      </w:r>
    </w:p>
    <w:p>
      <w:pPr>
        <w:pStyle w:val="23"/>
      </w:pPr>
      <w:r>
        <w:t>（五）做好绩效自评。及时做好绩效自评工作，对评价中发现问题及时整改，调整优化支出结构，提高项目资金的使用效率。</w:t>
      </w:r>
    </w:p>
    <w:p>
      <w:pPr>
        <w:pStyle w:val="23"/>
      </w:pPr>
      <w:r>
        <w:t>（六）规范财务资产管理。完善财务管理制度，严格审批程序，加强固定资产登记、使用和报废处置管理，做到支出合理，物尽其用。</w:t>
      </w:r>
    </w:p>
    <w:p>
      <w:pPr>
        <w:pStyle w:val="23"/>
      </w:pPr>
      <w:r>
        <w:t>（七）加强内部监督。加强内部监管制度建设，严格控制项目支出，认真开展资产清查和核实工作，同时积极配合有关单位的审计工作，确保绩效目标如期保质完成。</w:t>
      </w:r>
    </w:p>
    <w:p>
      <w:pPr>
        <w:pStyle w:val="23"/>
      </w:pPr>
      <w:r>
        <w:t>（八）加强宣传培训调研等。加强人员培训，提高本单位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1、2021年债券资金-2018年公路水毁桥梁恢复重建工程（28座）冀财债﹝2021﹞43号绩效目标表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.通过完成恢复重建农村公路水毁桥梁28座，改善农村公路基础设施。</w:t>
            </w:r>
          </w:p>
          <w:p>
            <w:pPr>
              <w:pStyle w:val="12"/>
            </w:pPr>
            <w:r>
              <w:rPr>
                <w:rFonts w:hint="eastAsia" w:asciiTheme="minorEastAsia" w:hAnsiTheme="minorEastAsia" w:eastAsiaTheme="minorEastAsia"/>
                <w:lang w:eastAsia="zh-CN"/>
              </w:rPr>
              <w:t>2</w:t>
            </w:r>
            <w:r>
              <w:t>.通过恢复重建桥梁，增强通行能力，拉动地区经济增长。</w:t>
            </w:r>
          </w:p>
          <w:p>
            <w:pPr>
              <w:pStyle w:val="12"/>
            </w:pPr>
            <w:r>
              <w:rPr>
                <w:rFonts w:hint="eastAsia" w:asciiTheme="minorEastAsia" w:hAnsiTheme="minorEastAsia" w:eastAsiaTheme="minorEastAsia"/>
                <w:lang w:eastAsia="zh-CN"/>
              </w:rPr>
              <w:t>3</w:t>
            </w:r>
            <w:r>
              <w:t>.通过民生项目的实施，增强群众满意度。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完成桥梁建设数量</w:t>
            </w:r>
          </w:p>
        </w:tc>
        <w:tc>
          <w:tcPr>
            <w:tcW w:w="2835" w:type="dxa"/>
            <w:vAlign w:val="center"/>
          </w:tcPr>
          <w:p>
            <w:pPr>
              <w:pStyle w:val="12"/>
            </w:pPr>
            <w:r>
              <w:t>实际完成桥梁建设数量</w:t>
            </w:r>
          </w:p>
        </w:tc>
        <w:tc>
          <w:tcPr>
            <w:tcW w:w="2551" w:type="dxa"/>
            <w:vAlign w:val="center"/>
          </w:tcPr>
          <w:p>
            <w:pPr>
              <w:pStyle w:val="12"/>
            </w:pPr>
            <w:r>
              <w:t>28座</w:t>
            </w:r>
          </w:p>
        </w:tc>
        <w:tc>
          <w:tcPr>
            <w:tcW w:w="2268"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桥梁改建成本（建筑安装工程费）</w:t>
            </w:r>
          </w:p>
        </w:tc>
        <w:tc>
          <w:tcPr>
            <w:tcW w:w="2835" w:type="dxa"/>
            <w:vAlign w:val="center"/>
          </w:tcPr>
          <w:p>
            <w:pPr>
              <w:pStyle w:val="12"/>
            </w:pPr>
            <w:r>
              <w:t>严格进行成本管控，按照政府招投标相关文件及施工合同支付要求进行资金的支付</w:t>
            </w:r>
          </w:p>
        </w:tc>
        <w:tc>
          <w:tcPr>
            <w:tcW w:w="2551" w:type="dxa"/>
            <w:vAlign w:val="center"/>
          </w:tcPr>
          <w:p>
            <w:pPr>
              <w:pStyle w:val="12"/>
            </w:pPr>
            <w:r>
              <w:t>≤262.5万元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带动周边乡村GDP经济增长，促进城乡经济一体化</w:t>
            </w:r>
          </w:p>
        </w:tc>
        <w:tc>
          <w:tcPr>
            <w:tcW w:w="2551" w:type="dxa"/>
            <w:vAlign w:val="center"/>
          </w:tcPr>
          <w:p>
            <w:pPr>
              <w:pStyle w:val="12"/>
            </w:pPr>
            <w:r>
              <w:t>≥450万元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≥3万人次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≥16000人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恢复重建桥梁在合理使用年限适应交通需求</w:t>
            </w:r>
          </w:p>
        </w:tc>
        <w:tc>
          <w:tcPr>
            <w:tcW w:w="2551" w:type="dxa"/>
            <w:vAlign w:val="center"/>
          </w:tcPr>
          <w:p>
            <w:pPr>
              <w:pStyle w:val="12"/>
            </w:pPr>
            <w:r>
              <w:t>≥20年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2、2021年债券资金-X636（木界线）木头凳至南寨段改建工程(冀财债［2021］43号)绩效目标表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.通过改建完成农村公路25.4公里，改善农村公路基础设施。</w:t>
            </w:r>
          </w:p>
          <w:p>
            <w:pPr>
              <w:pStyle w:val="12"/>
            </w:pPr>
            <w:r>
              <w:rPr>
                <w:rFonts w:hint="eastAsia" w:asciiTheme="minorEastAsia" w:hAnsiTheme="minorEastAsia" w:eastAsiaTheme="minorEastAsia"/>
                <w:lang w:eastAsia="zh-CN"/>
              </w:rPr>
              <w:t>2</w:t>
            </w:r>
            <w:r>
              <w:t>.通过改善路况，增强通行能力，拉动地区经济增长</w:t>
            </w:r>
          </w:p>
          <w:p>
            <w:pPr>
              <w:pStyle w:val="12"/>
            </w:pPr>
            <w:r>
              <w:rPr>
                <w:rFonts w:hint="eastAsia" w:asciiTheme="minorEastAsia" w:hAnsiTheme="minorEastAsia" w:eastAsiaTheme="minorEastAsia"/>
                <w:lang w:eastAsia="zh-CN"/>
              </w:rPr>
              <w:t>3</w:t>
            </w:r>
            <w:r>
              <w:t>.通过民生项目的实施，增强群众满意度。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实际完成公路建设里程</w:t>
            </w:r>
          </w:p>
        </w:tc>
        <w:tc>
          <w:tcPr>
            <w:tcW w:w="2551" w:type="dxa"/>
            <w:vAlign w:val="center"/>
          </w:tcPr>
          <w:p>
            <w:pPr>
              <w:pStyle w:val="12"/>
            </w:pPr>
            <w:r>
              <w:t>25.4公里</w:t>
            </w:r>
          </w:p>
        </w:tc>
        <w:tc>
          <w:tcPr>
            <w:tcW w:w="2268"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严格进行成本管控，按照政府招投标相关文件及施工合同支付要求进行资金的支付</w:t>
            </w:r>
          </w:p>
        </w:tc>
        <w:tc>
          <w:tcPr>
            <w:tcW w:w="2551" w:type="dxa"/>
            <w:vAlign w:val="center"/>
          </w:tcPr>
          <w:p>
            <w:pPr>
              <w:pStyle w:val="12"/>
            </w:pPr>
            <w:r>
              <w:t>≤280万元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带动周边乡村GDP经济增长，促进城乡经济一体化</w:t>
            </w:r>
          </w:p>
        </w:tc>
        <w:tc>
          <w:tcPr>
            <w:tcW w:w="2551" w:type="dxa"/>
            <w:vAlign w:val="center"/>
          </w:tcPr>
          <w:p>
            <w:pPr>
              <w:pStyle w:val="12"/>
            </w:pPr>
            <w:r>
              <w:t>≥300万元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减少扬尘，降低行车噪音改善人居环境，增加受益人口。</w:t>
            </w:r>
          </w:p>
        </w:tc>
        <w:tc>
          <w:tcPr>
            <w:tcW w:w="2551" w:type="dxa"/>
            <w:vAlign w:val="center"/>
          </w:tcPr>
          <w:p>
            <w:pPr>
              <w:pStyle w:val="12"/>
            </w:pPr>
            <w:r>
              <w:t>≥12000人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3、2021年债券资金-南八线（马道沟至西马道段）(冀财债﹝2021﹞43号)绩效目标表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.通过完成改建公路工程8.937公里，改善交通基础设施。</w:t>
            </w:r>
          </w:p>
          <w:p>
            <w:pPr>
              <w:pStyle w:val="12"/>
            </w:pPr>
            <w:r>
              <w:rPr>
                <w:rFonts w:hint="eastAsia" w:asciiTheme="minorEastAsia" w:hAnsiTheme="minorEastAsia" w:eastAsiaTheme="minorEastAsia"/>
                <w:lang w:eastAsia="zh-CN"/>
              </w:rPr>
              <w:t>2</w:t>
            </w:r>
            <w:r>
              <w:t>.通过改善路况，增强通行能力，带动周边乡村旅游业发展。</w:t>
            </w:r>
          </w:p>
          <w:p>
            <w:pPr>
              <w:pStyle w:val="12"/>
            </w:pPr>
            <w:r>
              <w:rPr>
                <w:rFonts w:hint="eastAsia" w:asciiTheme="minorEastAsia" w:hAnsiTheme="minorEastAsia" w:eastAsiaTheme="minorEastAsia"/>
                <w:lang w:eastAsia="zh-CN"/>
              </w:rPr>
              <w:t>3</w:t>
            </w:r>
            <w:r>
              <w:t>.通过民生项目的实施，拉动经济增长，增强群众满意度。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实际完成公路建设里程</w:t>
            </w:r>
          </w:p>
        </w:tc>
        <w:tc>
          <w:tcPr>
            <w:tcW w:w="2551" w:type="dxa"/>
            <w:vAlign w:val="center"/>
          </w:tcPr>
          <w:p>
            <w:pPr>
              <w:pStyle w:val="12"/>
            </w:pPr>
            <w:r>
              <w:t>8.94公里</w:t>
            </w:r>
          </w:p>
        </w:tc>
        <w:tc>
          <w:tcPr>
            <w:tcW w:w="2268"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严格进行成本管控，按照政府招投标相关文件及施工合同支付要求进行资金的支付</w:t>
            </w:r>
          </w:p>
        </w:tc>
        <w:tc>
          <w:tcPr>
            <w:tcW w:w="2551" w:type="dxa"/>
            <w:vAlign w:val="center"/>
          </w:tcPr>
          <w:p>
            <w:pPr>
              <w:pStyle w:val="12"/>
            </w:pPr>
            <w:r>
              <w:t>≤240万元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促进项目地区旅游业发展，带动周边乡村GDP经济增长，促进城乡经济一体化</w:t>
            </w:r>
          </w:p>
        </w:tc>
        <w:tc>
          <w:tcPr>
            <w:tcW w:w="2551" w:type="dxa"/>
            <w:vAlign w:val="center"/>
          </w:tcPr>
          <w:p>
            <w:pPr>
              <w:pStyle w:val="12"/>
            </w:pPr>
            <w:r>
              <w:t>≥300万元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≥5万人次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≥5000人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4、城市客运补贴经费绩效目标表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.通过对公交公司给予的财政补贴，保证车辆正常运转，确保企业不因亏损而倒闭。</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.通过提高70周岁以上老年人、现役及退役残疾军人等特殊人群的幸福指数，达到提高社会满意度的效果。</w:t>
            </w:r>
            <w:r>
              <w:tab/>
            </w: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2835" w:type="dxa"/>
            <w:vAlign w:val="center"/>
          </w:tcPr>
          <w:p>
            <w:pPr>
              <w:pStyle w:val="12"/>
            </w:pPr>
            <w:r>
              <w:t>对1.1米以下儿童，70岁以上老人，现役军人和退役残疾军人，现役人民警察，盲人五类人员总数量</w:t>
            </w:r>
          </w:p>
          <w:p>
            <w:pPr>
              <w:pStyle w:val="12"/>
            </w:pPr>
          </w:p>
        </w:tc>
        <w:tc>
          <w:tcPr>
            <w:tcW w:w="2551" w:type="dxa"/>
            <w:vAlign w:val="center"/>
          </w:tcPr>
          <w:p>
            <w:pPr>
              <w:pStyle w:val="12"/>
            </w:pPr>
            <w:r>
              <w:t>≥200万人次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人数计算的准确率</w:t>
            </w:r>
          </w:p>
        </w:tc>
        <w:tc>
          <w:tcPr>
            <w:tcW w:w="2835" w:type="dxa"/>
            <w:vAlign w:val="center"/>
          </w:tcPr>
          <w:p>
            <w:pPr>
              <w:pStyle w:val="12"/>
            </w:pPr>
            <w:r>
              <w:t>反映补贴人次总数、标准计算准确性</w:t>
            </w:r>
          </w:p>
          <w:p>
            <w:pPr>
              <w:pStyle w:val="12"/>
            </w:pPr>
          </w:p>
        </w:tc>
        <w:tc>
          <w:tcPr>
            <w:tcW w:w="2551" w:type="dxa"/>
            <w:vAlign w:val="center"/>
          </w:tcPr>
          <w:p>
            <w:pPr>
              <w:pStyle w:val="12"/>
            </w:pPr>
            <w:r>
              <w:t>≥99%</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反映补贴发放准确率</w:t>
            </w:r>
          </w:p>
          <w:p>
            <w:pPr>
              <w:pStyle w:val="12"/>
            </w:pP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反映补贴发放的及时性</w:t>
            </w:r>
          </w:p>
          <w:p>
            <w:pPr>
              <w:pStyle w:val="12"/>
            </w:pPr>
          </w:p>
          <w:p>
            <w:pPr>
              <w:pStyle w:val="12"/>
            </w:pPr>
          </w:p>
        </w:tc>
        <w:tc>
          <w:tcPr>
            <w:tcW w:w="2551" w:type="dxa"/>
            <w:vAlign w:val="center"/>
          </w:tcPr>
          <w:p>
            <w:pPr>
              <w:pStyle w:val="12"/>
            </w:pPr>
            <w:r>
              <w:t>2023年底前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儿童补贴标准</w:t>
            </w:r>
          </w:p>
        </w:tc>
        <w:tc>
          <w:tcPr>
            <w:tcW w:w="2835" w:type="dxa"/>
            <w:vAlign w:val="center"/>
          </w:tcPr>
          <w:p>
            <w:pPr>
              <w:pStyle w:val="12"/>
            </w:pPr>
            <w:r>
              <w:t>按公交车运营线路票价计算</w:t>
            </w:r>
          </w:p>
          <w:p>
            <w:pPr>
              <w:pStyle w:val="12"/>
            </w:pPr>
          </w:p>
        </w:tc>
        <w:tc>
          <w:tcPr>
            <w:tcW w:w="2551" w:type="dxa"/>
            <w:vAlign w:val="center"/>
          </w:tcPr>
          <w:p>
            <w:pPr>
              <w:pStyle w:val="12"/>
            </w:pPr>
            <w:r>
              <w:t>1元/人次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老人补贴标准</w:t>
            </w:r>
          </w:p>
        </w:tc>
        <w:tc>
          <w:tcPr>
            <w:tcW w:w="2835" w:type="dxa"/>
            <w:vAlign w:val="center"/>
          </w:tcPr>
          <w:p>
            <w:pPr>
              <w:pStyle w:val="12"/>
            </w:pPr>
            <w:r>
              <w:t>按公交车运营线路票价计算</w:t>
            </w:r>
          </w:p>
        </w:tc>
        <w:tc>
          <w:tcPr>
            <w:tcW w:w="2551" w:type="dxa"/>
            <w:vAlign w:val="center"/>
          </w:tcPr>
          <w:p>
            <w:pPr>
              <w:pStyle w:val="12"/>
            </w:pPr>
            <w:r>
              <w:t>2元/人次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项目实施，使五类人员出行直接受益，提高百姓认可度的人次</w:t>
            </w:r>
          </w:p>
        </w:tc>
        <w:tc>
          <w:tcPr>
            <w:tcW w:w="2551" w:type="dxa"/>
            <w:vAlign w:val="center"/>
          </w:tcPr>
          <w:p>
            <w:pPr>
              <w:pStyle w:val="12"/>
            </w:pPr>
            <w:r>
              <w:t>≥200万人次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缓解交通压力、</w:t>
            </w:r>
            <w:r>
              <w:rPr>
                <w:rFonts w:hint="eastAsia"/>
                <w:lang w:eastAsia="zh-CN"/>
              </w:rPr>
              <w:t>减少</w:t>
            </w:r>
            <w:r>
              <w:t>车辆出行，降低尾气排放</w:t>
            </w:r>
          </w:p>
        </w:tc>
        <w:tc>
          <w:tcPr>
            <w:tcW w:w="2835" w:type="dxa"/>
            <w:vAlign w:val="center"/>
          </w:tcPr>
          <w:p>
            <w:pPr>
              <w:pStyle w:val="12"/>
            </w:pPr>
            <w:r>
              <w:t>减少车辆出行的次数</w:t>
            </w:r>
          </w:p>
        </w:tc>
        <w:tc>
          <w:tcPr>
            <w:tcW w:w="2551" w:type="dxa"/>
            <w:vAlign w:val="center"/>
          </w:tcPr>
          <w:p>
            <w:pPr>
              <w:pStyle w:val="12"/>
            </w:pPr>
            <w:r>
              <w:t>≥70万次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保证公交车辆正常运转率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5、关于提前下达2022年农村公路建设养护发展专项资金-农村公路日常养护补助资金（冀财建【2021】238号)绩效目标表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1.通过完成对农村日常养护工作，保证当地百姓正常出行，保障公路畅通。</w:t>
            </w:r>
          </w:p>
          <w:p>
            <w:pPr>
              <w:pStyle w:val="12"/>
            </w:pPr>
            <w:r>
              <w:t>2.通过完成农村公路日常养护，保障道路交通安全，降低事故发生率。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路基路面日常养护里程</w:t>
            </w:r>
          </w:p>
        </w:tc>
        <w:tc>
          <w:tcPr>
            <w:tcW w:w="2835" w:type="dxa"/>
            <w:vAlign w:val="center"/>
          </w:tcPr>
          <w:p>
            <w:pPr>
              <w:pStyle w:val="12"/>
            </w:pPr>
            <w:r>
              <w:t>反应路基路面日常养护的公里数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≤60万元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≤50万元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6、关于提前下达2022年农村公路建设养护发展专项资金-农村公路养护工程补助资金（冀财建【2021】238号)绩效目标表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1.通过完成对农村公路养护工程工作，保证当地百姓正常出行，保障公路畅通。</w:t>
            </w:r>
          </w:p>
          <w:p>
            <w:pPr>
              <w:pStyle w:val="12"/>
            </w:pPr>
            <w:r>
              <w:t>2.通过完成农村公路养护，保障道路交通安全，降低事故发生率。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2835" w:type="dxa"/>
            <w:vAlign w:val="center"/>
          </w:tcPr>
          <w:p>
            <w:pPr>
              <w:pStyle w:val="12"/>
            </w:pPr>
            <w:r>
              <w:t>反应路基路面整修的公里数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2835" w:type="dxa"/>
            <w:vAlign w:val="center"/>
          </w:tcPr>
          <w:p>
            <w:pPr>
              <w:pStyle w:val="12"/>
            </w:pPr>
            <w:r>
              <w:t>反应公路两旁防护挡墙工程量</w:t>
            </w:r>
          </w:p>
        </w:tc>
        <w:tc>
          <w:tcPr>
            <w:tcW w:w="2551" w:type="dxa"/>
            <w:vAlign w:val="center"/>
          </w:tcPr>
          <w:p>
            <w:pPr>
              <w:pStyle w:val="12"/>
            </w:pPr>
            <w:r>
              <w:t>≥8310立方米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2835" w:type="dxa"/>
            <w:vAlign w:val="center"/>
          </w:tcPr>
          <w:p>
            <w:pPr>
              <w:pStyle w:val="12"/>
            </w:pPr>
            <w:r>
              <w:t>反应公路标线喷涂工程量</w:t>
            </w:r>
          </w:p>
        </w:tc>
        <w:tc>
          <w:tcPr>
            <w:tcW w:w="2551" w:type="dxa"/>
            <w:vAlign w:val="center"/>
          </w:tcPr>
          <w:p>
            <w:pPr>
              <w:pStyle w:val="12"/>
            </w:pPr>
            <w:r>
              <w:t>≥24000立方米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2835" w:type="dxa"/>
            <w:vAlign w:val="center"/>
          </w:tcPr>
          <w:p>
            <w:pPr>
              <w:pStyle w:val="12"/>
            </w:pPr>
            <w:r>
              <w:t>反应公路路面坑槽挖补面积</w:t>
            </w:r>
          </w:p>
        </w:tc>
        <w:tc>
          <w:tcPr>
            <w:tcW w:w="2551" w:type="dxa"/>
            <w:vAlign w:val="center"/>
          </w:tcPr>
          <w:p>
            <w:pPr>
              <w:pStyle w:val="12"/>
            </w:pPr>
            <w:r>
              <w:t>≥1800平方米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2835" w:type="dxa"/>
            <w:vAlign w:val="center"/>
          </w:tcPr>
          <w:p>
            <w:pPr>
              <w:pStyle w:val="12"/>
            </w:pPr>
            <w:r>
              <w:t>反应购买绿植的数量</w:t>
            </w:r>
          </w:p>
        </w:tc>
        <w:tc>
          <w:tcPr>
            <w:tcW w:w="2551" w:type="dxa"/>
            <w:vAlign w:val="center"/>
          </w:tcPr>
          <w:p>
            <w:pPr>
              <w:pStyle w:val="12"/>
            </w:pPr>
            <w:r>
              <w:t>≥25万株</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质监部门出具合格的建设工程数量占总建设数量的比率</w:t>
            </w:r>
          </w:p>
        </w:tc>
        <w:tc>
          <w:tcPr>
            <w:tcW w:w="2551" w:type="dxa"/>
            <w:vAlign w:val="center"/>
          </w:tcPr>
          <w:p>
            <w:pPr>
              <w:pStyle w:val="12"/>
            </w:pPr>
            <w:r>
              <w:t>100%</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≤180万元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≤88万元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7、关于提前下达2023年农村公路建设养护发展专项资金的通知-农村公路建设改造补助资金（冀财建【2022】267号）绩效目标表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1.通过开展完成农村公路建设改造工程，建设质量达到合格标准，加强农村公路基础设施建设。</w:t>
            </w:r>
          </w:p>
          <w:p>
            <w:pPr>
              <w:pStyle w:val="12"/>
            </w:pPr>
            <w:r>
              <w:t>2.通过改善路况，增强通行能力，方便群众出行，拉动地区经济增长。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完成公路建设里程数</w:t>
            </w:r>
          </w:p>
        </w:tc>
        <w:tc>
          <w:tcPr>
            <w:tcW w:w="2551" w:type="dxa"/>
            <w:vAlign w:val="center"/>
          </w:tcPr>
          <w:p>
            <w:pPr>
              <w:pStyle w:val="12"/>
            </w:pPr>
            <w:r>
              <w:t>≥55.4公里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2835" w:type="dxa"/>
            <w:vAlign w:val="center"/>
          </w:tcPr>
          <w:p>
            <w:pPr>
              <w:pStyle w:val="12"/>
            </w:pPr>
            <w:r>
              <w:t>按合同约定及计划完成道路建设工作</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≤1451万元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2835" w:type="dxa"/>
            <w:vAlign w:val="center"/>
          </w:tcPr>
          <w:p>
            <w:pPr>
              <w:pStyle w:val="12"/>
            </w:pPr>
            <w:r>
              <w:t>严格进行成本管控，按照上级3.5米宽路每公里农村公路建设补助标准，安排支出</w:t>
            </w:r>
          </w:p>
        </w:tc>
        <w:tc>
          <w:tcPr>
            <w:tcW w:w="2551" w:type="dxa"/>
            <w:vAlign w:val="center"/>
          </w:tcPr>
          <w:p>
            <w:pPr>
              <w:pStyle w:val="12"/>
            </w:pPr>
            <w:r>
              <w:t>≤26万元/公里</w:t>
            </w:r>
          </w:p>
        </w:tc>
        <w:tc>
          <w:tcPr>
            <w:tcW w:w="2268"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2835" w:type="dxa"/>
            <w:vAlign w:val="center"/>
          </w:tcPr>
          <w:p>
            <w:pPr>
              <w:pStyle w:val="12"/>
            </w:pPr>
            <w:r>
              <w:t>在公路建设中拉动地区经济发展；公路建成运营后创造价值；方便了公路沿线乡镇与外界的交流。</w:t>
            </w:r>
          </w:p>
        </w:tc>
        <w:tc>
          <w:tcPr>
            <w:tcW w:w="2551" w:type="dxa"/>
            <w:vAlign w:val="center"/>
          </w:tcPr>
          <w:p>
            <w:pPr>
              <w:pStyle w:val="12"/>
            </w:pPr>
            <w:r>
              <w:t>≥500万元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2835" w:type="dxa"/>
            <w:vAlign w:val="center"/>
          </w:tcPr>
          <w:p>
            <w:pPr>
              <w:pStyle w:val="12"/>
            </w:pPr>
            <w:r>
              <w:t>道路完好使用年限</w:t>
            </w:r>
          </w:p>
        </w:tc>
        <w:tc>
          <w:tcPr>
            <w:tcW w:w="2551" w:type="dxa"/>
            <w:vAlign w:val="center"/>
          </w:tcPr>
          <w:p>
            <w:pPr>
              <w:pStyle w:val="12"/>
            </w:pPr>
            <w:r>
              <w:t>≥8年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改善通行服务水平群众满意度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8、关于提前下达2023年农村公路建设养护发展专项资金的通知-农村公路日常养护资金（冀财建【2022】267号）绩效目标表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1.通过完成对农村日常养护工作，保证当地百姓正常出行，保障公路畅通。</w:t>
            </w:r>
          </w:p>
          <w:p>
            <w:pPr>
              <w:pStyle w:val="12"/>
            </w:pPr>
            <w:r>
              <w:t>2.通过完成农村公路日常养护，保障道路交通安全，降低事故发生率。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路基路面日常养护里程</w:t>
            </w:r>
          </w:p>
        </w:tc>
        <w:tc>
          <w:tcPr>
            <w:tcW w:w="2835" w:type="dxa"/>
            <w:vAlign w:val="center"/>
          </w:tcPr>
          <w:p>
            <w:pPr>
              <w:pStyle w:val="12"/>
            </w:pPr>
            <w:r>
              <w:t>反应路基路面日常养护的公里数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≤60万元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≤50万元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9、关于提前下达2023年农村公路建设养护发展专项资金的通知-农村公路养护工程补助资金（冀财建【2022】267号）绩效目标表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1.通过完成对农村公路养护工程工作，保证当地百姓正常出行，保障公路畅通。</w:t>
            </w:r>
          </w:p>
          <w:p>
            <w:pPr>
              <w:pStyle w:val="12"/>
            </w:pPr>
            <w:r>
              <w:t>2.通过完成农村公路养护，保障道路交通安全，降低事故发生率。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2835" w:type="dxa"/>
            <w:vAlign w:val="center"/>
          </w:tcPr>
          <w:p>
            <w:pPr>
              <w:pStyle w:val="12"/>
            </w:pPr>
            <w:r>
              <w:t>反应路基路面整修的公里数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2835" w:type="dxa"/>
            <w:vAlign w:val="center"/>
          </w:tcPr>
          <w:p>
            <w:pPr>
              <w:pStyle w:val="12"/>
            </w:pPr>
            <w:r>
              <w:t>反应公路两旁防护挡墙工程量</w:t>
            </w:r>
          </w:p>
        </w:tc>
        <w:tc>
          <w:tcPr>
            <w:tcW w:w="2551" w:type="dxa"/>
            <w:vAlign w:val="center"/>
          </w:tcPr>
          <w:p>
            <w:pPr>
              <w:pStyle w:val="12"/>
            </w:pPr>
            <w:r>
              <w:t>≥8310立方米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2835" w:type="dxa"/>
            <w:vAlign w:val="center"/>
          </w:tcPr>
          <w:p>
            <w:pPr>
              <w:pStyle w:val="12"/>
            </w:pPr>
            <w:r>
              <w:t>反应公路标线喷涂工程量</w:t>
            </w:r>
          </w:p>
        </w:tc>
        <w:tc>
          <w:tcPr>
            <w:tcW w:w="2551" w:type="dxa"/>
            <w:vAlign w:val="center"/>
          </w:tcPr>
          <w:p>
            <w:pPr>
              <w:pStyle w:val="12"/>
            </w:pPr>
            <w:r>
              <w:t>≥24000立方米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2835" w:type="dxa"/>
            <w:vAlign w:val="center"/>
          </w:tcPr>
          <w:p>
            <w:pPr>
              <w:pStyle w:val="12"/>
            </w:pPr>
            <w:r>
              <w:t>反应公路路面坑槽挖补面积</w:t>
            </w:r>
          </w:p>
        </w:tc>
        <w:tc>
          <w:tcPr>
            <w:tcW w:w="2551" w:type="dxa"/>
            <w:vAlign w:val="center"/>
          </w:tcPr>
          <w:p>
            <w:pPr>
              <w:pStyle w:val="12"/>
            </w:pPr>
            <w:r>
              <w:t>≥1800平方米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2835" w:type="dxa"/>
            <w:vAlign w:val="center"/>
          </w:tcPr>
          <w:p>
            <w:pPr>
              <w:pStyle w:val="12"/>
            </w:pPr>
            <w:r>
              <w:t>反应购买绿植的数量</w:t>
            </w:r>
          </w:p>
        </w:tc>
        <w:tc>
          <w:tcPr>
            <w:tcW w:w="2551" w:type="dxa"/>
            <w:vAlign w:val="center"/>
          </w:tcPr>
          <w:p>
            <w:pPr>
              <w:pStyle w:val="12"/>
            </w:pPr>
            <w:r>
              <w:t>≥25万株</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质监部门出具合格的建设工程数量占总建设数量的比率</w:t>
            </w:r>
          </w:p>
        </w:tc>
        <w:tc>
          <w:tcPr>
            <w:tcW w:w="2551" w:type="dxa"/>
            <w:vAlign w:val="center"/>
          </w:tcPr>
          <w:p>
            <w:pPr>
              <w:pStyle w:val="12"/>
            </w:pPr>
            <w:r>
              <w:t>100%</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≤180万元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≤88万元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10、关于提前下达2023年普通国省干线公路建设养护发展专项资金的通知-干线公路日常养护补助资金（冀财建【2022】266号）绩效目标表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1.通过对全县国省干线公路有效养护，保证当地百姓正常出行。</w:t>
            </w:r>
          </w:p>
          <w:p>
            <w:pPr>
              <w:pStyle w:val="12"/>
            </w:pPr>
            <w:r>
              <w:t>2.通过保证养护工作正常运行，保障公路畅通，带动经济发展。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公路养护里程</w:t>
            </w:r>
          </w:p>
        </w:tc>
        <w:tc>
          <w:tcPr>
            <w:tcW w:w="2835" w:type="dxa"/>
            <w:vAlign w:val="center"/>
          </w:tcPr>
          <w:p>
            <w:pPr>
              <w:pStyle w:val="12"/>
            </w:pPr>
            <w:r>
              <w:t>国省普通干线的养护里程</w:t>
            </w:r>
          </w:p>
        </w:tc>
        <w:tc>
          <w:tcPr>
            <w:tcW w:w="2551" w:type="dxa"/>
            <w:vAlign w:val="center"/>
          </w:tcPr>
          <w:p>
            <w:pPr>
              <w:pStyle w:val="12"/>
            </w:pPr>
            <w:r>
              <w:t>295.03公里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2835" w:type="dxa"/>
            <w:vAlign w:val="center"/>
          </w:tcPr>
          <w:p>
            <w:pPr>
              <w:pStyle w:val="12"/>
            </w:pPr>
            <w:r>
              <w:t>保持正常行政运行所需要的人员数</w:t>
            </w:r>
          </w:p>
        </w:tc>
        <w:tc>
          <w:tcPr>
            <w:tcW w:w="2551" w:type="dxa"/>
            <w:vAlign w:val="center"/>
          </w:tcPr>
          <w:p>
            <w:pPr>
              <w:pStyle w:val="12"/>
            </w:pPr>
            <w:r>
              <w:t>81人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2835" w:type="dxa"/>
            <w:vAlign w:val="center"/>
          </w:tcPr>
          <w:p>
            <w:pPr>
              <w:pStyle w:val="12"/>
            </w:pPr>
            <w:r>
              <w:t>保持正常行政运行所需要的人员数</w:t>
            </w:r>
          </w:p>
        </w:tc>
        <w:tc>
          <w:tcPr>
            <w:tcW w:w="2551" w:type="dxa"/>
            <w:vAlign w:val="center"/>
          </w:tcPr>
          <w:p>
            <w:pPr>
              <w:pStyle w:val="12"/>
            </w:pPr>
            <w:r>
              <w:t>112人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2835" w:type="dxa"/>
            <w:vAlign w:val="center"/>
          </w:tcPr>
          <w:p>
            <w:pPr>
              <w:pStyle w:val="12"/>
            </w:pPr>
            <w:r>
              <w:t>需要小修工程的项目数量</w:t>
            </w:r>
          </w:p>
        </w:tc>
        <w:tc>
          <w:tcPr>
            <w:tcW w:w="2551" w:type="dxa"/>
            <w:vAlign w:val="center"/>
          </w:tcPr>
          <w:p>
            <w:pPr>
              <w:pStyle w:val="12"/>
            </w:pPr>
            <w:r>
              <w:t>8个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公路养护工程合格率（%）</w:t>
            </w:r>
          </w:p>
        </w:tc>
        <w:tc>
          <w:tcPr>
            <w:tcW w:w="2835" w:type="dxa"/>
            <w:vAlign w:val="center"/>
          </w:tcPr>
          <w:p>
            <w:pPr>
              <w:pStyle w:val="12"/>
            </w:pPr>
            <w:r>
              <w:t>普通干线工程质量合格的数量占养护工程总数的比率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养护工作及时性</w:t>
            </w:r>
          </w:p>
        </w:tc>
        <w:tc>
          <w:tcPr>
            <w:tcW w:w="2835" w:type="dxa"/>
            <w:vAlign w:val="center"/>
          </w:tcPr>
          <w:p>
            <w:pPr>
              <w:pStyle w:val="12"/>
            </w:pPr>
            <w:r>
              <w:t>按工作计划，按时完成公路养护</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2835" w:type="dxa"/>
            <w:vAlign w:val="center"/>
          </w:tcPr>
          <w:p>
            <w:pPr>
              <w:pStyle w:val="12"/>
            </w:pPr>
            <w:r>
              <w:t>工程成本控制</w:t>
            </w:r>
          </w:p>
        </w:tc>
        <w:tc>
          <w:tcPr>
            <w:tcW w:w="2551" w:type="dxa"/>
            <w:vAlign w:val="center"/>
          </w:tcPr>
          <w:p>
            <w:pPr>
              <w:pStyle w:val="12"/>
            </w:pPr>
            <w:r>
              <w:t>≤60万元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2835" w:type="dxa"/>
            <w:vAlign w:val="center"/>
          </w:tcPr>
          <w:p>
            <w:pPr>
              <w:pStyle w:val="12"/>
            </w:pPr>
            <w:r>
              <w:t>人员成本控制</w:t>
            </w:r>
          </w:p>
        </w:tc>
        <w:tc>
          <w:tcPr>
            <w:tcW w:w="2551" w:type="dxa"/>
            <w:vAlign w:val="center"/>
          </w:tcPr>
          <w:p>
            <w:pPr>
              <w:pStyle w:val="12"/>
            </w:pPr>
            <w:r>
              <w:t>≤60万元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其他费用控制</w:t>
            </w:r>
          </w:p>
        </w:tc>
        <w:tc>
          <w:tcPr>
            <w:tcW w:w="2835" w:type="dxa"/>
            <w:vAlign w:val="center"/>
          </w:tcPr>
          <w:p>
            <w:pPr>
              <w:pStyle w:val="12"/>
            </w:pPr>
            <w:r>
              <w:t>其他费用控制</w:t>
            </w:r>
          </w:p>
        </w:tc>
        <w:tc>
          <w:tcPr>
            <w:tcW w:w="2551" w:type="dxa"/>
            <w:vAlign w:val="center"/>
          </w:tcPr>
          <w:p>
            <w:pPr>
              <w:pStyle w:val="12"/>
            </w:pPr>
            <w:r>
              <w:t>≤50万元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2835" w:type="dxa"/>
            <w:vAlign w:val="center"/>
          </w:tcPr>
          <w:p>
            <w:pPr>
              <w:pStyle w:val="12"/>
            </w:pPr>
            <w:r>
              <w:t>保证公路畅通的天数除以总天数</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2835" w:type="dxa"/>
            <w:vAlign w:val="center"/>
          </w:tcPr>
          <w:p>
            <w:pPr>
              <w:pStyle w:val="12"/>
            </w:pPr>
            <w:r>
              <w:t>养护人员的满意度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11、关于提前下达2023年普通国省干线公路建设养护发展专项资金的通知-普通公路超限检测站补助资金（冀财建【2022】266号）绩效目标表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1.通过开展依法治理工作，保障治超工作顺利开展。</w:t>
            </w:r>
          </w:p>
          <w:p>
            <w:pPr>
              <w:pStyle w:val="12"/>
            </w:pPr>
            <w:r>
              <w:t>2.通过有效治理超限超载，保障公路安全畅通。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工作人员数量</w:t>
            </w:r>
          </w:p>
        </w:tc>
        <w:tc>
          <w:tcPr>
            <w:tcW w:w="2835" w:type="dxa"/>
            <w:vAlign w:val="center"/>
          </w:tcPr>
          <w:p>
            <w:pPr>
              <w:pStyle w:val="12"/>
            </w:pPr>
            <w:r>
              <w:t>综合治超工作人员的数量</w:t>
            </w:r>
          </w:p>
        </w:tc>
        <w:tc>
          <w:tcPr>
            <w:tcW w:w="2551" w:type="dxa"/>
            <w:vAlign w:val="center"/>
          </w:tcPr>
          <w:p>
            <w:pPr>
              <w:pStyle w:val="12"/>
            </w:pPr>
            <w:r>
              <w:t>199人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管理车辆的数量</w:t>
            </w:r>
          </w:p>
        </w:tc>
        <w:tc>
          <w:tcPr>
            <w:tcW w:w="2835" w:type="dxa"/>
            <w:vAlign w:val="center"/>
          </w:tcPr>
          <w:p>
            <w:pPr>
              <w:pStyle w:val="12"/>
            </w:pPr>
            <w:r>
              <w:t>当年管理的执法及公务车辆总数</w:t>
            </w:r>
          </w:p>
        </w:tc>
        <w:tc>
          <w:tcPr>
            <w:tcW w:w="2551" w:type="dxa"/>
            <w:vAlign w:val="center"/>
          </w:tcPr>
          <w:p>
            <w:pPr>
              <w:pStyle w:val="12"/>
            </w:pPr>
            <w:r>
              <w:t>25辆</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治超机构数量</w:t>
            </w:r>
          </w:p>
        </w:tc>
        <w:tc>
          <w:tcPr>
            <w:tcW w:w="2835" w:type="dxa"/>
            <w:vAlign w:val="center"/>
          </w:tcPr>
          <w:p>
            <w:pPr>
              <w:pStyle w:val="12"/>
            </w:pPr>
            <w:r>
              <w:t>保障正常运转治超机构数量</w:t>
            </w:r>
          </w:p>
        </w:tc>
        <w:tc>
          <w:tcPr>
            <w:tcW w:w="2551" w:type="dxa"/>
            <w:vAlign w:val="center"/>
          </w:tcPr>
          <w:p>
            <w:pPr>
              <w:pStyle w:val="12"/>
            </w:pPr>
            <w:r>
              <w:t>2个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治超工作达标率</w:t>
            </w:r>
          </w:p>
        </w:tc>
        <w:tc>
          <w:tcPr>
            <w:tcW w:w="2835" w:type="dxa"/>
            <w:vAlign w:val="center"/>
          </w:tcPr>
          <w:p>
            <w:pPr>
              <w:pStyle w:val="12"/>
            </w:pPr>
            <w:r>
              <w:t xml:space="preserve"> 反映治超工作达标情况</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按各项经费支出时限完成</w:t>
            </w:r>
          </w:p>
        </w:tc>
        <w:tc>
          <w:tcPr>
            <w:tcW w:w="2551" w:type="dxa"/>
            <w:vAlign w:val="center"/>
          </w:tcPr>
          <w:p>
            <w:pPr>
              <w:pStyle w:val="12"/>
            </w:pPr>
            <w:r>
              <w:t>2023年底前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治超站运行及维护费</w:t>
            </w:r>
          </w:p>
        </w:tc>
        <w:tc>
          <w:tcPr>
            <w:tcW w:w="2835" w:type="dxa"/>
            <w:vAlign w:val="center"/>
          </w:tcPr>
          <w:p>
            <w:pPr>
              <w:pStyle w:val="12"/>
            </w:pPr>
            <w:r>
              <w:t>计划支出治超站运行及维护的费用</w:t>
            </w:r>
          </w:p>
        </w:tc>
        <w:tc>
          <w:tcPr>
            <w:tcW w:w="2551" w:type="dxa"/>
            <w:vAlign w:val="center"/>
          </w:tcPr>
          <w:p>
            <w:pPr>
              <w:pStyle w:val="12"/>
            </w:pPr>
            <w:r>
              <w:t>≤30万元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控制在预算范围内合理使用</w:t>
            </w:r>
          </w:p>
        </w:tc>
        <w:tc>
          <w:tcPr>
            <w:tcW w:w="2551" w:type="dxa"/>
            <w:vAlign w:val="center"/>
          </w:tcPr>
          <w:p>
            <w:pPr>
              <w:pStyle w:val="12"/>
            </w:pPr>
            <w:r>
              <w:t>≤40万元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保障公路安全畅通率</w:t>
            </w:r>
          </w:p>
        </w:tc>
        <w:tc>
          <w:tcPr>
            <w:tcW w:w="2835" w:type="dxa"/>
            <w:vAlign w:val="center"/>
          </w:tcPr>
          <w:p>
            <w:pPr>
              <w:pStyle w:val="12"/>
            </w:pPr>
            <w:r>
              <w:t>通过有效治理超限超载，保障公路安全畅通。</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保障日常工作的持续有序运转率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调查中满意度人数/调查总人数*100%</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12、关于提前下达2023年中央车辆购置税收入补助地方资金预算（第一批）的通知（冀财建【2022】246号绩效目标表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2835" w:type="dxa"/>
            <w:vAlign w:val="center"/>
          </w:tcPr>
          <w:p>
            <w:pPr>
              <w:pStyle w:val="12"/>
            </w:pPr>
            <w:r>
              <w:t>反应实际完成农村公路建设改造里程</w:t>
            </w:r>
          </w:p>
        </w:tc>
        <w:tc>
          <w:tcPr>
            <w:tcW w:w="2551" w:type="dxa"/>
            <w:vAlign w:val="center"/>
          </w:tcPr>
          <w:p>
            <w:pPr>
              <w:pStyle w:val="12"/>
            </w:pPr>
            <w:r>
              <w:t>≥26公里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2835" w:type="dxa"/>
            <w:vAlign w:val="center"/>
          </w:tcPr>
          <w:p>
            <w:pPr>
              <w:pStyle w:val="12"/>
            </w:pPr>
            <w:r>
              <w:t>反应实际完农村公路建设改造宽度</w:t>
            </w:r>
          </w:p>
        </w:tc>
        <w:tc>
          <w:tcPr>
            <w:tcW w:w="2551" w:type="dxa"/>
            <w:vAlign w:val="center"/>
          </w:tcPr>
          <w:p>
            <w:pPr>
              <w:pStyle w:val="12"/>
            </w:pPr>
            <w:r>
              <w:t>≥3.5米</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≤573万元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带动周边乡村经济增长，促进城乡经济一体化，增加群众收入</w:t>
            </w:r>
          </w:p>
        </w:tc>
        <w:tc>
          <w:tcPr>
            <w:tcW w:w="2551" w:type="dxa"/>
            <w:vAlign w:val="center"/>
          </w:tcPr>
          <w:p>
            <w:pPr>
              <w:pStyle w:val="12"/>
            </w:pPr>
            <w:r>
              <w:t>≥100万元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≥12万人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建设改造公路在合理使用年限适应交通需求</w:t>
            </w:r>
          </w:p>
        </w:tc>
        <w:tc>
          <w:tcPr>
            <w:tcW w:w="2551" w:type="dxa"/>
            <w:vAlign w:val="center"/>
          </w:tcPr>
          <w:p>
            <w:pPr>
              <w:pStyle w:val="12"/>
            </w:pPr>
            <w:r>
              <w:t>≥8年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13、关于下达2022年第二批新增政府债券资金的通知-马圈子至蒲杖子道路改建工程（冀财债[2022]13号绩效目标表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1.通过完成道路改建12.87公里，达到改善路况，增强通行能力</w:t>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实际完成建设公路里程</w:t>
            </w:r>
          </w:p>
        </w:tc>
        <w:tc>
          <w:tcPr>
            <w:tcW w:w="2551" w:type="dxa"/>
            <w:vAlign w:val="center"/>
          </w:tcPr>
          <w:p>
            <w:pPr>
              <w:pStyle w:val="12"/>
            </w:pPr>
            <w:r>
              <w:t>≥12.87公里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≤120万元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≥150万元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≥1.2万人次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≥6000人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14、关于下达2022年第二批新增政府债券资金的通知-杨三线孤山子至大北岭工程（冀财债[2022]13号）绩效目标表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1.通过完成道路改建15.55公里，达到改善路况，增强通行能力</w:t>
            </w:r>
            <w:r>
              <w:tab/>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实际建设完成公路里程</w:t>
            </w:r>
          </w:p>
        </w:tc>
        <w:tc>
          <w:tcPr>
            <w:tcW w:w="2551" w:type="dxa"/>
            <w:vAlign w:val="center"/>
          </w:tcPr>
          <w:p>
            <w:pPr>
              <w:pStyle w:val="12"/>
            </w:pPr>
            <w:r>
              <w:t>≥15.55公里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≤410万元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≥200万元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≥6000人次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≥5000人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15、关于下达2022年第六批新增政府债券资金的通知-蒿村大桥至岭东段改建工程（冀财债[2022]30号）绩效目标表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1.通过完成改建道路14.21公里，达到改善路况，增强通行能力</w:t>
            </w:r>
          </w:p>
          <w:p>
            <w:pPr>
              <w:pStyle w:val="12"/>
            </w:pPr>
            <w:r>
              <w:t>2.通过项目的实施，拉动周边地区经济增长，改善人居环境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实际建设完成公路里程</w:t>
            </w:r>
          </w:p>
        </w:tc>
        <w:tc>
          <w:tcPr>
            <w:tcW w:w="2551" w:type="dxa"/>
            <w:vAlign w:val="center"/>
          </w:tcPr>
          <w:p>
            <w:pPr>
              <w:pStyle w:val="12"/>
            </w:pPr>
            <w:r>
              <w:t>≥14.21公里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≤1030万元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≥150万元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≥1.1万人次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≥4000人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16、关于下达2022年第六批新增政府债券资金的通知马圈子至蒲杖子道路改建工程（冀财债[2022]30号）绩效目标表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1.通过完成道路改建12.87公里，达到改善路况，增强通行能力</w:t>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实际完成建设公路里程</w:t>
            </w:r>
          </w:p>
        </w:tc>
        <w:tc>
          <w:tcPr>
            <w:tcW w:w="2551" w:type="dxa"/>
            <w:vAlign w:val="center"/>
          </w:tcPr>
          <w:p>
            <w:pPr>
              <w:pStyle w:val="12"/>
            </w:pPr>
            <w:r>
              <w:t>≥12.87公里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≤480万元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≥150万元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≥1.2万人次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≥6000人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17、关于下达2022年第六批新增政府债券资金杨三线孤山子至大北岭段改造工程（冀财债[2022]30号）绩效目标表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1.通过完成道路改建15.55公里，达到改善路况，增强通行能力</w:t>
            </w:r>
            <w:r>
              <w:tab/>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实际建设完成公路里程</w:t>
            </w:r>
          </w:p>
        </w:tc>
        <w:tc>
          <w:tcPr>
            <w:tcW w:w="2551" w:type="dxa"/>
            <w:vAlign w:val="center"/>
          </w:tcPr>
          <w:p>
            <w:pPr>
              <w:pStyle w:val="12"/>
            </w:pPr>
            <w:r>
              <w:t>≥15.55公里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≤150万元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≥200万元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≥6000人次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≥5000人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18、关于下达2022年农村客运补贴资金、城市交通发展奖励资金预算指标的通知（冀财建【2022】57号）-城市交通发展奖励资金绩效目标表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1.通过对城市运营补贴的及时发放，对巡游出租车进行运营补贴，维护出租车行业稳定。</w:t>
            </w:r>
          </w:p>
          <w:p>
            <w:pPr>
              <w:pStyle w:val="12"/>
            </w:pPr>
            <w:r>
              <w:t>2.通过对城市交通领域新能源车运营进行补贴的发放，促进城市公共交通发展。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2835" w:type="dxa"/>
            <w:vAlign w:val="center"/>
          </w:tcPr>
          <w:p>
            <w:pPr>
              <w:pStyle w:val="12"/>
            </w:pPr>
            <w:r>
              <w:t>巡游出租车运营月数不少于规定数</w:t>
            </w:r>
          </w:p>
        </w:tc>
        <w:tc>
          <w:tcPr>
            <w:tcW w:w="2551" w:type="dxa"/>
            <w:vAlign w:val="center"/>
          </w:tcPr>
          <w:p>
            <w:pPr>
              <w:pStyle w:val="12"/>
            </w:pPr>
            <w:r>
              <w:t>≥2222月</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2835" w:type="dxa"/>
            <w:vAlign w:val="center"/>
          </w:tcPr>
          <w:p>
            <w:pPr>
              <w:pStyle w:val="12"/>
            </w:pPr>
            <w:r>
              <w:t>新能源巡游出租车运营月数不少于规定数</w:t>
            </w:r>
          </w:p>
        </w:tc>
        <w:tc>
          <w:tcPr>
            <w:tcW w:w="2551" w:type="dxa"/>
            <w:vAlign w:val="center"/>
          </w:tcPr>
          <w:p>
            <w:pPr>
              <w:pStyle w:val="12"/>
            </w:pPr>
            <w:r>
              <w:t>≥48月</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资金发放程序规范，资金使用合规</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2835" w:type="dxa"/>
            <w:vAlign w:val="center"/>
          </w:tcPr>
          <w:p>
            <w:pPr>
              <w:pStyle w:val="12"/>
            </w:pPr>
            <w:r>
              <w:t>按相关文件要求时限完成工作</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2835" w:type="dxa"/>
            <w:vAlign w:val="center"/>
          </w:tcPr>
          <w:p>
            <w:pPr>
              <w:pStyle w:val="12"/>
            </w:pPr>
            <w:r>
              <w:t>严格按照补助资金下达数支付资金</w:t>
            </w:r>
          </w:p>
        </w:tc>
        <w:tc>
          <w:tcPr>
            <w:tcW w:w="2551" w:type="dxa"/>
            <w:vAlign w:val="center"/>
          </w:tcPr>
          <w:p>
            <w:pPr>
              <w:pStyle w:val="12"/>
            </w:pPr>
            <w:r>
              <w:t>≤257.82万元</w:t>
            </w:r>
          </w:p>
        </w:tc>
        <w:tc>
          <w:tcPr>
            <w:tcW w:w="2268"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方便群众出行，拉动周边地区经济增长</w:t>
            </w:r>
          </w:p>
        </w:tc>
        <w:tc>
          <w:tcPr>
            <w:tcW w:w="2551" w:type="dxa"/>
            <w:vAlign w:val="center"/>
          </w:tcPr>
          <w:p>
            <w:pPr>
              <w:pStyle w:val="12"/>
            </w:pPr>
            <w:r>
              <w:t>≥100万元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2835" w:type="dxa"/>
            <w:vAlign w:val="center"/>
          </w:tcPr>
          <w:p>
            <w:pPr>
              <w:pStyle w:val="12"/>
            </w:pPr>
            <w:r>
              <w:t>项目实施有效促进出行车行业健康稳定的发展，方便群众出行</w:t>
            </w:r>
          </w:p>
        </w:tc>
        <w:tc>
          <w:tcPr>
            <w:tcW w:w="2551" w:type="dxa"/>
            <w:vAlign w:val="center"/>
          </w:tcPr>
          <w:p>
            <w:pPr>
              <w:pStyle w:val="12"/>
            </w:pPr>
            <w:r>
              <w:t>≥30万人次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减少尾气排放，增加受益人口数</w:t>
            </w:r>
          </w:p>
        </w:tc>
        <w:tc>
          <w:tcPr>
            <w:tcW w:w="2551" w:type="dxa"/>
            <w:vAlign w:val="center"/>
          </w:tcPr>
          <w:p>
            <w:pPr>
              <w:pStyle w:val="12"/>
            </w:pPr>
            <w:r>
              <w:t>≥20万人</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保证城市交通工作长期有效运行</w:t>
            </w:r>
          </w:p>
        </w:tc>
        <w:tc>
          <w:tcPr>
            <w:tcW w:w="2551" w:type="dxa"/>
            <w:vAlign w:val="center"/>
          </w:tcPr>
          <w:p>
            <w:pPr>
              <w:pStyle w:val="12"/>
            </w:pPr>
            <w:r>
              <w:t>≥10年</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19、关于下达2022年农村客运补贴资金、城市交通发展奖励资金预算指标的通知（冀财建【2022】57号）-农村客运补贴资金绩效目标表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1.通过开展运营补贴审核发放工作，保障乡镇和建制村通客车的农村客运班车和城市公共汽电车向农村延伸覆盖。</w:t>
            </w:r>
          </w:p>
          <w:p>
            <w:pPr>
              <w:pStyle w:val="12"/>
            </w:pPr>
            <w:r>
              <w:t>2.通过开展农村客运班车及向农村延伸公交车运营监控的安装工作，强化农村客运安全运行监测，提高运营服务水平。</w:t>
            </w:r>
          </w:p>
          <w:p>
            <w:pPr>
              <w:pStyle w:val="12"/>
            </w:pPr>
            <w:r>
              <w:t>3.通过开展农村客运站运行补贴审核发放工作，保障乡镇和建制村通客车的汽车客运站正常运转。</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完成安装视频监控的客车数量</w:t>
            </w:r>
          </w:p>
        </w:tc>
        <w:tc>
          <w:tcPr>
            <w:tcW w:w="2835" w:type="dxa"/>
            <w:vAlign w:val="center"/>
          </w:tcPr>
          <w:p>
            <w:pPr>
              <w:pStyle w:val="12"/>
            </w:pPr>
            <w:r>
              <w:t>安装智能视频监控的农村道路客运车辆数</w:t>
            </w:r>
          </w:p>
        </w:tc>
        <w:tc>
          <w:tcPr>
            <w:tcW w:w="2551" w:type="dxa"/>
            <w:vAlign w:val="center"/>
          </w:tcPr>
          <w:p>
            <w:pPr>
              <w:pStyle w:val="12"/>
            </w:pPr>
            <w:r>
              <w:t>≥69辆</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2835" w:type="dxa"/>
            <w:vAlign w:val="center"/>
          </w:tcPr>
          <w:p>
            <w:pPr>
              <w:pStyle w:val="12"/>
            </w:pPr>
            <w:r>
              <w:t>保障服务建制村通客车的三级以上汽车客运站运营数量</w:t>
            </w:r>
          </w:p>
        </w:tc>
        <w:tc>
          <w:tcPr>
            <w:tcW w:w="2551" w:type="dxa"/>
            <w:vAlign w:val="center"/>
          </w:tcPr>
          <w:p>
            <w:pPr>
              <w:pStyle w:val="12"/>
            </w:pPr>
            <w:r>
              <w:t>1个</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资金发放程序规范，资金使用合规</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按相关文件要求时限完成工作</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2835" w:type="dxa"/>
            <w:vAlign w:val="center"/>
          </w:tcPr>
          <w:p>
            <w:pPr>
              <w:pStyle w:val="12"/>
            </w:pPr>
            <w:r>
              <w:t>严格按照补助资金下达数支付资金</w:t>
            </w:r>
          </w:p>
        </w:tc>
        <w:tc>
          <w:tcPr>
            <w:tcW w:w="2551" w:type="dxa"/>
            <w:vAlign w:val="center"/>
          </w:tcPr>
          <w:p>
            <w:pPr>
              <w:pStyle w:val="12"/>
            </w:pPr>
            <w:r>
              <w:t>≤87.77万元</w:t>
            </w:r>
          </w:p>
        </w:tc>
        <w:tc>
          <w:tcPr>
            <w:tcW w:w="2268"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方便群众出行，拉动周边地区经济增长</w:t>
            </w:r>
          </w:p>
        </w:tc>
        <w:tc>
          <w:tcPr>
            <w:tcW w:w="2551" w:type="dxa"/>
            <w:vAlign w:val="center"/>
          </w:tcPr>
          <w:p>
            <w:pPr>
              <w:pStyle w:val="12"/>
            </w:pPr>
            <w:r>
              <w:t>≥100万元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项目实施有效保证农村客运班车正常运行，方便群众出行</w:t>
            </w:r>
          </w:p>
        </w:tc>
        <w:tc>
          <w:tcPr>
            <w:tcW w:w="2551" w:type="dxa"/>
            <w:vAlign w:val="center"/>
          </w:tcPr>
          <w:p>
            <w:pPr>
              <w:pStyle w:val="12"/>
            </w:pPr>
            <w:r>
              <w:t>≥15万人次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减少尾气排放，增加受益人口数</w:t>
            </w:r>
          </w:p>
        </w:tc>
        <w:tc>
          <w:tcPr>
            <w:tcW w:w="2551" w:type="dxa"/>
            <w:vAlign w:val="center"/>
          </w:tcPr>
          <w:p>
            <w:pPr>
              <w:pStyle w:val="12"/>
            </w:pPr>
            <w:r>
              <w:t>≥20万人次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保证农村客运工作长期有效运行</w:t>
            </w:r>
          </w:p>
        </w:tc>
        <w:tc>
          <w:tcPr>
            <w:tcW w:w="2551" w:type="dxa"/>
            <w:vAlign w:val="center"/>
          </w:tcPr>
          <w:p>
            <w:pPr>
              <w:pStyle w:val="12"/>
            </w:pPr>
            <w:r>
              <w:t>≥10年</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20、交通人员事业经费绩效目标表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.通过及时发放在职人员工资、取暖费，按时缴纳社保，确保机关单位正常运转。</w:t>
            </w:r>
          </w:p>
          <w:p>
            <w:pPr>
              <w:pStyle w:val="12"/>
            </w:pPr>
            <w:r>
              <w:rPr>
                <w:rFonts w:hint="eastAsia" w:asciiTheme="minorEastAsia" w:hAnsiTheme="minorEastAsia" w:eastAsiaTheme="minorEastAsia"/>
                <w:lang w:eastAsia="zh-CN"/>
              </w:rPr>
              <w:t>2</w:t>
            </w:r>
            <w:r>
              <w:t>.通过按时发放离退休人员交通费、护理费及遗属人员补助，确保离退休及遗属人员待遇。</w:t>
            </w:r>
          </w:p>
          <w:p>
            <w:pPr>
              <w:pStyle w:val="12"/>
            </w:pPr>
            <w:r>
              <w:rPr>
                <w:rFonts w:hint="eastAsia" w:asciiTheme="minorEastAsia" w:hAnsiTheme="minorEastAsia" w:eastAsiaTheme="minorEastAsia"/>
                <w:lang w:eastAsia="zh-CN"/>
              </w:rPr>
              <w:t>3</w:t>
            </w:r>
            <w:r>
              <w:t>.通过及时支付运转经费，保障机关工作正常有序开展。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2835" w:type="dxa"/>
            <w:vAlign w:val="center"/>
          </w:tcPr>
          <w:p>
            <w:pPr>
              <w:pStyle w:val="12"/>
            </w:pPr>
            <w:r>
              <w:t>单位在职职工领取取暖费补助、工资、缴纳社保的人数</w:t>
            </w:r>
          </w:p>
        </w:tc>
        <w:tc>
          <w:tcPr>
            <w:tcW w:w="2551" w:type="dxa"/>
            <w:vAlign w:val="center"/>
          </w:tcPr>
          <w:p>
            <w:pPr>
              <w:pStyle w:val="12"/>
            </w:pPr>
            <w:r>
              <w:t>198人</w:t>
            </w:r>
          </w:p>
        </w:tc>
        <w:tc>
          <w:tcPr>
            <w:tcW w:w="2268"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2835" w:type="dxa"/>
            <w:vAlign w:val="center"/>
          </w:tcPr>
          <w:p>
            <w:pPr>
              <w:pStyle w:val="12"/>
            </w:pPr>
            <w:r>
              <w:t>单位领取补助的退休人员数量</w:t>
            </w:r>
          </w:p>
        </w:tc>
        <w:tc>
          <w:tcPr>
            <w:tcW w:w="2551" w:type="dxa"/>
            <w:vAlign w:val="center"/>
          </w:tcPr>
          <w:p>
            <w:pPr>
              <w:pStyle w:val="12"/>
            </w:pPr>
            <w:r>
              <w:t>58人</w:t>
            </w:r>
          </w:p>
        </w:tc>
        <w:tc>
          <w:tcPr>
            <w:tcW w:w="2268" w:type="dxa"/>
            <w:vAlign w:val="center"/>
          </w:tcPr>
          <w:p>
            <w:pPr>
              <w:pStyle w:val="12"/>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享受遗属补助的人数</w:t>
            </w:r>
          </w:p>
        </w:tc>
        <w:tc>
          <w:tcPr>
            <w:tcW w:w="2835" w:type="dxa"/>
            <w:vAlign w:val="center"/>
          </w:tcPr>
          <w:p>
            <w:pPr>
              <w:pStyle w:val="12"/>
            </w:pPr>
            <w:r>
              <w:t>单位领取遗属补助的人数</w:t>
            </w:r>
          </w:p>
        </w:tc>
        <w:tc>
          <w:tcPr>
            <w:tcW w:w="2551" w:type="dxa"/>
            <w:vAlign w:val="center"/>
          </w:tcPr>
          <w:p>
            <w:pPr>
              <w:pStyle w:val="12"/>
            </w:pPr>
            <w:r>
              <w:t>18人</w:t>
            </w:r>
          </w:p>
        </w:tc>
        <w:tc>
          <w:tcPr>
            <w:tcW w:w="2268" w:type="dxa"/>
            <w:vAlign w:val="center"/>
          </w:tcPr>
          <w:p>
            <w:pPr>
              <w:pStyle w:val="12"/>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2835" w:type="dxa"/>
            <w:vAlign w:val="center"/>
          </w:tcPr>
          <w:p>
            <w:pPr>
              <w:pStyle w:val="12"/>
            </w:pPr>
            <w:r>
              <w:t>人员经费到位资金比例</w:t>
            </w:r>
          </w:p>
        </w:tc>
        <w:tc>
          <w:tcPr>
            <w:tcW w:w="2551" w:type="dxa"/>
            <w:vAlign w:val="center"/>
          </w:tcPr>
          <w:p>
            <w:pPr>
              <w:pStyle w:val="12"/>
            </w:pPr>
            <w:r>
              <w:t>100%</w:t>
            </w:r>
          </w:p>
        </w:tc>
        <w:tc>
          <w:tcPr>
            <w:tcW w:w="2268" w:type="dxa"/>
            <w:vAlign w:val="center"/>
          </w:tcPr>
          <w:p>
            <w:pPr>
              <w:pStyle w:val="12"/>
            </w:pPr>
            <w:r>
              <w:t>2023年预算批复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人员经费发放及时率</w:t>
            </w:r>
          </w:p>
        </w:tc>
        <w:tc>
          <w:tcPr>
            <w:tcW w:w="2551" w:type="dxa"/>
            <w:vAlign w:val="center"/>
          </w:tcPr>
          <w:p>
            <w:pPr>
              <w:pStyle w:val="12"/>
            </w:pPr>
            <w:r>
              <w:t>100%</w:t>
            </w:r>
          </w:p>
        </w:tc>
        <w:tc>
          <w:tcPr>
            <w:tcW w:w="2268" w:type="dxa"/>
            <w:vAlign w:val="center"/>
          </w:tcPr>
          <w:p>
            <w:pPr>
              <w:pStyle w:val="12"/>
            </w:pPr>
            <w:r>
              <w:t>2023年预算批复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遗属补助月标准</w:t>
            </w:r>
          </w:p>
        </w:tc>
        <w:tc>
          <w:tcPr>
            <w:tcW w:w="2835" w:type="dxa"/>
            <w:vAlign w:val="center"/>
          </w:tcPr>
          <w:p>
            <w:pPr>
              <w:pStyle w:val="12"/>
            </w:pPr>
            <w:r>
              <w:t>正常遗属补助按月发放补助的标准</w:t>
            </w:r>
          </w:p>
        </w:tc>
        <w:tc>
          <w:tcPr>
            <w:tcW w:w="2551" w:type="dxa"/>
            <w:vAlign w:val="center"/>
          </w:tcPr>
          <w:p>
            <w:pPr>
              <w:pStyle w:val="12"/>
            </w:pPr>
            <w:r>
              <w:t>726元/人/月</w:t>
            </w:r>
          </w:p>
        </w:tc>
        <w:tc>
          <w:tcPr>
            <w:tcW w:w="2268" w:type="dxa"/>
            <w:vAlign w:val="center"/>
          </w:tcPr>
          <w:p>
            <w:pPr>
              <w:pStyle w:val="12"/>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2835" w:type="dxa"/>
            <w:vAlign w:val="center"/>
          </w:tcPr>
          <w:p>
            <w:pPr>
              <w:pStyle w:val="12"/>
            </w:pPr>
            <w:r>
              <w:t>领取总数除以在职职工领取取暖费补助的人数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2835" w:type="dxa"/>
            <w:vAlign w:val="center"/>
          </w:tcPr>
          <w:p>
            <w:pPr>
              <w:pStyle w:val="12"/>
            </w:pPr>
            <w:r>
              <w:t>领取总数除以退休职工领取取暖费补助的人数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2835" w:type="dxa"/>
            <w:vAlign w:val="center"/>
          </w:tcPr>
          <w:p>
            <w:pPr>
              <w:pStyle w:val="12"/>
            </w:pPr>
            <w:r>
              <w:t>退休人员领取交通费标准</w:t>
            </w:r>
          </w:p>
        </w:tc>
        <w:tc>
          <w:tcPr>
            <w:tcW w:w="2551" w:type="dxa"/>
            <w:vAlign w:val="center"/>
          </w:tcPr>
          <w:p>
            <w:pPr>
              <w:pStyle w:val="12"/>
            </w:pPr>
            <w:r>
              <w:t>60元/人/月</w:t>
            </w:r>
          </w:p>
        </w:tc>
        <w:tc>
          <w:tcPr>
            <w:tcW w:w="2268" w:type="dxa"/>
            <w:vAlign w:val="center"/>
          </w:tcPr>
          <w:p>
            <w:pPr>
              <w:pStyle w:val="12"/>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2835" w:type="dxa"/>
            <w:vAlign w:val="center"/>
          </w:tcPr>
          <w:p>
            <w:pPr>
              <w:pStyle w:val="12"/>
            </w:pPr>
            <w:r>
              <w:t>80周岁以上退休人员领取护理费标准</w:t>
            </w:r>
          </w:p>
        </w:tc>
        <w:tc>
          <w:tcPr>
            <w:tcW w:w="2551" w:type="dxa"/>
            <w:vAlign w:val="center"/>
          </w:tcPr>
          <w:p>
            <w:pPr>
              <w:pStyle w:val="12"/>
            </w:pPr>
            <w:r>
              <w:t>51元/人/月</w:t>
            </w:r>
          </w:p>
        </w:tc>
        <w:tc>
          <w:tcPr>
            <w:tcW w:w="2268" w:type="dxa"/>
            <w:vAlign w:val="center"/>
          </w:tcPr>
          <w:p>
            <w:pPr>
              <w:pStyle w:val="12"/>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2835" w:type="dxa"/>
            <w:vAlign w:val="center"/>
          </w:tcPr>
          <w:p>
            <w:pPr>
              <w:pStyle w:val="12"/>
            </w:pPr>
            <w:r>
              <w:t>通过及时支付运转经费，有效保障单位各项日常工作顺利开展</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通过及时支付运转经费，保障日常工作的持续有序推进</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2835" w:type="dxa"/>
            <w:vAlign w:val="center"/>
          </w:tcPr>
          <w:p>
            <w:pPr>
              <w:pStyle w:val="12"/>
            </w:pPr>
            <w:r>
              <w:t>通过问卷调查，满意和较满意的职工占全部调查职工的比例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21、交通事业人员经费绩效目标表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.通过及时发放在职人员工资、取暖费，按时缴纳社保，确保机关单位正常运转。</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.通过按时发放离退休人员交通费、护理费及遗属人员补助，确保离退休及遗属人员待遇。</w:t>
            </w:r>
            <w:r>
              <w:tab/>
            </w:r>
            <w:r>
              <w:tab/>
            </w:r>
            <w:r>
              <w:tab/>
            </w:r>
            <w:r>
              <w:tab/>
            </w:r>
            <w:r>
              <w:tab/>
            </w:r>
            <w:r>
              <w:tab/>
            </w:r>
          </w:p>
          <w:p>
            <w:pPr>
              <w:pStyle w:val="12"/>
            </w:pPr>
          </w:p>
          <w:p>
            <w:pPr>
              <w:pStyle w:val="12"/>
            </w:pPr>
            <w:r>
              <w:rPr>
                <w:rFonts w:hint="eastAsia" w:asciiTheme="minorEastAsia" w:hAnsiTheme="minorEastAsia" w:eastAsiaTheme="minorEastAsia"/>
                <w:lang w:eastAsia="zh-CN"/>
              </w:rPr>
              <w:t>3</w:t>
            </w:r>
            <w:r>
              <w:t>.通过及时支付运转经费，保障机关工作正常有序开展。</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2835" w:type="dxa"/>
            <w:vAlign w:val="center"/>
          </w:tcPr>
          <w:p>
            <w:pPr>
              <w:pStyle w:val="12"/>
            </w:pPr>
            <w:r>
              <w:t>单位在职职工领取取暖费补助、工资、缴纳社保的人数</w:t>
            </w:r>
          </w:p>
        </w:tc>
        <w:tc>
          <w:tcPr>
            <w:tcW w:w="2551" w:type="dxa"/>
            <w:vAlign w:val="center"/>
          </w:tcPr>
          <w:p>
            <w:pPr>
              <w:pStyle w:val="12"/>
            </w:pPr>
            <w:r>
              <w:t>198人</w:t>
            </w:r>
          </w:p>
        </w:tc>
        <w:tc>
          <w:tcPr>
            <w:tcW w:w="2268"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2835" w:type="dxa"/>
            <w:vAlign w:val="center"/>
          </w:tcPr>
          <w:p>
            <w:pPr>
              <w:pStyle w:val="12"/>
            </w:pPr>
            <w:r>
              <w:t>单位领取补助的退休人员数量</w:t>
            </w:r>
          </w:p>
        </w:tc>
        <w:tc>
          <w:tcPr>
            <w:tcW w:w="2551" w:type="dxa"/>
            <w:vAlign w:val="center"/>
          </w:tcPr>
          <w:p>
            <w:pPr>
              <w:pStyle w:val="12"/>
            </w:pPr>
            <w:r>
              <w:t>58人</w:t>
            </w:r>
          </w:p>
        </w:tc>
        <w:tc>
          <w:tcPr>
            <w:tcW w:w="2268" w:type="dxa"/>
            <w:vAlign w:val="center"/>
          </w:tcPr>
          <w:p>
            <w:pPr>
              <w:pStyle w:val="12"/>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享受遗属补助的人数</w:t>
            </w:r>
          </w:p>
        </w:tc>
        <w:tc>
          <w:tcPr>
            <w:tcW w:w="2835" w:type="dxa"/>
            <w:vAlign w:val="center"/>
          </w:tcPr>
          <w:p>
            <w:pPr>
              <w:pStyle w:val="12"/>
            </w:pPr>
            <w:r>
              <w:t>单位领取遗属补助的人数</w:t>
            </w:r>
          </w:p>
        </w:tc>
        <w:tc>
          <w:tcPr>
            <w:tcW w:w="2551" w:type="dxa"/>
            <w:vAlign w:val="center"/>
          </w:tcPr>
          <w:p>
            <w:pPr>
              <w:pStyle w:val="12"/>
            </w:pPr>
            <w:r>
              <w:t>18人</w:t>
            </w:r>
          </w:p>
        </w:tc>
        <w:tc>
          <w:tcPr>
            <w:tcW w:w="2268" w:type="dxa"/>
            <w:vAlign w:val="center"/>
          </w:tcPr>
          <w:p>
            <w:pPr>
              <w:pStyle w:val="12"/>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2835" w:type="dxa"/>
            <w:vAlign w:val="center"/>
          </w:tcPr>
          <w:p>
            <w:pPr>
              <w:pStyle w:val="12"/>
            </w:pPr>
            <w:r>
              <w:t>人员经费到位资金比例</w:t>
            </w:r>
          </w:p>
        </w:tc>
        <w:tc>
          <w:tcPr>
            <w:tcW w:w="2551" w:type="dxa"/>
            <w:vAlign w:val="center"/>
          </w:tcPr>
          <w:p>
            <w:pPr>
              <w:pStyle w:val="12"/>
            </w:pPr>
            <w:r>
              <w:t>100%</w:t>
            </w:r>
          </w:p>
        </w:tc>
        <w:tc>
          <w:tcPr>
            <w:tcW w:w="2268" w:type="dxa"/>
            <w:vAlign w:val="center"/>
          </w:tcPr>
          <w:p>
            <w:pPr>
              <w:pStyle w:val="12"/>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人员经费发放及时率</w:t>
            </w:r>
          </w:p>
        </w:tc>
        <w:tc>
          <w:tcPr>
            <w:tcW w:w="2551" w:type="dxa"/>
            <w:vAlign w:val="center"/>
          </w:tcPr>
          <w:p>
            <w:pPr>
              <w:pStyle w:val="12"/>
            </w:pPr>
            <w:r>
              <w:t>100%</w:t>
            </w:r>
          </w:p>
        </w:tc>
        <w:tc>
          <w:tcPr>
            <w:tcW w:w="2268" w:type="dxa"/>
            <w:vAlign w:val="center"/>
          </w:tcPr>
          <w:p>
            <w:pPr>
              <w:pStyle w:val="12"/>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遗属补助月标准</w:t>
            </w:r>
          </w:p>
        </w:tc>
        <w:tc>
          <w:tcPr>
            <w:tcW w:w="2835" w:type="dxa"/>
            <w:vAlign w:val="center"/>
          </w:tcPr>
          <w:p>
            <w:pPr>
              <w:pStyle w:val="12"/>
            </w:pPr>
            <w:r>
              <w:t>正常遗属补助按月发放补助的标准</w:t>
            </w:r>
          </w:p>
        </w:tc>
        <w:tc>
          <w:tcPr>
            <w:tcW w:w="2551" w:type="dxa"/>
            <w:vAlign w:val="center"/>
          </w:tcPr>
          <w:p>
            <w:pPr>
              <w:pStyle w:val="12"/>
            </w:pPr>
            <w:r>
              <w:t>726元</w:t>
            </w:r>
          </w:p>
        </w:tc>
        <w:tc>
          <w:tcPr>
            <w:tcW w:w="2268" w:type="dxa"/>
            <w:vAlign w:val="center"/>
          </w:tcPr>
          <w:p>
            <w:pPr>
              <w:pStyle w:val="12"/>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2835" w:type="dxa"/>
            <w:vAlign w:val="center"/>
          </w:tcPr>
          <w:p>
            <w:pPr>
              <w:pStyle w:val="12"/>
            </w:pPr>
            <w:r>
              <w:t>领取总数除以在职职工领取取暖费补助的人数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2835" w:type="dxa"/>
            <w:vAlign w:val="center"/>
          </w:tcPr>
          <w:p>
            <w:pPr>
              <w:pStyle w:val="12"/>
            </w:pPr>
            <w:r>
              <w:t>领取总数除以退休职工领取取暖费补助的人数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2835" w:type="dxa"/>
            <w:vAlign w:val="center"/>
          </w:tcPr>
          <w:p>
            <w:pPr>
              <w:pStyle w:val="12"/>
            </w:pPr>
            <w:r>
              <w:t>退休人员领取交通费标准</w:t>
            </w:r>
          </w:p>
        </w:tc>
        <w:tc>
          <w:tcPr>
            <w:tcW w:w="2551" w:type="dxa"/>
            <w:vAlign w:val="center"/>
          </w:tcPr>
          <w:p>
            <w:pPr>
              <w:pStyle w:val="12"/>
            </w:pPr>
            <w:r>
              <w:t>60元/人/月</w:t>
            </w:r>
          </w:p>
        </w:tc>
        <w:tc>
          <w:tcPr>
            <w:tcW w:w="2268" w:type="dxa"/>
            <w:vAlign w:val="center"/>
          </w:tcPr>
          <w:p>
            <w:pPr>
              <w:pStyle w:val="12"/>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2835" w:type="dxa"/>
            <w:vAlign w:val="center"/>
          </w:tcPr>
          <w:p>
            <w:pPr>
              <w:pStyle w:val="12"/>
            </w:pPr>
            <w:r>
              <w:t>80周岁以上退休人员领取护理费标准</w:t>
            </w:r>
          </w:p>
        </w:tc>
        <w:tc>
          <w:tcPr>
            <w:tcW w:w="2551" w:type="dxa"/>
            <w:vAlign w:val="center"/>
          </w:tcPr>
          <w:p>
            <w:pPr>
              <w:pStyle w:val="12"/>
            </w:pPr>
            <w:r>
              <w:t>51元/人/月</w:t>
            </w:r>
          </w:p>
        </w:tc>
        <w:tc>
          <w:tcPr>
            <w:tcW w:w="2268" w:type="dxa"/>
            <w:vAlign w:val="center"/>
          </w:tcPr>
          <w:p>
            <w:pPr>
              <w:pStyle w:val="12"/>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2835" w:type="dxa"/>
            <w:vAlign w:val="center"/>
          </w:tcPr>
          <w:p>
            <w:pPr>
              <w:pStyle w:val="12"/>
            </w:pPr>
            <w:r>
              <w:t>通过及时支付运转经费，有效保障单位各项日常工作顺利开展</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通过及时支付运转经费，保障日常工作的持续有序推进</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2835" w:type="dxa"/>
            <w:vAlign w:val="center"/>
          </w:tcPr>
          <w:p>
            <w:pPr>
              <w:pStyle w:val="12"/>
            </w:pPr>
            <w:r>
              <w:t>通过问卷调查，满意和较满意的职工占全部调查职工的比例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22、交通战备费绩效目标表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.通过拟订本地区有关国防交通工作的规定，规划本地区国防交通网路布局，对本地区交通建设提出有关国防要求的建议，确保保障应急前线物资的供应</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.通过应急演练，使大家树立危机意识，确保在险情发生时，能够拉得出，打的赢。</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采购雨衣水靴数量</w:t>
            </w:r>
          </w:p>
        </w:tc>
        <w:tc>
          <w:tcPr>
            <w:tcW w:w="2835" w:type="dxa"/>
            <w:vAlign w:val="center"/>
          </w:tcPr>
          <w:p>
            <w:pPr>
              <w:pStyle w:val="12"/>
            </w:pPr>
            <w:r>
              <w:t>采购雨衣、水靴总数量</w:t>
            </w:r>
          </w:p>
        </w:tc>
        <w:tc>
          <w:tcPr>
            <w:tcW w:w="2551" w:type="dxa"/>
            <w:vAlign w:val="center"/>
          </w:tcPr>
          <w:p>
            <w:pPr>
              <w:pStyle w:val="12"/>
            </w:pPr>
            <w:r>
              <w:t>≥30套</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采购铁锹数量</w:t>
            </w:r>
          </w:p>
        </w:tc>
        <w:tc>
          <w:tcPr>
            <w:tcW w:w="2835" w:type="dxa"/>
            <w:vAlign w:val="center"/>
          </w:tcPr>
          <w:p>
            <w:pPr>
              <w:pStyle w:val="12"/>
            </w:pPr>
            <w:r>
              <w:t>采购铁锹数量</w:t>
            </w:r>
          </w:p>
        </w:tc>
        <w:tc>
          <w:tcPr>
            <w:tcW w:w="2551" w:type="dxa"/>
            <w:vAlign w:val="center"/>
          </w:tcPr>
          <w:p>
            <w:pPr>
              <w:pStyle w:val="12"/>
            </w:pPr>
            <w:r>
              <w:t>≥40把</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采购雨伞数量</w:t>
            </w:r>
          </w:p>
        </w:tc>
        <w:tc>
          <w:tcPr>
            <w:tcW w:w="2835" w:type="dxa"/>
            <w:vAlign w:val="center"/>
          </w:tcPr>
          <w:p>
            <w:pPr>
              <w:pStyle w:val="12"/>
            </w:pPr>
            <w:r>
              <w:t>采购雨伞数量</w:t>
            </w:r>
          </w:p>
        </w:tc>
        <w:tc>
          <w:tcPr>
            <w:tcW w:w="2551" w:type="dxa"/>
            <w:vAlign w:val="center"/>
          </w:tcPr>
          <w:p>
            <w:pPr>
              <w:pStyle w:val="12"/>
            </w:pPr>
            <w:r>
              <w:t>≥40把</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采购防汛袋数量</w:t>
            </w:r>
          </w:p>
        </w:tc>
        <w:tc>
          <w:tcPr>
            <w:tcW w:w="2835" w:type="dxa"/>
            <w:vAlign w:val="center"/>
          </w:tcPr>
          <w:p>
            <w:pPr>
              <w:pStyle w:val="12"/>
            </w:pPr>
            <w:r>
              <w:t>采购防汛袋数量</w:t>
            </w:r>
          </w:p>
        </w:tc>
        <w:tc>
          <w:tcPr>
            <w:tcW w:w="2551" w:type="dxa"/>
            <w:vAlign w:val="center"/>
          </w:tcPr>
          <w:p>
            <w:pPr>
              <w:pStyle w:val="12"/>
            </w:pPr>
            <w:r>
              <w:t>≥2000个</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采购救生衣数量</w:t>
            </w:r>
          </w:p>
        </w:tc>
        <w:tc>
          <w:tcPr>
            <w:tcW w:w="2835" w:type="dxa"/>
            <w:vAlign w:val="center"/>
          </w:tcPr>
          <w:p>
            <w:pPr>
              <w:pStyle w:val="12"/>
            </w:pPr>
            <w:r>
              <w:t>采购救生衣数量</w:t>
            </w:r>
          </w:p>
        </w:tc>
        <w:tc>
          <w:tcPr>
            <w:tcW w:w="2551" w:type="dxa"/>
            <w:vAlign w:val="center"/>
          </w:tcPr>
          <w:p>
            <w:pPr>
              <w:pStyle w:val="12"/>
            </w:pPr>
            <w:r>
              <w:t>≥30件</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采购对讲机数量</w:t>
            </w:r>
          </w:p>
        </w:tc>
        <w:tc>
          <w:tcPr>
            <w:tcW w:w="2835" w:type="dxa"/>
            <w:vAlign w:val="center"/>
          </w:tcPr>
          <w:p>
            <w:pPr>
              <w:pStyle w:val="12"/>
            </w:pPr>
            <w:r>
              <w:t>采购对讲机数量</w:t>
            </w:r>
          </w:p>
        </w:tc>
        <w:tc>
          <w:tcPr>
            <w:tcW w:w="2551" w:type="dxa"/>
            <w:vAlign w:val="center"/>
          </w:tcPr>
          <w:p>
            <w:pPr>
              <w:pStyle w:val="12"/>
            </w:pPr>
            <w:r>
              <w:t>≥6台</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采购发电机组数量</w:t>
            </w:r>
          </w:p>
        </w:tc>
        <w:tc>
          <w:tcPr>
            <w:tcW w:w="2835" w:type="dxa"/>
            <w:vAlign w:val="center"/>
          </w:tcPr>
          <w:p>
            <w:pPr>
              <w:pStyle w:val="12"/>
            </w:pPr>
            <w:r>
              <w:t>采购发电机组数量</w:t>
            </w:r>
          </w:p>
        </w:tc>
        <w:tc>
          <w:tcPr>
            <w:tcW w:w="2551" w:type="dxa"/>
            <w:vAlign w:val="center"/>
          </w:tcPr>
          <w:p>
            <w:pPr>
              <w:pStyle w:val="12"/>
            </w:pPr>
            <w:r>
              <w:t>≥2台</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采购电锯数量</w:t>
            </w:r>
          </w:p>
        </w:tc>
        <w:tc>
          <w:tcPr>
            <w:tcW w:w="2835" w:type="dxa"/>
            <w:vAlign w:val="center"/>
          </w:tcPr>
          <w:p>
            <w:pPr>
              <w:pStyle w:val="12"/>
            </w:pPr>
            <w:r>
              <w:t>采购电锯数量</w:t>
            </w:r>
          </w:p>
        </w:tc>
        <w:tc>
          <w:tcPr>
            <w:tcW w:w="2551" w:type="dxa"/>
            <w:vAlign w:val="center"/>
          </w:tcPr>
          <w:p>
            <w:pPr>
              <w:pStyle w:val="12"/>
            </w:pPr>
            <w:r>
              <w:t>≥2台</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采购验收合格率</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发放及时性</w:t>
            </w:r>
          </w:p>
        </w:tc>
        <w:tc>
          <w:tcPr>
            <w:tcW w:w="2835" w:type="dxa"/>
            <w:vAlign w:val="center"/>
          </w:tcPr>
          <w:p>
            <w:pPr>
              <w:pStyle w:val="12"/>
            </w:pPr>
            <w:r>
              <w:t>防汛物资按照应急任务及时发放到位</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按照工作计划及时完成采购入库工作</w:t>
            </w:r>
          </w:p>
        </w:tc>
        <w:tc>
          <w:tcPr>
            <w:tcW w:w="2551" w:type="dxa"/>
            <w:vAlign w:val="center"/>
          </w:tcPr>
          <w:p>
            <w:pPr>
              <w:pStyle w:val="12"/>
            </w:pPr>
            <w:r>
              <w:t>2023年底前</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雨衣水鞋成本</w:t>
            </w:r>
          </w:p>
        </w:tc>
        <w:tc>
          <w:tcPr>
            <w:tcW w:w="2835" w:type="dxa"/>
            <w:vAlign w:val="center"/>
          </w:tcPr>
          <w:p>
            <w:pPr>
              <w:pStyle w:val="12"/>
            </w:pPr>
            <w:r>
              <w:t>采购雨衣水靴每套成本</w:t>
            </w:r>
          </w:p>
        </w:tc>
        <w:tc>
          <w:tcPr>
            <w:tcW w:w="2551" w:type="dxa"/>
            <w:vAlign w:val="center"/>
          </w:tcPr>
          <w:p>
            <w:pPr>
              <w:pStyle w:val="12"/>
            </w:pPr>
            <w:r>
              <w:t>≤270元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铁锹成本</w:t>
            </w:r>
          </w:p>
        </w:tc>
        <w:tc>
          <w:tcPr>
            <w:tcW w:w="2835" w:type="dxa"/>
            <w:vAlign w:val="center"/>
          </w:tcPr>
          <w:p>
            <w:pPr>
              <w:pStyle w:val="12"/>
            </w:pPr>
            <w:r>
              <w:t>采购铁锹每把成本</w:t>
            </w:r>
          </w:p>
        </w:tc>
        <w:tc>
          <w:tcPr>
            <w:tcW w:w="2551" w:type="dxa"/>
            <w:vAlign w:val="center"/>
          </w:tcPr>
          <w:p>
            <w:pPr>
              <w:pStyle w:val="12"/>
            </w:pPr>
            <w:r>
              <w:t>≤25元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雨伞成本</w:t>
            </w:r>
          </w:p>
        </w:tc>
        <w:tc>
          <w:tcPr>
            <w:tcW w:w="2835" w:type="dxa"/>
            <w:vAlign w:val="center"/>
          </w:tcPr>
          <w:p>
            <w:pPr>
              <w:pStyle w:val="12"/>
            </w:pPr>
            <w:r>
              <w:t>采购雨伞每把成本</w:t>
            </w:r>
          </w:p>
        </w:tc>
        <w:tc>
          <w:tcPr>
            <w:tcW w:w="2551" w:type="dxa"/>
            <w:vAlign w:val="center"/>
          </w:tcPr>
          <w:p>
            <w:pPr>
              <w:pStyle w:val="12"/>
            </w:pPr>
            <w:r>
              <w:t>≤50元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防汛袋成本</w:t>
            </w:r>
          </w:p>
        </w:tc>
        <w:tc>
          <w:tcPr>
            <w:tcW w:w="2835" w:type="dxa"/>
            <w:vAlign w:val="center"/>
          </w:tcPr>
          <w:p>
            <w:pPr>
              <w:pStyle w:val="12"/>
            </w:pPr>
            <w:r>
              <w:t>采购防汛袋每个成本</w:t>
            </w:r>
          </w:p>
        </w:tc>
        <w:tc>
          <w:tcPr>
            <w:tcW w:w="2551" w:type="dxa"/>
            <w:vAlign w:val="center"/>
          </w:tcPr>
          <w:p>
            <w:pPr>
              <w:pStyle w:val="12"/>
            </w:pPr>
            <w:r>
              <w:t>≤1元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救生衣成本</w:t>
            </w:r>
          </w:p>
        </w:tc>
        <w:tc>
          <w:tcPr>
            <w:tcW w:w="2835" w:type="dxa"/>
            <w:vAlign w:val="center"/>
          </w:tcPr>
          <w:p>
            <w:pPr>
              <w:pStyle w:val="12"/>
            </w:pPr>
            <w:r>
              <w:t>采购救生衣每件成本</w:t>
            </w:r>
          </w:p>
        </w:tc>
        <w:tc>
          <w:tcPr>
            <w:tcW w:w="2551" w:type="dxa"/>
            <w:vAlign w:val="center"/>
          </w:tcPr>
          <w:p>
            <w:pPr>
              <w:pStyle w:val="12"/>
            </w:pPr>
            <w:r>
              <w:t>≤45元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对讲机成本</w:t>
            </w:r>
          </w:p>
        </w:tc>
        <w:tc>
          <w:tcPr>
            <w:tcW w:w="2835" w:type="dxa"/>
            <w:vAlign w:val="center"/>
          </w:tcPr>
          <w:p>
            <w:pPr>
              <w:pStyle w:val="12"/>
            </w:pPr>
            <w:r>
              <w:t>采购对讲机每台成本</w:t>
            </w:r>
          </w:p>
        </w:tc>
        <w:tc>
          <w:tcPr>
            <w:tcW w:w="2551" w:type="dxa"/>
            <w:vAlign w:val="center"/>
          </w:tcPr>
          <w:p>
            <w:pPr>
              <w:pStyle w:val="12"/>
            </w:pPr>
            <w:r>
              <w:t>≤1000元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发电机成本</w:t>
            </w:r>
          </w:p>
        </w:tc>
        <w:tc>
          <w:tcPr>
            <w:tcW w:w="2835" w:type="dxa"/>
            <w:vAlign w:val="center"/>
          </w:tcPr>
          <w:p>
            <w:pPr>
              <w:pStyle w:val="12"/>
            </w:pPr>
            <w:r>
              <w:t>采购发电机组每台成本</w:t>
            </w:r>
          </w:p>
        </w:tc>
        <w:tc>
          <w:tcPr>
            <w:tcW w:w="2551" w:type="dxa"/>
            <w:vAlign w:val="center"/>
          </w:tcPr>
          <w:p>
            <w:pPr>
              <w:pStyle w:val="12"/>
            </w:pPr>
            <w:r>
              <w:t>≤3000元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电锯成本</w:t>
            </w:r>
          </w:p>
        </w:tc>
        <w:tc>
          <w:tcPr>
            <w:tcW w:w="2835" w:type="dxa"/>
            <w:vAlign w:val="center"/>
          </w:tcPr>
          <w:p>
            <w:pPr>
              <w:pStyle w:val="12"/>
            </w:pPr>
            <w:r>
              <w:t>采购电锯每台成本</w:t>
            </w:r>
          </w:p>
        </w:tc>
        <w:tc>
          <w:tcPr>
            <w:tcW w:w="2551" w:type="dxa"/>
            <w:vAlign w:val="center"/>
          </w:tcPr>
          <w:p>
            <w:pPr>
              <w:pStyle w:val="12"/>
            </w:pPr>
            <w:r>
              <w:t>≤2000元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保障储备物资应急充足</w:t>
            </w:r>
          </w:p>
        </w:tc>
        <w:tc>
          <w:tcPr>
            <w:tcW w:w="2835" w:type="dxa"/>
            <w:vAlign w:val="center"/>
          </w:tcPr>
          <w:p>
            <w:pPr>
              <w:pStyle w:val="12"/>
            </w:pPr>
            <w:r>
              <w:t>项目实施，保障交通储备物资应急供应量充足，有效保障防汛防火期间交通安全畅通运行</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2835" w:type="dxa"/>
            <w:vAlign w:val="center"/>
          </w:tcPr>
          <w:p>
            <w:pPr>
              <w:pStyle w:val="12"/>
            </w:pPr>
            <w:r>
              <w:t>项目实施保障交通战备工作长期有序开展，保证公路畅通，方便百姓出行</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群众满意度调查问卷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23、农村公路建设改造工程资金绩效目标表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.通过开展完成农村公路建设改造工程，建设质量达到合格标准，加强农村公路基础设施建设。</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.通过改善路况，增强通行能力，方便群众出行，拉动地区经济增长。</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完成公路建设里程数</w:t>
            </w:r>
          </w:p>
        </w:tc>
        <w:tc>
          <w:tcPr>
            <w:tcW w:w="2551" w:type="dxa"/>
            <w:vAlign w:val="center"/>
          </w:tcPr>
          <w:p>
            <w:pPr>
              <w:pStyle w:val="12"/>
            </w:pPr>
            <w:r>
              <w:t>≥19.6公里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2835" w:type="dxa"/>
            <w:vAlign w:val="center"/>
          </w:tcPr>
          <w:p>
            <w:pPr>
              <w:pStyle w:val="12"/>
            </w:pPr>
            <w:r>
              <w:t>按合同约定及计划完成道路建设工作</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≤511万元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2835" w:type="dxa"/>
            <w:vAlign w:val="center"/>
          </w:tcPr>
          <w:p>
            <w:pPr>
              <w:pStyle w:val="12"/>
            </w:pPr>
            <w:r>
              <w:t>严格进行成本管控，按照上级3.5米宽路每公里农村公路建设补助标准，安排支出</w:t>
            </w:r>
          </w:p>
        </w:tc>
        <w:tc>
          <w:tcPr>
            <w:tcW w:w="2551" w:type="dxa"/>
            <w:vAlign w:val="center"/>
          </w:tcPr>
          <w:p>
            <w:pPr>
              <w:pStyle w:val="12"/>
            </w:pPr>
            <w:r>
              <w:t>≤26万元/公里</w:t>
            </w:r>
          </w:p>
        </w:tc>
        <w:tc>
          <w:tcPr>
            <w:tcW w:w="2268"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2835" w:type="dxa"/>
            <w:vAlign w:val="center"/>
          </w:tcPr>
          <w:p>
            <w:pPr>
              <w:pStyle w:val="12"/>
            </w:pPr>
            <w:r>
              <w:t>在公路建设中拉动地区经济发展；公路建成运营后创造价值；方便了公路沿线乡镇与外界的交流。</w:t>
            </w:r>
          </w:p>
        </w:tc>
        <w:tc>
          <w:tcPr>
            <w:tcW w:w="2551" w:type="dxa"/>
            <w:vAlign w:val="center"/>
          </w:tcPr>
          <w:p>
            <w:pPr>
              <w:pStyle w:val="12"/>
            </w:pPr>
            <w:r>
              <w:t>≥500万元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2835" w:type="dxa"/>
            <w:vAlign w:val="center"/>
          </w:tcPr>
          <w:p>
            <w:pPr>
              <w:pStyle w:val="12"/>
            </w:pPr>
            <w:r>
              <w:t>道路完好使用年限</w:t>
            </w:r>
          </w:p>
        </w:tc>
        <w:tc>
          <w:tcPr>
            <w:tcW w:w="2551" w:type="dxa"/>
            <w:vAlign w:val="center"/>
          </w:tcPr>
          <w:p>
            <w:pPr>
              <w:pStyle w:val="12"/>
            </w:pPr>
            <w:r>
              <w:t>≥8年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改善通行服务水平群众满意度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24、农村公路养护工程资金绩效目标表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.通过完成对农村公路养护工程工作，保证当地百姓正常出行，保障公路畅通。</w:t>
            </w:r>
          </w:p>
          <w:p>
            <w:pPr>
              <w:pStyle w:val="12"/>
            </w:pPr>
            <w:r>
              <w:rPr>
                <w:rFonts w:hint="eastAsia" w:asciiTheme="minorEastAsia" w:hAnsiTheme="minorEastAsia" w:eastAsiaTheme="minorEastAsia"/>
                <w:lang w:eastAsia="zh-CN"/>
              </w:rPr>
              <w:t>2</w:t>
            </w:r>
            <w:r>
              <w:t>.通过完成农村公路养护，保障道路交通安全，减少事故发生率。</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2835" w:type="dxa"/>
            <w:vAlign w:val="center"/>
          </w:tcPr>
          <w:p>
            <w:pPr>
              <w:pStyle w:val="12"/>
            </w:pPr>
            <w:r>
              <w:t>反应路基路面整修的公里数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2835" w:type="dxa"/>
            <w:vAlign w:val="center"/>
          </w:tcPr>
          <w:p>
            <w:pPr>
              <w:pStyle w:val="12"/>
            </w:pPr>
            <w:r>
              <w:t>反应公路两旁防护挡墙面积</w:t>
            </w:r>
          </w:p>
        </w:tc>
        <w:tc>
          <w:tcPr>
            <w:tcW w:w="2551" w:type="dxa"/>
            <w:vAlign w:val="center"/>
          </w:tcPr>
          <w:p>
            <w:pPr>
              <w:pStyle w:val="12"/>
            </w:pPr>
            <w:r>
              <w:t>≥8310立方米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2835" w:type="dxa"/>
            <w:vAlign w:val="center"/>
          </w:tcPr>
          <w:p>
            <w:pPr>
              <w:pStyle w:val="12"/>
            </w:pPr>
            <w:r>
              <w:t>反应公路标线喷涂面积</w:t>
            </w:r>
          </w:p>
        </w:tc>
        <w:tc>
          <w:tcPr>
            <w:tcW w:w="2551" w:type="dxa"/>
            <w:vAlign w:val="center"/>
          </w:tcPr>
          <w:p>
            <w:pPr>
              <w:pStyle w:val="12"/>
            </w:pPr>
            <w:r>
              <w:t>≥24000立方米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2835" w:type="dxa"/>
            <w:vAlign w:val="center"/>
          </w:tcPr>
          <w:p>
            <w:pPr>
              <w:pStyle w:val="12"/>
            </w:pPr>
            <w:r>
              <w:t>反应公路路面坑槽挖补面积</w:t>
            </w:r>
          </w:p>
        </w:tc>
        <w:tc>
          <w:tcPr>
            <w:tcW w:w="2551" w:type="dxa"/>
            <w:vAlign w:val="center"/>
          </w:tcPr>
          <w:p>
            <w:pPr>
              <w:pStyle w:val="12"/>
            </w:pPr>
            <w:r>
              <w:t>≥1800平方米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2835" w:type="dxa"/>
            <w:vAlign w:val="center"/>
          </w:tcPr>
          <w:p>
            <w:pPr>
              <w:pStyle w:val="12"/>
            </w:pPr>
            <w:r>
              <w:t>反应购买绿植的数量</w:t>
            </w:r>
          </w:p>
        </w:tc>
        <w:tc>
          <w:tcPr>
            <w:tcW w:w="2551" w:type="dxa"/>
            <w:vAlign w:val="center"/>
          </w:tcPr>
          <w:p>
            <w:pPr>
              <w:pStyle w:val="12"/>
            </w:pPr>
            <w:r>
              <w:t>≥25万株</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质监部门出具合格的建设工程数量占总建设数量的比率</w:t>
            </w:r>
          </w:p>
        </w:tc>
        <w:tc>
          <w:tcPr>
            <w:tcW w:w="2551" w:type="dxa"/>
            <w:vAlign w:val="center"/>
          </w:tcPr>
          <w:p>
            <w:pPr>
              <w:pStyle w:val="12"/>
            </w:pPr>
            <w:r>
              <w:t>100%</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≤310万元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≤214万元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公众满意度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25、农村公路养护及运行补贴绩效目标表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.通过保障全县289公里县道养护工作正常有序开展，</w:t>
            </w:r>
            <w:bookmarkStart w:id="18" w:name="_GoBack"/>
            <w:bookmarkEnd w:id="18"/>
            <w:r>
              <w:t>确保公路畅、安、舒、美。</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.通过保障农村公路养护管理部门正常运转，进而保障各项事业正常开展，增强群众满意度。</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养护的里程</w:t>
            </w:r>
          </w:p>
        </w:tc>
        <w:tc>
          <w:tcPr>
            <w:tcW w:w="2835" w:type="dxa"/>
            <w:vAlign w:val="center"/>
          </w:tcPr>
          <w:p>
            <w:pPr>
              <w:pStyle w:val="12"/>
            </w:pPr>
            <w:r>
              <w:t>需要养护的农村公路里程数</w:t>
            </w:r>
          </w:p>
        </w:tc>
        <w:tc>
          <w:tcPr>
            <w:tcW w:w="2551" w:type="dxa"/>
            <w:vAlign w:val="center"/>
          </w:tcPr>
          <w:p>
            <w:pPr>
              <w:pStyle w:val="12"/>
            </w:pPr>
            <w:r>
              <w:t>289公里</w:t>
            </w:r>
          </w:p>
        </w:tc>
        <w:tc>
          <w:tcPr>
            <w:tcW w:w="2268" w:type="dxa"/>
            <w:vAlign w:val="center"/>
          </w:tcPr>
          <w:p>
            <w:pPr>
              <w:pStyle w:val="12"/>
            </w:pPr>
            <w:r>
              <w:t>农村公路里程及2023年工作计划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保障运行机构数量</w:t>
            </w:r>
          </w:p>
        </w:tc>
        <w:tc>
          <w:tcPr>
            <w:tcW w:w="2835" w:type="dxa"/>
            <w:vAlign w:val="center"/>
          </w:tcPr>
          <w:p>
            <w:pPr>
              <w:pStyle w:val="12"/>
            </w:pPr>
            <w:r>
              <w:t>保障农村公路养护管理部门运行数量</w:t>
            </w:r>
          </w:p>
        </w:tc>
        <w:tc>
          <w:tcPr>
            <w:tcW w:w="2551" w:type="dxa"/>
            <w:vAlign w:val="center"/>
          </w:tcPr>
          <w:p>
            <w:pPr>
              <w:pStyle w:val="12"/>
            </w:pPr>
            <w:r>
              <w:t>1个</w:t>
            </w:r>
          </w:p>
        </w:tc>
        <w:tc>
          <w:tcPr>
            <w:tcW w:w="2268" w:type="dxa"/>
            <w:vAlign w:val="center"/>
          </w:tcPr>
          <w:p>
            <w:pPr>
              <w:pStyle w:val="12"/>
            </w:pPr>
            <w:r>
              <w:t>机构编制数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保障工资发放人数</w:t>
            </w:r>
          </w:p>
        </w:tc>
        <w:tc>
          <w:tcPr>
            <w:tcW w:w="2835" w:type="dxa"/>
            <w:vAlign w:val="center"/>
          </w:tcPr>
          <w:p>
            <w:pPr>
              <w:pStyle w:val="12"/>
            </w:pPr>
            <w:r>
              <w:t>保障农村公路养护管理部门人员工资发放人数</w:t>
            </w:r>
          </w:p>
        </w:tc>
        <w:tc>
          <w:tcPr>
            <w:tcW w:w="2551" w:type="dxa"/>
            <w:vAlign w:val="center"/>
          </w:tcPr>
          <w:p>
            <w:pPr>
              <w:pStyle w:val="12"/>
            </w:pPr>
            <w:r>
              <w:t>56人</w:t>
            </w:r>
          </w:p>
        </w:tc>
        <w:tc>
          <w:tcPr>
            <w:tcW w:w="2268"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支付准确率</w:t>
            </w:r>
          </w:p>
        </w:tc>
        <w:tc>
          <w:tcPr>
            <w:tcW w:w="2835" w:type="dxa"/>
            <w:vAlign w:val="center"/>
          </w:tcPr>
          <w:p>
            <w:pPr>
              <w:pStyle w:val="12"/>
            </w:pPr>
            <w:r>
              <w:t>资金支付准确率</w:t>
            </w:r>
          </w:p>
        </w:tc>
        <w:tc>
          <w:tcPr>
            <w:tcW w:w="2551" w:type="dxa"/>
            <w:vAlign w:val="center"/>
          </w:tcPr>
          <w:p>
            <w:pPr>
              <w:pStyle w:val="12"/>
            </w:pPr>
            <w:r>
              <w:t>100%</w:t>
            </w:r>
          </w:p>
        </w:tc>
        <w:tc>
          <w:tcPr>
            <w:tcW w:w="2268" w:type="dxa"/>
            <w:vAlign w:val="center"/>
          </w:tcPr>
          <w:p>
            <w:pPr>
              <w:pStyle w:val="12"/>
            </w:pPr>
            <w:r>
              <w:t>2023年预算计划及工作计划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合规性</w:t>
            </w:r>
          </w:p>
        </w:tc>
        <w:tc>
          <w:tcPr>
            <w:tcW w:w="2835" w:type="dxa"/>
            <w:vAlign w:val="center"/>
          </w:tcPr>
          <w:p>
            <w:pPr>
              <w:pStyle w:val="12"/>
            </w:pPr>
            <w:r>
              <w:t>资金使用合规率</w:t>
            </w:r>
          </w:p>
        </w:tc>
        <w:tc>
          <w:tcPr>
            <w:tcW w:w="2551" w:type="dxa"/>
            <w:vAlign w:val="center"/>
          </w:tcPr>
          <w:p>
            <w:pPr>
              <w:pStyle w:val="12"/>
            </w:pPr>
            <w:r>
              <w:t>100%</w:t>
            </w:r>
          </w:p>
        </w:tc>
        <w:tc>
          <w:tcPr>
            <w:tcW w:w="2268" w:type="dxa"/>
            <w:vAlign w:val="center"/>
          </w:tcPr>
          <w:p>
            <w:pPr>
              <w:pStyle w:val="12"/>
            </w:pPr>
            <w:r>
              <w:t>2023年预算计划及工作计划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按计划及时完成各项工作</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严格进行成本控制，每月每公里的成本预算</w:t>
            </w:r>
          </w:p>
        </w:tc>
        <w:tc>
          <w:tcPr>
            <w:tcW w:w="2551" w:type="dxa"/>
            <w:vAlign w:val="center"/>
          </w:tcPr>
          <w:p>
            <w:pPr>
              <w:pStyle w:val="12"/>
            </w:pPr>
            <w:r>
              <w:t>≤299元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拉动地区经济增长</w:t>
            </w:r>
          </w:p>
        </w:tc>
        <w:tc>
          <w:tcPr>
            <w:tcW w:w="2835" w:type="dxa"/>
            <w:vAlign w:val="center"/>
          </w:tcPr>
          <w:p>
            <w:pPr>
              <w:pStyle w:val="12"/>
            </w:pPr>
            <w:r>
              <w:t>保障公路畅通，拉动地区经济增长</w:t>
            </w:r>
          </w:p>
        </w:tc>
        <w:tc>
          <w:tcPr>
            <w:tcW w:w="2551" w:type="dxa"/>
            <w:vAlign w:val="center"/>
          </w:tcPr>
          <w:p>
            <w:pPr>
              <w:pStyle w:val="12"/>
            </w:pPr>
            <w:r>
              <w:t>≥300万元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w:t>
            </w:r>
          </w:p>
        </w:tc>
        <w:tc>
          <w:tcPr>
            <w:tcW w:w="2835" w:type="dxa"/>
            <w:vAlign w:val="center"/>
          </w:tcPr>
          <w:p>
            <w:pPr>
              <w:pStyle w:val="12"/>
            </w:pPr>
            <w:r>
              <w:t>保障公路畅通，方便群众出行人数</w:t>
            </w:r>
          </w:p>
        </w:tc>
        <w:tc>
          <w:tcPr>
            <w:tcW w:w="2551" w:type="dxa"/>
            <w:vAlign w:val="center"/>
          </w:tcPr>
          <w:p>
            <w:pPr>
              <w:pStyle w:val="12"/>
            </w:pPr>
            <w:r>
              <w:t>≥10万人</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保障公路畅通，适应农村交通长期发展</w:t>
            </w:r>
          </w:p>
        </w:tc>
        <w:tc>
          <w:tcPr>
            <w:tcW w:w="2551" w:type="dxa"/>
            <w:vAlign w:val="center"/>
          </w:tcPr>
          <w:p>
            <w:pPr>
              <w:pStyle w:val="12"/>
            </w:pPr>
            <w:r>
              <w:t>≥10年</w:t>
            </w:r>
          </w:p>
        </w:tc>
        <w:tc>
          <w:tcPr>
            <w:tcW w:w="2268" w:type="dxa"/>
            <w:vAlign w:val="center"/>
          </w:tcPr>
          <w:p>
            <w:pPr>
              <w:pStyle w:val="12"/>
            </w:pPr>
            <w:r>
              <w:t>《河北省公路条例》及2023年工作计划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通过问卷调查，满意和基本满意的人员占所有被调查人员的比例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26、普通国省干线公路日常养护经费绩效目标表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.通过对普通干线公路日常养护及绿化、美化、净化工作，达到畅、安、舒、美的养护目标。</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.通过完成国省干线养护里程295.03公里，保证当地百姓正常出行，保障公路畅通。</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2835" w:type="dxa"/>
            <w:vAlign w:val="center"/>
          </w:tcPr>
          <w:p>
            <w:pPr>
              <w:pStyle w:val="12"/>
            </w:pPr>
            <w:r>
              <w:t>国省干线的养护里程</w:t>
            </w:r>
          </w:p>
        </w:tc>
        <w:tc>
          <w:tcPr>
            <w:tcW w:w="2551" w:type="dxa"/>
            <w:vAlign w:val="center"/>
          </w:tcPr>
          <w:p>
            <w:pPr>
              <w:pStyle w:val="12"/>
            </w:pPr>
            <w:r>
              <w:t>295.03公里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2835" w:type="dxa"/>
            <w:vAlign w:val="center"/>
          </w:tcPr>
          <w:p>
            <w:pPr>
              <w:pStyle w:val="12"/>
            </w:pPr>
            <w:r>
              <w:t>保证正常行政运营所需要的人员数</w:t>
            </w:r>
          </w:p>
        </w:tc>
        <w:tc>
          <w:tcPr>
            <w:tcW w:w="2551" w:type="dxa"/>
            <w:vAlign w:val="center"/>
          </w:tcPr>
          <w:p>
            <w:pPr>
              <w:pStyle w:val="12"/>
            </w:pPr>
            <w:r>
              <w:t>≤81人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2835" w:type="dxa"/>
            <w:vAlign w:val="center"/>
          </w:tcPr>
          <w:p>
            <w:pPr>
              <w:pStyle w:val="12"/>
            </w:pPr>
            <w:r>
              <w:t>保证正常养护需要的人员数</w:t>
            </w:r>
          </w:p>
        </w:tc>
        <w:tc>
          <w:tcPr>
            <w:tcW w:w="2551" w:type="dxa"/>
            <w:vAlign w:val="center"/>
          </w:tcPr>
          <w:p>
            <w:pPr>
              <w:pStyle w:val="12"/>
            </w:pPr>
            <w:r>
              <w:t>≤112人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2835" w:type="dxa"/>
            <w:vAlign w:val="center"/>
          </w:tcPr>
          <w:p>
            <w:pPr>
              <w:pStyle w:val="12"/>
            </w:pPr>
            <w:r>
              <w:t>需要小修工程的项目数</w:t>
            </w:r>
          </w:p>
        </w:tc>
        <w:tc>
          <w:tcPr>
            <w:tcW w:w="2551" w:type="dxa"/>
            <w:vAlign w:val="center"/>
          </w:tcPr>
          <w:p>
            <w:pPr>
              <w:pStyle w:val="12"/>
            </w:pPr>
            <w:r>
              <w:t>8个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2835" w:type="dxa"/>
            <w:vAlign w:val="center"/>
          </w:tcPr>
          <w:p>
            <w:pPr>
              <w:pStyle w:val="12"/>
            </w:pPr>
            <w:r>
              <w:t>普通干线工程质量合格的数量占养护工程总数的比率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2835" w:type="dxa"/>
            <w:vAlign w:val="center"/>
          </w:tcPr>
          <w:p>
            <w:pPr>
              <w:pStyle w:val="12"/>
            </w:pPr>
            <w:r>
              <w:t>资金支付的准确率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按工作计划按时完成</w:t>
            </w:r>
          </w:p>
        </w:tc>
        <w:tc>
          <w:tcPr>
            <w:tcW w:w="2551" w:type="dxa"/>
            <w:vAlign w:val="center"/>
          </w:tcPr>
          <w:p>
            <w:pPr>
              <w:pStyle w:val="12"/>
            </w:pPr>
            <w:r>
              <w:t>2023年底前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2835" w:type="dxa"/>
            <w:vAlign w:val="center"/>
          </w:tcPr>
          <w:p>
            <w:pPr>
              <w:pStyle w:val="12"/>
            </w:pPr>
            <w:r>
              <w:t>相关人员所需费用</w:t>
            </w:r>
          </w:p>
        </w:tc>
        <w:tc>
          <w:tcPr>
            <w:tcW w:w="2551" w:type="dxa"/>
            <w:vAlign w:val="center"/>
          </w:tcPr>
          <w:p>
            <w:pPr>
              <w:pStyle w:val="12"/>
            </w:pPr>
            <w:r>
              <w:t>≤930万元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2835" w:type="dxa"/>
            <w:vAlign w:val="center"/>
          </w:tcPr>
          <w:p>
            <w:pPr>
              <w:pStyle w:val="12"/>
            </w:pPr>
            <w:r>
              <w:t>工程完成所需费用</w:t>
            </w:r>
          </w:p>
        </w:tc>
        <w:tc>
          <w:tcPr>
            <w:tcW w:w="2551" w:type="dxa"/>
            <w:vAlign w:val="center"/>
          </w:tcPr>
          <w:p>
            <w:pPr>
              <w:pStyle w:val="12"/>
            </w:pPr>
            <w:r>
              <w:t>≤641万元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其他成本控制</w:t>
            </w:r>
          </w:p>
        </w:tc>
        <w:tc>
          <w:tcPr>
            <w:tcW w:w="2835" w:type="dxa"/>
            <w:vAlign w:val="center"/>
          </w:tcPr>
          <w:p>
            <w:pPr>
              <w:pStyle w:val="12"/>
            </w:pPr>
            <w:r>
              <w:t>其他相关费用</w:t>
            </w:r>
          </w:p>
        </w:tc>
        <w:tc>
          <w:tcPr>
            <w:tcW w:w="2551" w:type="dxa"/>
            <w:vAlign w:val="center"/>
          </w:tcPr>
          <w:p>
            <w:pPr>
              <w:pStyle w:val="12"/>
            </w:pPr>
            <w:r>
              <w:t>≤151万元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2835" w:type="dxa"/>
            <w:vAlign w:val="center"/>
          </w:tcPr>
          <w:p>
            <w:pPr>
              <w:pStyle w:val="12"/>
            </w:pPr>
            <w:r>
              <w:t>保证公路畅通的天数除以总天数</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2835" w:type="dxa"/>
            <w:vAlign w:val="center"/>
          </w:tcPr>
          <w:p>
            <w:pPr>
              <w:pStyle w:val="12"/>
            </w:pPr>
            <w:r>
              <w:t>养护人员的满意度</w:t>
            </w:r>
          </w:p>
        </w:tc>
        <w:tc>
          <w:tcPr>
            <w:tcW w:w="2551" w:type="dxa"/>
            <w:vAlign w:val="center"/>
          </w:tcPr>
          <w:p>
            <w:pPr>
              <w:pStyle w:val="12"/>
            </w:pPr>
            <w:r>
              <w:t>≥95%</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2023年，青龙满族自治县交通运输局安排政府采购预算0.00万元。具体内容见下表。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348青龙满族自治县交通运输局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青龙满族自治县交通运输局（含所属单位）上年末固定资产金额为</w:t>
      </w:r>
      <w:r>
        <w:rPr>
          <w:rFonts w:hint="eastAsia" w:asciiTheme="minorEastAsia" w:hAnsiTheme="minorEastAsia" w:eastAsiaTheme="minorEastAsia"/>
          <w:color w:val="000000"/>
          <w:sz w:val="28"/>
          <w:lang w:val="en-US" w:eastAsia="zh-CN"/>
        </w:rPr>
        <w:t>520</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348青龙满族自治县交通运输局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资产总额</w:t>
            </w:r>
          </w:p>
        </w:tc>
        <w:tc>
          <w:tcPr>
            <w:tcW w:w="2835" w:type="dxa"/>
            <w:vAlign w:val="center"/>
          </w:tcPr>
          <w:p>
            <w:pPr>
              <w:pStyle w:val="13"/>
            </w:pPr>
          </w:p>
        </w:tc>
        <w:tc>
          <w:tcPr>
            <w:tcW w:w="2835" w:type="dxa"/>
            <w:vAlign w:val="center"/>
          </w:tcPr>
          <w:p>
            <w:pPr>
              <w:pStyle w:val="11"/>
              <w:rPr>
                <w:rFonts w:hint="default" w:eastAsiaTheme="minorEastAsia"/>
                <w:lang w:val="en-US" w:eastAsia="zh-CN"/>
              </w:rPr>
            </w:pPr>
            <w:r>
              <w:rPr>
                <w:rFonts w:hint="eastAsia" w:eastAsiaTheme="minor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1、房屋（平方米）</w:t>
            </w:r>
          </w:p>
        </w:tc>
        <w:tc>
          <w:tcPr>
            <w:tcW w:w="2835" w:type="dxa"/>
            <w:vAlign w:val="center"/>
          </w:tcPr>
          <w:p>
            <w:pPr>
              <w:pStyle w:val="13"/>
              <w:rPr>
                <w:rFonts w:hint="eastAsia" w:eastAsiaTheme="minorEastAsia"/>
                <w:lang w:eastAsia="zh-CN"/>
              </w:rPr>
            </w:pPr>
            <w:r>
              <w:rPr>
                <w:rFonts w:hint="eastAsia" w:eastAsiaTheme="minorEastAsia"/>
                <w:lang w:eastAsia="zh-CN"/>
              </w:rPr>
              <w:t>7166</w:t>
            </w:r>
          </w:p>
        </w:tc>
        <w:tc>
          <w:tcPr>
            <w:tcW w:w="2835" w:type="dxa"/>
            <w:vAlign w:val="center"/>
          </w:tcPr>
          <w:p>
            <w:pPr>
              <w:pStyle w:val="11"/>
              <w:rPr>
                <w:rFonts w:hint="eastAsia" w:eastAsiaTheme="minorEastAsia"/>
                <w:lang w:eastAsia="zh-CN"/>
              </w:rPr>
            </w:pPr>
            <w:r>
              <w:rPr>
                <w:rFonts w:hint="eastAsia" w:eastAsiaTheme="minorEastAsia"/>
                <w:lang w:eastAsia="zh-CN"/>
              </w:rP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 xml:space="preserve">   其中：办公用房</w:t>
            </w:r>
          </w:p>
        </w:tc>
        <w:tc>
          <w:tcPr>
            <w:tcW w:w="2835" w:type="dxa"/>
            <w:vAlign w:val="center"/>
          </w:tcPr>
          <w:p>
            <w:pPr>
              <w:pStyle w:val="13"/>
              <w:rPr>
                <w:rFonts w:hint="eastAsia" w:eastAsiaTheme="minorEastAsia"/>
                <w:lang w:eastAsia="zh-CN"/>
              </w:rPr>
            </w:pPr>
            <w:r>
              <w:rPr>
                <w:rFonts w:hint="eastAsia" w:eastAsiaTheme="minorEastAsia"/>
                <w:lang w:eastAsia="zh-CN"/>
              </w:rPr>
              <w:t>7166</w:t>
            </w:r>
          </w:p>
        </w:tc>
        <w:tc>
          <w:tcPr>
            <w:tcW w:w="2835" w:type="dxa"/>
            <w:vAlign w:val="center"/>
          </w:tcPr>
          <w:p>
            <w:pPr>
              <w:pStyle w:val="11"/>
              <w:rPr>
                <w:rFonts w:hint="eastAsia" w:eastAsiaTheme="minorEastAsia"/>
                <w:lang w:eastAsia="zh-CN"/>
              </w:rPr>
            </w:pPr>
            <w:r>
              <w:rPr>
                <w:rFonts w:hint="eastAsia" w:eastAsiaTheme="minorEastAsia"/>
                <w:lang w:eastAsia="zh-CN"/>
              </w:rP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2、车辆（台、辆）</w:t>
            </w:r>
          </w:p>
        </w:tc>
        <w:tc>
          <w:tcPr>
            <w:tcW w:w="2835" w:type="dxa"/>
            <w:vAlign w:val="center"/>
          </w:tcPr>
          <w:p>
            <w:pPr>
              <w:pStyle w:val="13"/>
              <w:rPr>
                <w:rFonts w:hint="eastAsia" w:eastAsiaTheme="minorEastAsia"/>
                <w:lang w:eastAsia="zh-CN"/>
              </w:rPr>
            </w:pPr>
            <w:r>
              <w:rPr>
                <w:rFonts w:hint="eastAsia" w:eastAsiaTheme="minorEastAsia"/>
                <w:lang w:eastAsia="zh-CN"/>
              </w:rPr>
              <w:t>8</w:t>
            </w:r>
          </w:p>
        </w:tc>
        <w:tc>
          <w:tcPr>
            <w:tcW w:w="2835" w:type="dxa"/>
            <w:vAlign w:val="center"/>
          </w:tcPr>
          <w:p>
            <w:pPr>
              <w:pStyle w:val="11"/>
              <w:rPr>
                <w:rFonts w:hint="eastAsia" w:eastAsiaTheme="minorEastAsia"/>
                <w:lang w:eastAsia="zh-CN"/>
              </w:rPr>
            </w:pPr>
            <w:r>
              <w:rPr>
                <w:rFonts w:hint="eastAsia" w:eastAsiaTheme="minorEastAsia"/>
                <w:lang w:eastAsia="zh-CN"/>
              </w:rPr>
              <w:t>136.98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3、其他固定资产</w:t>
            </w:r>
          </w:p>
        </w:tc>
        <w:tc>
          <w:tcPr>
            <w:tcW w:w="2835" w:type="dxa"/>
            <w:vAlign w:val="center"/>
          </w:tcPr>
          <w:p>
            <w:pPr>
              <w:pStyle w:val="13"/>
              <w:rPr>
                <w:rFonts w:hint="eastAsia" w:eastAsiaTheme="minorEastAsia"/>
                <w:lang w:eastAsia="zh-CN"/>
              </w:rPr>
            </w:pPr>
          </w:p>
        </w:tc>
        <w:tc>
          <w:tcPr>
            <w:tcW w:w="2835" w:type="dxa"/>
            <w:vAlign w:val="center"/>
          </w:tcPr>
          <w:p>
            <w:pPr>
              <w:pStyle w:val="11"/>
              <w:rPr>
                <w:rFonts w:hint="default" w:eastAsiaTheme="minorEastAsia"/>
                <w:lang w:val="en-US" w:eastAsia="zh-CN"/>
              </w:rPr>
            </w:pPr>
            <w:r>
              <w:rPr>
                <w:rFonts w:hint="eastAsia" w:eastAsiaTheme="minorEastAsia"/>
                <w:lang w:val="en-US" w:eastAsia="zh-CN"/>
              </w:rPr>
              <w:t>305.85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626FB"/>
    <w:multiLevelType w:val="singleLevel"/>
    <w:tmpl w:val="EAA626F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ZmQzNzYwMDcwMDIyMTkzZGEwZWZjNjIxZDMxYzEifQ=="/>
  </w:docVars>
  <w:rsids>
    <w:rsidRoot w:val="004876CB"/>
    <w:rsid w:val="00015804"/>
    <w:rsid w:val="000F1799"/>
    <w:rsid w:val="0017074A"/>
    <w:rsid w:val="00177876"/>
    <w:rsid w:val="00247379"/>
    <w:rsid w:val="002B54D0"/>
    <w:rsid w:val="00335081"/>
    <w:rsid w:val="003422B9"/>
    <w:rsid w:val="003A7735"/>
    <w:rsid w:val="004876CB"/>
    <w:rsid w:val="005E5E65"/>
    <w:rsid w:val="00755E5B"/>
    <w:rsid w:val="007651B3"/>
    <w:rsid w:val="0089357F"/>
    <w:rsid w:val="00A16161"/>
    <w:rsid w:val="00AD6CB6"/>
    <w:rsid w:val="00DE6CE8"/>
    <w:rsid w:val="00E42B37"/>
    <w:rsid w:val="00E43B0C"/>
    <w:rsid w:val="00F538F9"/>
    <w:rsid w:val="00F70B3C"/>
    <w:rsid w:val="00FA7ACE"/>
    <w:rsid w:val="03362F2C"/>
    <w:rsid w:val="054918DB"/>
    <w:rsid w:val="06C00500"/>
    <w:rsid w:val="08736F33"/>
    <w:rsid w:val="093166B0"/>
    <w:rsid w:val="12252451"/>
    <w:rsid w:val="264D259A"/>
    <w:rsid w:val="281F5584"/>
    <w:rsid w:val="340204A5"/>
    <w:rsid w:val="3B401E6A"/>
    <w:rsid w:val="41B67F81"/>
    <w:rsid w:val="434A031B"/>
    <w:rsid w:val="4BBA0128"/>
    <w:rsid w:val="4CF40ECD"/>
    <w:rsid w:val="587B2AE6"/>
    <w:rsid w:val="5885666A"/>
    <w:rsid w:val="5DB4466D"/>
    <w:rsid w:val="67A71109"/>
    <w:rsid w:val="6EE053FA"/>
    <w:rsid w:val="74F7608F"/>
    <w:rsid w:val="7BAB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1" Type="http://schemas.openxmlformats.org/officeDocument/2006/relationships/fontTable" Target="fontTable.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2023-02-28T10:30:26Z</dcterms:created>
  <dcterms:modified xsi:type="dcterms:W3CDTF">2023-02-28T02:30:26Z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2023-02-28T10:30:14Z</dcterms:created>
  <dcterms:modified xsi:type="dcterms:W3CDTF">2023-02-28T02:30:13Z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2023-02-28T10:30:31Z</dcterms:created>
  <dcterms:modified xsi:type="dcterms:W3CDTF">2023-02-28T02:30:31Z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2023-02-28T10:30:21Z</dcterms:created>
  <dcterms:modified xsi:type="dcterms:W3CDTF">2023-02-28T02:30:21Z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2023-02-28T10:30:16Z</dcterms:created>
  <dcterms:modified xsi:type="dcterms:W3CDTF">2023-02-28T02:30:16Z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2023-02-28T10:30:24Z</dcterms:created>
  <dcterms:modified xsi:type="dcterms:W3CDTF">2023-02-28T02:30:23Z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2023-02-28T10:30:26Z</dcterms:created>
  <dcterms:modified xsi:type="dcterms:W3CDTF">2023-02-28T02:30:26Z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2023-02-28T10:30:16Z</dcterms:created>
  <dcterms:modified xsi:type="dcterms:W3CDTF">2023-02-28T02:30:16Z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2023-02-28T10:30:16Z</dcterms:created>
  <dcterms:modified xsi:type="dcterms:W3CDTF">2023-02-28T02:30:16Z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Props1.xml><?xml version="1.0" encoding="utf-8"?>
<ds:datastoreItem xmlns:ds="http://schemas.openxmlformats.org/officeDocument/2006/customXml" ds:itemID="{000BD89C-E321-4CDE-AB13-607797B1C34A}">
  <ds:schemaRefs/>
</ds:datastoreItem>
</file>

<file path=customXml/itemProps10.xml><?xml version="1.0" encoding="utf-8"?>
<ds:datastoreItem xmlns:ds="http://schemas.openxmlformats.org/officeDocument/2006/customXml" ds:itemID="{4D9FAE80-414E-4E88-8AF0-BCB7FC78CE1D}">
  <ds:schemaRefs/>
</ds:datastoreItem>
</file>

<file path=customXml/itemProps100.xml><?xml version="1.0" encoding="utf-8"?>
<ds:datastoreItem xmlns:ds="http://schemas.openxmlformats.org/officeDocument/2006/customXml" ds:itemID="{6749A5FB-8D3C-4B72-9298-C75B6E11D621}">
  <ds:schemaRefs/>
</ds:datastoreItem>
</file>

<file path=customXml/itemProps101.xml><?xml version="1.0" encoding="utf-8"?>
<ds:datastoreItem xmlns:ds="http://schemas.openxmlformats.org/officeDocument/2006/customXml" ds:itemID="{A4DC0D1D-3F95-43D7-9B92-C5D6707379C2}">
  <ds:schemaRefs/>
</ds:datastoreItem>
</file>

<file path=customXml/itemProps102.xml><?xml version="1.0" encoding="utf-8"?>
<ds:datastoreItem xmlns:ds="http://schemas.openxmlformats.org/officeDocument/2006/customXml" ds:itemID="{92D2D797-AE28-4E01-929F-0175CEC97ECD}">
  <ds:schemaRefs/>
</ds:datastoreItem>
</file>

<file path=customXml/itemProps103.xml><?xml version="1.0" encoding="utf-8"?>
<ds:datastoreItem xmlns:ds="http://schemas.openxmlformats.org/officeDocument/2006/customXml" ds:itemID="{FD27F631-362C-43F2-AC28-5F4E182FF950}">
  <ds:schemaRefs/>
</ds:datastoreItem>
</file>

<file path=customXml/itemProps104.xml><?xml version="1.0" encoding="utf-8"?>
<ds:datastoreItem xmlns:ds="http://schemas.openxmlformats.org/officeDocument/2006/customXml" ds:itemID="{49AEA42F-F4A9-4542-ACA3-A3F791866048}">
  <ds:schemaRefs/>
</ds:datastoreItem>
</file>

<file path=customXml/itemProps105.xml><?xml version="1.0" encoding="utf-8"?>
<ds:datastoreItem xmlns:ds="http://schemas.openxmlformats.org/officeDocument/2006/customXml" ds:itemID="{A9D7CB5D-3AF4-4D5B-8C31-8C137A5F6F2B}">
  <ds:schemaRefs/>
</ds:datastoreItem>
</file>

<file path=customXml/itemProps106.xml><?xml version="1.0" encoding="utf-8"?>
<ds:datastoreItem xmlns:ds="http://schemas.openxmlformats.org/officeDocument/2006/customXml" ds:itemID="{3BF1ADB5-7A0F-444B-95E1-3D075931D2C8}">
  <ds:schemaRefs/>
</ds:datastoreItem>
</file>

<file path=customXml/itemProps107.xml><?xml version="1.0" encoding="utf-8"?>
<ds:datastoreItem xmlns:ds="http://schemas.openxmlformats.org/officeDocument/2006/customXml" ds:itemID="{440E8CFA-D65F-4A58-99AD-94DFB24610A7}">
  <ds:schemaRefs/>
</ds:datastoreItem>
</file>

<file path=customXml/itemProps108.xml><?xml version="1.0" encoding="utf-8"?>
<ds:datastoreItem xmlns:ds="http://schemas.openxmlformats.org/officeDocument/2006/customXml" ds:itemID="{E2CF3AF2-9B31-4EA7-BD47-DB4679C63084}">
  <ds:schemaRefs/>
</ds:datastoreItem>
</file>

<file path=customXml/itemProps109.xml><?xml version="1.0" encoding="utf-8"?>
<ds:datastoreItem xmlns:ds="http://schemas.openxmlformats.org/officeDocument/2006/customXml" ds:itemID="{CBF99CD4-D380-4AFC-8E24-829108646405}">
  <ds:schemaRefs/>
</ds:datastoreItem>
</file>

<file path=customXml/itemProps11.xml><?xml version="1.0" encoding="utf-8"?>
<ds:datastoreItem xmlns:ds="http://schemas.openxmlformats.org/officeDocument/2006/customXml" ds:itemID="{9CD5E6C1-8D40-4689-9AAF-C662500A111A}">
  <ds:schemaRefs/>
</ds:datastoreItem>
</file>

<file path=customXml/itemProps110.xml><?xml version="1.0" encoding="utf-8"?>
<ds:datastoreItem xmlns:ds="http://schemas.openxmlformats.org/officeDocument/2006/customXml" ds:itemID="{66875786-666C-48FB-88CE-E51217E21C8A}">
  <ds:schemaRefs/>
</ds:datastoreItem>
</file>

<file path=customXml/itemProps111.xml><?xml version="1.0" encoding="utf-8"?>
<ds:datastoreItem xmlns:ds="http://schemas.openxmlformats.org/officeDocument/2006/customXml" ds:itemID="{D4DD26C5-C026-4244-8DA9-E66962F34FC5}">
  <ds:schemaRefs/>
</ds:datastoreItem>
</file>

<file path=customXml/itemProps112.xml><?xml version="1.0" encoding="utf-8"?>
<ds:datastoreItem xmlns:ds="http://schemas.openxmlformats.org/officeDocument/2006/customXml" ds:itemID="{76018C19-4B6C-4E0E-8150-B29374831713}">
  <ds:schemaRefs/>
</ds:datastoreItem>
</file>

<file path=customXml/itemProps113.xml><?xml version="1.0" encoding="utf-8"?>
<ds:datastoreItem xmlns:ds="http://schemas.openxmlformats.org/officeDocument/2006/customXml" ds:itemID="{78426622-ACD9-45DD-8BCF-43FC2D8C80A9}">
  <ds:schemaRefs/>
</ds:datastoreItem>
</file>

<file path=customXml/itemProps114.xml><?xml version="1.0" encoding="utf-8"?>
<ds:datastoreItem xmlns:ds="http://schemas.openxmlformats.org/officeDocument/2006/customXml" ds:itemID="{4C82CE73-8A53-4831-9041-E01688F6D65D}">
  <ds:schemaRefs/>
</ds:datastoreItem>
</file>

<file path=customXml/itemProps12.xml><?xml version="1.0" encoding="utf-8"?>
<ds:datastoreItem xmlns:ds="http://schemas.openxmlformats.org/officeDocument/2006/customXml" ds:itemID="{9215E274-43A5-4132-80CE-1FD8457A7D8A}">
  <ds:schemaRefs/>
</ds:datastoreItem>
</file>

<file path=customXml/itemProps13.xml><?xml version="1.0" encoding="utf-8"?>
<ds:datastoreItem xmlns:ds="http://schemas.openxmlformats.org/officeDocument/2006/customXml" ds:itemID="{095EE8D5-B2BD-421F-8287-FB09148D2D64}">
  <ds:schemaRefs/>
</ds:datastoreItem>
</file>

<file path=customXml/itemProps14.xml><?xml version="1.0" encoding="utf-8"?>
<ds:datastoreItem xmlns:ds="http://schemas.openxmlformats.org/officeDocument/2006/customXml" ds:itemID="{B4EF65C1-6250-4461-A9FD-85AF3FB90AFB}">
  <ds:schemaRefs/>
</ds:datastoreItem>
</file>

<file path=customXml/itemProps15.xml><?xml version="1.0" encoding="utf-8"?>
<ds:datastoreItem xmlns:ds="http://schemas.openxmlformats.org/officeDocument/2006/customXml" ds:itemID="{C51FDEDA-11DC-43FA-AC6D-2A6C4B44B668}">
  <ds:schemaRefs/>
</ds:datastoreItem>
</file>

<file path=customXml/itemProps16.xml><?xml version="1.0" encoding="utf-8"?>
<ds:datastoreItem xmlns:ds="http://schemas.openxmlformats.org/officeDocument/2006/customXml" ds:itemID="{B1E906B9-B407-461C-A60C-D93D34A39C38}">
  <ds:schemaRefs/>
</ds:datastoreItem>
</file>

<file path=customXml/itemProps17.xml><?xml version="1.0" encoding="utf-8"?>
<ds:datastoreItem xmlns:ds="http://schemas.openxmlformats.org/officeDocument/2006/customXml" ds:itemID="{2B8E580E-705D-4CD8-BB57-332194008153}">
  <ds:schemaRefs/>
</ds:datastoreItem>
</file>

<file path=customXml/itemProps18.xml><?xml version="1.0" encoding="utf-8"?>
<ds:datastoreItem xmlns:ds="http://schemas.openxmlformats.org/officeDocument/2006/customXml" ds:itemID="{6B89A977-07AB-46EF-95B6-29F11352E33D}">
  <ds:schemaRefs/>
</ds:datastoreItem>
</file>

<file path=customXml/itemProps19.xml><?xml version="1.0" encoding="utf-8"?>
<ds:datastoreItem xmlns:ds="http://schemas.openxmlformats.org/officeDocument/2006/customXml" ds:itemID="{5FBA6798-BA9B-4DC1-81F0-6CACB733B26B}">
  <ds:schemaRefs/>
</ds:datastoreItem>
</file>

<file path=customXml/itemProps2.xml><?xml version="1.0" encoding="utf-8"?>
<ds:datastoreItem xmlns:ds="http://schemas.openxmlformats.org/officeDocument/2006/customXml" ds:itemID="{D72AE59F-DCF6-4180-BD81-BDE1C19F417B}">
  <ds:schemaRefs/>
</ds:datastoreItem>
</file>

<file path=customXml/itemProps20.xml><?xml version="1.0" encoding="utf-8"?>
<ds:datastoreItem xmlns:ds="http://schemas.openxmlformats.org/officeDocument/2006/customXml" ds:itemID="{41727E4A-04FA-4862-9F05-82633DA59849}">
  <ds:schemaRefs/>
</ds:datastoreItem>
</file>

<file path=customXml/itemProps21.xml><?xml version="1.0" encoding="utf-8"?>
<ds:datastoreItem xmlns:ds="http://schemas.openxmlformats.org/officeDocument/2006/customXml" ds:itemID="{43A1DF5D-3F62-4631-9120-A16482467F46}">
  <ds:schemaRefs/>
</ds:datastoreItem>
</file>

<file path=customXml/itemProps22.xml><?xml version="1.0" encoding="utf-8"?>
<ds:datastoreItem xmlns:ds="http://schemas.openxmlformats.org/officeDocument/2006/customXml" ds:itemID="{D81499C0-AD15-4A2A-98BF-24E2CE25AAE9}">
  <ds:schemaRefs/>
</ds:datastoreItem>
</file>

<file path=customXml/itemProps23.xml><?xml version="1.0" encoding="utf-8"?>
<ds:datastoreItem xmlns:ds="http://schemas.openxmlformats.org/officeDocument/2006/customXml" ds:itemID="{E4E9C990-7D1C-4333-9F95-5FC845CD87A0}">
  <ds:schemaRefs/>
</ds:datastoreItem>
</file>

<file path=customXml/itemProps24.xml><?xml version="1.0" encoding="utf-8"?>
<ds:datastoreItem xmlns:ds="http://schemas.openxmlformats.org/officeDocument/2006/customXml" ds:itemID="{E3031669-7CF3-47F8-8263-E0ACD12B8E8B}">
  <ds:schemaRefs/>
</ds:datastoreItem>
</file>

<file path=customXml/itemProps25.xml><?xml version="1.0" encoding="utf-8"?>
<ds:datastoreItem xmlns:ds="http://schemas.openxmlformats.org/officeDocument/2006/customXml" ds:itemID="{F57DD069-71AA-46D0-8957-2924CAA31071}">
  <ds:schemaRefs/>
</ds:datastoreItem>
</file>

<file path=customXml/itemProps26.xml><?xml version="1.0" encoding="utf-8"?>
<ds:datastoreItem xmlns:ds="http://schemas.openxmlformats.org/officeDocument/2006/customXml" ds:itemID="{A938DE75-24AD-44FF-89AB-1396D556AE4B}">
  <ds:schemaRefs/>
</ds:datastoreItem>
</file>

<file path=customXml/itemProps27.xml><?xml version="1.0" encoding="utf-8"?>
<ds:datastoreItem xmlns:ds="http://schemas.openxmlformats.org/officeDocument/2006/customXml" ds:itemID="{8C2C4DB5-6AD9-41CC-A69D-7F9D87BE1C4B}">
  <ds:schemaRefs/>
</ds:datastoreItem>
</file>

<file path=customXml/itemProps28.xml><?xml version="1.0" encoding="utf-8"?>
<ds:datastoreItem xmlns:ds="http://schemas.openxmlformats.org/officeDocument/2006/customXml" ds:itemID="{2D9C9C87-8925-4137-AE88-3213303BCE48}">
  <ds:schemaRefs/>
</ds:datastoreItem>
</file>

<file path=customXml/itemProps29.xml><?xml version="1.0" encoding="utf-8"?>
<ds:datastoreItem xmlns:ds="http://schemas.openxmlformats.org/officeDocument/2006/customXml" ds:itemID="{E3CBF023-B4E3-4939-BEC9-5695C8991953}">
  <ds:schemaRefs/>
</ds:datastoreItem>
</file>

<file path=customXml/itemProps3.xml><?xml version="1.0" encoding="utf-8"?>
<ds:datastoreItem xmlns:ds="http://schemas.openxmlformats.org/officeDocument/2006/customXml" ds:itemID="{8A39ACD2-3328-4CC6-839A-DEE9C157446A}">
  <ds:schemaRefs/>
</ds:datastoreItem>
</file>

<file path=customXml/itemProps30.xml><?xml version="1.0" encoding="utf-8"?>
<ds:datastoreItem xmlns:ds="http://schemas.openxmlformats.org/officeDocument/2006/customXml" ds:itemID="{4A5AF573-468D-46C6-92EC-0779BC0D765A}">
  <ds:schemaRefs/>
</ds:datastoreItem>
</file>

<file path=customXml/itemProps31.xml><?xml version="1.0" encoding="utf-8"?>
<ds:datastoreItem xmlns:ds="http://schemas.openxmlformats.org/officeDocument/2006/customXml" ds:itemID="{1005E477-DFAE-4D7A-B605-DF7C4B4092FA}">
  <ds:schemaRefs/>
</ds:datastoreItem>
</file>

<file path=customXml/itemProps32.xml><?xml version="1.0" encoding="utf-8"?>
<ds:datastoreItem xmlns:ds="http://schemas.openxmlformats.org/officeDocument/2006/customXml" ds:itemID="{2BB6AED1-4EB4-4B15-A1D8-BDF642DCC57C}">
  <ds:schemaRefs/>
</ds:datastoreItem>
</file>

<file path=customXml/itemProps33.xml><?xml version="1.0" encoding="utf-8"?>
<ds:datastoreItem xmlns:ds="http://schemas.openxmlformats.org/officeDocument/2006/customXml" ds:itemID="{7697AB12-D72C-4FCD-B0CF-8BA2742518E7}">
  <ds:schemaRefs/>
</ds:datastoreItem>
</file>

<file path=customXml/itemProps34.xml><?xml version="1.0" encoding="utf-8"?>
<ds:datastoreItem xmlns:ds="http://schemas.openxmlformats.org/officeDocument/2006/customXml" ds:itemID="{8897F976-01CF-43D3-BD74-0FACC28D70D3}">
  <ds:schemaRefs/>
</ds:datastoreItem>
</file>

<file path=customXml/itemProps35.xml><?xml version="1.0" encoding="utf-8"?>
<ds:datastoreItem xmlns:ds="http://schemas.openxmlformats.org/officeDocument/2006/customXml" ds:itemID="{4C628EA8-C70F-4073-98B9-A98F7BD2ABFE}">
  <ds:schemaRefs/>
</ds:datastoreItem>
</file>

<file path=customXml/itemProps36.xml><?xml version="1.0" encoding="utf-8"?>
<ds:datastoreItem xmlns:ds="http://schemas.openxmlformats.org/officeDocument/2006/customXml" ds:itemID="{E6C200CC-7AC5-46E9-B38F-B9FE0455F87B}">
  <ds:schemaRefs/>
</ds:datastoreItem>
</file>

<file path=customXml/itemProps37.xml><?xml version="1.0" encoding="utf-8"?>
<ds:datastoreItem xmlns:ds="http://schemas.openxmlformats.org/officeDocument/2006/customXml" ds:itemID="{7C8BB87F-46A9-4285-90A0-9A929BB883E3}">
  <ds:schemaRefs/>
</ds:datastoreItem>
</file>

<file path=customXml/itemProps38.xml><?xml version="1.0" encoding="utf-8"?>
<ds:datastoreItem xmlns:ds="http://schemas.openxmlformats.org/officeDocument/2006/customXml" ds:itemID="{2E275F43-2A4F-4CB7-AAD5-57CE820A9AFB}">
  <ds:schemaRefs/>
</ds:datastoreItem>
</file>

<file path=customXml/itemProps39.xml><?xml version="1.0" encoding="utf-8"?>
<ds:datastoreItem xmlns:ds="http://schemas.openxmlformats.org/officeDocument/2006/customXml" ds:itemID="{BB70B922-0C1D-4369-B258-2A1325C848C1}">
  <ds:schemaRefs/>
</ds:datastoreItem>
</file>

<file path=customXml/itemProps4.xml><?xml version="1.0" encoding="utf-8"?>
<ds:datastoreItem xmlns:ds="http://schemas.openxmlformats.org/officeDocument/2006/customXml" ds:itemID="{19CF2DB4-814D-40ED-98F3-2CEAAF6E28F8}">
  <ds:schemaRefs/>
</ds:datastoreItem>
</file>

<file path=customXml/itemProps40.xml><?xml version="1.0" encoding="utf-8"?>
<ds:datastoreItem xmlns:ds="http://schemas.openxmlformats.org/officeDocument/2006/customXml" ds:itemID="{438B3117-A846-43F5-84FC-2DB27126980C}">
  <ds:schemaRefs/>
</ds:datastoreItem>
</file>

<file path=customXml/itemProps41.xml><?xml version="1.0" encoding="utf-8"?>
<ds:datastoreItem xmlns:ds="http://schemas.openxmlformats.org/officeDocument/2006/customXml" ds:itemID="{E1EDD775-9A5C-4F46-96DA-6107CBD2DD28}">
  <ds:schemaRefs/>
</ds:datastoreItem>
</file>

<file path=customXml/itemProps42.xml><?xml version="1.0" encoding="utf-8"?>
<ds:datastoreItem xmlns:ds="http://schemas.openxmlformats.org/officeDocument/2006/customXml" ds:itemID="{B71FDE13-7FEB-4BE7-8AF1-0182834D5B88}">
  <ds:schemaRefs/>
</ds:datastoreItem>
</file>

<file path=customXml/itemProps43.xml><?xml version="1.0" encoding="utf-8"?>
<ds:datastoreItem xmlns:ds="http://schemas.openxmlformats.org/officeDocument/2006/customXml" ds:itemID="{27EE4E80-BFFF-47D3-B3C6-3E845CA3F025}">
  <ds:schemaRefs/>
</ds:datastoreItem>
</file>

<file path=customXml/itemProps44.xml><?xml version="1.0" encoding="utf-8"?>
<ds:datastoreItem xmlns:ds="http://schemas.openxmlformats.org/officeDocument/2006/customXml" ds:itemID="{D757BE86-FA41-4E82-8C7F-142BDAB813C3}">
  <ds:schemaRefs/>
</ds:datastoreItem>
</file>

<file path=customXml/itemProps45.xml><?xml version="1.0" encoding="utf-8"?>
<ds:datastoreItem xmlns:ds="http://schemas.openxmlformats.org/officeDocument/2006/customXml" ds:itemID="{272F946C-C6B4-4FE5-BF6D-543E535A53E4}">
  <ds:schemaRefs/>
</ds:datastoreItem>
</file>

<file path=customXml/itemProps46.xml><?xml version="1.0" encoding="utf-8"?>
<ds:datastoreItem xmlns:ds="http://schemas.openxmlformats.org/officeDocument/2006/customXml" ds:itemID="{821C1096-8432-4B04-8342-9BAA27F140E9}">
  <ds:schemaRefs/>
</ds:datastoreItem>
</file>

<file path=customXml/itemProps47.xml><?xml version="1.0" encoding="utf-8"?>
<ds:datastoreItem xmlns:ds="http://schemas.openxmlformats.org/officeDocument/2006/customXml" ds:itemID="{4DE67FD7-5F95-497D-AC77-6C3FD7A7ADC6}">
  <ds:schemaRefs/>
</ds:datastoreItem>
</file>

<file path=customXml/itemProps48.xml><?xml version="1.0" encoding="utf-8"?>
<ds:datastoreItem xmlns:ds="http://schemas.openxmlformats.org/officeDocument/2006/customXml" ds:itemID="{B1B12A39-A112-426C-8405-FE23E180B1F8}">
  <ds:schemaRefs/>
</ds:datastoreItem>
</file>

<file path=customXml/itemProps49.xml><?xml version="1.0" encoding="utf-8"?>
<ds:datastoreItem xmlns:ds="http://schemas.openxmlformats.org/officeDocument/2006/customXml" ds:itemID="{DA203ADD-CBE1-4E9F-B230-9DA78947C514}">
  <ds:schemaRefs/>
</ds:datastoreItem>
</file>

<file path=customXml/itemProps5.xml><?xml version="1.0" encoding="utf-8"?>
<ds:datastoreItem xmlns:ds="http://schemas.openxmlformats.org/officeDocument/2006/customXml" ds:itemID="{2F4EA2AF-DFAD-4CE6-A5E1-E29D944F149E}">
  <ds:schemaRefs/>
</ds:datastoreItem>
</file>

<file path=customXml/itemProps50.xml><?xml version="1.0" encoding="utf-8"?>
<ds:datastoreItem xmlns:ds="http://schemas.openxmlformats.org/officeDocument/2006/customXml" ds:itemID="{CFEF3F3A-AE5E-4A42-8D9B-D95DB1635ACE}">
  <ds:schemaRefs/>
</ds:datastoreItem>
</file>

<file path=customXml/itemProps51.xml><?xml version="1.0" encoding="utf-8"?>
<ds:datastoreItem xmlns:ds="http://schemas.openxmlformats.org/officeDocument/2006/customXml" ds:itemID="{F184EF0C-7A4B-41BD-A6C9-6906CF1CD25E}">
  <ds:schemaRefs/>
</ds:datastoreItem>
</file>

<file path=customXml/itemProps52.xml><?xml version="1.0" encoding="utf-8"?>
<ds:datastoreItem xmlns:ds="http://schemas.openxmlformats.org/officeDocument/2006/customXml" ds:itemID="{7DE51260-6809-4FD4-9052-4637B96B311D}">
  <ds:schemaRefs/>
</ds:datastoreItem>
</file>

<file path=customXml/itemProps53.xml><?xml version="1.0" encoding="utf-8"?>
<ds:datastoreItem xmlns:ds="http://schemas.openxmlformats.org/officeDocument/2006/customXml" ds:itemID="{20501410-1CDF-4648-9530-8FCB52969149}">
  <ds:schemaRefs/>
</ds:datastoreItem>
</file>

<file path=customXml/itemProps54.xml><?xml version="1.0" encoding="utf-8"?>
<ds:datastoreItem xmlns:ds="http://schemas.openxmlformats.org/officeDocument/2006/customXml" ds:itemID="{29C88D07-92DE-4EEA-A597-987B5ABDE970}">
  <ds:schemaRefs/>
</ds:datastoreItem>
</file>

<file path=customXml/itemProps55.xml><?xml version="1.0" encoding="utf-8"?>
<ds:datastoreItem xmlns:ds="http://schemas.openxmlformats.org/officeDocument/2006/customXml" ds:itemID="{6BE70B88-3B58-4BBB-84D0-719ECC5FA5B5}">
  <ds:schemaRefs/>
</ds:datastoreItem>
</file>

<file path=customXml/itemProps56.xml><?xml version="1.0" encoding="utf-8"?>
<ds:datastoreItem xmlns:ds="http://schemas.openxmlformats.org/officeDocument/2006/customXml" ds:itemID="{229885D6-D8D5-4324-8346-63DE2BA496C8}">
  <ds:schemaRefs/>
</ds:datastoreItem>
</file>

<file path=customXml/itemProps57.xml><?xml version="1.0" encoding="utf-8"?>
<ds:datastoreItem xmlns:ds="http://schemas.openxmlformats.org/officeDocument/2006/customXml" ds:itemID="{0B1605F0-7F3D-4160-8339-3492BF8F8177}">
  <ds:schemaRefs/>
</ds:datastoreItem>
</file>

<file path=customXml/itemProps58.xml><?xml version="1.0" encoding="utf-8"?>
<ds:datastoreItem xmlns:ds="http://schemas.openxmlformats.org/officeDocument/2006/customXml" ds:itemID="{0B67099E-5A6F-4565-AAFE-11D9DEBE48F6}">
  <ds:schemaRefs/>
</ds:datastoreItem>
</file>

<file path=customXml/itemProps59.xml><?xml version="1.0" encoding="utf-8"?>
<ds:datastoreItem xmlns:ds="http://schemas.openxmlformats.org/officeDocument/2006/customXml" ds:itemID="{D5720B33-5F33-43A0-89EE-512E8336368F}">
  <ds:schemaRefs/>
</ds:datastoreItem>
</file>

<file path=customXml/itemProps6.xml><?xml version="1.0" encoding="utf-8"?>
<ds:datastoreItem xmlns:ds="http://schemas.openxmlformats.org/officeDocument/2006/customXml" ds:itemID="{C8CF8572-38A2-4143-80F9-839284E9A940}">
  <ds:schemaRefs/>
</ds:datastoreItem>
</file>

<file path=customXml/itemProps60.xml><?xml version="1.0" encoding="utf-8"?>
<ds:datastoreItem xmlns:ds="http://schemas.openxmlformats.org/officeDocument/2006/customXml" ds:itemID="{F55857B2-D6B0-46A2-AFBD-A457C8E872E3}">
  <ds:schemaRefs/>
</ds:datastoreItem>
</file>

<file path=customXml/itemProps61.xml><?xml version="1.0" encoding="utf-8"?>
<ds:datastoreItem xmlns:ds="http://schemas.openxmlformats.org/officeDocument/2006/customXml" ds:itemID="{E94FBA6A-C8A0-4329-9C03-AEEEF6118DDA}">
  <ds:schemaRefs/>
</ds:datastoreItem>
</file>

<file path=customXml/itemProps62.xml><?xml version="1.0" encoding="utf-8"?>
<ds:datastoreItem xmlns:ds="http://schemas.openxmlformats.org/officeDocument/2006/customXml" ds:itemID="{E2A0AD31-2407-4A2D-978B-AB14BC18E02D}">
  <ds:schemaRefs/>
</ds:datastoreItem>
</file>

<file path=customXml/itemProps63.xml><?xml version="1.0" encoding="utf-8"?>
<ds:datastoreItem xmlns:ds="http://schemas.openxmlformats.org/officeDocument/2006/customXml" ds:itemID="{0114930A-D69F-43CA-AB91-527EA1FD1156}">
  <ds:schemaRefs/>
</ds:datastoreItem>
</file>

<file path=customXml/itemProps64.xml><?xml version="1.0" encoding="utf-8"?>
<ds:datastoreItem xmlns:ds="http://schemas.openxmlformats.org/officeDocument/2006/customXml" ds:itemID="{FA86E55B-AC29-4643-B3E3-E3D7F2EE0E11}">
  <ds:schemaRefs/>
</ds:datastoreItem>
</file>

<file path=customXml/itemProps65.xml><?xml version="1.0" encoding="utf-8"?>
<ds:datastoreItem xmlns:ds="http://schemas.openxmlformats.org/officeDocument/2006/customXml" ds:itemID="{249FCACF-2E56-4F3B-9B53-A4E511ABB94A}">
  <ds:schemaRefs/>
</ds:datastoreItem>
</file>

<file path=customXml/itemProps66.xml><?xml version="1.0" encoding="utf-8"?>
<ds:datastoreItem xmlns:ds="http://schemas.openxmlformats.org/officeDocument/2006/customXml" ds:itemID="{2AD53E72-320A-4995-BC01-EEA583289C8A}">
  <ds:schemaRefs/>
</ds:datastoreItem>
</file>

<file path=customXml/itemProps67.xml><?xml version="1.0" encoding="utf-8"?>
<ds:datastoreItem xmlns:ds="http://schemas.openxmlformats.org/officeDocument/2006/customXml" ds:itemID="{875DF6E2-553D-4CC3-B820-9174E905F12E}">
  <ds:schemaRefs/>
</ds:datastoreItem>
</file>

<file path=customXml/itemProps68.xml><?xml version="1.0" encoding="utf-8"?>
<ds:datastoreItem xmlns:ds="http://schemas.openxmlformats.org/officeDocument/2006/customXml" ds:itemID="{3BE6E8A0-526A-4CB9-9C01-D36C27EB5D96}">
  <ds:schemaRefs/>
</ds:datastoreItem>
</file>

<file path=customXml/itemProps69.xml><?xml version="1.0" encoding="utf-8"?>
<ds:datastoreItem xmlns:ds="http://schemas.openxmlformats.org/officeDocument/2006/customXml" ds:itemID="{C2E35A90-4E84-4022-AF8C-002351429B1A}">
  <ds:schemaRefs/>
</ds:datastoreItem>
</file>

<file path=customXml/itemProps7.xml><?xml version="1.0" encoding="utf-8"?>
<ds:datastoreItem xmlns:ds="http://schemas.openxmlformats.org/officeDocument/2006/customXml" ds:itemID="{A3C2DCA7-0068-4466-9A49-1F27DB391FBA}">
  <ds:schemaRefs/>
</ds:datastoreItem>
</file>

<file path=customXml/itemProps70.xml><?xml version="1.0" encoding="utf-8"?>
<ds:datastoreItem xmlns:ds="http://schemas.openxmlformats.org/officeDocument/2006/customXml" ds:itemID="{35D38648-203A-4335-97F4-C83A1F9BB9DC}">
  <ds:schemaRefs/>
</ds:datastoreItem>
</file>

<file path=customXml/itemProps71.xml><?xml version="1.0" encoding="utf-8"?>
<ds:datastoreItem xmlns:ds="http://schemas.openxmlformats.org/officeDocument/2006/customXml" ds:itemID="{3AAC8B2E-C139-427B-B55A-8FEB997243A3}">
  <ds:schemaRefs/>
</ds:datastoreItem>
</file>

<file path=customXml/itemProps72.xml><?xml version="1.0" encoding="utf-8"?>
<ds:datastoreItem xmlns:ds="http://schemas.openxmlformats.org/officeDocument/2006/customXml" ds:itemID="{5E6D01C6-0A5F-4581-AE60-ED4F15E8D58C}">
  <ds:schemaRefs/>
</ds:datastoreItem>
</file>

<file path=customXml/itemProps73.xml><?xml version="1.0" encoding="utf-8"?>
<ds:datastoreItem xmlns:ds="http://schemas.openxmlformats.org/officeDocument/2006/customXml" ds:itemID="{8D6F577F-B1FC-497F-950D-AD9F433BD1F2}">
  <ds:schemaRefs/>
</ds:datastoreItem>
</file>

<file path=customXml/itemProps74.xml><?xml version="1.0" encoding="utf-8"?>
<ds:datastoreItem xmlns:ds="http://schemas.openxmlformats.org/officeDocument/2006/customXml" ds:itemID="{4B64545B-3BB4-4836-BF90-B792366D2DA0}">
  <ds:schemaRefs/>
</ds:datastoreItem>
</file>

<file path=customXml/itemProps75.xml><?xml version="1.0" encoding="utf-8"?>
<ds:datastoreItem xmlns:ds="http://schemas.openxmlformats.org/officeDocument/2006/customXml" ds:itemID="{7FE39904-32C1-4F8C-855A-20D5C5331206}">
  <ds:schemaRefs/>
</ds:datastoreItem>
</file>

<file path=customXml/itemProps76.xml><?xml version="1.0" encoding="utf-8"?>
<ds:datastoreItem xmlns:ds="http://schemas.openxmlformats.org/officeDocument/2006/customXml" ds:itemID="{4312A5D4-F808-4848-8441-EA80AE81F84A}">
  <ds:schemaRefs/>
</ds:datastoreItem>
</file>

<file path=customXml/itemProps77.xml><?xml version="1.0" encoding="utf-8"?>
<ds:datastoreItem xmlns:ds="http://schemas.openxmlformats.org/officeDocument/2006/customXml" ds:itemID="{50B772D2-31F9-44A7-A5EE-72007D76FD56}">
  <ds:schemaRefs/>
</ds:datastoreItem>
</file>

<file path=customXml/itemProps78.xml><?xml version="1.0" encoding="utf-8"?>
<ds:datastoreItem xmlns:ds="http://schemas.openxmlformats.org/officeDocument/2006/customXml" ds:itemID="{1186E664-DBF5-47D3-815D-FDB31CD1665F}">
  <ds:schemaRefs/>
</ds:datastoreItem>
</file>

<file path=customXml/itemProps79.xml><?xml version="1.0" encoding="utf-8"?>
<ds:datastoreItem xmlns:ds="http://schemas.openxmlformats.org/officeDocument/2006/customXml" ds:itemID="{19D75358-8DA8-4482-BBA6-063261FEA1CC}">
  <ds:schemaRefs/>
</ds:datastoreItem>
</file>

<file path=customXml/itemProps8.xml><?xml version="1.0" encoding="utf-8"?>
<ds:datastoreItem xmlns:ds="http://schemas.openxmlformats.org/officeDocument/2006/customXml" ds:itemID="{FB3D4B71-6D52-46AE-ABBD-4AF262EBA056}">
  <ds:schemaRefs/>
</ds:datastoreItem>
</file>

<file path=customXml/itemProps80.xml><?xml version="1.0" encoding="utf-8"?>
<ds:datastoreItem xmlns:ds="http://schemas.openxmlformats.org/officeDocument/2006/customXml" ds:itemID="{E6E55B1F-DC60-447E-9A80-1BFC4C460C1B}">
  <ds:schemaRefs/>
</ds:datastoreItem>
</file>

<file path=customXml/itemProps81.xml><?xml version="1.0" encoding="utf-8"?>
<ds:datastoreItem xmlns:ds="http://schemas.openxmlformats.org/officeDocument/2006/customXml" ds:itemID="{CCACDB51-601E-41AD-A138-298167C73C32}">
  <ds:schemaRefs/>
</ds:datastoreItem>
</file>

<file path=customXml/itemProps82.xml><?xml version="1.0" encoding="utf-8"?>
<ds:datastoreItem xmlns:ds="http://schemas.openxmlformats.org/officeDocument/2006/customXml" ds:itemID="{1E154374-ACF5-451B-A726-CE68E603B00A}">
  <ds:schemaRefs/>
</ds:datastoreItem>
</file>

<file path=customXml/itemProps83.xml><?xml version="1.0" encoding="utf-8"?>
<ds:datastoreItem xmlns:ds="http://schemas.openxmlformats.org/officeDocument/2006/customXml" ds:itemID="{FFCF7904-4B96-4F2E-941E-B460C2E08011}">
  <ds:schemaRefs/>
</ds:datastoreItem>
</file>

<file path=customXml/itemProps84.xml><?xml version="1.0" encoding="utf-8"?>
<ds:datastoreItem xmlns:ds="http://schemas.openxmlformats.org/officeDocument/2006/customXml" ds:itemID="{7B6B9514-1315-47E0-92D2-08AFF311F238}">
  <ds:schemaRefs/>
</ds:datastoreItem>
</file>

<file path=customXml/itemProps85.xml><?xml version="1.0" encoding="utf-8"?>
<ds:datastoreItem xmlns:ds="http://schemas.openxmlformats.org/officeDocument/2006/customXml" ds:itemID="{7D51FADE-472D-4A36-8F7E-E7AF5E9B5F2C}">
  <ds:schemaRefs/>
</ds:datastoreItem>
</file>

<file path=customXml/itemProps86.xml><?xml version="1.0" encoding="utf-8"?>
<ds:datastoreItem xmlns:ds="http://schemas.openxmlformats.org/officeDocument/2006/customXml" ds:itemID="{4B948207-61AD-44C6-96D7-F0A3D604DEDB}">
  <ds:schemaRefs/>
</ds:datastoreItem>
</file>

<file path=customXml/itemProps87.xml><?xml version="1.0" encoding="utf-8"?>
<ds:datastoreItem xmlns:ds="http://schemas.openxmlformats.org/officeDocument/2006/customXml" ds:itemID="{054D41BF-0512-41CE-90EB-6B10DB38F10F}">
  <ds:schemaRefs/>
</ds:datastoreItem>
</file>

<file path=customXml/itemProps88.xml><?xml version="1.0" encoding="utf-8"?>
<ds:datastoreItem xmlns:ds="http://schemas.openxmlformats.org/officeDocument/2006/customXml" ds:itemID="{C09FEA86-E16A-4859-B431-A55F5D73DDA6}">
  <ds:schemaRefs/>
</ds:datastoreItem>
</file>

<file path=customXml/itemProps89.xml><?xml version="1.0" encoding="utf-8"?>
<ds:datastoreItem xmlns:ds="http://schemas.openxmlformats.org/officeDocument/2006/customXml" ds:itemID="{91130074-156F-4B0E-84AD-4913B72E9699}">
  <ds:schemaRefs/>
</ds:datastoreItem>
</file>

<file path=customXml/itemProps9.xml><?xml version="1.0" encoding="utf-8"?>
<ds:datastoreItem xmlns:ds="http://schemas.openxmlformats.org/officeDocument/2006/customXml" ds:itemID="{F616EEF9-39DC-4BE4-ABDA-ED9228E51C82}">
  <ds:schemaRefs/>
</ds:datastoreItem>
</file>

<file path=customXml/itemProps90.xml><?xml version="1.0" encoding="utf-8"?>
<ds:datastoreItem xmlns:ds="http://schemas.openxmlformats.org/officeDocument/2006/customXml" ds:itemID="{02593F12-8A16-4AD3-8C8E-63FBDAC1A241}">
  <ds:schemaRefs/>
</ds:datastoreItem>
</file>

<file path=customXml/itemProps91.xml><?xml version="1.0" encoding="utf-8"?>
<ds:datastoreItem xmlns:ds="http://schemas.openxmlformats.org/officeDocument/2006/customXml" ds:itemID="{2CD33DD0-2488-4854-BF04-3D19F8C0800D}">
  <ds:schemaRefs/>
</ds:datastoreItem>
</file>

<file path=customXml/itemProps92.xml><?xml version="1.0" encoding="utf-8"?>
<ds:datastoreItem xmlns:ds="http://schemas.openxmlformats.org/officeDocument/2006/customXml" ds:itemID="{78930370-CE2A-44F0-A72B-E1562E9BFCD6}">
  <ds:schemaRefs/>
</ds:datastoreItem>
</file>

<file path=customXml/itemProps93.xml><?xml version="1.0" encoding="utf-8"?>
<ds:datastoreItem xmlns:ds="http://schemas.openxmlformats.org/officeDocument/2006/customXml" ds:itemID="{7DF197FE-1101-4FD6-968B-A761BD469F1F}">
  <ds:schemaRefs/>
</ds:datastoreItem>
</file>

<file path=customXml/itemProps94.xml><?xml version="1.0" encoding="utf-8"?>
<ds:datastoreItem xmlns:ds="http://schemas.openxmlformats.org/officeDocument/2006/customXml" ds:itemID="{61310B91-5397-45C6-A21C-1EAFFA2BDA70}">
  <ds:schemaRefs/>
</ds:datastoreItem>
</file>

<file path=customXml/itemProps95.xml><?xml version="1.0" encoding="utf-8"?>
<ds:datastoreItem xmlns:ds="http://schemas.openxmlformats.org/officeDocument/2006/customXml" ds:itemID="{C7B69564-B429-4419-B5DA-E22E3882CE38}">
  <ds:schemaRefs/>
</ds:datastoreItem>
</file>

<file path=customXml/itemProps96.xml><?xml version="1.0" encoding="utf-8"?>
<ds:datastoreItem xmlns:ds="http://schemas.openxmlformats.org/officeDocument/2006/customXml" ds:itemID="{09871B77-B72E-4072-87DC-56B75B2DD86C}">
  <ds:schemaRefs/>
</ds:datastoreItem>
</file>

<file path=customXml/itemProps97.xml><?xml version="1.0" encoding="utf-8"?>
<ds:datastoreItem xmlns:ds="http://schemas.openxmlformats.org/officeDocument/2006/customXml" ds:itemID="{A695CDF2-5DAB-40D6-AADE-52777E0D1D60}">
  <ds:schemaRefs/>
</ds:datastoreItem>
</file>

<file path=customXml/itemProps98.xml><?xml version="1.0" encoding="utf-8"?>
<ds:datastoreItem xmlns:ds="http://schemas.openxmlformats.org/officeDocument/2006/customXml" ds:itemID="{FC89727C-565B-4CD9-92FE-DB67696017DD}">
  <ds:schemaRefs/>
</ds:datastoreItem>
</file>

<file path=customXml/itemProps99.xml><?xml version="1.0" encoding="utf-8"?>
<ds:datastoreItem xmlns:ds="http://schemas.openxmlformats.org/officeDocument/2006/customXml" ds:itemID="{129AB278-E985-49BB-9044-A35CA6A9F2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109</Pages>
  <Words>44313</Words>
  <Characters>50496</Characters>
  <Lines>432</Lines>
  <Paragraphs>121</Paragraphs>
  <TotalTime>3</TotalTime>
  <ScaleCrop>false</ScaleCrop>
  <LinksUpToDate>false</LinksUpToDate>
  <CharactersWithSpaces>51140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2023-02-28T02:49:00Z</dcterms:created>
  <dc:creator>Administrator</dc:creator>
  <cp:lastModifiedBy>Lenovo</cp:lastModifiedBy>
  <dcterms:modified xsi:type="dcterms:W3CDTF">2024-04-12T03:39:13Z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BC9B37B4CAA244EEB7AB659B6E800BB9</vt:lpwstr>
  </property>
</Properties>
</file>