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bookmarkStart w:id="0" w:name="_GoBack"/>
      <w:bookmarkEnd w:id="0"/>
      <w:r>
        <w:rPr>
          <w:rFonts w:hint="eastAsia" w:hAnsi="宋体" w:asciiTheme="minorEastAsia" w:eastAsiaTheme="minorEastAsia"/>
          <w:color w:val="002060"/>
          <w:sz w:val="72"/>
          <w:szCs w:val="72"/>
        </w:rPr>
        <w:drawing>
          <wp:anchor distT="0" distB="0" distL="114300" distR="11430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6" cstate="print"/>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rPr>
      </w:pPr>
      <w:r>
        <w:rPr>
          <w:sz w:val="72"/>
        </w:rPr>
        <mc:AlternateContent>
          <mc:Choice Requires="wps">
            <w:drawing>
              <wp:anchor distT="0" distB="0" distL="114300" distR="114300" simplePos="0" relativeHeight="251660288" behindDoc="0" locked="0" layoutInCell="1" allowOverlap="1">
                <wp:simplePos x="0" y="0"/>
                <wp:positionH relativeFrom="column">
                  <wp:posOffset>-1055370</wp:posOffset>
                </wp:positionH>
                <wp:positionV relativeFrom="paragraph">
                  <wp:posOffset>118745</wp:posOffset>
                </wp:positionV>
                <wp:extent cx="7571740" cy="2780665"/>
                <wp:effectExtent l="0" t="0" r="0" b="0"/>
                <wp:wrapNone/>
                <wp:docPr id="8" name="文本框 8"/>
                <wp:cNvGraphicFramePr/>
                <a:graphic xmlns:a="http://schemas.openxmlformats.org/drawingml/2006/main">
                  <a:graphicData uri="http://schemas.microsoft.com/office/word/2010/wordprocessingShape">
                    <wps:wsp>
                      <wps:cNvSpPr txBox="1"/>
                      <wps:spPr>
                        <a:xfrm>
                          <a:off x="1435100" y="2519045"/>
                          <a:ext cx="7571740" cy="2111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青龙满族自治县</w:t>
                            </w:r>
                          </w:p>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lang w:eastAsia="zh-CN"/>
                              </w:rPr>
                              <w:t>三星口乡</w:t>
                            </w:r>
                            <w:r>
                              <w:rPr>
                                <w:rFonts w:hint="eastAsia" w:hAnsi="宋体" w:asciiTheme="minorEastAsia" w:eastAsiaTheme="minorEastAsia"/>
                                <w:color w:val="FDEFBE"/>
                                <w:sz w:val="96"/>
                                <w:szCs w:val="96"/>
                              </w:rPr>
                              <w:t>人民政府</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w:t>
                            </w:r>
                          </w:p>
                          <w:p>
                            <w:pPr>
                              <w:rPr>
                                <w:color w:val="FDEFBE"/>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pt;margin-top:9.35pt;height:218.95pt;width:596.2pt;z-index:251660288;mso-width-relative:page;mso-height-relative:page;" filled="f" stroked="f" coordsize="21600,21600" o:gfxdata="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UyrLX2wAAAAwBAAAP&#10;AAAAAAAAAAEAIAAAACIAAABkcnMvZG93bnJldi54bWxQSwECFAAUAAAACACHTuJAy6SxeE4CAACB&#10;BAAADgAAAAAAAAABACAAAAAqAQAAZHJzL2Uyb0RvYy54bWxQSwUGAAAAAAYABgBZAQAA6gU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青龙满族自治县</w:t>
                      </w:r>
                    </w:p>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lang w:eastAsia="zh-CN"/>
                        </w:rPr>
                        <w:t>三星口乡</w:t>
                      </w:r>
                      <w:r>
                        <w:rPr>
                          <w:rFonts w:hint="eastAsia" w:hAnsi="宋体" w:asciiTheme="minorEastAsia" w:eastAsiaTheme="minorEastAsia"/>
                          <w:color w:val="FDEFBE"/>
                          <w:sz w:val="96"/>
                          <w:szCs w:val="96"/>
                        </w:rPr>
                        <w:t>人民政府</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w:t>
                      </w:r>
                    </w:p>
                    <w:p>
                      <w:pPr>
                        <w:rPr>
                          <w:color w:val="FDEFBE"/>
                          <w:sz w:val="96"/>
                          <w:szCs w:val="96"/>
                        </w:rPr>
                      </w:pPr>
                    </w:p>
                  </w:txbxContent>
                </v:textbox>
              </v:shape>
            </w:pict>
          </mc:Fallback>
        </mc:AlternateContent>
      </w: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ind w:firstLine="3092" w:firstLineChars="700"/>
        <w:rPr>
          <w:rFonts w:ascii="楷体" w:hAnsi="楷体" w:eastAsia="楷体" w:cs="楷体"/>
          <w:b/>
          <w:sz w:val="44"/>
          <w:szCs w:val="44"/>
        </w:rPr>
      </w:pPr>
      <w:r>
        <w:rPr>
          <w:rFonts w:hint="eastAsia" w:ascii="楷体" w:hAnsi="楷体" w:eastAsia="楷体" w:cs="楷体"/>
          <w:b/>
          <w:sz w:val="44"/>
          <w:szCs w:val="44"/>
        </w:rPr>
        <w:t xml:space="preserve">      </w:t>
      </w:r>
    </w:p>
    <w:p>
      <w:pPr>
        <w:widowControl/>
        <w:ind w:firstLine="2871" w:firstLineChars="650"/>
        <w:rPr>
          <w:rFonts w:ascii="楷体" w:hAnsi="楷体" w:eastAsia="楷体" w:cs="楷体"/>
          <w:b/>
          <w:sz w:val="44"/>
          <w:szCs w:val="44"/>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sz w:val="44"/>
          <w:szCs w:val="44"/>
        </w:rPr>
        <w:t>二〇一九年十月</w:t>
      </w:r>
    </w:p>
    <w:p>
      <w:pPr>
        <w:widowControl/>
        <w:spacing w:after="0" w:line="600" w:lineRule="exact"/>
        <w:jc w:val="center"/>
        <w:rPr>
          <w:rFonts w:ascii="黑体" w:eastAsia="黑体"/>
          <w:sz w:val="48"/>
          <w:szCs w:val="48"/>
        </w:rPr>
      </w:pPr>
      <w:r>
        <w:rPr>
          <w:rFonts w:hint="eastAsia" w:asciiTheme="minorEastAsia" w:hAnsiTheme="minorEastAsia" w:eastAsiaTheme="minorEastAsia" w:cstheme="minorEastAsia"/>
          <w:sz w:val="44"/>
          <w:szCs w:val="44"/>
        </w:rPr>
        <w:br w:type="page"/>
      </w:r>
      <w:r>
        <w:rPr>
          <w:sz w:val="48"/>
          <w:szCs w:val="28"/>
        </w:rPr>
        <mc:AlternateContent>
          <mc:Choice Requires="wpg">
            <w:drawing>
              <wp:anchor distT="0" distB="0" distL="114300" distR="114300" simplePos="0" relativeHeight="251670528" behindDoc="0" locked="1" layoutInCell="1" allowOverlap="0">
                <wp:simplePos x="0" y="0"/>
                <wp:positionH relativeFrom="column">
                  <wp:posOffset>-1026160</wp:posOffset>
                </wp:positionH>
                <wp:positionV relativeFrom="page">
                  <wp:posOffset>507365</wp:posOffset>
                </wp:positionV>
                <wp:extent cx="3175635" cy="593090"/>
                <wp:effectExtent l="3175" t="0" r="2540" b="16510"/>
                <wp:wrapNone/>
                <wp:docPr id="10" name="组合 179"/>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6" name="矩形 13"/>
                        <wps:cNvSpPr/>
                        <wps:spPr>
                          <a:xfrm>
                            <a:off x="4551" y="52615"/>
                            <a:ext cx="8546" cy="1175"/>
                          </a:xfrm>
                          <a:prstGeom prst="rect">
                            <a:avLst/>
                          </a:prstGeom>
                          <a:solidFill>
                            <a:srgbClr val="96DA9D"/>
                          </a:solidFill>
                          <a:ln w="25400">
                            <a:noFill/>
                          </a:ln>
                        </wps:spPr>
                        <wps:bodyPr anchor="ctr" anchorCtr="0" upright="1"/>
                      </wps:wsp>
                      <wps:wsp>
                        <wps:cNvPr id="9" name="矩形 14"/>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rPr>
                                <w:t>2018年度部门决算☞目 录</w:t>
                              </w:r>
                            </w:p>
                            <w:p>
                              <w:pPr>
                                <w:jc w:val="center"/>
                              </w:pPr>
                            </w:p>
                          </w:txbxContent>
                        </wps:txbx>
                        <wps:bodyPr anchor="ctr" anchorCtr="0" upright="1"/>
                      </wps:wsp>
                    </wpg:wgp>
                  </a:graphicData>
                </a:graphic>
              </wp:anchor>
            </w:drawing>
          </mc:Choice>
          <mc:Fallback>
            <w:pict>
              <v:group id="组合 179" o:spid="_x0000_s1026" o:spt="203" style="position:absolute;left:0pt;margin-left:-80.8pt;margin-top:39.95pt;height:46.7pt;width:250.05pt;mso-position-vertical-relative:page;z-index:251670528;mso-width-relative:page;mso-height-relative:page;" coordorigin="4551,52615" coordsize="8546,1398"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2DzDVNsAAAAL&#10;AQAADwAAAAAAAAABACAAAAAiAAAAZHJzL2Rvd25yZXYueG1sUEsBAhQAFAAAAAgAh07iQBv4wt7E&#10;AgAAJQcAAA4AAAAAAAAAAQAgAAAAKgEAAGRycy9lMm9Eb2MueG1sUEsFBgAAAAAGAAYAWQEAAGAG&#10;AAAAAA==&#10;">
                <o:lock v:ext="edit" aspectratio="f"/>
                <v:rect id="矩形 13" o:spid="_x0000_s1026" o:spt="1" style="position:absolute;left:4551;top:52615;height:1175;width:8546;v-text-anchor:middle;" fillcolor="#96DA9D" filled="t" stroked="f" coordsize="21600,21600" o:gfxdata="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pEeum5AAAA2gAA&#10;AA8AAAAAAAAAAQAgAAAAIgAAAGRycy9kb3ducmV2LnhtbFBLAQIUABQAAAAIAIdO4kAzLwWeOwAA&#10;ADkAAAAQAAAAAAAAAAEAIAAAAAgBAABkcnMvc2hhcGV4bWwueG1sUEsFBgAAAAAGAAYAWwEAALID&#10;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kuFR9r0AAADa&#10;AAAADwAAAGRycy9kb3ducmV2LnhtbEWPW4vCMBSE3xf8D+EIvq2pPpS1GmURxAuIrFaWfTs0Z5ti&#10;c1KaeNtfbxYEH4eZ+YaZzG62FhdqfeVYwaCfgCAunK64VJAfFu8fIHxA1lg7JgV38jCbdt4mmGl3&#10;5S+67EMpIoR9hgpMCE0mpS8MWfR91xBH79e1FkOUbSl1i9cIt7UcJkkqLVYcFww2NDdUnPZnq2CX&#10;m58lbujbbjenY/5ZYfq3TpXqdQfJGESgW3iFn+2VVjCC/yvxBs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4VH2vQAA&#10;ANoAAAAPAAAAAAAAAAEAIAAAACIAAABkcnMvZG93bnJldi54bWxQSwECFAAUAAAACACHTuJAMy8F&#10;njsAAAA5AAAAEAAAAAAAAAABACAAAAAMAQAAZHJzL3NoYXBleG1sLnhtbFBLBQYAAAAABgAGAFsB&#10;AAC2AwAAAAA=&#10;">
                  <v:fill on="t" focussize="0,0"/>
                  <v:stroke weight="2pt" color="#845209" joinstyle="miter"/>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rPr>
                          <w:t>2018年度部门决算☞目 录</w:t>
                        </w:r>
                      </w:p>
                      <w:p>
                        <w:pPr>
                          <w:jc w:val="center"/>
                        </w:pPr>
                      </w:p>
                    </w:txbxContent>
                  </v:textbox>
                </v:rect>
                <w10:anchorlock/>
              </v:group>
            </w:pict>
          </mc:Fallback>
        </mc:AlternateConten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w:t>
      </w:r>
      <w:r>
        <w:rPr>
          <w:rFonts w:hint="eastAsia" w:eastAsia="黑体"/>
          <w:sz w:val="32"/>
          <w:szCs w:val="32"/>
        </w:rPr>
        <w:t xml:space="preserve">   </w:t>
      </w:r>
      <w:r>
        <w:rPr>
          <w:rFonts w:eastAsia="黑体"/>
          <w:sz w:val="32"/>
          <w:szCs w:val="32"/>
        </w:rPr>
        <w:t>部门概况</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left="2020" w:leftChars="200" w:hanging="1600" w:hangingChars="500"/>
        <w:rPr>
          <w:rFonts w:eastAsia="黑体"/>
          <w:sz w:val="32"/>
          <w:szCs w:val="32"/>
        </w:rPr>
      </w:pPr>
      <w:r>
        <w:rPr>
          <w:rFonts w:eastAsia="黑体"/>
          <w:sz w:val="32"/>
          <w:szCs w:val="32"/>
        </w:rPr>
        <w:t xml:space="preserve">第三部分  </w:t>
      </w:r>
      <w:r>
        <w:rPr>
          <w:rFonts w:hint="eastAsia" w:eastAsia="黑体"/>
          <w:sz w:val="32"/>
          <w:szCs w:val="32"/>
        </w:rPr>
        <w:t>青龙满族自治县</w:t>
      </w:r>
      <w:r>
        <w:rPr>
          <w:rFonts w:hint="eastAsia" w:eastAsia="黑体"/>
          <w:sz w:val="32"/>
          <w:szCs w:val="32"/>
          <w:lang w:eastAsia="zh-CN"/>
        </w:rPr>
        <w:t>三星口乡</w:t>
      </w:r>
      <w:r>
        <w:rPr>
          <w:rFonts w:hint="eastAsia" w:eastAsia="黑体"/>
          <w:sz w:val="32"/>
          <w:szCs w:val="32"/>
        </w:rPr>
        <w:t>人民政府</w:t>
      </w:r>
      <w:r>
        <w:rPr>
          <w:rFonts w:eastAsia="黑体"/>
          <w:sz w:val="32"/>
          <w:szCs w:val="32"/>
        </w:rPr>
        <w:t>部门201</w:t>
      </w:r>
      <w:r>
        <w:rPr>
          <w:rFonts w:hint="eastAsia" w:eastAsia="黑体"/>
          <w:sz w:val="32"/>
          <w:szCs w:val="32"/>
        </w:rPr>
        <w:t>8</w:t>
      </w:r>
      <w:r>
        <w:rPr>
          <w:rFonts w:eastAsia="黑体"/>
          <w:sz w:val="32"/>
          <w:szCs w:val="32"/>
        </w:rPr>
        <w:t>年部门决算情况说明</w:t>
      </w:r>
      <w:r>
        <w:rPr>
          <w:sz w:val="44"/>
        </w:rPr>
        <mc:AlternateContent>
          <mc:Choice Requires="wpg">
            <w:drawing>
              <wp:anchor distT="0" distB="0" distL="114300" distR="114300" simplePos="0" relativeHeight="251669504" behindDoc="0" locked="1" layoutInCell="1" allowOverlap="1">
                <wp:simplePos x="0" y="0"/>
                <wp:positionH relativeFrom="column">
                  <wp:posOffset>-1026160</wp:posOffset>
                </wp:positionH>
                <wp:positionV relativeFrom="page">
                  <wp:posOffset>494665</wp:posOffset>
                </wp:positionV>
                <wp:extent cx="2829560" cy="593090"/>
                <wp:effectExtent l="3810" t="0" r="5080" b="16510"/>
                <wp:wrapNone/>
                <wp:docPr id="3" name="组合 176"/>
                <wp:cNvGraphicFramePr/>
                <a:graphic xmlns:a="http://schemas.openxmlformats.org/drawingml/2006/main">
                  <a:graphicData uri="http://schemas.microsoft.com/office/word/2010/wordprocessingGroup">
                    <wpg:wgp>
                      <wpg:cNvGrpSpPr/>
                      <wpg:grpSpPr>
                        <a:xfrm>
                          <a:off x="0" y="0"/>
                          <a:ext cx="2829560" cy="593090"/>
                          <a:chOff x="4551" y="52615"/>
                          <a:chExt cx="8546" cy="1398"/>
                        </a:xfrm>
                      </wpg:grpSpPr>
                      <wps:wsp>
                        <wps:cNvPr id="1" name="矩形 13"/>
                        <wps:cNvSpPr/>
                        <wps:spPr>
                          <a:xfrm>
                            <a:off x="4551" y="52615"/>
                            <a:ext cx="8546" cy="1175"/>
                          </a:xfrm>
                          <a:prstGeom prst="rect">
                            <a:avLst/>
                          </a:prstGeom>
                          <a:solidFill>
                            <a:srgbClr val="96DA9D"/>
                          </a:solidFill>
                          <a:ln w="25400">
                            <a:noFill/>
                          </a:ln>
                        </wps:spPr>
                        <wps:bodyPr anchor="ctr" anchorCtr="0" upright="1"/>
                      </wps:wsp>
                      <wps:wsp>
                        <wps:cNvPr id="2" name="矩形 14"/>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wps:txbx>
                        <wps:bodyPr anchor="ctr" anchorCtr="0" upright="1"/>
                      </wps:wsp>
                    </wpg:wgp>
                  </a:graphicData>
                </a:graphic>
              </wp:anchor>
            </w:drawing>
          </mc:Choice>
          <mc:Fallback>
            <w:pict>
              <v:group id="组合 176" o:spid="_x0000_s1026" o:spt="203" style="position:absolute;left:0pt;margin-left:-80.8pt;margin-top:38.95pt;height:46.7pt;width:222.8pt;mso-position-vertical-relative:page;z-index:251669504;mso-width-relative:page;mso-height-relative:page;" coordorigin="4551,52615" coordsize="8546,1398"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DezVw+2wAAAAsBAAAP&#10;AAAAAAAAAAEAIAAAACIAAABkcnMvZG93bnJldi54bWxQSwECFAAUAAAACACHTuJAkuWVicACAAAk&#10;BwAADgAAAAAAAAABACAAAAAqAQAAZHJzL2Uyb0RvYy54bWxQSwUGAAAAAAYABgBZAQAAXAYAAAAA&#10;">
                <o:lock v:ext="edit" aspectratio="f"/>
                <v:rect id="矩形 13" o:spid="_x0000_s1026" o:spt="1" style="position:absolute;left:4551;top:52615;height:1175;width:8546;v-text-anchor:middle;" fillcolor="#96DA9D" filled="t" stroked="f" coordsize="21600,21600" o:gfxdata="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reKdtwAAANoAAAAP&#10;AAAAAAAAAAEAIAAAACIAAABkcnMvZG93bnJldi54bWxQSwECFAAUAAAACACHTuJAMy8FnjsAAAA5&#10;AAAAEAAAAAAAAAABACAAAAAGAQAAZHJzL3NoYXBleG1sLnhtbFBLBQYAAAAABgAGAFsBAACwAwAA&#10;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nEXDh70AAADa&#10;AAAADwAAAGRycy9kb3ducmV2LnhtbEWPzWrDMBCE74G8g9hCb7EcH0xxrIRSKGkNITRxKb0t1tYy&#10;sVbGUvP39FUhkOMwM98w5epse3Gk0XeOFcyTFARx43THrYJ6/zp7AuEDssbeMSm4kIfVcjopsdDu&#10;xB903IVWRAj7AhWYEIZCSt8YsugTNxBH78eNFkOUYyv1iKcIt73M0jSXFjuOCwYHejHUHHa/VsG2&#10;Nt9rrOjLbqrDZ/3cYX59z5V6fJinCxCBzuEevrXftIIM/q/EG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cOHvQAA&#10;ANoAAAAPAAAAAAAAAAEAIAAAACIAAABkcnMvZG93bnJldi54bWxQSwECFAAUAAAACACHTuJAMy8F&#10;njsAAAA5AAAAEAAAAAAAAAABACAAAAAMAQAAZHJzL3NoYXBleG1sLnhtbFBLBQYAAAAABgAGAFsB&#10;AAC2Aw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v:textbox>
                </v:rect>
                <w10:anchorlock/>
              </v:group>
            </w:pict>
          </mc:Fallback>
        </mc:AlternateConten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w:t>
      </w:r>
      <w:r>
        <w:rPr>
          <w:rFonts w:hint="eastAsia" w:eastAsia="黑体"/>
          <w:sz w:val="32"/>
          <w:szCs w:val="32"/>
        </w:rPr>
        <w:t xml:space="preserve">   </w:t>
      </w:r>
      <w:r>
        <w:rPr>
          <w:rFonts w:eastAsia="黑体"/>
          <w:sz w:val="32"/>
          <w:szCs w:val="32"/>
        </w:rPr>
        <w:t>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61312"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7" cstate="print"/>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114300" distR="114300" simplePos="0" relativeHeight="251668480"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793355" cy="1037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jc w:val="center"/>
                              <w:rPr>
                                <w:color w:val="FDEFBE"/>
                                <w:sz w:val="96"/>
                                <w:szCs w:val="96"/>
                              </w:rPr>
                            </w:pPr>
                            <w:r>
                              <w:rPr>
                                <w:rFonts w:hint="eastAsia" w:hAnsi="宋体" w:asciiTheme="minorEastAsia" w:eastAsiaTheme="minorEastAsia"/>
                                <w:color w:val="FDEFBE"/>
                                <w:sz w:val="96"/>
                                <w:szCs w:val="96"/>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3pt;margin-top:259.1pt;height:81.7pt;width:613.65pt;z-index:251668480;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IrDqd4AAAANAQAADwAAAAAA&#10;AAABACAAAAAiAAAAZHJzL2Rvd25yZXYueG1sUEsBAhQAFAAAAAgAh07iQD1fZXNGAgAAeQQAAA4A&#10;AAAAAAAAAQAgAAAALQEAAGRycy9lMm9Eb2MueG1sUEsFBgAAAAAGAAYAWQEAAOUFAAAAAA==&#10;">
                <v:fill on="f" focussize="0,0"/>
                <v:stroke on="f" weight="0.5pt"/>
                <v:imagedata o:title=""/>
                <o:lock v:ext="edit" aspectratio="f"/>
                <v:textbox>
                  <w:txbxContent>
                    <w:p>
                      <w:pPr>
                        <w:widowControl/>
                        <w:jc w:val="center"/>
                        <w:rPr>
                          <w:color w:val="FDEFBE"/>
                          <w:sz w:val="96"/>
                          <w:szCs w:val="96"/>
                        </w:rPr>
                      </w:pPr>
                      <w:r>
                        <w:rPr>
                          <w:rFonts w:hint="eastAsia" w:hAnsi="宋体" w:asciiTheme="minorEastAsia" w:eastAsiaTheme="minorEastAsia"/>
                          <w:color w:val="FDEFBE"/>
                          <w:sz w:val="96"/>
                          <w:szCs w:val="96"/>
                        </w:rPr>
                        <w:t>第一部分  部门概况</w:t>
                      </w:r>
                    </w:p>
                  </w:txbxContent>
                </v:textbox>
              </v:shape>
            </w:pict>
          </mc:Fallback>
        </mc:AlternateContent>
      </w:r>
    </w:p>
    <w:p/>
    <w:p/>
    <w:p/>
    <w:p/>
    <w:p/>
    <w:p/>
    <w:p/>
    <w:p/>
    <w:p/>
    <w:p/>
    <w:p/>
    <w:p/>
    <w:p/>
    <w:p/>
    <w:p/>
    <w:p>
      <w:pPr>
        <w:pStyle w:val="2"/>
        <w:spacing w:before="0" w:after="0" w:line="600" w:lineRule="exact"/>
        <w:jc w:val="left"/>
        <w:rPr>
          <w:rFonts w:hint="eastAsia"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部门职责</w:t>
      </w:r>
    </w:p>
    <w:p>
      <w:pPr>
        <w:spacing w:after="0" w:line="560" w:lineRule="exact"/>
        <w:rPr>
          <w:rFonts w:hint="eastAsia" w:ascii="仿宋" w:hAnsi="仿宋" w:eastAsia="仿宋" w:cs="ArialUnicodeMS"/>
          <w:kern w:val="0"/>
          <w:sz w:val="32"/>
          <w:szCs w:val="32"/>
        </w:rPr>
      </w:pPr>
      <w:r>
        <w:rPr>
          <w:rFonts w:hint="eastAsia" w:ascii="仿宋" w:hAnsi="仿宋" w:eastAsia="仿宋" w:cs="ArialUnicodeMS"/>
          <w:kern w:val="0"/>
          <w:sz w:val="32"/>
          <w:szCs w:val="32"/>
          <w:lang w:val="en-US" w:eastAsia="zh-CN"/>
        </w:rPr>
        <w:t>根据《青龙满族自治县三星口乡人民政府职能配置、内设机构和人员编制方案》规定，青龙满族自治县三星口乡人民政府的主要职责是：</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       1</w:t>
      </w:r>
      <w:r>
        <w:rPr>
          <w:rFonts w:hint="eastAsia" w:ascii="仿宋" w:hAnsi="仿宋" w:eastAsia="仿宋" w:cs="ArialUnicodeMS"/>
          <w:kern w:val="0"/>
          <w:sz w:val="32"/>
          <w:szCs w:val="32"/>
          <w:lang w:val="en-US" w:eastAsia="zh-CN"/>
        </w:rPr>
        <w:t>、保障法规有效实施；发挥常委及代表的桥梁纽带作用，集中反映民意，促进依法履职。</w:t>
      </w:r>
    </w:p>
    <w:p>
      <w:pPr>
        <w:spacing w:after="0" w:line="560" w:lineRule="exact"/>
        <w:rPr>
          <w:rFonts w:hint="eastAsia" w:ascii="仿宋" w:hAnsi="仿宋" w:eastAsia="仿宋" w:cs="ArialUnicodeMS"/>
          <w:kern w:val="0"/>
          <w:sz w:val="32"/>
          <w:szCs w:val="32"/>
        </w:rPr>
      </w:pPr>
      <w:r>
        <w:rPr>
          <w:rFonts w:hint="eastAsia" w:ascii="仿宋" w:hAnsi="仿宋" w:eastAsia="仿宋" w:cs="ArialUnicodeMS"/>
          <w:kern w:val="0"/>
          <w:sz w:val="32"/>
          <w:szCs w:val="32"/>
          <w:lang w:val="en-US" w:eastAsia="zh-CN"/>
        </w:rPr>
        <w:t>确保乡人大换届选举工作顺利完成，提高组织换届选举工作水平；保障会议顺利召开，完成会议议程。</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2</w:t>
      </w:r>
      <w:r>
        <w:rPr>
          <w:rFonts w:hint="eastAsia" w:ascii="仿宋" w:hAnsi="仿宋" w:eastAsia="仿宋" w:cs="ArialUnicodeMS"/>
          <w:kern w:val="0"/>
          <w:sz w:val="32"/>
          <w:szCs w:val="32"/>
          <w:lang w:val="en-US" w:eastAsia="zh-CN"/>
        </w:rPr>
        <w:t>、积极发挥职能作用，加强党风廉政建设，营造风清气正、干事创业的工作氛围。</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3</w:t>
      </w:r>
      <w:r>
        <w:rPr>
          <w:rFonts w:hint="eastAsia" w:ascii="仿宋" w:hAnsi="仿宋" w:eastAsia="仿宋" w:cs="ArialUnicodeMS"/>
          <w:kern w:val="0"/>
          <w:sz w:val="32"/>
          <w:szCs w:val="32"/>
          <w:lang w:val="en-US" w:eastAsia="zh-CN"/>
        </w:rPr>
        <w:t>、加强党组织建设和党员管理</w:t>
      </w:r>
      <w:r>
        <w:rPr>
          <w:rFonts w:hint="default" w:ascii="仿宋" w:hAnsi="仿宋" w:eastAsia="仿宋" w:cs="ArialUnicodeMS"/>
          <w:kern w:val="0"/>
          <w:sz w:val="32"/>
          <w:szCs w:val="32"/>
          <w:lang w:val="en-US" w:eastAsia="zh-CN"/>
        </w:rPr>
        <w:t>,</w:t>
      </w:r>
      <w:r>
        <w:rPr>
          <w:rFonts w:hint="eastAsia" w:ascii="仿宋" w:hAnsi="仿宋" w:eastAsia="仿宋" w:cs="ArialUnicodeMS"/>
          <w:kern w:val="0"/>
          <w:sz w:val="32"/>
          <w:szCs w:val="32"/>
          <w:lang w:val="en-US" w:eastAsia="zh-CN"/>
        </w:rPr>
        <w:t>不断提高执政能力和领导水平</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4</w:t>
      </w:r>
      <w:r>
        <w:rPr>
          <w:rFonts w:hint="eastAsia" w:ascii="仿宋" w:hAnsi="仿宋" w:eastAsia="仿宋" w:cs="ArialUnicodeMS"/>
          <w:kern w:val="0"/>
          <w:sz w:val="32"/>
          <w:szCs w:val="32"/>
          <w:lang w:val="en-US" w:eastAsia="zh-CN"/>
        </w:rPr>
        <w:t>、积极鼓励适龄青年参与征兵工作</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5</w:t>
      </w:r>
      <w:r>
        <w:rPr>
          <w:rFonts w:hint="eastAsia" w:ascii="仿宋" w:hAnsi="仿宋" w:eastAsia="仿宋" w:cs="ArialUnicodeMS"/>
          <w:kern w:val="0"/>
          <w:sz w:val="32"/>
          <w:szCs w:val="32"/>
          <w:lang w:val="en-US" w:eastAsia="zh-CN"/>
        </w:rPr>
        <w:t>、完成乡党委、政府交办的工作任务，全乡妇女精神面貌有较大改观，创业就业能力逐步增强，素质得到全面提升。</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6</w:t>
      </w:r>
      <w:r>
        <w:rPr>
          <w:rFonts w:hint="eastAsia" w:ascii="仿宋" w:hAnsi="仿宋" w:eastAsia="仿宋" w:cs="ArialUnicodeMS"/>
          <w:kern w:val="0"/>
          <w:sz w:val="32"/>
          <w:szCs w:val="32"/>
          <w:lang w:val="en-US" w:eastAsia="zh-CN"/>
        </w:rPr>
        <w:t>、加强团干部配备和激励，加强思想、作风建设，团干部教育培训；加强青联、学联、少工委工作的指导，加强青年社团组织以及青少年活动阵地的指导和管理。基层团组织服务能力不断提高。</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7</w:t>
      </w:r>
      <w:r>
        <w:rPr>
          <w:rFonts w:hint="eastAsia" w:ascii="仿宋" w:hAnsi="仿宋" w:eastAsia="仿宋" w:cs="ArialUnicodeMS"/>
          <w:kern w:val="0"/>
          <w:sz w:val="32"/>
          <w:szCs w:val="32"/>
          <w:lang w:val="en-US" w:eastAsia="zh-CN"/>
        </w:rPr>
        <w:t>、数据资源丰富、数据正版、权威、可靠，用户满意度高。故障及时修复，线路畅通，系统运行稳定。提高效能，全力提升为民服务水平；</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8</w:t>
      </w:r>
      <w:r>
        <w:rPr>
          <w:rFonts w:hint="eastAsia" w:ascii="仿宋" w:hAnsi="仿宋" w:eastAsia="仿宋" w:cs="ArialUnicodeMS"/>
          <w:kern w:val="0"/>
          <w:sz w:val="32"/>
          <w:szCs w:val="32"/>
          <w:lang w:val="en-US" w:eastAsia="zh-CN"/>
        </w:rPr>
        <w:t>、确保工作环境安全，保证工作正常开展。</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9</w:t>
      </w:r>
      <w:r>
        <w:rPr>
          <w:rFonts w:hint="eastAsia" w:ascii="仿宋" w:hAnsi="仿宋" w:eastAsia="仿宋" w:cs="ArialUnicodeMS"/>
          <w:kern w:val="0"/>
          <w:sz w:val="32"/>
          <w:szCs w:val="32"/>
          <w:lang w:val="en-US" w:eastAsia="zh-CN"/>
        </w:rPr>
        <w:t>、城镇美化、亮化、硬化建设情况</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10</w:t>
      </w:r>
      <w:r>
        <w:rPr>
          <w:rFonts w:hint="eastAsia" w:ascii="仿宋" w:hAnsi="仿宋" w:eastAsia="仿宋" w:cs="ArialUnicodeMS"/>
          <w:kern w:val="0"/>
          <w:sz w:val="32"/>
          <w:szCs w:val="32"/>
          <w:lang w:val="en-US" w:eastAsia="zh-CN"/>
        </w:rPr>
        <w:t>、根据单位实际据实开展财政预决算工作，严格按照实际情况开展预决算工作。</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11</w:t>
      </w:r>
      <w:r>
        <w:rPr>
          <w:rFonts w:hint="eastAsia" w:ascii="仿宋" w:hAnsi="仿宋" w:eastAsia="仿宋" w:cs="ArialUnicodeMS"/>
          <w:kern w:val="0"/>
          <w:sz w:val="32"/>
          <w:szCs w:val="32"/>
          <w:lang w:val="en-US" w:eastAsia="zh-CN"/>
        </w:rPr>
        <w:t>、开展统计执法检查和培训工作，防范统计违法现象的发生；拟定全乡统计教育培训制度、规划等，统一归口管理指导全乡统计教育培训工作；做好统计调查工作；及时准确上报统计资料。</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12</w:t>
      </w:r>
      <w:r>
        <w:rPr>
          <w:rFonts w:hint="eastAsia" w:ascii="仿宋" w:hAnsi="仿宋" w:eastAsia="仿宋" w:cs="ArialUnicodeMS"/>
          <w:kern w:val="0"/>
          <w:sz w:val="32"/>
          <w:szCs w:val="32"/>
          <w:lang w:val="en-US" w:eastAsia="zh-CN"/>
        </w:rPr>
        <w:t>、本着节俭的原则，做到能用则用，提高资产的使用效率。</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13</w:t>
      </w:r>
      <w:r>
        <w:rPr>
          <w:rFonts w:hint="eastAsia" w:ascii="仿宋" w:hAnsi="仿宋" w:eastAsia="仿宋" w:cs="ArialUnicodeMS"/>
          <w:kern w:val="0"/>
          <w:sz w:val="32"/>
          <w:szCs w:val="32"/>
          <w:lang w:val="en-US" w:eastAsia="zh-CN"/>
        </w:rPr>
        <w:t>、加强社会治安综合治理，维护社会稳定，搞好农村矛盾纠纷排查调处，对督导事项及时妥善化解。</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14</w:t>
      </w:r>
      <w:r>
        <w:rPr>
          <w:rFonts w:hint="eastAsia" w:ascii="仿宋" w:hAnsi="仿宋" w:eastAsia="仿宋" w:cs="ArialUnicodeMS"/>
          <w:kern w:val="0"/>
          <w:sz w:val="32"/>
          <w:szCs w:val="32"/>
          <w:lang w:val="en-US" w:eastAsia="zh-CN"/>
        </w:rPr>
        <w:t>、搞好农村公共事务服务工作。</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15</w:t>
      </w:r>
      <w:r>
        <w:rPr>
          <w:rFonts w:hint="eastAsia" w:ascii="仿宋" w:hAnsi="仿宋" w:eastAsia="仿宋" w:cs="ArialUnicodeMS"/>
          <w:kern w:val="0"/>
          <w:sz w:val="32"/>
          <w:szCs w:val="32"/>
          <w:lang w:val="en-US" w:eastAsia="zh-CN"/>
        </w:rPr>
        <w:t>、提高劳动力收入水平，提高人民群众生活水平。</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16</w:t>
      </w:r>
      <w:r>
        <w:rPr>
          <w:rFonts w:hint="eastAsia" w:ascii="仿宋" w:hAnsi="仿宋" w:eastAsia="仿宋" w:cs="ArialUnicodeMS"/>
          <w:kern w:val="0"/>
          <w:sz w:val="32"/>
          <w:szCs w:val="32"/>
          <w:lang w:val="en-US" w:eastAsia="zh-CN"/>
        </w:rPr>
        <w:t>、提高全乡人民的社会保障程度，达到应保尽保。</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17</w:t>
      </w:r>
      <w:r>
        <w:rPr>
          <w:rFonts w:hint="eastAsia" w:ascii="仿宋" w:hAnsi="仿宋" w:eastAsia="仿宋" w:cs="ArialUnicodeMS"/>
          <w:kern w:val="0"/>
          <w:sz w:val="32"/>
          <w:szCs w:val="32"/>
          <w:lang w:val="en-US" w:eastAsia="zh-CN"/>
        </w:rPr>
        <w:t>、有效降低城乡居民看病就医的经济负担。</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18</w:t>
      </w:r>
      <w:r>
        <w:rPr>
          <w:rFonts w:hint="eastAsia" w:ascii="仿宋" w:hAnsi="仿宋" w:eastAsia="仿宋" w:cs="ArialUnicodeMS"/>
          <w:kern w:val="0"/>
          <w:sz w:val="32"/>
          <w:szCs w:val="32"/>
          <w:lang w:val="en-US" w:eastAsia="zh-CN"/>
        </w:rPr>
        <w:t>、加强村镇建设，改善农村人居环境，实现城乡统筹发展。</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19</w:t>
      </w:r>
      <w:r>
        <w:rPr>
          <w:rFonts w:hint="eastAsia" w:ascii="仿宋" w:hAnsi="仿宋" w:eastAsia="仿宋" w:cs="ArialUnicodeMS"/>
          <w:kern w:val="0"/>
          <w:sz w:val="32"/>
          <w:szCs w:val="32"/>
          <w:lang w:val="en-US" w:eastAsia="zh-CN"/>
        </w:rPr>
        <w:t>、最大限度地发现、纠正、督促企业消除各类隐患，预防和减少事故的发生，确保全乡安全生产形势持续稳定好转。</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20</w:t>
      </w:r>
      <w:r>
        <w:rPr>
          <w:rFonts w:hint="eastAsia" w:ascii="仿宋" w:hAnsi="仿宋" w:eastAsia="仿宋" w:cs="ArialUnicodeMS"/>
          <w:kern w:val="0"/>
          <w:sz w:val="32"/>
          <w:szCs w:val="32"/>
          <w:lang w:val="en-US" w:eastAsia="zh-CN"/>
        </w:rPr>
        <w:t>、公共文化设施达标，机构和队伍健全，实现公共文化资源共享，形成城乡一体公共文化服务网络；公共文化产品生产和服务能力提高，基本公共文化服务标准化、均等化水平不断提高。</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21</w:t>
      </w:r>
      <w:r>
        <w:rPr>
          <w:rFonts w:hint="eastAsia" w:ascii="仿宋" w:hAnsi="仿宋" w:eastAsia="仿宋" w:cs="ArialUnicodeMS"/>
          <w:kern w:val="0"/>
          <w:sz w:val="32"/>
          <w:szCs w:val="32"/>
          <w:lang w:val="en-US" w:eastAsia="zh-CN"/>
        </w:rPr>
        <w:t>、改善农村计划怀孕夫妇健康状况，降低出生缺陷发生风险；为各类育龄人群提供安全、有效避孕节育技术服务</w:t>
      </w:r>
      <w:r>
        <w:rPr>
          <w:rFonts w:hint="default" w:ascii="仿宋" w:hAnsi="仿宋" w:eastAsia="仿宋" w:cs="ArialUnicodeMS"/>
          <w:kern w:val="0"/>
          <w:sz w:val="32"/>
          <w:szCs w:val="32"/>
          <w:lang w:val="en-US" w:eastAsia="zh-CN"/>
        </w:rPr>
        <w:t>.</w:t>
      </w:r>
      <w:r>
        <w:rPr>
          <w:rFonts w:hint="eastAsia" w:ascii="仿宋" w:hAnsi="仿宋" w:eastAsia="仿宋" w:cs="ArialUnicodeMS"/>
          <w:kern w:val="0"/>
          <w:sz w:val="32"/>
          <w:szCs w:val="32"/>
          <w:lang w:val="en-US" w:eastAsia="zh-CN"/>
        </w:rPr>
        <w:t>为推进计生工作，做好宣传教育和咨询服务。</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22</w:t>
      </w:r>
      <w:r>
        <w:rPr>
          <w:rFonts w:hint="eastAsia" w:ascii="仿宋" w:hAnsi="仿宋" w:eastAsia="仿宋" w:cs="ArialUnicodeMS"/>
          <w:kern w:val="0"/>
          <w:sz w:val="32"/>
          <w:szCs w:val="32"/>
          <w:lang w:val="en-US" w:eastAsia="zh-CN"/>
        </w:rPr>
        <w:t>、严格按照法律法规规定开展村财乡管工作。</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23</w:t>
      </w:r>
      <w:r>
        <w:rPr>
          <w:rFonts w:hint="eastAsia" w:ascii="仿宋" w:hAnsi="仿宋" w:eastAsia="仿宋" w:cs="ArialUnicodeMS"/>
          <w:kern w:val="0"/>
          <w:sz w:val="32"/>
          <w:szCs w:val="32"/>
          <w:lang w:val="en-US" w:eastAsia="zh-CN"/>
        </w:rPr>
        <w:t>、提高村干部工作积极性，推进科学民主决策、确保村级工作正常运转，壮大村级经济实力。</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24</w:t>
      </w:r>
      <w:r>
        <w:rPr>
          <w:rFonts w:hint="eastAsia" w:ascii="仿宋" w:hAnsi="仿宋" w:eastAsia="仿宋" w:cs="ArialUnicodeMS"/>
          <w:kern w:val="0"/>
          <w:sz w:val="32"/>
          <w:szCs w:val="32"/>
          <w:lang w:val="en-US" w:eastAsia="zh-CN"/>
        </w:rPr>
        <w:t>、农技推广范围，病虫害监测农作物防疫。</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25</w:t>
      </w:r>
      <w:r>
        <w:rPr>
          <w:rFonts w:hint="eastAsia" w:ascii="仿宋" w:hAnsi="仿宋" w:eastAsia="仿宋" w:cs="ArialUnicodeMS"/>
          <w:kern w:val="0"/>
          <w:sz w:val="32"/>
          <w:szCs w:val="32"/>
          <w:lang w:val="en-US" w:eastAsia="zh-CN"/>
        </w:rPr>
        <w:t>、加强环境保护。</w:t>
      </w:r>
    </w:p>
    <w:p>
      <w:pPr>
        <w:spacing w:after="0" w:line="560" w:lineRule="exact"/>
        <w:rPr>
          <w:rFonts w:hint="eastAsia" w:ascii="仿宋" w:hAnsi="仿宋" w:eastAsia="仿宋" w:cs="ArialUnicodeMS"/>
          <w:kern w:val="0"/>
          <w:sz w:val="32"/>
          <w:szCs w:val="32"/>
        </w:rPr>
      </w:pPr>
      <w:r>
        <w:rPr>
          <w:rFonts w:hint="default" w:ascii="仿宋" w:hAnsi="仿宋" w:eastAsia="仿宋" w:cs="ArialUnicodeMS"/>
          <w:kern w:val="0"/>
          <w:sz w:val="32"/>
          <w:szCs w:val="32"/>
          <w:lang w:val="en-US" w:eastAsia="zh-CN"/>
        </w:rPr>
        <w:t>26</w:t>
      </w:r>
      <w:r>
        <w:rPr>
          <w:rFonts w:hint="eastAsia" w:ascii="仿宋" w:hAnsi="仿宋" w:eastAsia="仿宋" w:cs="ArialUnicodeMS"/>
          <w:kern w:val="0"/>
          <w:sz w:val="32"/>
          <w:szCs w:val="32"/>
          <w:lang w:val="en-US" w:eastAsia="zh-CN"/>
        </w:rPr>
        <w:t>、确保饮水安全，加强水利配套设施建设及防汛抗旱工作的正常开展。</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rPr>
          <w:rFonts w:ascii="仿宋_GB2312" w:eastAsia="仿宋_GB2312" w:cs="ArialUnicodeMS" w:hAnsiTheme="minorHAnsi"/>
          <w:kern w:val="0"/>
          <w:sz w:val="32"/>
          <w:szCs w:val="32"/>
        </w:rPr>
      </w:pPr>
      <w:r>
        <w:rPr>
          <w:rFonts w:hint="eastAsia" w:ascii="仿宋" w:hAnsi="仿宋" w:eastAsia="仿宋" w:cs="ArialUnicodeMS"/>
          <w:kern w:val="0"/>
          <w:sz w:val="32"/>
          <w:szCs w:val="32"/>
        </w:rPr>
        <w:t>从决算编报单位构成看，纳入2018 年度本部门决算汇编范围的独立核算单位（以下简称“单位”）共 1个，无下属独立核算单位，具体情况如下：</w:t>
      </w:r>
    </w:p>
    <w:tbl>
      <w:tblPr>
        <w:tblStyle w:val="13"/>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420" w:firstLineChars="0"/>
              <w:jc w:val="center"/>
              <w:textAlignment w:val="center"/>
              <w:rPr>
                <w:rFonts w:ascii="仿宋_GB2312" w:eastAsia="仿宋_GB2312" w:cs="ArialUnicodeMS" w:hAnsiTheme="minorHAnsi"/>
                <w:kern w:val="0"/>
                <w:sz w:val="28"/>
                <w:szCs w:val="28"/>
              </w:rPr>
            </w:pPr>
            <w:r>
              <w:rPr>
                <w:rFonts w:ascii="仿宋_GB2312" w:hAnsi="仿宋_GB2312" w:eastAsia="仿宋_GB2312" w:cs="仿宋_GB2312"/>
                <w:b w:val="0"/>
                <w:bCs w:val="0"/>
                <w:kern w:val="0"/>
                <w:sz w:val="28"/>
                <w:szCs w:val="28"/>
                <w:lang w:val="en-US" w:eastAsia="zh-CN" w:bidi="ar"/>
              </w:rPr>
              <w:t>1</w:t>
            </w:r>
          </w:p>
        </w:tc>
        <w:tc>
          <w:tcPr>
            <w:tcW w:w="348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420" w:firstLineChars="0"/>
              <w:jc w:val="center"/>
              <w:textAlignment w:val="center"/>
              <w:rPr>
                <w:rFonts w:ascii="仿宋_GB2312" w:eastAsia="仿宋_GB2312" w:cs="ArialUnicodeMS" w:hAnsiTheme="minorHAnsi"/>
                <w:kern w:val="0"/>
                <w:sz w:val="28"/>
                <w:szCs w:val="28"/>
              </w:rPr>
            </w:pPr>
            <w:r>
              <w:rPr>
                <w:rFonts w:ascii="仿宋_GB2312" w:hAnsi="仿宋_GB2312" w:eastAsia="仿宋_GB2312" w:cs="仿宋_GB2312"/>
                <w:b w:val="0"/>
                <w:bCs w:val="0"/>
                <w:kern w:val="0"/>
                <w:sz w:val="28"/>
                <w:szCs w:val="28"/>
                <w:lang w:val="en-US" w:eastAsia="zh-CN" w:bidi="ar"/>
              </w:rPr>
              <w:t>青龙满族自治县三星口乡人民政府</w:t>
            </w:r>
          </w:p>
        </w:tc>
        <w:tc>
          <w:tcPr>
            <w:tcW w:w="244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420" w:firstLineChars="0"/>
              <w:jc w:val="center"/>
              <w:textAlignment w:val="center"/>
              <w:rPr>
                <w:rFonts w:ascii="仿宋_GB2312" w:eastAsia="仿宋_GB2312" w:cs="ArialUnicodeMS" w:hAnsiTheme="minorHAnsi"/>
                <w:kern w:val="0"/>
                <w:sz w:val="28"/>
                <w:szCs w:val="28"/>
              </w:rPr>
            </w:pPr>
            <w:r>
              <w:rPr>
                <w:rFonts w:ascii="仿宋_GB2312" w:hAnsi="仿宋_GB2312" w:eastAsia="仿宋_GB2312" w:cs="仿宋_GB2312"/>
                <w:b w:val="0"/>
                <w:bCs w:val="0"/>
                <w:kern w:val="0"/>
                <w:sz w:val="28"/>
                <w:szCs w:val="28"/>
                <w:lang w:val="en-US" w:eastAsia="zh-CN" w:bidi="ar"/>
              </w:rPr>
              <w:t>行政</w:t>
            </w:r>
          </w:p>
        </w:tc>
        <w:tc>
          <w:tcPr>
            <w:tcW w:w="266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420" w:firstLineChars="0"/>
              <w:jc w:val="center"/>
              <w:textAlignment w:val="center"/>
              <w:rPr>
                <w:rFonts w:ascii="仿宋_GB2312" w:eastAsia="仿宋_GB2312" w:cs="ArialUnicodeMS" w:hAnsiTheme="minorHAnsi"/>
                <w:kern w:val="0"/>
                <w:sz w:val="28"/>
                <w:szCs w:val="28"/>
              </w:rPr>
            </w:pPr>
            <w:r>
              <w:rPr>
                <w:rFonts w:ascii="仿宋_GB2312" w:hAnsi="仿宋_GB2312" w:eastAsia="仿宋_GB2312" w:cs="仿宋_GB2312"/>
                <w:b w:val="0"/>
                <w:bCs w:val="0"/>
                <w:kern w:val="0"/>
                <w:sz w:val="28"/>
                <w:szCs w:val="28"/>
                <w:lang w:val="en-US" w:eastAsia="zh-CN" w:bidi="ar"/>
              </w:rPr>
              <w:t>财政拨款</w:t>
            </w:r>
          </w:p>
        </w:tc>
      </w:tr>
    </w:tbl>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63360"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7" cstate="print"/>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62336"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第二部分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2pt;margin-top:120.3pt;height:159.1pt;width:596.2pt;z-index:251662336;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5rPdDcAAAADQEAAA8AAAAAAAAAAQAg&#10;AAAAIgAAAGRycy9kb3ducmV2LnhtbFBLAQIUABQAAAAIAIdO4kBCfgQCQwIAAHcEAAAOAAAAAAAA&#10;AAEAIAAAACsBAABkcnMvZTJvRG9jLnhtbFBLBQYAAAAABgAGAFkBAADg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第二部分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2018年度部门决算报表</w:t>
                      </w:r>
                    </w:p>
                  </w:txbxContent>
                </v:textbox>
              </v:shape>
            </w:pict>
          </mc:Fallback>
        </mc:AlternateContent>
      </w:r>
    </w:p>
    <w:p>
      <w:pPr>
        <w:autoSpaceDE w:val="0"/>
        <w:autoSpaceDN w:val="0"/>
        <w:adjustRightInd w:val="0"/>
        <w:spacing w:after="0" w:line="240" w:lineRule="auto"/>
        <w:ind w:left="1600" w:hanging="1600" w:hangingChars="500"/>
        <w:jc w:val="left"/>
        <w:rPr>
          <w:rFonts w:ascii="仿宋" w:hAnsi="仿宋" w:eastAsia="仿宋" w:cs="仿宋_GB2312"/>
          <w:color w:val="000000"/>
          <w:kern w:val="0"/>
          <w:sz w:val="32"/>
          <w:szCs w:val="32"/>
        </w:rPr>
      </w:pPr>
      <w:r>
        <w:rPr>
          <w:rFonts w:hint="eastAsia" w:ascii="仿宋" w:hAnsi="仿宋" w:eastAsia="仿宋" w:cs="宋体"/>
          <w:color w:val="000000"/>
          <w:kern w:val="0"/>
          <w:sz w:val="32"/>
          <w:szCs w:val="32"/>
        </w:rPr>
        <w:t>详见附件</w:t>
      </w:r>
      <w:r>
        <w:rPr>
          <w:rFonts w:hint="eastAsia" w:ascii="仿宋" w:hAnsi="仿宋" w:eastAsia="仿宋" w:cs="___WRD_EMBED_SUB_39"/>
          <w:color w:val="000000"/>
          <w:kern w:val="0"/>
          <w:sz w:val="32"/>
          <w:szCs w:val="32"/>
        </w:rPr>
        <w:t>：</w:t>
      </w:r>
      <w:r>
        <w:rPr>
          <w:rFonts w:hint="eastAsia" w:ascii="仿宋" w:hAnsi="仿宋" w:eastAsia="仿宋" w:cs="ArialUnicodeMS"/>
          <w:kern w:val="0"/>
          <w:sz w:val="32"/>
          <w:szCs w:val="32"/>
        </w:rPr>
        <w:t>青龙满族自治县双山子镇人民政府</w:t>
      </w:r>
      <w:r>
        <w:rPr>
          <w:rFonts w:ascii="仿宋" w:hAnsi="仿宋" w:eastAsia="仿宋" w:cs="仿宋_GB2312"/>
          <w:color w:val="000000"/>
          <w:kern w:val="0"/>
          <w:sz w:val="32"/>
          <w:szCs w:val="32"/>
        </w:rPr>
        <w:t xml:space="preserve">2018 </w:t>
      </w:r>
      <w:r>
        <w:rPr>
          <w:rFonts w:hint="eastAsia" w:ascii="仿宋" w:hAnsi="仿宋" w:eastAsia="仿宋" w:cs="仿宋_GB2312"/>
          <w:color w:val="000000"/>
          <w:kern w:val="0"/>
          <w:sz w:val="32"/>
          <w:szCs w:val="32"/>
        </w:rPr>
        <w:t>年度部门决算公开报表（</w:t>
      </w:r>
      <w:r>
        <w:rPr>
          <w:rFonts w:ascii="仿宋" w:hAnsi="仿宋" w:eastAsia="仿宋" w:cs="仿宋_GB2312"/>
          <w:color w:val="000000"/>
          <w:kern w:val="0"/>
          <w:sz w:val="32"/>
          <w:szCs w:val="32"/>
        </w:rPr>
        <w:t xml:space="preserve">10 </w:t>
      </w:r>
      <w:r>
        <w:rPr>
          <w:rFonts w:hint="eastAsia" w:ascii="仿宋" w:hAnsi="仿宋" w:eastAsia="仿宋" w:cs="宋体"/>
          <w:color w:val="000000"/>
          <w:kern w:val="0"/>
          <w:sz w:val="32"/>
          <w:szCs w:val="32"/>
        </w:rPr>
        <w:t>张</w:t>
      </w:r>
      <w:r>
        <w:rPr>
          <w:rFonts w:hint="eastAsia" w:ascii="仿宋" w:hAnsi="仿宋" w:eastAsia="仿宋" w:cs="___WRD_EMBED_SUB_39"/>
          <w:color w:val="000000"/>
          <w:kern w:val="0"/>
          <w:sz w:val="32"/>
          <w:szCs w:val="32"/>
        </w:rPr>
        <w:t>）</w:t>
      </w:r>
    </w:p>
    <w:p/>
    <w:p/>
    <w:p/>
    <w:p>
      <w:pPr>
        <w:tabs>
          <w:tab w:val="left" w:pos="1086"/>
        </w:tabs>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5408"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cstate="print"/>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64384"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第三部分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64384;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WaejN4AAAANAQAADwAAAAAAAAAB&#10;ACAAAAAiAAAAZHJzL2Rvd25yZXYueG1sUEsBAhQAFAAAAAgAh07iQMA3zLNDAgAAdQQAAA4AAAAA&#10;AAAAAQAgAAAALQEAAGRycy9lMm9Eb2MueG1sUEsFBgAAAAAGAAYAWQEAAOIFA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第三部分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部门决算情况说明</w:t>
                      </w:r>
                    </w:p>
                  </w:txbxContent>
                </v:textbox>
              </v:shape>
            </w:pict>
          </mc:Fallback>
        </mc:AlternateConten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mc:AlternateContent>
          <mc:Choice Requires="wpg">
            <w:drawing>
              <wp:anchor distT="0" distB="0" distL="114300" distR="114300" simplePos="0" relativeHeight="251673600"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24" name="组合 18"/>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0" name="矩形 13"/>
                        <wps:cNvSpPr/>
                        <wps:spPr>
                          <a:xfrm>
                            <a:off x="4551" y="52615"/>
                            <a:ext cx="8546" cy="1175"/>
                          </a:xfrm>
                          <a:prstGeom prst="rect">
                            <a:avLst/>
                          </a:prstGeom>
                          <a:solidFill>
                            <a:srgbClr val="96DA9D"/>
                          </a:solidFill>
                          <a:ln w="25400">
                            <a:noFill/>
                          </a:ln>
                        </wps:spPr>
                        <wps:bodyPr anchor="ctr" anchorCtr="0" upright="1"/>
                      </wps:wsp>
                      <wps:wsp>
                        <wps:cNvPr id="23" name="矩形 14"/>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anchor="ctr" anchorCtr="0" upright="1"/>
                      </wps:wsp>
                    </wpg:wgp>
                  </a:graphicData>
                </a:graphic>
              </wp:anchor>
            </w:drawing>
          </mc:Choice>
          <mc:Fallback>
            <w:pict>
              <v:group id="组合 18" o:spid="_x0000_s1026" o:spt="203" style="position:absolute;left:0pt;margin-left:-0.55pt;margin-top:29.3pt;height:43.95pt;width:301.85pt;mso-position-horizontal-relative:page;mso-position-vertical-relative:page;z-index:251673600;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BJ+ys7bAAAACwEA&#10;AA8AAAAAAAAAAQAgAAAAIgAAAGRycy9kb3ducmV2LnhtbFBLAQIUABQAAAAIAIdO4kD+8pDzwgIA&#10;ACYHAAAOAAAAAAAAAAEAIAAAACoBAABkcnMvZTJvRG9jLnhtbFBLBQYAAAAABgAGAFkBAABeBgAA&#10;AAA=&#10;">
                <o:lock v:ext="edit" aspectratio="f"/>
                <v:rect id="矩形 13" o:spid="_x0000_s1026" o:spt="1" style="position:absolute;left:4551;top:52615;height:1175;width:8546;v-text-anchor:middle;" fillcolor="#96DA9D" filled="t" stroked="f" coordsize="21600,21600" o:gfxdata="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wAM77gAAADbAAAA&#10;DwAAAAAAAAABACAAAAAiAAAAZHJzL2Rvd25yZXYueG1sUEsBAhQAFAAAAAgAh07iQDMvBZ47AAAA&#10;OQAAABAAAAAAAAAAAQAgAAAABwEAAGRycy9zaGFwZXhtbC54bWxQSwUGAAAAAAYABgBbAQAAsQMA&#10;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VabDL0AAADb&#10;AAAADwAAAGRycy9kb3ducmV2LnhtbEWPQWsCMRSE74L/ITyhN81qYZHVKCKIrSBSu0W8PTbPzeLm&#10;Zdmkav31piB4HGbmG2Y6v9laXKj1lWMFw0ECgrhwuuJSQf696o9B+ICssXZMCv7Iw3zW7Uwx0+7K&#10;X3TZh1JECPsMFZgQmkxKXxiy6AeuIY7eybUWQ5RtKXWL1wi3tRwlSSotVhwXDDa0NFSc979WwS43&#10;xzVu6GC3m/NPvqgwvX+mSr31hskERKBbeIWf7Q+tYPQO/1/i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psMvQAA&#10;ANsAAAAPAAAAAAAAAAEAIAAAACIAAABkcnMvZG93bnJldi54bWxQSwECFAAUAAAACACHTuJAMy8F&#10;njsAAAA5AAAAEAAAAAAAAAABACAAAAAMAQAAZHJzL3NoYXBleG1sLnhtbFBLBQYAAAAABgAGAFsB&#10;AAC2Aw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黑体" w:eastAsia="黑体" w:cs="黑体" w:hAnsiTheme="minorHAnsi"/>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lang w:val="en-US" w:eastAsia="zh-CN"/>
        </w:rPr>
        <w:t>本部门2018年度收支总计（含结转和结余）561.25万元。与2017年度决算相比，收入增加184.94万元，增长49%，支出增加184.94万元，增长49%，主要原因是人员经费正常增资、上年结转以及扶贫、防火、村级经费、年末结余等支出增加。</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本部门2018年度本年收入合计561.25万元，其中：财政拨款收入561.25万元，占100%；</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本部门2018年度本年支出合计472.48万元，其中：基本支出416.53万元，占88%；项目支出55.95万元，占12%；</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（一）财政拨款收支与2017 年度决算对比情况</w: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本部门2018年度一般公共预算财政拨款收入511.25万元，完成年初预算的134%,比年初预算增加130.39万元，决算数大于预算数主要原因是人员经费正常增资、扶贫、防火、村级经费、年末结余等支出增加；本年支出472.48万元，完成年初预算的124%,比年初预算增加91.62万元，决算数大于预算数主要原因是人员经费正常增资、扶贫、防火、村级经费、年末结余等支出增加。</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660.79万元，完成年初预算的132.34%,比年初预算增加213.68万元，决算数大于预算数主要原因是工资福利等人员经费相关收入增加；本年支出824.75万元，完成年初预算的124.81%,比年初预算增加163.96万元，决算数大于预算数主要原因是工资福利等人员经费相关支出增加。</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lang w:val="en-US" w:eastAsia="zh-CN"/>
        </w:rPr>
        <w:t>2018 年度财政拨款支出472.48万元，主要用于以下方面：一般公共服务（类）支出225.51万元，占47.7%；社会保障和就业（类）支出 58.32万元，占12.3%；医疗卫生与计划生育（类）支出23.46万元，占5.1%；节能环保（类）支出25.3万元，占5.3%；农林水（类）支出139.89万元，占29.6%。</w:t>
      </w:r>
    </w:p>
    <w:p>
      <w:pPr>
        <w:adjustRightInd w:val="0"/>
        <w:snapToGrid w:val="0"/>
        <w:spacing w:after="0" w:line="580" w:lineRule="exact"/>
        <w:ind w:left="420" w:leftChars="200"/>
        <w:rPr>
          <w:rFonts w:ascii="楷体_GB2312" w:eastAsia="楷体_GB2312" w:cs="DengXian-Bold"/>
          <w:b/>
          <w:bCs/>
          <w:sz w:val="32"/>
          <w:szCs w:val="32"/>
        </w:rPr>
      </w:pPr>
      <w:r>
        <w:rPr>
          <w:sz w:val="44"/>
        </w:rPr>
        <mc:AlternateContent>
          <mc:Choice Requires="wpg">
            <w:drawing>
              <wp:anchor distT="0" distB="0" distL="114300" distR="114300" simplePos="0" relativeHeight="251671552"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14" name="组合 79"/>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1" name="矩形 13"/>
                        <wps:cNvSpPr/>
                        <wps:spPr>
                          <a:xfrm>
                            <a:off x="4551" y="52615"/>
                            <a:ext cx="8546" cy="1175"/>
                          </a:xfrm>
                          <a:prstGeom prst="rect">
                            <a:avLst/>
                          </a:prstGeom>
                          <a:solidFill>
                            <a:srgbClr val="96DA9D"/>
                          </a:solidFill>
                          <a:ln w="25400">
                            <a:noFill/>
                          </a:ln>
                        </wps:spPr>
                        <wps:bodyPr anchor="ctr" anchorCtr="0" upright="1"/>
                      </wps:wsp>
                      <wps:wsp>
                        <wps:cNvPr id="13" name="矩形 14"/>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anchor="ctr" anchorCtr="0" upright="1"/>
                      </wps:wsp>
                    </wpg:wgp>
                  </a:graphicData>
                </a:graphic>
              </wp:anchor>
            </w:drawing>
          </mc:Choice>
          <mc:Fallback>
            <w:pict>
              <v:group id="组合 79" o:spid="_x0000_s1026" o:spt="203" style="position:absolute;left:0pt;margin-left:-0.55pt;margin-top:29.3pt;height:43.95pt;width:301.85pt;mso-position-horizontal-relative:page;mso-position-vertical-relative:page;z-index:25167155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BJ+ys7bAAAA&#10;CwEAAA8AAAAAAAAAAQAgAAAAIgAAAGRycy9kb3ducmV2LnhtbFBLAQIUABQAAAAIAIdO4kB23EzH&#10;xQIAACYHAAAOAAAAAAAAAAEAIAAAACoBAABkcnMvZTJvRG9jLnhtbFBLBQYAAAAABgAGAFkBAABh&#10;BgAAAAA=&#10;">
                <o:lock v:ext="edit" aspectratio="f"/>
                <v:rect id="矩形 13" o:spid="_x0000_s1026" o:spt="1" style="position:absolute;left:4551;top:52615;height:1175;width:8546;v-text-anchor:middle;" fillcolor="#96DA9D" filled="t" stroked="f" coordsize="21600,21600" o:gfxdata="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iBjybgAAADbAAAA&#10;DwAAAAAAAAABACAAAAAiAAAAZHJzL2Rvd25yZXYueG1sUEsBAhQAFAAAAAgAh07iQDMvBZ47AAAA&#10;OQAAABAAAAAAAAAAAQAgAAAABwEAAGRycy9zaGFwZXhtbC54bWxQSwUGAAAAAAYABgBbAQAAsQMA&#10;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pzpRsbsAAADb&#10;AAAADwAAAGRycy9kb3ducmV2LnhtbEVP24rCMBB9F/yHMIJvmupCWapRRBB3BZF1K+Lb0IxNsZmU&#10;Juvt683Cwr7N4VxnOr/bWlyp9ZVjBaNhAoK4cLriUkH+vRq8g/ABWWPtmBQ8yMN81u1MMdPuxl90&#10;3YdSxBD2GSowITSZlL4wZNEPXUMcubNrLYYI21LqFm8x3NZynCSptFhxbDDY0NJQcdn/WAW73JzW&#10;uKGj3W4uh3xRYfr8TJXq90bJBESge/gX/7k/dJz/Br+/x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zpRsbsAAADb&#10;AAAADwAAAAAAAAABACAAAAAiAAAAZHJzL2Rvd25yZXYueG1sUEsBAhQAFAAAAAgAh07iQDMvBZ47&#10;AAAAOQAAABAAAAAAAAAAAQAgAAAACgEAAGRycy9zaGFwZXhtbC54bWxQSwUGAAAAAAYABgBbAQAA&#10;tAM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2018 年度一般公共预算财政拨款基本支出416.53万元，其中：人员经费 347.64万元，包括：基本工资123.69万元，津贴补贴67.64万元，奖金6.67万元，绩效工资24.77万元，机关事业单位基本养老保险缴费40.52万元，职业年金缴费3.86万元，职工基本医疗保险缴费23.46万元，其他社会保障缴费1.26万元，其他工资福利支出0.5万元，退休费6.01万元，抚恤金5.34万元，生活补助43.92万元；公用经费 68.89万元，包括办公费54.54万元，电费3.09万元，邮电费0.48万元，差旅费3.36万元，会议费0.22万元，公务接待费2万元，公务用车运行维护费4万元，其他交通费用1.2万元。</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本部门2018年度“三公”经费支出共计6万元，较年初预算增加0万元，增长0%,主要是认真贯彻落实中央八项规定精神和厉行节约要求，从严控制“三公”经费开支，全年实际支出与预算持平。具体情况如下：</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sz w:val="44"/>
        </w:rPr>
        <mc:AlternateContent>
          <mc:Choice Requires="wpg">
            <w:drawing>
              <wp:anchor distT="0" distB="0" distL="114300" distR="114300" simplePos="0" relativeHeight="251672576"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19" name="组合 82"/>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5" name="矩形 13"/>
                        <wps:cNvSpPr/>
                        <wps:spPr>
                          <a:xfrm>
                            <a:off x="4551" y="52615"/>
                            <a:ext cx="8546" cy="1175"/>
                          </a:xfrm>
                          <a:prstGeom prst="rect">
                            <a:avLst/>
                          </a:prstGeom>
                          <a:solidFill>
                            <a:srgbClr val="96DA9D"/>
                          </a:solidFill>
                          <a:ln w="25400">
                            <a:noFill/>
                          </a:ln>
                        </wps:spPr>
                        <wps:bodyPr anchor="ctr" anchorCtr="0" upright="1"/>
                      </wps:wsp>
                      <wps:wsp>
                        <wps:cNvPr id="18" name="矩形 14"/>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anchor="ctr" anchorCtr="0" upright="1"/>
                      </wps:wsp>
                    </wpg:wgp>
                  </a:graphicData>
                </a:graphic>
              </wp:anchor>
            </w:drawing>
          </mc:Choice>
          <mc:Fallback>
            <w:pict>
              <v:group id="组合 82" o:spid="_x0000_s1026" o:spt="203" style="position:absolute;left:0pt;margin-left:-0.55pt;margin-top:29.3pt;height:43.95pt;width:301.85pt;mso-position-horizontal-relative:page;mso-position-vertical-relative:page;z-index:25167257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ASfsrO2wAAAAsBAAAP&#10;AAAAAAAAAAEAIAAAACIAAABkcnMvZG93bnJldi54bWxQSwECFAAUAAAACACHTuJADYZajsACAAAm&#10;BwAADgAAAAAAAAABACAAAAAqAQAAZHJzL2Uyb0RvYy54bWxQSwUGAAAAAAYABgBZAQAAXAYAAAAA&#10;">
                <o:lock v:ext="edit" aspectratio="f"/>
                <v:rect id="矩形 13" o:spid="_x0000_s1026" o:spt="1" style="position:absolute;left:4551;top:52615;height:1175;width:8546;v-text-anchor:middle;" fillcolor="#96DA9D" filled="t" stroked="f" coordsize="21600,21600" o:gfxdata="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tlyrgAAADbAAAA&#10;DwAAAAAAAAABACAAAAAiAAAAZHJzL2Rvd25yZXYueG1sUEsBAhQAFAAAAAgAh07iQDMvBZ47AAAA&#10;OQAAABAAAAAAAAAAAQAgAAAABwEAAGRycy9zaGFwZXhtbC54bWxQSwUGAAAAAAYABgBbAQAAsQMA&#10;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qZ7DwL4AAADb&#10;AAAADwAAAGRycy9kb3ducmV2LnhtbEWPT2vCQBDF7wW/wzKCt7qxh1BSVxFBrIKU2oh4G7JjNpid&#10;Ddn1T/vpO4dCbzO8N+/9Zjp/+FbdqI9NYAOTcQaKuAq24dpA+bV6fgUVE7LFNjAZ+KYI89ngaYqF&#10;DXf+pNs+1UpCOBZowKXUFVrHypHHOA4dsWjn0HtMsva1tj3eJdy3+iXLcu2xYWlw2NHSUXXZX72B&#10;j9Kd1rilo99tL4dy0WD+s8mNGQ0n2RuoRI/0b/67freCL7DyiwygZ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7DwL4A&#10;AADbAAAADwAAAAAAAAABACAAAAAiAAAAZHJzL2Rvd25yZXYueG1sUEsBAhQAFAAAAAgAh07iQDMv&#10;BZ47AAAAOQAAABAAAAAAAAAAAQAgAAAADQEAAGRycy9zaGFwZXhtbC54bWxQSwUGAAAAAAYABgBb&#10;AQAAtwM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本部门2018年度因公出国（境）团组0个、共0人/参加其他单位组织的因公出国（境）团组0个、共0人/无本单位组织的出国（境）团组。因公出国（境）费支出与年初预算数持平。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textAlignment w:val="center"/>
        <w:rPr>
          <w:b w:val="0"/>
          <w:bCs w:val="0"/>
          <w:sz w:val="24"/>
          <w:szCs w:val="24"/>
        </w:rPr>
      </w:pPr>
      <w:r>
        <w:rPr>
          <w:rFonts w:hint="eastAsia" w:ascii="楷体_GB2312" w:eastAsia="楷体_GB2312" w:cs="DengXian-Bold"/>
          <w:b/>
          <w:bCs/>
          <w:sz w:val="32"/>
          <w:szCs w:val="32"/>
        </w:rPr>
        <w:t>（二）</w:t>
      </w:r>
      <w:r>
        <w:rPr>
          <w:rFonts w:hint="eastAsia" w:ascii="楷体_GB2312" w:eastAsia="楷体_GB2312" w:cs="DengXian-Bold"/>
          <w:b/>
          <w:bCs/>
          <w:sz w:val="32"/>
          <w:szCs w:val="32"/>
          <w:lang w:val="en-US" w:eastAsia="zh-CN"/>
        </w:rPr>
        <w:t>公务用车购置及运行维护费支出4万元。</w:t>
      </w:r>
      <w:r>
        <w:rPr>
          <w:rFonts w:hint="eastAsia" w:ascii="仿宋_GB2312" w:eastAsia="仿宋_GB2312" w:cs="DengXian-Regular"/>
          <w:sz w:val="32"/>
          <w:szCs w:val="32"/>
          <w:lang w:val="en-US" w:eastAsia="zh-CN"/>
        </w:rPr>
        <w:t>本部门2018年度公务用车购置及运行维护费较年初预算增加0万元，增长0%,主要是认真贯彻落实中央八项规定精神和厉行节约要求，从严控制“三公”经费开支，全年实际支出与预算持平。</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本部门2018年度公务用车购置量0辆，发生“公务用车购置”经费支出0万元。公务用车购置费支出与年初预算持平。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textAlignment w:val="center"/>
        <w:rPr>
          <w:rFonts w:hint="eastAsia" w:ascii="仿宋_GB2312" w:eastAsia="仿宋_GB2312" w:cs="DengXian-Regular"/>
          <w:sz w:val="32"/>
          <w:szCs w:val="32"/>
          <w:lang w:val="en-US" w:eastAsia="zh-CN"/>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lang w:val="en-US" w:eastAsia="zh-CN"/>
        </w:rPr>
        <w:t>本部门2018年度单位公务用车保有量1辆。公车运行维护费支出较年初预算增加0万元，增长0%,主要是认真贯彻落实中央八项规定精神和厉行节约要求，从严控制“三公”经费开支，全年实际支出与预算持平。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textAlignment w:val="center"/>
        <w:rPr>
          <w:rFonts w:hint="eastAsia" w:ascii="仿宋_GB2312" w:eastAsia="仿宋_GB2312" w:cs="DengXian-Regular"/>
          <w:b/>
          <w:sz w:val="32"/>
          <w:szCs w:val="32"/>
        </w:rPr>
      </w:pPr>
      <w:r>
        <w:rPr>
          <w:rFonts w:hint="eastAsia" w:ascii="楷体_GB2312" w:eastAsia="楷体_GB2312" w:cs="DengXian-Bold"/>
          <w:b/>
          <w:bCs/>
          <w:sz w:val="32"/>
          <w:szCs w:val="32"/>
        </w:rPr>
        <w:t>（三</w:t>
      </w:r>
      <w:r>
        <w:rPr>
          <w:rFonts w:hint="eastAsia" w:ascii="楷体_GB2312" w:eastAsia="楷体_GB2312" w:cs="DengXian-Bold"/>
          <w:b/>
          <w:bCs/>
          <w:sz w:val="32"/>
          <w:szCs w:val="32"/>
          <w:lang w:eastAsia="zh-CN"/>
        </w:rPr>
        <w:t>）</w:t>
      </w:r>
      <w:r>
        <w:rPr>
          <w:rFonts w:hint="eastAsia" w:ascii="仿宋_GB2312" w:eastAsia="仿宋_GB2312" w:cs="DengXian-Regular"/>
          <w:b/>
          <w:sz w:val="32"/>
          <w:szCs w:val="32"/>
          <w:lang w:val="en-US" w:eastAsia="zh-CN"/>
        </w:rPr>
        <w:t>公务接待费支出2万元。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textAlignment w:val="center"/>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本部门2018年度公务接待共46批次、703人次。公务接待费支出较年初预算增加0万元，增长0%,主要是认真贯彻落实中央八项规定精神和厉行节约要求，从严控制“三公”经费开支，全年实际支出与预算持平。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textAlignment w:val="center"/>
        <w:rPr>
          <w:rFonts w:hint="eastAsia" w:ascii="仿宋_GB2312" w:eastAsia="仿宋_GB2312" w:cs="DengXian-Regular"/>
          <w:sz w:val="32"/>
          <w:szCs w:val="32"/>
          <w:lang w:val="en-US" w:eastAsia="zh-CN"/>
        </w:rPr>
      </w:pP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tbl>
      <w:tblPr>
        <w:tblStyle w:val="12"/>
        <w:tblpPr w:leftFromText="180" w:rightFromText="180" w:vertAnchor="text" w:horzAnchor="page" w:tblpX="1147" w:tblpY="601"/>
        <w:tblOverlap w:val="never"/>
        <w:tblW w:w="9160" w:type="dxa"/>
        <w:tblInd w:w="0" w:type="dxa"/>
        <w:tblLayout w:type="autofit"/>
        <w:tblCellMar>
          <w:top w:w="0" w:type="dxa"/>
          <w:left w:w="108" w:type="dxa"/>
          <w:bottom w:w="0" w:type="dxa"/>
          <w:right w:w="108" w:type="dxa"/>
        </w:tblCellMar>
      </w:tblPr>
      <w:tblGrid>
        <w:gridCol w:w="836"/>
        <w:gridCol w:w="936"/>
        <w:gridCol w:w="836"/>
        <w:gridCol w:w="936"/>
        <w:gridCol w:w="1715"/>
        <w:gridCol w:w="936"/>
        <w:gridCol w:w="2060"/>
        <w:gridCol w:w="2060"/>
      </w:tblGrid>
      <w:tr>
        <w:tblPrEx>
          <w:tblCellMar>
            <w:top w:w="0" w:type="dxa"/>
            <w:left w:w="108" w:type="dxa"/>
            <w:bottom w:w="0" w:type="dxa"/>
            <w:right w:w="108" w:type="dxa"/>
          </w:tblCellMar>
        </w:tblPrEx>
        <w:trPr>
          <w:trHeight w:val="540" w:hRule="atLeast"/>
        </w:trPr>
        <w:tc>
          <w:tcPr>
            <w:tcW w:w="9160" w:type="dxa"/>
            <w:gridSpan w:val="8"/>
            <w:tcBorders>
              <w:top w:val="nil"/>
              <w:left w:val="nil"/>
              <w:bottom w:val="nil"/>
              <w:right w:val="nil"/>
            </w:tcBorders>
            <w:shd w:val="clear" w:color="auto" w:fill="auto"/>
            <w:noWrap/>
            <w:vAlign w:val="bottom"/>
          </w:tcPr>
          <w:p>
            <w:pPr>
              <w:widowControl/>
              <w:spacing w:after="0" w:line="240" w:lineRule="auto"/>
              <w:jc w:val="center"/>
              <w:rPr>
                <w:rFonts w:ascii="宋体" w:hAnsi="宋体" w:cs="Arial"/>
                <w:color w:val="000000"/>
                <w:kern w:val="0"/>
                <w:sz w:val="44"/>
                <w:szCs w:val="44"/>
              </w:rPr>
            </w:pPr>
            <w:r>
              <w:rPr>
                <w:rFonts w:hint="eastAsia" w:ascii="宋体" w:hAnsi="宋体" w:cs="Arial"/>
                <w:color w:val="000000"/>
                <w:kern w:val="0"/>
                <w:sz w:val="44"/>
                <w:szCs w:val="44"/>
              </w:rPr>
              <w:t>部门决算量化评价表</w:t>
            </w:r>
          </w:p>
        </w:tc>
      </w:tr>
      <w:tr>
        <w:tblPrEx>
          <w:tblCellMar>
            <w:top w:w="0" w:type="dxa"/>
            <w:left w:w="108" w:type="dxa"/>
            <w:bottom w:w="0" w:type="dxa"/>
            <w:right w:w="108" w:type="dxa"/>
          </w:tblCellMar>
        </w:tblPrEx>
        <w:trPr>
          <w:trHeight w:val="255" w:hRule="atLeast"/>
        </w:trPr>
        <w:tc>
          <w:tcPr>
            <w:tcW w:w="4500" w:type="dxa"/>
            <w:gridSpan w:val="5"/>
            <w:tcBorders>
              <w:top w:val="nil"/>
              <w:left w:val="nil"/>
              <w:bottom w:val="nil"/>
              <w:right w:val="nil"/>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20"/>
                <w:szCs w:val="20"/>
              </w:rPr>
            </w:pPr>
            <w:r>
              <w:rPr>
                <w:rFonts w:hint="eastAsia" w:ascii="宋体" w:hAnsi="宋体" w:eastAsia="宋体" w:cs="宋体"/>
                <w:b w:val="0"/>
                <w:bCs w:val="0"/>
                <w:color w:val="000000"/>
                <w:kern w:val="0"/>
                <w:sz w:val="20"/>
                <w:szCs w:val="20"/>
                <w:lang w:val="en-US" w:eastAsia="zh-CN" w:bidi="ar"/>
              </w:rPr>
              <w:t>单位名称：青龙满族自治县三星口乡人民政府</w:t>
            </w:r>
          </w:p>
        </w:tc>
        <w:tc>
          <w:tcPr>
            <w:tcW w:w="5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ascii="Arial" w:hAnsi="Arial" w:cs="Arial"/>
                <w:color w:val="000000"/>
                <w:kern w:val="0"/>
                <w:sz w:val="20"/>
                <w:szCs w:val="20"/>
              </w:rPr>
            </w:pPr>
            <w:r>
              <w:rPr>
                <w:rFonts w:hint="eastAsia" w:ascii="微软雅黑" w:hAnsi="微软雅黑" w:eastAsia="微软雅黑" w:cs="微软雅黑"/>
                <w:b w:val="0"/>
                <w:bCs w:val="0"/>
                <w:kern w:val="0"/>
                <w:sz w:val="18"/>
                <w:szCs w:val="18"/>
                <w:lang w:val="en-US" w:eastAsia="zh-CN" w:bidi="ar"/>
              </w:rPr>
              <w:t> </w:t>
            </w:r>
          </w:p>
        </w:tc>
        <w:tc>
          <w:tcPr>
            <w:tcW w:w="206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ascii="Arial" w:hAnsi="Arial" w:cs="Arial"/>
                <w:color w:val="000000"/>
                <w:kern w:val="0"/>
                <w:sz w:val="20"/>
                <w:szCs w:val="20"/>
              </w:rPr>
            </w:pPr>
            <w:r>
              <w:rPr>
                <w:rFonts w:hint="eastAsia" w:ascii="微软雅黑" w:hAnsi="微软雅黑" w:eastAsia="微软雅黑" w:cs="微软雅黑"/>
                <w:b w:val="0"/>
                <w:bCs w:val="0"/>
                <w:kern w:val="0"/>
                <w:sz w:val="18"/>
                <w:szCs w:val="18"/>
                <w:lang w:val="en-US" w:eastAsia="zh-CN" w:bidi="ar"/>
              </w:rPr>
              <w:t> </w:t>
            </w:r>
          </w:p>
        </w:tc>
        <w:tc>
          <w:tcPr>
            <w:tcW w:w="206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ascii="Arial" w:hAnsi="Arial" w:cs="Arial"/>
                <w:color w:val="000000"/>
                <w:kern w:val="0"/>
                <w:sz w:val="20"/>
                <w:szCs w:val="20"/>
              </w:rPr>
            </w:pPr>
            <w:r>
              <w:rPr>
                <w:rFonts w:hint="eastAsia" w:ascii="微软雅黑" w:hAnsi="微软雅黑" w:eastAsia="微软雅黑" w:cs="微软雅黑"/>
                <w:b w:val="0"/>
                <w:bCs w:val="0"/>
                <w:kern w:val="0"/>
                <w:sz w:val="18"/>
                <w:szCs w:val="18"/>
                <w:lang w:val="en-US" w:eastAsia="zh-CN" w:bidi="ar"/>
              </w:rPr>
              <w:t> </w:t>
            </w:r>
          </w:p>
        </w:tc>
      </w:tr>
      <w:tr>
        <w:tblPrEx>
          <w:tblCellMar>
            <w:top w:w="0" w:type="dxa"/>
            <w:left w:w="108" w:type="dxa"/>
            <w:bottom w:w="0" w:type="dxa"/>
            <w:right w:w="108" w:type="dxa"/>
          </w:tblCellMar>
        </w:tblPrEx>
        <w:trPr>
          <w:trHeight w:val="447" w:hRule="atLeast"/>
        </w:trPr>
        <w:tc>
          <w:tcPr>
            <w:tcW w:w="52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评价指标</w:t>
            </w:r>
          </w:p>
        </w:tc>
        <w:tc>
          <w:tcPr>
            <w:tcW w:w="20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计算值</w:t>
            </w:r>
          </w:p>
        </w:tc>
        <w:tc>
          <w:tcPr>
            <w:tcW w:w="20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得分</w:t>
            </w:r>
          </w:p>
        </w:tc>
      </w:tr>
      <w:tr>
        <w:tblPrEx>
          <w:tblCellMar>
            <w:top w:w="0" w:type="dxa"/>
            <w:left w:w="108" w:type="dxa"/>
            <w:bottom w:w="0" w:type="dxa"/>
            <w:right w:w="108" w:type="dxa"/>
          </w:tblCellMar>
        </w:tblPrEx>
        <w:trPr>
          <w:trHeight w:val="447" w:hRule="atLeast"/>
        </w:trPr>
        <w:tc>
          <w:tcPr>
            <w:tcW w:w="146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一级指标</w:t>
            </w:r>
          </w:p>
        </w:tc>
        <w:tc>
          <w:tcPr>
            <w:tcW w:w="146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二级指标</w:t>
            </w:r>
          </w:p>
        </w:tc>
        <w:tc>
          <w:tcPr>
            <w:tcW w:w="229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三级指标</w:t>
            </w:r>
          </w:p>
        </w:tc>
        <w:tc>
          <w:tcPr>
            <w:tcW w:w="2060" w:type="dxa"/>
            <w:vMerge w:val="continue"/>
            <w:tcBorders>
              <w:top w:val="single" w:color="000000" w:sz="4" w:space="0"/>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2060" w:type="dxa"/>
            <w:vMerge w:val="continue"/>
            <w:tcBorders>
              <w:top w:val="single" w:color="000000" w:sz="4" w:space="0"/>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447" w:hRule="atLeast"/>
        </w:trPr>
        <w:tc>
          <w:tcPr>
            <w:tcW w:w="6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名称</w:t>
            </w:r>
          </w:p>
        </w:tc>
        <w:tc>
          <w:tcPr>
            <w:tcW w:w="7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权重</w:t>
            </w:r>
          </w:p>
        </w:tc>
        <w:tc>
          <w:tcPr>
            <w:tcW w:w="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名称</w:t>
            </w:r>
          </w:p>
        </w:tc>
        <w:tc>
          <w:tcPr>
            <w:tcW w:w="7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权重</w:t>
            </w: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名称</w:t>
            </w:r>
          </w:p>
        </w:tc>
        <w:tc>
          <w:tcPr>
            <w:tcW w:w="5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权重</w:t>
            </w:r>
          </w:p>
        </w:tc>
        <w:tc>
          <w:tcPr>
            <w:tcW w:w="2060" w:type="dxa"/>
            <w:vMerge w:val="continue"/>
            <w:tcBorders>
              <w:top w:val="single" w:color="000000" w:sz="4" w:space="0"/>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2060" w:type="dxa"/>
            <w:vMerge w:val="continue"/>
            <w:tcBorders>
              <w:top w:val="single" w:color="000000" w:sz="4" w:space="0"/>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923" w:hRule="atLeast"/>
        </w:trPr>
        <w:tc>
          <w:tcPr>
            <w:tcW w:w="68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预算编制及执行情况</w:t>
            </w:r>
          </w:p>
        </w:tc>
        <w:tc>
          <w:tcPr>
            <w:tcW w:w="77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80</w:t>
            </w:r>
          </w:p>
        </w:tc>
        <w:tc>
          <w:tcPr>
            <w:tcW w:w="68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预算编制的准确完整性</w:t>
            </w:r>
          </w:p>
        </w:tc>
        <w:tc>
          <w:tcPr>
            <w:tcW w:w="77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25</w:t>
            </w: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财政拨款收入预决算差异率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5</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34.24</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1.5</w:t>
            </w:r>
          </w:p>
        </w:tc>
      </w:tr>
      <w:tr>
        <w:tblPrEx>
          <w:tblCellMar>
            <w:top w:w="0" w:type="dxa"/>
            <w:left w:w="108" w:type="dxa"/>
            <w:bottom w:w="0" w:type="dxa"/>
            <w:right w:w="108" w:type="dxa"/>
          </w:tblCellMar>
        </w:tblPrEx>
        <w:trPr>
          <w:trHeight w:val="923"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18"/>
                <w:szCs w:val="18"/>
              </w:rPr>
            </w:pP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非财政拨款收入预决算差异率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0.00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10.0</w:t>
            </w:r>
          </w:p>
        </w:tc>
      </w:tr>
      <w:tr>
        <w:tblPrEx>
          <w:tblCellMar>
            <w:top w:w="0" w:type="dxa"/>
            <w:left w:w="108" w:type="dxa"/>
            <w:bottom w:w="0" w:type="dxa"/>
            <w:right w:w="108" w:type="dxa"/>
          </w:tblCellMar>
        </w:tblPrEx>
        <w:trPr>
          <w:trHeight w:val="923"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18"/>
                <w:szCs w:val="18"/>
              </w:rPr>
            </w:pP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年初结转和结余预决算差异率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5</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0.00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0.0</w:t>
            </w:r>
          </w:p>
        </w:tc>
      </w:tr>
      <w:tr>
        <w:tblPrEx>
          <w:tblCellMar>
            <w:top w:w="0" w:type="dxa"/>
            <w:left w:w="108" w:type="dxa"/>
            <w:bottom w:w="0" w:type="dxa"/>
            <w:right w:w="108" w:type="dxa"/>
          </w:tblCellMar>
        </w:tblPrEx>
        <w:trPr>
          <w:trHeight w:val="923"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18"/>
                <w:szCs w:val="18"/>
              </w:rPr>
            </w:pP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人员经费预决算差异率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3</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12.58</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1.5</w:t>
            </w:r>
          </w:p>
        </w:tc>
      </w:tr>
      <w:tr>
        <w:tblPrEx>
          <w:tblCellMar>
            <w:top w:w="0" w:type="dxa"/>
            <w:left w:w="108" w:type="dxa"/>
            <w:bottom w:w="0" w:type="dxa"/>
            <w:right w:w="108" w:type="dxa"/>
          </w:tblCellMar>
        </w:tblPrEx>
        <w:trPr>
          <w:trHeight w:val="923"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18"/>
                <w:szCs w:val="18"/>
              </w:rPr>
            </w:pP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公用经费预决算差异率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2</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96.82</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0.0</w:t>
            </w:r>
          </w:p>
        </w:tc>
      </w:tr>
      <w:tr>
        <w:tblPrEx>
          <w:tblCellMar>
            <w:top w:w="0" w:type="dxa"/>
            <w:left w:w="108" w:type="dxa"/>
            <w:bottom w:w="0" w:type="dxa"/>
            <w:right w:w="108" w:type="dxa"/>
          </w:tblCellMar>
        </w:tblPrEx>
        <w:trPr>
          <w:trHeight w:val="923"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预算执行的有效性</w:t>
            </w:r>
          </w:p>
        </w:tc>
        <w:tc>
          <w:tcPr>
            <w:tcW w:w="77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45</w:t>
            </w: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人员经费预算执行差异率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-11.43</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8.5</w:t>
            </w:r>
          </w:p>
        </w:tc>
      </w:tr>
      <w:tr>
        <w:tblPrEx>
          <w:tblCellMar>
            <w:top w:w="0" w:type="dxa"/>
            <w:left w:w="108" w:type="dxa"/>
            <w:bottom w:w="0" w:type="dxa"/>
            <w:right w:w="108" w:type="dxa"/>
          </w:tblCellMar>
        </w:tblPrEx>
        <w:trPr>
          <w:trHeight w:val="923"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18"/>
                <w:szCs w:val="18"/>
              </w:rPr>
            </w:pP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公用经费预算执行差异率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-36.08</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6.0</w:t>
            </w:r>
          </w:p>
        </w:tc>
      </w:tr>
      <w:tr>
        <w:tblPrEx>
          <w:tblCellMar>
            <w:top w:w="0" w:type="dxa"/>
            <w:left w:w="108" w:type="dxa"/>
            <w:bottom w:w="0" w:type="dxa"/>
            <w:right w:w="108" w:type="dxa"/>
          </w:tblCellMar>
        </w:tblPrEx>
        <w:trPr>
          <w:trHeight w:val="923"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18"/>
                <w:szCs w:val="18"/>
              </w:rPr>
            </w:pP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财政拨款结转和结余率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15.82</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8.0</w:t>
            </w:r>
          </w:p>
        </w:tc>
      </w:tr>
      <w:tr>
        <w:tblPrEx>
          <w:tblCellMar>
            <w:top w:w="0" w:type="dxa"/>
            <w:left w:w="108" w:type="dxa"/>
            <w:bottom w:w="0" w:type="dxa"/>
            <w:right w:w="108" w:type="dxa"/>
          </w:tblCellMar>
        </w:tblPrEx>
        <w:trPr>
          <w:trHeight w:val="923"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18"/>
                <w:szCs w:val="18"/>
              </w:rPr>
            </w:pP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财政拨款结转和结余上下年变动率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5</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0.00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4.5</w:t>
            </w:r>
          </w:p>
        </w:tc>
      </w:tr>
      <w:tr>
        <w:tblPrEx>
          <w:tblCellMar>
            <w:top w:w="0" w:type="dxa"/>
            <w:left w:w="108" w:type="dxa"/>
            <w:bottom w:w="0" w:type="dxa"/>
            <w:right w:w="108" w:type="dxa"/>
          </w:tblCellMar>
        </w:tblPrEx>
        <w:trPr>
          <w:trHeight w:val="923"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18"/>
                <w:szCs w:val="18"/>
              </w:rPr>
            </w:pP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财政收回存量资金占上年财政拨款结转和结余比重</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5</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0.00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5.0</w:t>
            </w:r>
          </w:p>
        </w:tc>
      </w:tr>
      <w:tr>
        <w:tblPrEx>
          <w:tblCellMar>
            <w:top w:w="0" w:type="dxa"/>
            <w:left w:w="108" w:type="dxa"/>
            <w:bottom w:w="0" w:type="dxa"/>
            <w:right w:w="108" w:type="dxa"/>
          </w:tblCellMar>
        </w:tblPrEx>
        <w:trPr>
          <w:trHeight w:val="923"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18"/>
                <w:szCs w:val="18"/>
              </w:rPr>
            </w:pP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“三公”经费支出预决算差异率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5</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0.00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5.0</w:t>
            </w:r>
          </w:p>
        </w:tc>
      </w:tr>
      <w:tr>
        <w:tblPrEx>
          <w:tblCellMar>
            <w:top w:w="0" w:type="dxa"/>
            <w:left w:w="108" w:type="dxa"/>
            <w:bottom w:w="0" w:type="dxa"/>
            <w:right w:w="108" w:type="dxa"/>
          </w:tblCellMar>
        </w:tblPrEx>
        <w:trPr>
          <w:trHeight w:val="923"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预算编制及执行的规范性</w:t>
            </w:r>
          </w:p>
        </w:tc>
        <w:tc>
          <w:tcPr>
            <w:tcW w:w="7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10</w:t>
            </w: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项目支出中开支在职人员及离退休经费比重</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0.00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10.0</w:t>
            </w:r>
          </w:p>
        </w:tc>
      </w:tr>
      <w:tr>
        <w:tblPrEx>
          <w:tblCellMar>
            <w:top w:w="0" w:type="dxa"/>
            <w:left w:w="108" w:type="dxa"/>
            <w:bottom w:w="0" w:type="dxa"/>
            <w:right w:w="108" w:type="dxa"/>
          </w:tblCellMar>
        </w:tblPrEx>
        <w:trPr>
          <w:trHeight w:val="923" w:hRule="atLeast"/>
        </w:trPr>
        <w:tc>
          <w:tcPr>
            <w:tcW w:w="68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财务状况</w:t>
            </w:r>
          </w:p>
        </w:tc>
        <w:tc>
          <w:tcPr>
            <w:tcW w:w="77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15</w:t>
            </w:r>
          </w:p>
        </w:tc>
        <w:tc>
          <w:tcPr>
            <w:tcW w:w="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资产状况</w:t>
            </w:r>
          </w:p>
        </w:tc>
        <w:tc>
          <w:tcPr>
            <w:tcW w:w="7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7</w:t>
            </w: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资产类往来款变动率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7</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0.00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7.0</w:t>
            </w:r>
          </w:p>
        </w:tc>
      </w:tr>
      <w:tr>
        <w:tblPrEx>
          <w:tblCellMar>
            <w:top w:w="0" w:type="dxa"/>
            <w:left w:w="108" w:type="dxa"/>
            <w:bottom w:w="0" w:type="dxa"/>
            <w:right w:w="108" w:type="dxa"/>
          </w:tblCellMar>
        </w:tblPrEx>
        <w:trPr>
          <w:trHeight w:val="923"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负债状况</w:t>
            </w:r>
          </w:p>
        </w:tc>
        <w:tc>
          <w:tcPr>
            <w:tcW w:w="77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8</w:t>
            </w: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负债类往来款变动率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6</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0.00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6.0</w:t>
            </w:r>
          </w:p>
        </w:tc>
      </w:tr>
      <w:tr>
        <w:tblPrEx>
          <w:tblCellMar>
            <w:top w:w="0" w:type="dxa"/>
            <w:left w:w="108" w:type="dxa"/>
            <w:bottom w:w="0" w:type="dxa"/>
            <w:right w:w="108" w:type="dxa"/>
          </w:tblCellMar>
        </w:tblPrEx>
        <w:trPr>
          <w:trHeight w:val="923"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kern w:val="0"/>
                <w:sz w:val="18"/>
                <w:szCs w:val="18"/>
              </w:rPr>
            </w:pP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事业单位借款变动率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2</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0.00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2.0</w:t>
            </w:r>
          </w:p>
        </w:tc>
      </w:tr>
      <w:tr>
        <w:tblPrEx>
          <w:tblCellMar>
            <w:top w:w="0" w:type="dxa"/>
            <w:left w:w="108" w:type="dxa"/>
            <w:bottom w:w="0" w:type="dxa"/>
            <w:right w:w="108" w:type="dxa"/>
          </w:tblCellMar>
        </w:tblPrEx>
        <w:trPr>
          <w:trHeight w:val="585" w:hRule="atLeast"/>
        </w:trPr>
        <w:tc>
          <w:tcPr>
            <w:tcW w:w="68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人员情况</w:t>
            </w:r>
          </w:p>
        </w:tc>
        <w:tc>
          <w:tcPr>
            <w:tcW w:w="77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5</w:t>
            </w:r>
          </w:p>
        </w:tc>
        <w:tc>
          <w:tcPr>
            <w:tcW w:w="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在职人员控制</w:t>
            </w:r>
          </w:p>
        </w:tc>
        <w:tc>
          <w:tcPr>
            <w:tcW w:w="7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3</w:t>
            </w:r>
          </w:p>
        </w:tc>
        <w:tc>
          <w:tcPr>
            <w:tcW w:w="1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在职人员控制率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3</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75.44</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3.0</w:t>
            </w:r>
          </w:p>
        </w:tc>
      </w:tr>
      <w:tr>
        <w:tblPrEx>
          <w:tblCellMar>
            <w:top w:w="0" w:type="dxa"/>
            <w:left w:w="108" w:type="dxa"/>
            <w:bottom w:w="0" w:type="dxa"/>
            <w:right w:w="108" w:type="dxa"/>
          </w:tblCellMar>
        </w:tblPrEx>
        <w:trPr>
          <w:trHeight w:val="1275"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财政拨款（补助）人员控制</w:t>
            </w:r>
          </w:p>
        </w:tc>
        <w:tc>
          <w:tcPr>
            <w:tcW w:w="7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w:t>
            </w: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一般公共预算财政拨款（补助）人员增减率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0.00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1.0</w:t>
            </w:r>
          </w:p>
        </w:tc>
      </w:tr>
      <w:tr>
        <w:tblPrEx>
          <w:tblCellMar>
            <w:top w:w="0" w:type="dxa"/>
            <w:left w:w="108" w:type="dxa"/>
            <w:bottom w:w="0" w:type="dxa"/>
            <w:right w:w="108" w:type="dxa"/>
          </w:tblCellMar>
        </w:tblPrEx>
        <w:trPr>
          <w:trHeight w:val="570" w:hRule="atLeast"/>
        </w:trPr>
        <w:tc>
          <w:tcPr>
            <w:tcW w:w="688"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772" w:type="dxa"/>
            <w:vMerge w:val="continue"/>
            <w:tcBorders>
              <w:top w:val="nil"/>
              <w:left w:val="nil"/>
              <w:bottom w:val="single" w:color="000000" w:sz="4" w:space="0"/>
              <w:right w:val="single" w:color="000000" w:sz="4" w:space="0"/>
            </w:tcBorders>
            <w:vAlign w:val="center"/>
          </w:tcPr>
          <w:p>
            <w:pPr>
              <w:jc w:val="left"/>
              <w:rPr>
                <w:rFonts w:ascii="宋体" w:hAnsi="宋体" w:cs="Arial"/>
                <w:color w:val="000000"/>
                <w:kern w:val="0"/>
                <w:sz w:val="18"/>
                <w:szCs w:val="18"/>
              </w:rPr>
            </w:pPr>
          </w:p>
        </w:tc>
        <w:tc>
          <w:tcPr>
            <w:tcW w:w="6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其他人员控制</w:t>
            </w:r>
          </w:p>
        </w:tc>
        <w:tc>
          <w:tcPr>
            <w:tcW w:w="7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w:t>
            </w: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其他人员增减率</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0.00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1.0</w:t>
            </w:r>
          </w:p>
        </w:tc>
      </w:tr>
      <w:tr>
        <w:tblPrEx>
          <w:tblCellMar>
            <w:top w:w="0" w:type="dxa"/>
            <w:left w:w="108" w:type="dxa"/>
            <w:bottom w:w="0" w:type="dxa"/>
            <w:right w:w="108" w:type="dxa"/>
          </w:tblCellMar>
        </w:tblPrEx>
        <w:trPr>
          <w:trHeight w:val="447" w:hRule="atLeast"/>
        </w:trPr>
        <w:tc>
          <w:tcPr>
            <w:tcW w:w="6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合计</w:t>
            </w:r>
          </w:p>
        </w:tc>
        <w:tc>
          <w:tcPr>
            <w:tcW w:w="7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100</w:t>
            </w:r>
          </w:p>
        </w:tc>
        <w:tc>
          <w:tcPr>
            <w:tcW w:w="6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w:t>
            </w:r>
          </w:p>
        </w:tc>
        <w:tc>
          <w:tcPr>
            <w:tcW w:w="7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100</w:t>
            </w:r>
          </w:p>
        </w:tc>
        <w:tc>
          <w:tcPr>
            <w:tcW w:w="1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w:t>
            </w:r>
          </w:p>
        </w:tc>
        <w:tc>
          <w:tcPr>
            <w:tcW w:w="5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100</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center"/>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w:t>
            </w:r>
          </w:p>
        </w:tc>
        <w:tc>
          <w:tcPr>
            <w:tcW w:w="20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righ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0"/>
                <w:szCs w:val="20"/>
                <w:lang w:val="en-US" w:eastAsia="zh-CN" w:bidi="ar"/>
              </w:rPr>
              <w:t>80.0</w:t>
            </w:r>
          </w:p>
        </w:tc>
      </w:tr>
      <w:tr>
        <w:tblPrEx>
          <w:tblCellMar>
            <w:top w:w="0" w:type="dxa"/>
            <w:left w:w="108" w:type="dxa"/>
            <w:bottom w:w="0" w:type="dxa"/>
            <w:right w:w="108" w:type="dxa"/>
          </w:tblCellMar>
        </w:tblPrEx>
        <w:trPr>
          <w:trHeight w:val="447" w:hRule="atLeast"/>
        </w:trPr>
        <w:tc>
          <w:tcPr>
            <w:tcW w:w="9160" w:type="dxa"/>
            <w:gridSpan w:val="8"/>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2"/>
                <w:szCs w:val="22"/>
                <w:lang w:val="en-US" w:eastAsia="zh-CN" w:bidi="ar"/>
              </w:rPr>
              <w:t>注：1.财务状况不含企业化管理事业单位和民间非营利组织。</w:t>
            </w:r>
          </w:p>
        </w:tc>
      </w:tr>
      <w:tr>
        <w:tblPrEx>
          <w:tblCellMar>
            <w:top w:w="0" w:type="dxa"/>
            <w:left w:w="108" w:type="dxa"/>
            <w:bottom w:w="0" w:type="dxa"/>
            <w:right w:w="108" w:type="dxa"/>
          </w:tblCellMar>
        </w:tblPrEx>
        <w:trPr>
          <w:trHeight w:val="447" w:hRule="atLeast"/>
        </w:trPr>
        <w:tc>
          <w:tcPr>
            <w:tcW w:w="9160" w:type="dxa"/>
            <w:gridSpan w:val="8"/>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2"/>
                <w:szCs w:val="22"/>
                <w:lang w:val="en-US" w:eastAsia="zh-CN" w:bidi="ar"/>
              </w:rPr>
              <w:t>    2.财政拨款结转和结余率、财政拨款结转和结余上下年变动率评价指标中，中央部门上年、本年年末结转和结余数均不含暂付款。</w:t>
            </w:r>
          </w:p>
        </w:tc>
      </w:tr>
      <w:tr>
        <w:tblPrEx>
          <w:tblCellMar>
            <w:top w:w="0" w:type="dxa"/>
            <w:left w:w="108" w:type="dxa"/>
            <w:bottom w:w="0" w:type="dxa"/>
            <w:right w:w="108" w:type="dxa"/>
          </w:tblCellMar>
        </w:tblPrEx>
        <w:trPr>
          <w:trHeight w:val="447" w:hRule="atLeast"/>
        </w:trPr>
        <w:tc>
          <w:tcPr>
            <w:tcW w:w="9160" w:type="dxa"/>
            <w:gridSpan w:val="8"/>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0"/>
              <w:jc w:val="left"/>
              <w:textAlignment w:val="center"/>
              <w:rPr>
                <w:rFonts w:ascii="宋体" w:hAnsi="宋体" w:cs="Arial"/>
                <w:color w:val="000000"/>
                <w:kern w:val="0"/>
                <w:sz w:val="18"/>
                <w:szCs w:val="18"/>
              </w:rPr>
            </w:pPr>
            <w:r>
              <w:rPr>
                <w:rFonts w:hint="eastAsia" w:ascii="宋体" w:hAnsi="宋体" w:eastAsia="宋体" w:cs="宋体"/>
                <w:b w:val="0"/>
                <w:bCs w:val="0"/>
                <w:color w:val="000000"/>
                <w:kern w:val="0"/>
                <w:sz w:val="22"/>
                <w:szCs w:val="22"/>
                <w:lang w:val="en-US" w:eastAsia="zh-CN" w:bidi="ar"/>
              </w:rPr>
              <w:t>    3.各项评分标准中，对于分子不为0且分母为0的情况，按0分计算；分子、分母同为0的情况，按满分计算。</w:t>
            </w:r>
          </w:p>
        </w:tc>
      </w:tr>
    </w:tbl>
    <w:p>
      <w:pPr>
        <w:pStyle w:val="3"/>
        <w:spacing w:before="0" w:after="0" w:line="580" w:lineRule="exact"/>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widowControl/>
        <w:spacing w:after="0" w:line="580" w:lineRule="exact"/>
        <w:ind w:firstLine="640" w:firstLineChars="200"/>
        <w:jc w:val="left"/>
        <w:rPr>
          <w:rFonts w:hint="eastAsia" w:ascii="仿宋_GB2312" w:eastAsia="仿宋_GB2312" w:cs="DengXian-Regular"/>
          <w:sz w:val="32"/>
          <w:szCs w:val="32"/>
        </w:rPr>
      </w:pPr>
      <w:r>
        <w:rPr>
          <w:rFonts w:hint="eastAsia" w:ascii="仿宋_GB2312" w:eastAsia="仿宋_GB2312" w:cs="DengXian-Regular"/>
          <w:sz w:val="32"/>
          <w:szCs w:val="32"/>
          <w:lang w:val="en-US" w:eastAsia="zh-CN"/>
        </w:rPr>
        <w:t>本部门2018年度机关运行经费支出33.6万元，比年初预算数减少1.4万元，降低4%。主要原因是年末结余结转下年。</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widowControl/>
        <w:spacing w:after="0" w:line="580" w:lineRule="exact"/>
        <w:ind w:firstLine="640" w:firstLineChars="200"/>
        <w:jc w:val="left"/>
        <w:rPr>
          <w:rFonts w:hint="eastAsia" w:ascii="仿宋_GB2312" w:eastAsia="仿宋_GB2312" w:cs="DengXian-Regular"/>
          <w:sz w:val="32"/>
          <w:szCs w:val="32"/>
        </w:rPr>
      </w:pPr>
      <w:r>
        <w:rPr>
          <w:rFonts w:hint="eastAsia" w:ascii="仿宋_GB2312" w:eastAsia="仿宋_GB2312" w:cs="DengXian-Regular"/>
          <w:sz w:val="32"/>
          <w:szCs w:val="32"/>
          <w:lang w:val="en-US" w:eastAsia="zh-CN"/>
        </w:rPr>
        <w:t>截至2018年12月31日，本部门共有车辆1辆，其中应急保障用车1辆；单位价值50万元以上通用设备0台（套），单位价值100万元以上专用设备0台（套）。</w:t>
      </w:r>
    </w:p>
    <w:p>
      <w:pPr>
        <w:adjustRightInd w:val="0"/>
        <w:snapToGrid w:val="0"/>
        <w:spacing w:after="0" w:line="580" w:lineRule="exact"/>
        <w:ind w:firstLine="640" w:firstLineChars="200"/>
        <w:rPr>
          <w:rFonts w:ascii="仿宋_GB2312" w:eastAsia="仿宋_GB2312" w:cs="DengXian-Regular"/>
          <w:sz w:val="32"/>
          <w:szCs w:val="32"/>
        </w:rPr>
      </w:pP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widowControl/>
        <w:spacing w:after="0" w:line="580" w:lineRule="exact"/>
        <w:ind w:firstLine="640" w:firstLineChars="200"/>
        <w:jc w:val="left"/>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1、本部门2018年度政府性基金预算财政拨款、国有资本经营预算财政拨款、政府采购无收支及结转结余情况，故《政府性基金预算财政拨款收入支出决算表》、《国有资本经营预算财政拨款支出决算表》、《政府采购情况表》以空表列示。</w:t>
      </w:r>
    </w:p>
    <w:p>
      <w:pPr>
        <w:widowControl/>
        <w:spacing w:after="0" w:line="580" w:lineRule="exact"/>
        <w:ind w:firstLine="640" w:firstLineChars="200"/>
        <w:jc w:val="left"/>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2、由于决算公开表格中金额数值应当保留两位小数，公开数据为四舍五入计算结果，个别数据合计项与分项之和存在小数点后差额，特此说明。</w:t>
      </w:r>
    </w:p>
    <w:p>
      <w:pPr>
        <w:widowControl/>
        <w:spacing w:after="0" w:line="580" w:lineRule="exact"/>
        <w:ind w:firstLine="640" w:firstLineChars="200"/>
        <w:jc w:val="left"/>
        <w:rPr>
          <w:rFonts w:hint="eastAsia" w:ascii="仿宋_GB2312" w:eastAsia="仿宋_GB2312" w:cs="DengXian-Regular"/>
          <w:sz w:val="32"/>
          <w:szCs w:val="32"/>
          <w:lang w:val="en-US" w:eastAsia="zh-CN"/>
        </w:rPr>
      </w:pPr>
    </w:p>
    <w:p>
      <w:pPr>
        <w:adjustRightInd w:val="0"/>
        <w:snapToGrid w:val="0"/>
        <w:spacing w:after="0" w:line="580" w:lineRule="exact"/>
        <w:ind w:firstLine="640" w:firstLineChars="200"/>
        <w:rPr>
          <w:rFonts w:ascii="仿宋_GB2312" w:eastAsia="仿宋_GB2312" w:cs="DengXian-Regular"/>
          <w:sz w:val="32"/>
          <w:szCs w:val="32"/>
        </w:rPr>
      </w:pP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7456"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7" cstate="print"/>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66432"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第四部分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66432;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lmnozeAAAADQEAAA8AAAAAAAAA&#10;AQAgAAAAIgAAAGRycy9kb3ducmV2LnhtbFBLAQIUABQAAAAIAIdO4kARUYTtRAIAAHcEAAAOAAAA&#10;AAAAAAEAIAAAAC0BAABkcnMvZTJvRG9jLnhtbFBLBQYAAAAABgAGAFkBAADj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第四部分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名词解释</w:t>
                      </w:r>
                    </w:p>
                  </w:txbxContent>
                </v:textbox>
              </v:shape>
            </w:pict>
          </mc:Fallback>
        </mc:AlternateContent>
      </w:r>
    </w:p>
    <w:p>
      <w:pPr>
        <w:widowControl/>
        <w:spacing w:after="0" w:line="560" w:lineRule="exact"/>
        <w:ind w:firstLine="643" w:firstLineChars="200"/>
        <w:rPr>
          <w:rFonts w:hint="eastAsia"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lang w:val="en-US" w:eastAsia="zh-CN"/>
        </w:rPr>
        <w:t>（一）财政拨款收入：</w:t>
      </w:r>
      <w:r>
        <w:rPr>
          <w:rFonts w:hint="eastAsia" w:ascii="仿宋_GB2312" w:eastAsia="仿宋_GB2312" w:hAnsiTheme="majorEastAsia"/>
          <w:color w:val="000000"/>
          <w:kern w:val="0"/>
          <w:sz w:val="32"/>
          <w:szCs w:val="32"/>
          <w:lang w:val="en-US" w:eastAsia="zh-CN"/>
        </w:rPr>
        <w:t>本年度从本级财政部门取得的财政拨款，包括一般公共预算财政拨款和政府性基金预算财政拨款。</w:t>
      </w:r>
    </w:p>
    <w:p>
      <w:pPr>
        <w:widowControl/>
        <w:spacing w:after="0" w:line="560" w:lineRule="exact"/>
        <w:ind w:firstLine="643" w:firstLineChars="200"/>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（二）事业收入：</w:t>
      </w:r>
      <w:r>
        <w:rPr>
          <w:rFonts w:hint="eastAsia" w:ascii="仿宋_GB2312" w:eastAsia="仿宋_GB2312" w:hAnsiTheme="majorEastAsia"/>
          <w:color w:val="000000"/>
          <w:kern w:val="0"/>
          <w:sz w:val="32"/>
          <w:szCs w:val="32"/>
          <w:lang w:val="en-US" w:eastAsia="zh-CN"/>
        </w:rPr>
        <w:t>指事业单位开展专业业务活动及辅助活动所取得的收入。</w:t>
      </w:r>
    </w:p>
    <w:p>
      <w:pPr>
        <w:widowControl/>
        <w:spacing w:after="0" w:line="560" w:lineRule="exact"/>
        <w:ind w:firstLine="643" w:firstLineChars="200"/>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（三）其他收入：</w:t>
      </w:r>
      <w:r>
        <w:rPr>
          <w:rFonts w:hint="eastAsia" w:ascii="仿宋_GB2312" w:eastAsia="仿宋_GB2312" w:hAnsiTheme="majorEastAsia"/>
          <w:color w:val="000000"/>
          <w:kern w:val="0"/>
          <w:sz w:val="32"/>
          <w:szCs w:val="32"/>
          <w:lang w:val="en-US" w:eastAsia="zh-CN"/>
        </w:rPr>
        <w:t>指除上述“财政拨款收入”“事业收入”“经营收入”等以外的收入。</w:t>
      </w:r>
    </w:p>
    <w:p>
      <w:pPr>
        <w:widowControl/>
        <w:spacing w:after="0" w:line="560" w:lineRule="exact"/>
        <w:ind w:firstLine="643" w:firstLineChars="200"/>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（四）用事业基金弥补收支差额：</w:t>
      </w:r>
      <w:r>
        <w:rPr>
          <w:rFonts w:hint="eastAsia" w:ascii="仿宋_GB2312" w:eastAsia="仿宋_GB2312" w:hAnsiTheme="majorEastAsia"/>
          <w:color w:val="000000"/>
          <w:kern w:val="0"/>
          <w:sz w:val="32"/>
          <w:szCs w:val="32"/>
          <w:lang w:val="en-US" w:eastAsia="zh-CN"/>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（五）年初结转和结余：</w:t>
      </w:r>
      <w:r>
        <w:rPr>
          <w:rFonts w:hint="eastAsia" w:ascii="仿宋_GB2312" w:eastAsia="仿宋_GB2312" w:hAnsiTheme="majorEastAsia"/>
          <w:color w:val="000000"/>
          <w:kern w:val="0"/>
          <w:sz w:val="32"/>
          <w:szCs w:val="32"/>
          <w:lang w:val="en-US" w:eastAsia="zh-CN"/>
        </w:rPr>
        <w:t>指以前年度尚未完成、结转到本年仍按原规定用途继续使用的资金，或项目已完成等产生的结余资金。</w:t>
      </w:r>
    </w:p>
    <w:p>
      <w:pPr>
        <w:widowControl/>
        <w:spacing w:after="0" w:line="560" w:lineRule="exact"/>
        <w:ind w:firstLine="643" w:firstLineChars="200"/>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（六）结余分配：</w:t>
      </w:r>
      <w:r>
        <w:rPr>
          <w:rFonts w:hint="eastAsia" w:ascii="仿宋_GB2312" w:eastAsia="仿宋_GB2312" w:hAnsiTheme="majorEastAsia"/>
          <w:color w:val="000000"/>
          <w:kern w:val="0"/>
          <w:sz w:val="32"/>
          <w:szCs w:val="32"/>
          <w:lang w:val="en-US" w:eastAsia="zh-CN"/>
        </w:rPr>
        <w:t>指事业单位按照事业单位会计制度的规定从非财政补助结余中分配的事业基金和职工福利基金等。</w:t>
      </w:r>
    </w:p>
    <w:p>
      <w:pPr>
        <w:widowControl/>
        <w:spacing w:after="0" w:line="560" w:lineRule="exact"/>
        <w:ind w:firstLine="643" w:firstLineChars="200"/>
        <w:rPr>
          <w:rFonts w:hint="eastAsia" w:ascii="仿宋_GB2312" w:eastAsia="仿宋_GB2312" w:hAnsiTheme="majorEastAsia"/>
          <w:b/>
          <w:bCs/>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（七）年末结转和结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textAlignment w:val="center"/>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（八）基本支出：</w:t>
      </w:r>
      <w:r>
        <w:rPr>
          <w:rFonts w:hint="eastAsia" w:ascii="仿宋_GB2312" w:eastAsia="仿宋_GB2312" w:hAnsiTheme="majorEastAsia"/>
          <w:color w:val="000000"/>
          <w:kern w:val="0"/>
          <w:sz w:val="32"/>
          <w:szCs w:val="32"/>
          <w:lang w:val="en-US" w:eastAsia="zh-CN"/>
        </w:rPr>
        <w:t>填列单位为保障机构正常运转、完成日常工作任务而发生的各项支出。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textAlignment w:val="center"/>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（九）项目支出：</w:t>
      </w:r>
      <w:r>
        <w:rPr>
          <w:rFonts w:hint="eastAsia" w:ascii="仿宋_GB2312" w:eastAsia="仿宋_GB2312" w:hAnsiTheme="majorEastAsia"/>
          <w:color w:val="000000"/>
          <w:kern w:val="0"/>
          <w:sz w:val="32"/>
          <w:szCs w:val="32"/>
          <w:lang w:val="en-US" w:eastAsia="zh-CN"/>
        </w:rPr>
        <w:t>填列单位为完成特定的行政工作任务或事业发展目标，在基本支出之外发生的各项支出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textAlignment w:val="center"/>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（十）资本性支出（基本建设）：</w:t>
      </w:r>
      <w:r>
        <w:rPr>
          <w:rFonts w:hint="eastAsia" w:ascii="仿宋_GB2312" w:eastAsia="仿宋_GB2312" w:hAnsiTheme="majorEastAsia"/>
          <w:color w:val="000000"/>
          <w:kern w:val="0"/>
          <w:sz w:val="32"/>
          <w:szCs w:val="32"/>
          <w:lang w:val="en-US" w:eastAsia="zh-CN"/>
        </w:rPr>
        <w:t>填列切块由发展改革部门安排的基本建设支出，对企业补助支出不在此科目反映。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textAlignment w:val="center"/>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（十一）资本性支出：</w:t>
      </w:r>
      <w:r>
        <w:rPr>
          <w:rFonts w:hint="eastAsia" w:ascii="仿宋_GB2312" w:eastAsia="仿宋_GB2312" w:hAnsiTheme="majorEastAsia"/>
          <w:color w:val="000000"/>
          <w:kern w:val="0"/>
          <w:sz w:val="32"/>
          <w:szCs w:val="32"/>
          <w:lang w:val="en-US" w:eastAsia="zh-CN"/>
        </w:rPr>
        <w:t>填列各单位安排的资本性支出。切块由发展改革部门安排的基本建设支出不在此科目反映。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textAlignment w:val="center"/>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（十二）“三公”经费：</w:t>
      </w:r>
      <w:r>
        <w:rPr>
          <w:rFonts w:hint="eastAsia" w:ascii="仿宋_GB2312" w:eastAsia="仿宋_GB2312" w:hAnsiTheme="majorEastAsia"/>
          <w:color w:val="000000"/>
          <w:kern w:val="0"/>
          <w:sz w:val="32"/>
          <w:szCs w:val="32"/>
          <w:lang w:val="en-US" w:eastAsia="zh-CN"/>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textAlignment w:val="center"/>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（十四）公务用车购置：</w:t>
      </w:r>
      <w:r>
        <w:rPr>
          <w:rFonts w:hint="eastAsia" w:ascii="仿宋_GB2312" w:eastAsia="仿宋_GB2312" w:hAnsiTheme="majorEastAsia"/>
          <w:color w:val="000000"/>
          <w:kern w:val="0"/>
          <w:sz w:val="32"/>
          <w:szCs w:val="32"/>
          <w:lang w:val="en-US" w:eastAsia="zh-CN"/>
        </w:rPr>
        <w:t>填列单位公务用车购置支出（含车辆购置税、牌照费）。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textAlignment w:val="center"/>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（十五）其他交通工具购置：</w:t>
      </w:r>
      <w:r>
        <w:rPr>
          <w:rFonts w:hint="eastAsia" w:ascii="仿宋_GB2312" w:eastAsia="仿宋_GB2312" w:hAnsiTheme="majorEastAsia"/>
          <w:color w:val="000000"/>
          <w:kern w:val="0"/>
          <w:sz w:val="32"/>
          <w:szCs w:val="32"/>
          <w:lang w:val="en-US" w:eastAsia="zh-CN"/>
        </w:rPr>
        <w:t>填列单位除公务用车外的其他各类交通工具（如船舶、飞机）购置支出（含车辆购置税、牌照费）。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textAlignment w:val="center"/>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（十六）机关运行经费：</w:t>
      </w:r>
      <w:r>
        <w:rPr>
          <w:rFonts w:hint="eastAsia" w:ascii="仿宋_GB2312" w:eastAsia="仿宋_GB2312" w:hAnsiTheme="majorEastAsia"/>
          <w:color w:val="000000"/>
          <w:kern w:val="0"/>
          <w:sz w:val="32"/>
          <w:szCs w:val="32"/>
          <w:lang w:val="en-US" w:eastAsia="zh-CN"/>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textAlignment w:val="center"/>
        <w:rPr>
          <w:rFonts w:hint="eastAsia" w:ascii="仿宋_GB2312" w:eastAsia="仿宋_GB2312" w:hAnsiTheme="majorEastAsia"/>
          <w:color w:val="000000"/>
          <w:kern w:val="0"/>
          <w:sz w:val="32"/>
          <w:szCs w:val="32"/>
          <w:lang w:val="en-US" w:eastAsia="zh-CN"/>
        </w:rPr>
      </w:pPr>
      <w:r>
        <w:rPr>
          <w:rFonts w:hint="eastAsia" w:ascii="仿宋_GB2312" w:eastAsia="仿宋_GB2312" w:hAnsiTheme="majorEastAsia"/>
          <w:b/>
          <w:bCs/>
          <w:color w:val="000000"/>
          <w:kern w:val="0"/>
          <w:sz w:val="32"/>
          <w:szCs w:val="32"/>
          <w:lang w:val="en-US" w:eastAsia="zh-CN"/>
        </w:rPr>
        <w:t>（十七）经费形式</w:t>
      </w:r>
      <w:r>
        <w:rPr>
          <w:rFonts w:hint="eastAsia" w:ascii="仿宋_GB2312" w:eastAsia="仿宋_GB2312" w:hAnsiTheme="majorEastAsia"/>
          <w:color w:val="000000"/>
          <w:kern w:val="0"/>
          <w:sz w:val="32"/>
          <w:szCs w:val="32"/>
          <w:lang w:val="en-US" w:eastAsia="zh-CN"/>
        </w:rPr>
        <w:t>:按照经费来源，可分为财政拨款、财政性资金基本保证、财政性资金定额或定项补助、财政性资金零补助四类。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textAlignment w:val="center"/>
        <w:rPr>
          <w:rFonts w:hint="eastAsia" w:ascii="仿宋_GB2312" w:eastAsia="仿宋_GB2312" w:hAnsiTheme="majorEastAsia"/>
          <w:color w:val="000000"/>
          <w:kern w:val="0"/>
          <w:sz w:val="32"/>
          <w:szCs w:val="32"/>
          <w:lang w:val="en-US" w:eastAsia="zh-CN"/>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A61EDA0-9DD8-4B70-B0AB-00930F6C07A4}"/>
  </w:font>
  <w:font w:name="黑体">
    <w:panose1 w:val="02010609060101010101"/>
    <w:charset w:val="86"/>
    <w:family w:val="auto"/>
    <w:pitch w:val="default"/>
    <w:sig w:usb0="800002BF" w:usb1="38CF7CFA" w:usb2="00000016" w:usb3="00000000" w:csb0="00040001" w:csb1="00000000"/>
    <w:embedRegular r:id="rId2" w:fontKey="{CAACDB94-17A4-41B8-B801-54C4303DE1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3" w:fontKey="{966EA286-0035-4853-A2CC-92715BB124D8}"/>
  </w:font>
  <w:font w:name="楷体">
    <w:panose1 w:val="02010609060101010101"/>
    <w:charset w:val="86"/>
    <w:family w:val="modern"/>
    <w:pitch w:val="default"/>
    <w:sig w:usb0="800002BF" w:usb1="38CF7CFA" w:usb2="00000016" w:usb3="00000000" w:csb0="00040001" w:csb1="00000000"/>
    <w:embedRegular r:id="rId4" w:fontKey="{A28EF13D-EE2C-4ED4-B46F-FEE1C72AD78C}"/>
  </w:font>
  <w:font w:name="仿宋_GB2312">
    <w:panose1 w:val="02010609030101010101"/>
    <w:charset w:val="86"/>
    <w:family w:val="modern"/>
    <w:pitch w:val="default"/>
    <w:sig w:usb0="00000001" w:usb1="080E0000" w:usb2="00000000" w:usb3="00000000" w:csb0="00040000" w:csb1="00000000"/>
    <w:embedRegular r:id="rId5" w:fontKey="{F3BF0F27-D0AB-4DB1-A37E-F8A0888F8F86}"/>
  </w:font>
  <w:font w:name="ArialUnicodeMS">
    <w:altName w:val="Malgun Gothic"/>
    <w:panose1 w:val="00000000000000000000"/>
    <w:charset w:val="81"/>
    <w:family w:val="auto"/>
    <w:pitch w:val="default"/>
    <w:sig w:usb0="00000000" w:usb1="00000000" w:usb2="00000010" w:usb3="00000000" w:csb0="00080001" w:csb1="00000000"/>
    <w:embedRegular r:id="rId6" w:fontKey="{3A4CD167-AE8A-4A00-8F59-FFA6F5A9A735}"/>
  </w:font>
  <w:font w:name="仿宋">
    <w:panose1 w:val="02010609060101010101"/>
    <w:charset w:val="86"/>
    <w:family w:val="modern"/>
    <w:pitch w:val="default"/>
    <w:sig w:usb0="800002BF" w:usb1="38CF7CFA" w:usb2="00000016" w:usb3="00000000" w:csb0="00040001" w:csb1="00000000"/>
    <w:embedRegular r:id="rId7" w:fontKey="{3D87CAA6-6E01-46D0-9E62-D00FF6A448BC}"/>
  </w:font>
  <w:font w:name="MS-UIGothic,Bold">
    <w:altName w:val="Malgun Gothic"/>
    <w:panose1 w:val="00000000000000000000"/>
    <w:charset w:val="81"/>
    <w:family w:val="auto"/>
    <w:pitch w:val="default"/>
    <w:sig w:usb0="00000000" w:usb1="00000000" w:usb2="00000010" w:usb3="00000000" w:csb0="00080000" w:csb1="00000000"/>
    <w:embedRegular r:id="rId8" w:fontKey="{8EC96324-B45A-49D8-9FF8-C41A59E02FDF}"/>
  </w:font>
  <w:font w:name="___WRD_EMBED_SUB_39">
    <w:altName w:val="宋体"/>
    <w:panose1 w:val="00000000000000000000"/>
    <w:charset w:val="86"/>
    <w:family w:val="modern"/>
    <w:pitch w:val="default"/>
    <w:sig w:usb0="00000000" w:usb1="00000000" w:usb2="00000010" w:usb3="00000000" w:csb0="00040000" w:csb1="00000000"/>
    <w:embedRegular r:id="rId9" w:fontKey="{C56A7278-9879-4487-8418-6A89A3077314}"/>
  </w:font>
  <w:font w:name="DengXian-Regular">
    <w:altName w:val="宋体"/>
    <w:panose1 w:val="00000000000000000000"/>
    <w:charset w:val="86"/>
    <w:family w:val="auto"/>
    <w:pitch w:val="default"/>
    <w:sig w:usb0="00000000" w:usb1="00000000" w:usb2="00000010" w:usb3="00000000" w:csb0="00040001" w:csb1="00000000"/>
    <w:embedRegular r:id="rId10" w:fontKey="{E3795967-9386-406D-9293-FE340AB9D3B9}"/>
  </w:font>
  <w:font w:name="DengXian-Bold">
    <w:altName w:val="宋体"/>
    <w:panose1 w:val="00000000000000000000"/>
    <w:charset w:val="86"/>
    <w:family w:val="auto"/>
    <w:pitch w:val="default"/>
    <w:sig w:usb0="00000000" w:usb1="00000000" w:usb2="00000010" w:usb3="00000000" w:csb0="00040001" w:csb1="00000000"/>
    <w:embedRegular r:id="rId11" w:fontKey="{45416E0C-262A-4AD9-A26C-AFF4E4D45EE8}"/>
  </w:font>
  <w:font w:name="楷体_GB2312">
    <w:panose1 w:val="02010609030101010101"/>
    <w:charset w:val="86"/>
    <w:family w:val="modern"/>
    <w:pitch w:val="default"/>
    <w:sig w:usb0="00000001" w:usb1="080E0000" w:usb2="00000000" w:usb3="00000000" w:csb0="00040000" w:csb1="00000000"/>
    <w:embedRegular r:id="rId12" w:fontKey="{351B10A1-734C-4655-BDC8-BC41BA544844}"/>
  </w:font>
  <w:font w:name="微软雅黑">
    <w:panose1 w:val="020B0503020204020204"/>
    <w:charset w:val="86"/>
    <w:family w:val="auto"/>
    <w:pitch w:val="default"/>
    <w:sig w:usb0="80000287" w:usb1="280F3C52" w:usb2="00000016" w:usb3="00000000" w:csb0="0004001F" w:csb1="00000000"/>
    <w:embedRegular r:id="rId13" w:fontKey="{9C24D72C-89A1-410E-B0EE-CDD2EAF7812D}"/>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zQxYmMxNTBmNDEwZmQyMmJmZjUwYWY1M2EwNDUifQ=="/>
  </w:docVars>
  <w:rsids>
    <w:rsidRoot w:val="003C1413"/>
    <w:rsid w:val="00024E7F"/>
    <w:rsid w:val="000475A0"/>
    <w:rsid w:val="000838C3"/>
    <w:rsid w:val="000B2446"/>
    <w:rsid w:val="000C692C"/>
    <w:rsid w:val="000D7C65"/>
    <w:rsid w:val="000E2F81"/>
    <w:rsid w:val="00117946"/>
    <w:rsid w:val="00117E2C"/>
    <w:rsid w:val="00146C47"/>
    <w:rsid w:val="00152FB8"/>
    <w:rsid w:val="00176658"/>
    <w:rsid w:val="0018239E"/>
    <w:rsid w:val="00192C96"/>
    <w:rsid w:val="001B13B1"/>
    <w:rsid w:val="001B32F5"/>
    <w:rsid w:val="001B3410"/>
    <w:rsid w:val="001C030D"/>
    <w:rsid w:val="001C4A84"/>
    <w:rsid w:val="001E5902"/>
    <w:rsid w:val="00233705"/>
    <w:rsid w:val="00275CA2"/>
    <w:rsid w:val="00294972"/>
    <w:rsid w:val="00297D92"/>
    <w:rsid w:val="002A2CD9"/>
    <w:rsid w:val="002A65A5"/>
    <w:rsid w:val="002C04C4"/>
    <w:rsid w:val="002D08B0"/>
    <w:rsid w:val="002D1AE3"/>
    <w:rsid w:val="002F2ECE"/>
    <w:rsid w:val="0032347B"/>
    <w:rsid w:val="00341C8F"/>
    <w:rsid w:val="0035463A"/>
    <w:rsid w:val="00367611"/>
    <w:rsid w:val="00385607"/>
    <w:rsid w:val="00387285"/>
    <w:rsid w:val="00391D9D"/>
    <w:rsid w:val="003B6C51"/>
    <w:rsid w:val="003C1413"/>
    <w:rsid w:val="003C549F"/>
    <w:rsid w:val="003D5A16"/>
    <w:rsid w:val="003E7DB3"/>
    <w:rsid w:val="003F1321"/>
    <w:rsid w:val="00430832"/>
    <w:rsid w:val="00431175"/>
    <w:rsid w:val="00480388"/>
    <w:rsid w:val="004B1DF4"/>
    <w:rsid w:val="004B51B8"/>
    <w:rsid w:val="004B6E37"/>
    <w:rsid w:val="004C32BA"/>
    <w:rsid w:val="004F43DB"/>
    <w:rsid w:val="00541090"/>
    <w:rsid w:val="00575922"/>
    <w:rsid w:val="005A6C90"/>
    <w:rsid w:val="005D3E24"/>
    <w:rsid w:val="005E3FB0"/>
    <w:rsid w:val="005F4B66"/>
    <w:rsid w:val="005F5208"/>
    <w:rsid w:val="005F71A8"/>
    <w:rsid w:val="00603530"/>
    <w:rsid w:val="00616BB9"/>
    <w:rsid w:val="00641318"/>
    <w:rsid w:val="0064405D"/>
    <w:rsid w:val="00654146"/>
    <w:rsid w:val="00695557"/>
    <w:rsid w:val="006D2183"/>
    <w:rsid w:val="006D4EA7"/>
    <w:rsid w:val="0070012A"/>
    <w:rsid w:val="0070664B"/>
    <w:rsid w:val="007071B8"/>
    <w:rsid w:val="007414DE"/>
    <w:rsid w:val="00762B85"/>
    <w:rsid w:val="007748E3"/>
    <w:rsid w:val="007905A9"/>
    <w:rsid w:val="007E5500"/>
    <w:rsid w:val="007F055B"/>
    <w:rsid w:val="007F12EC"/>
    <w:rsid w:val="00811C2F"/>
    <w:rsid w:val="00833D46"/>
    <w:rsid w:val="00840A97"/>
    <w:rsid w:val="008715B2"/>
    <w:rsid w:val="008B64A9"/>
    <w:rsid w:val="008C0149"/>
    <w:rsid w:val="008D5DED"/>
    <w:rsid w:val="008E25CA"/>
    <w:rsid w:val="008F34FC"/>
    <w:rsid w:val="008F7CC3"/>
    <w:rsid w:val="00915B5D"/>
    <w:rsid w:val="00944CD7"/>
    <w:rsid w:val="009831B2"/>
    <w:rsid w:val="009A1ABE"/>
    <w:rsid w:val="009C7906"/>
    <w:rsid w:val="009E21A4"/>
    <w:rsid w:val="009F22C6"/>
    <w:rsid w:val="00A07E50"/>
    <w:rsid w:val="00A15397"/>
    <w:rsid w:val="00A35CE0"/>
    <w:rsid w:val="00A4462E"/>
    <w:rsid w:val="00A44AA4"/>
    <w:rsid w:val="00A454D1"/>
    <w:rsid w:val="00A61623"/>
    <w:rsid w:val="00A80BA3"/>
    <w:rsid w:val="00A84687"/>
    <w:rsid w:val="00AB0A0E"/>
    <w:rsid w:val="00AC1E9C"/>
    <w:rsid w:val="00AC6ED7"/>
    <w:rsid w:val="00AD3B6E"/>
    <w:rsid w:val="00AE2B92"/>
    <w:rsid w:val="00AF2BEC"/>
    <w:rsid w:val="00B14B76"/>
    <w:rsid w:val="00B1751F"/>
    <w:rsid w:val="00B56722"/>
    <w:rsid w:val="00B74D39"/>
    <w:rsid w:val="00B832E2"/>
    <w:rsid w:val="00B91DA4"/>
    <w:rsid w:val="00BA2806"/>
    <w:rsid w:val="00C12630"/>
    <w:rsid w:val="00C34562"/>
    <w:rsid w:val="00C3774E"/>
    <w:rsid w:val="00C57456"/>
    <w:rsid w:val="00C65387"/>
    <w:rsid w:val="00C87FAB"/>
    <w:rsid w:val="00C91FF7"/>
    <w:rsid w:val="00C94E53"/>
    <w:rsid w:val="00D0048E"/>
    <w:rsid w:val="00D03ECE"/>
    <w:rsid w:val="00D23E7A"/>
    <w:rsid w:val="00D61063"/>
    <w:rsid w:val="00D82479"/>
    <w:rsid w:val="00DB35AF"/>
    <w:rsid w:val="00DD72D7"/>
    <w:rsid w:val="00DE6BE7"/>
    <w:rsid w:val="00DF5B88"/>
    <w:rsid w:val="00E0589E"/>
    <w:rsid w:val="00E241FA"/>
    <w:rsid w:val="00E2595E"/>
    <w:rsid w:val="00E35374"/>
    <w:rsid w:val="00E50C19"/>
    <w:rsid w:val="00E64655"/>
    <w:rsid w:val="00E73081"/>
    <w:rsid w:val="00E856C9"/>
    <w:rsid w:val="00E9579E"/>
    <w:rsid w:val="00EB6A8B"/>
    <w:rsid w:val="00ED77E2"/>
    <w:rsid w:val="00EF30EA"/>
    <w:rsid w:val="00EF38C6"/>
    <w:rsid w:val="00F16CF8"/>
    <w:rsid w:val="00F65D45"/>
    <w:rsid w:val="00F679C7"/>
    <w:rsid w:val="00F728E2"/>
    <w:rsid w:val="00F7711A"/>
    <w:rsid w:val="00F812F5"/>
    <w:rsid w:val="00FA0D58"/>
    <w:rsid w:val="00FA56F4"/>
    <w:rsid w:val="00FB4EDA"/>
    <w:rsid w:val="00FD3BD5"/>
    <w:rsid w:val="00FD57EC"/>
    <w:rsid w:val="00FE3DC8"/>
    <w:rsid w:val="00FE3F52"/>
    <w:rsid w:val="00FF09E5"/>
    <w:rsid w:val="00FF4041"/>
    <w:rsid w:val="04073F84"/>
    <w:rsid w:val="0B60750A"/>
    <w:rsid w:val="0C6B2EC5"/>
    <w:rsid w:val="10686488"/>
    <w:rsid w:val="10DF728A"/>
    <w:rsid w:val="1264200E"/>
    <w:rsid w:val="13157FA0"/>
    <w:rsid w:val="141C5B77"/>
    <w:rsid w:val="18D8339D"/>
    <w:rsid w:val="1A21388F"/>
    <w:rsid w:val="1A570D2F"/>
    <w:rsid w:val="28FB0B8D"/>
    <w:rsid w:val="2D2B7942"/>
    <w:rsid w:val="2D46481D"/>
    <w:rsid w:val="2E733B28"/>
    <w:rsid w:val="304B19B1"/>
    <w:rsid w:val="31852B5A"/>
    <w:rsid w:val="32D01238"/>
    <w:rsid w:val="38BB0DFF"/>
    <w:rsid w:val="3DFC59A8"/>
    <w:rsid w:val="3ECF245E"/>
    <w:rsid w:val="3FB96314"/>
    <w:rsid w:val="4D261C14"/>
    <w:rsid w:val="4F8A3701"/>
    <w:rsid w:val="53A44FAF"/>
    <w:rsid w:val="55910871"/>
    <w:rsid w:val="594329EC"/>
    <w:rsid w:val="5BEE1540"/>
    <w:rsid w:val="5CB0527B"/>
    <w:rsid w:val="5DE61A5D"/>
    <w:rsid w:val="613A1008"/>
    <w:rsid w:val="63C04243"/>
    <w:rsid w:val="649C01C7"/>
    <w:rsid w:val="699A3F60"/>
    <w:rsid w:val="72902E62"/>
    <w:rsid w:val="73C61104"/>
    <w:rsid w:val="776452EA"/>
    <w:rsid w:val="78BB505B"/>
    <w:rsid w:val="7DC663B9"/>
    <w:rsid w:val="7F3D7DEF"/>
    <w:rsid w:val="7FD2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2"/>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2"/>
    <w:autoRedefine/>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14:textFill>
        <w14:solidFill>
          <w14:schemeClr w14:val="accent1"/>
        </w14:solidFill>
      </w14:textFill>
    </w:rPr>
  </w:style>
  <w:style w:type="paragraph" w:styleId="11">
    <w:name w:val="Title"/>
    <w:basedOn w:val="1"/>
    <w:next w:val="1"/>
    <w:link w:val="21"/>
    <w:autoRedefine/>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B2C24" w:themeColor="text2" w:themeShade="BF"/>
      <w:spacing w:val="5"/>
      <w:kern w:val="28"/>
      <w:sz w:val="52"/>
      <w:szCs w:val="52"/>
    </w:rPr>
  </w:style>
  <w:style w:type="table" w:styleId="13">
    <w:name w:val="Table Grid"/>
    <w:basedOn w:val="12"/>
    <w:autoRedefine/>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character" w:customStyle="1" w:styleId="16">
    <w:name w:val="页眉 Char"/>
    <w:basedOn w:val="14"/>
    <w:link w:val="9"/>
    <w:autoRedefine/>
    <w:qFormat/>
    <w:uiPriority w:val="99"/>
    <w:rPr>
      <w:sz w:val="18"/>
      <w:szCs w:val="18"/>
    </w:rPr>
  </w:style>
  <w:style w:type="character" w:customStyle="1" w:styleId="17">
    <w:name w:val="页脚 Char"/>
    <w:basedOn w:val="14"/>
    <w:link w:val="8"/>
    <w:autoRedefine/>
    <w:qFormat/>
    <w:uiPriority w:val="99"/>
    <w:rPr>
      <w:sz w:val="18"/>
      <w:szCs w:val="18"/>
    </w:rPr>
  </w:style>
  <w:style w:type="paragraph" w:styleId="18">
    <w:name w:val="No Spacing"/>
    <w:link w:val="19"/>
    <w:autoRedefine/>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9">
    <w:name w:val="无间隔 Char"/>
    <w:basedOn w:val="14"/>
    <w:link w:val="18"/>
    <w:qFormat/>
    <w:uiPriority w:val="1"/>
    <w:rPr>
      <w:kern w:val="0"/>
      <w:sz w:val="22"/>
    </w:rPr>
  </w:style>
  <w:style w:type="character" w:customStyle="1" w:styleId="20">
    <w:name w:val="批注框文本 Char"/>
    <w:basedOn w:val="14"/>
    <w:link w:val="7"/>
    <w:semiHidden/>
    <w:qFormat/>
    <w:uiPriority w:val="99"/>
    <w:rPr>
      <w:rFonts w:ascii="Times New Roman" w:hAnsi="Times New Roman" w:eastAsia="宋体" w:cs="Times New Roman"/>
      <w:sz w:val="18"/>
      <w:szCs w:val="18"/>
    </w:rPr>
  </w:style>
  <w:style w:type="character" w:customStyle="1" w:styleId="21">
    <w:name w:val="标题 Char"/>
    <w:basedOn w:val="14"/>
    <w:link w:val="11"/>
    <w:qFormat/>
    <w:uiPriority w:val="10"/>
    <w:rPr>
      <w:rFonts w:asciiTheme="majorHAnsi" w:hAnsiTheme="majorHAnsi" w:eastAsiaTheme="majorEastAsia" w:cstheme="majorBidi"/>
      <w:color w:val="3B2C24" w:themeColor="text2" w:themeShade="BF"/>
      <w:spacing w:val="5"/>
      <w:kern w:val="28"/>
      <w:sz w:val="52"/>
      <w:szCs w:val="52"/>
    </w:rPr>
  </w:style>
  <w:style w:type="character" w:customStyle="1" w:styleId="22">
    <w:name w:val="副标题 Char"/>
    <w:basedOn w:val="14"/>
    <w:link w:val="10"/>
    <w:qFormat/>
    <w:uiPriority w:val="11"/>
    <w:rPr>
      <w:rFonts w:asciiTheme="majorHAnsi" w:hAnsiTheme="majorHAnsi" w:eastAsiaTheme="majorEastAsia" w:cstheme="majorBidi"/>
      <w:i/>
      <w:iCs/>
      <w:color w:val="F0A22E" w:themeColor="accent1"/>
      <w:spacing w:val="15"/>
      <w:kern w:val="0"/>
      <w:sz w:val="24"/>
      <w:szCs w:val="24"/>
      <w14:textFill>
        <w14:solidFill>
          <w14:schemeClr w14:val="accent1"/>
        </w14:solidFill>
      </w14:textFill>
    </w:rPr>
  </w:style>
  <w:style w:type="character" w:customStyle="1" w:styleId="23">
    <w:name w:val="Style1"/>
    <w:basedOn w:val="14"/>
    <w:qFormat/>
    <w:uiPriority w:val="1"/>
    <w:rPr>
      <w:rFonts w:asciiTheme="minorHAnsi" w:hAnsiTheme="minorEastAsia" w:eastAsiaTheme="minorEastAsia" w:cstheme="minorBidi"/>
      <w:sz w:val="22"/>
      <w:szCs w:val="22"/>
      <w:lang w:eastAsia="zh-CN"/>
    </w:rPr>
  </w:style>
  <w:style w:type="character" w:customStyle="1" w:styleId="24">
    <w:name w:val="Style2"/>
    <w:basedOn w:val="14"/>
    <w:qFormat/>
    <w:uiPriority w:val="1"/>
    <w:rPr>
      <w:rFonts w:asciiTheme="minorHAnsi" w:hAnsiTheme="minorEastAsia" w:eastAsiaTheme="minorEastAsia" w:cstheme="minorBidi"/>
      <w:sz w:val="22"/>
      <w:szCs w:val="22"/>
      <w:lang w:eastAsia="zh-CN"/>
    </w:rPr>
  </w:style>
  <w:style w:type="character" w:customStyle="1" w:styleId="25">
    <w:name w:val="Style3"/>
    <w:basedOn w:val="14"/>
    <w:qFormat/>
    <w:uiPriority w:val="1"/>
    <w:rPr>
      <w:rFonts w:asciiTheme="minorHAnsi" w:hAnsiTheme="minorEastAsia" w:eastAsiaTheme="minorEastAsia" w:cstheme="minorBidi"/>
      <w:szCs w:val="22"/>
      <w:lang w:eastAsia="zh-CN"/>
    </w:rPr>
  </w:style>
  <w:style w:type="character" w:customStyle="1" w:styleId="26">
    <w:name w:val="Style4"/>
    <w:basedOn w:val="14"/>
    <w:qFormat/>
    <w:uiPriority w:val="1"/>
    <w:rPr>
      <w:rFonts w:asciiTheme="minorHAnsi" w:hAnsiTheme="minorEastAsia" w:eastAsiaTheme="minorEastAsia" w:cstheme="minorBidi"/>
      <w:szCs w:val="22"/>
      <w:lang w:eastAsia="zh-CN"/>
    </w:rPr>
  </w:style>
  <w:style w:type="character" w:customStyle="1" w:styleId="27">
    <w:name w:val="Style5"/>
    <w:basedOn w:val="14"/>
    <w:qFormat/>
    <w:uiPriority w:val="1"/>
    <w:rPr>
      <w:rFonts w:asciiTheme="minorHAnsi" w:hAnsiTheme="minorEastAsia" w:eastAsiaTheme="minorEastAsia" w:cstheme="minorBidi"/>
      <w:sz w:val="22"/>
      <w:szCs w:val="22"/>
      <w:lang w:eastAsia="zh-CN"/>
    </w:rPr>
  </w:style>
  <w:style w:type="character" w:customStyle="1" w:styleId="28">
    <w:name w:val="标题 1 Char"/>
    <w:basedOn w:val="14"/>
    <w:link w:val="2"/>
    <w:qFormat/>
    <w:uiPriority w:val="9"/>
    <w:rPr>
      <w:rFonts w:ascii="Times New Roman" w:hAnsi="Times New Roman" w:eastAsia="宋体" w:cs="Times New Roman"/>
      <w:b/>
      <w:bCs/>
      <w:kern w:val="44"/>
      <w:sz w:val="44"/>
      <w:szCs w:val="44"/>
    </w:rPr>
  </w:style>
  <w:style w:type="character" w:customStyle="1" w:styleId="29">
    <w:name w:val="标题 2 Char"/>
    <w:basedOn w:val="14"/>
    <w:link w:val="3"/>
    <w:qFormat/>
    <w:uiPriority w:val="9"/>
    <w:rPr>
      <w:rFonts w:asciiTheme="majorHAnsi" w:hAnsiTheme="majorHAnsi" w:eastAsiaTheme="majorEastAsia" w:cstheme="majorBidi"/>
      <w:b/>
      <w:bCs/>
      <w:sz w:val="32"/>
      <w:szCs w:val="32"/>
    </w:rPr>
  </w:style>
  <w:style w:type="character" w:customStyle="1" w:styleId="30">
    <w:name w:val="标题 3 Char"/>
    <w:basedOn w:val="14"/>
    <w:link w:val="4"/>
    <w:qFormat/>
    <w:uiPriority w:val="9"/>
    <w:rPr>
      <w:rFonts w:ascii="Times New Roman" w:hAnsi="Times New Roman" w:eastAsia="宋体" w:cs="Times New Roman"/>
      <w:b/>
      <w:bCs/>
      <w:sz w:val="32"/>
      <w:szCs w:val="32"/>
    </w:rPr>
  </w:style>
  <w:style w:type="character" w:customStyle="1" w:styleId="31">
    <w:name w:val="标题 4 Char"/>
    <w:basedOn w:val="14"/>
    <w:link w:val="5"/>
    <w:qFormat/>
    <w:uiPriority w:val="9"/>
    <w:rPr>
      <w:rFonts w:asciiTheme="majorHAnsi" w:hAnsiTheme="majorHAnsi" w:eastAsiaTheme="majorEastAsia" w:cstheme="majorBidi"/>
      <w:b/>
      <w:bCs/>
      <w:sz w:val="28"/>
      <w:szCs w:val="28"/>
    </w:rPr>
  </w:style>
  <w:style w:type="character" w:customStyle="1" w:styleId="32">
    <w:name w:val="日期 Char"/>
    <w:basedOn w:val="14"/>
    <w:link w:val="6"/>
    <w:semiHidden/>
    <w:qFormat/>
    <w:uiPriority w:val="99"/>
    <w:rPr>
      <w:rFonts w:ascii="Times New Roman" w:hAnsi="Times New Roman" w:eastAsia="宋体" w:cs="Times New Roman"/>
      <w:szCs w:val="24"/>
    </w:rPr>
  </w:style>
  <w:style w:type="paragraph" w:styleId="3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CoverPageProperties xmlns="http://schemas.microsoft.com/office/2006/coverPageProps">
  <PublishDate>2017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66BA1482-59CD-42C3-95D4-9C32C3BFD38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1131</Words>
  <Characters>6450</Characters>
  <Lines>53</Lines>
  <Paragraphs>15</Paragraphs>
  <TotalTime>3</TotalTime>
  <ScaleCrop>false</ScaleCrop>
  <LinksUpToDate>false</LinksUpToDate>
  <CharactersWithSpaces>7566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2019-08-01T09:15:00Z</dcterms:created>
  <dc:creator>User</dc:creator>
  <cp:lastModifiedBy>Administrator</cp:lastModifiedBy>
  <cp:lastPrinted>2019-08-02T01:01:00Z</cp:lastPrinted>
  <dcterms:modified xsi:type="dcterms:W3CDTF">2024-04-12T03:03:34Z</dcterms:modified>
  <dc:subject>石家庄市xxx部门</dc:subject>
  <dc:title>2017年度部门决算</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0B01AED1BD974A17923E907A547EF268_13</vt:lpwstr>
  </property>
</Properties>
</file>