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bookmarkStart w:id="0" w:name="_GoBack"/>
      <w:bookmarkEnd w:id="0"/>
      <w:r>
        <mc:AlternateContent>
          <mc:Choice Requires="wpg">
            <w:drawing>
              <wp:anchor distT="0" distB="0" distL="114300" distR="114300" simplePos="0" relativeHeight="251659264" behindDoc="1" locked="0" layoutInCell="1" allowOverlap="1">
                <wp:simplePos x="0" y="0"/>
                <wp:positionH relativeFrom="column">
                  <wp:posOffset>2730500</wp:posOffset>
                </wp:positionH>
                <wp:positionV relativeFrom="paragraph">
                  <wp:posOffset>91440</wp:posOffset>
                </wp:positionV>
                <wp:extent cx="7623175" cy="1534160"/>
                <wp:effectExtent l="0" t="0" r="15875" b="0"/>
                <wp:wrapNone/>
                <wp:docPr id="4" name="组合 19"/>
                <wp:cNvGraphicFramePr/>
                <a:graphic xmlns:a="http://schemas.openxmlformats.org/drawingml/2006/main">
                  <a:graphicData uri="http://schemas.microsoft.com/office/word/2010/wordprocessingGroup">
                    <wpg:wgp>
                      <wpg:cNvGrpSpPr/>
                      <wpg:grpSpPr>
                        <a:xfrm>
                          <a:off x="0" y="0"/>
                          <a:ext cx="7623175" cy="1534031"/>
                          <a:chOff x="13622" y="283"/>
                          <a:chExt cx="12005" cy="11180"/>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anchorCtr="0"/>
                      </wps:wsp>
                      <wps:wsp>
                        <wps:cNvPr id="11" name="文本框 10"/>
                        <wps:cNvSpPr txBox="1"/>
                        <wps:spPr>
                          <a:xfrm>
                            <a:off x="17229" y="5021"/>
                            <a:ext cx="8083" cy="6442"/>
                          </a:xfrm>
                          <a:prstGeom prst="rect">
                            <a:avLst/>
                          </a:prstGeom>
                          <a:noFill/>
                          <a:ln>
                            <a:noFill/>
                          </a:ln>
                          <a:effectLst/>
                        </wps:spPr>
                        <wps:txbx>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wps:txbx>
                        <wps:bodyPr wrap="square" rtlCol="0">
                          <a:spAutoFit/>
                        </wps:bodyPr>
                      </wps:wsp>
                    </wpg:wgp>
                  </a:graphicData>
                </a:graphic>
              </wp:anchor>
            </w:drawing>
          </mc:Choice>
          <mc:Fallback>
            <w:pict>
              <v:group id="组合 19" o:spid="_x0000_s1026" o:spt="203" style="position:absolute;left:0pt;margin-left:215pt;margin-top:7.2pt;height:120.8pt;width:600.25pt;z-index:-251657216;mso-width-relative:page;mso-height-relative:page;" coordorigin="13622,283" coordsize="12005,11180" o:gfxdata="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B7aFyXaAAAACwEAAA8AAAAAAAAAAQAgAAAAIgAAAGRycy9kb3ducmV2&#10;LnhtbFBLAQIUABQAAAAIAIdO4kDbqk413gIAAM8GAAAOAAAAAAAAAAEAIAAAACkBAABkcnMvZTJv&#10;RG9jLnhtbFBLBQYAAAAABgAGAFkBAAB5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AA&#10;">
                  <v:fill on="t" focussize="0,0"/>
                  <v:stroke on="f" weight="1pt" miterlimit="8" joinstyle="miter"/>
                  <v:imagedata o:title=""/>
                  <o:lock v:ext="edit" aspectratio="f"/>
                </v:rect>
                <v:shape id="文本框 10" o:spid="_x0000_s1026" o:spt="202" type="#_x0000_t202" style="position:absolute;left:17229;top:5021;height:644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AA&#10;">
                  <v:fill on="f" focussize="0,0"/>
                  <v:stroke on="f"/>
                  <v:imagedata o:title=""/>
                  <o:lock v:ext="edit" aspectratio="f"/>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仿宋" w:hAnsi="仿宋" w:eastAsia="仿宋" w:cs="楷体_GB2312"/>
                                <w:color w:val="000000" w:themeColor="text1"/>
                                <w:kern w:val="0"/>
                                <w:sz w:val="44"/>
                                <w:szCs w:val="44"/>
                              </w:rPr>
                            </w:pPr>
                            <w:r>
                              <w:rPr>
                                <w:rFonts w:hint="eastAsia" w:ascii="仿宋" w:hAnsi="仿宋" w:eastAsia="仿宋" w:cs="楷体_GB2312"/>
                                <w:color w:val="000000" w:themeColor="text1"/>
                                <w:kern w:val="0"/>
                                <w:sz w:val="44"/>
                                <w:szCs w:val="44"/>
                              </w:rPr>
                              <w:t>二〇二〇年十月</w:t>
                            </w:r>
                          </w:p>
                        </w:txbxContent>
                      </wps:txbx>
                      <wps:bodyPr wrap="square" rtlCol="0">
                        <a:spAutoFit/>
                      </wps:bodyPr>
                    </wps:wsp>
                  </a:graphicData>
                </a:graphic>
              </wp:anchor>
            </w:drawing>
          </mc:Choice>
          <mc:Fallback>
            <w:pict>
              <v:shape id="_x0000_s1026"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L2WSzZAAAADgEAAA8AAAAAAAAAAQAgAAAAIgAAAGRycy9k&#10;b3ducmV2LnhtbFBLAQIUABQAAAAIAIdO4kDKB/DwyAEAAIYDAAAOAAAAAAAAAAEAIAAAACgBAABk&#10;cnMvZTJvRG9jLnhtbFBLBQYAAAAABgAGAFkBAABiBQAAAAA=&#10;">
                <v:fill on="f" focussize="0,0"/>
                <v:stroke on="f"/>
                <v:imagedata o:title=""/>
                <o:lock v:ext="edit" aspectratio="f"/>
                <v:textbox style="mso-fit-shape-to-text:t;">
                  <w:txbxContent>
                    <w:p>
                      <w:pPr>
                        <w:jc w:val="center"/>
                        <w:rPr>
                          <w:rFonts w:ascii="仿宋" w:hAnsi="仿宋" w:eastAsia="仿宋" w:cs="楷体_GB2312"/>
                          <w:color w:val="000000" w:themeColor="text1"/>
                          <w:kern w:val="0"/>
                          <w:sz w:val="44"/>
                          <w:szCs w:val="44"/>
                        </w:rPr>
                      </w:pPr>
                      <w:r>
                        <w:rPr>
                          <w:rFonts w:hint="eastAsia" w:ascii="仿宋" w:hAnsi="仿宋" w:eastAsia="仿宋" w:cs="楷体_GB2312"/>
                          <w:color w:val="000000" w:themeColor="text1"/>
                          <w:kern w:val="0"/>
                          <w:sz w:val="44"/>
                          <w:szCs w:val="44"/>
                        </w:rPr>
                        <w:t>二〇二〇年十月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yXOe2QAAAAsBAAAPAAAAAAAAAAEAIAAAACIAAABkcnMvZG93bnJl&#10;di54bWxQSwECFAAUAAAACACHTuJAw/ztCvwBAADxAwAADgAAAAAAAAABACAAAAAoAQAAZHJzL2Uy&#10;b0RvYy54bWxQSwUGAAAAAAYABgBZAQAAlgUAAAAA&#10;">
                <v:fill on="t" focussize="0,0"/>
                <v:stroke on="f" weight="1pt" miterlimit="8"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4"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AoYLtgAAAALAQAADwAAAAAAAAABACAA&#10;AAAiAAAAZHJzL2Rvd25yZXYueG1sUEsBAhQAFAAAAAgAh07iQP4fU2ENAgAA/QMAAA4AAAAAAAAA&#10;AQAgAAAAJwEAAGRycy9lMm9Eb2MueG1sUEsFBgAAAAAGAAYAWQEAAKYFAAAAAA==&#10;">
                <v:fill on="t" focussize="0,0"/>
                <v:stroke on="f" weight="1pt" miterlimit="8" joinstyle="miter"/>
                <v:imagedata o:title=""/>
                <o:lock v:ext="edit" aspectratio="f"/>
                <v:textbox>
                  <w:txbxContent>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组合 22"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TXJ8l2gAAAAwBAAAPAAAAAAAAAAEAIAAAACIAAABkcnMvZG93bnJldi54&#10;bWxQSwECFAAUAAAACACHTuJAY8X+0aMCAAAqBwAADgAAAAAAAAABACAAAAApAQAAZHJzL2Uyb0Rv&#10;Yy54bWxQSwUGAAAAAAYABgBZAQAAPgY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ind w:firstLine="2640" w:firstLineChars="600"/>
        <w:rPr>
          <w:rFonts w:ascii="仿宋" w:hAnsi="仿宋" w:eastAsia="仿宋" w:cs="楷体_GB2312"/>
          <w:color w:val="000000" w:themeColor="text1"/>
          <w:kern w:val="0"/>
          <w:sz w:val="44"/>
          <w:szCs w:val="44"/>
        </w:rPr>
      </w:pPr>
      <w:r>
        <w:rPr>
          <w:rFonts w:hint="eastAsia" w:ascii="仿宋" w:hAnsi="仿宋" w:eastAsia="仿宋" w:cs="楷体_GB2312"/>
          <w:color w:val="000000" w:themeColor="text1"/>
          <w:kern w:val="0"/>
          <w:sz w:val="44"/>
          <w:szCs w:val="44"/>
        </w:rPr>
        <w:t>三星口乡人民政府</w:t>
      </w:r>
    </w:p>
    <w:p>
      <w:pPr>
        <w:snapToGrid w:val="0"/>
        <w:jc w:val="center"/>
        <w:rPr>
          <w:rFonts w:ascii="仿宋" w:hAnsi="仿宋" w:eastAsia="仿宋"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仿宋" w:hAnsi="仿宋" w:eastAsia="仿宋" w:cs="楷体_GB2312"/>
          <w:color w:val="000000" w:themeColor="text1"/>
          <w:kern w:val="0"/>
          <w:sz w:val="44"/>
          <w:szCs w:val="44"/>
        </w:rPr>
        <w:t>二〇二〇年十月</w:t>
      </w:r>
    </w:p>
    <w:p>
      <w:pPr>
        <w:widowControl/>
        <w:spacing w:line="600" w:lineRule="exact"/>
        <w:jc w:val="left"/>
        <w:rPr>
          <w:rFonts w:ascii="仿宋" w:hAnsi="仿宋" w:eastAsia="仿宋" w:cs="黑体"/>
          <w:bCs/>
          <w:sz w:val="32"/>
          <w:szCs w:val="32"/>
          <w:highlight w:val="yellow"/>
        </w:rPr>
      </w:pPr>
    </w:p>
    <w:p>
      <w:pPr>
        <w:rPr>
          <w:rFonts w:ascii="仿宋" w:hAnsi="仿宋" w:eastAsia="仿宋" w:cs="Times New Roman"/>
          <w:sz w:val="48"/>
          <w:szCs w:val="48"/>
        </w:rPr>
      </w:pPr>
      <w:r>
        <w:rPr>
          <w:rFonts w:hint="eastAsia" w:ascii="仿宋" w:hAnsi="仿宋" w:eastAsia="仿宋" w:cs="Times New Roman"/>
          <w:sz w:val="48"/>
          <w:szCs w:val="48"/>
        </w:rPr>
        <w:br w:type="page"/>
      </w:r>
    </w:p>
    <w:p>
      <w:pPr>
        <w:tabs>
          <w:tab w:val="left" w:pos="2728"/>
        </w:tabs>
        <w:jc w:val="center"/>
        <w:rPr>
          <w:rFonts w:ascii="仿宋" w:hAnsi="仿宋" w:eastAsia="仿宋" w:cs="Times New Roman"/>
          <w:sz w:val="48"/>
          <w:szCs w:val="48"/>
        </w:rPr>
      </w:pPr>
    </w:p>
    <w:p>
      <w:pPr>
        <w:tabs>
          <w:tab w:val="left" w:pos="2728"/>
        </w:tabs>
        <w:jc w:val="center"/>
        <w:rPr>
          <w:rFonts w:ascii="仿宋" w:hAnsi="仿宋" w:eastAsia="仿宋" w:cs="Times New Roman"/>
          <w:sz w:val="48"/>
          <w:szCs w:val="48"/>
        </w:rPr>
      </w:pPr>
      <w:r>
        <w:rPr>
          <w:rFonts w:hint="eastAsia" w:ascii="仿宋" w:hAnsi="仿宋" w:eastAsia="仿宋" w:cs="Times New Roman"/>
          <w:sz w:val="48"/>
          <w:szCs w:val="48"/>
        </w:rPr>
        <w:t>目    录</w:t>
      </w:r>
    </w:p>
    <w:p>
      <w:pPr>
        <w:widowControl/>
        <w:spacing w:after="160" w:line="580" w:lineRule="exact"/>
        <w:ind w:firstLine="640" w:firstLineChars="200"/>
        <w:rPr>
          <w:rFonts w:ascii="仿宋" w:hAnsi="仿宋" w:eastAsia="仿宋" w:cs="Times New Roman"/>
          <w:sz w:val="32"/>
          <w:szCs w:val="32"/>
        </w:rPr>
      </w:pPr>
    </w:p>
    <w:p>
      <w:pPr>
        <w:widowControl/>
        <w:spacing w:after="160" w:line="580" w:lineRule="exact"/>
        <w:ind w:firstLine="640" w:firstLineChars="200"/>
        <w:rPr>
          <w:rFonts w:ascii="仿宋" w:hAnsi="仿宋" w:eastAsia="仿宋" w:cs="Times New Roman"/>
          <w:sz w:val="24"/>
          <w:szCs w:val="32"/>
        </w:rPr>
      </w:pPr>
      <w:r>
        <w:rPr>
          <w:rFonts w:ascii="仿宋" w:hAnsi="仿宋" w:eastAsia="仿宋" w:cs="Times New Roman"/>
          <w:sz w:val="32"/>
          <w:szCs w:val="32"/>
        </w:rPr>
        <w:t>第一部分   部门概况</w:t>
      </w:r>
    </w:p>
    <w:p>
      <w:pPr>
        <w:widowControl/>
        <w:spacing w:after="160" w:line="580" w:lineRule="exact"/>
        <w:ind w:firstLine="1273" w:firstLineChars="398"/>
        <w:rPr>
          <w:rFonts w:ascii="仿宋" w:hAnsi="仿宋" w:eastAsia="仿宋" w:cs="Times New Roman"/>
          <w:sz w:val="32"/>
          <w:szCs w:val="32"/>
        </w:rPr>
      </w:pPr>
      <w:r>
        <w:rPr>
          <w:rFonts w:ascii="仿宋" w:hAnsi="仿宋" w:eastAsia="仿宋" w:cs="Times New Roman"/>
          <w:sz w:val="32"/>
          <w:szCs w:val="32"/>
        </w:rPr>
        <w:t>一、部门</w:t>
      </w:r>
      <w:r>
        <w:rPr>
          <w:rFonts w:hint="eastAsia" w:ascii="仿宋" w:hAnsi="仿宋" w:eastAsia="仿宋" w:cs="Times New Roman"/>
          <w:sz w:val="32"/>
          <w:szCs w:val="32"/>
        </w:rPr>
        <w:t>职责</w:t>
      </w:r>
    </w:p>
    <w:p>
      <w:pPr>
        <w:widowControl/>
        <w:spacing w:after="160" w:line="580" w:lineRule="exact"/>
        <w:ind w:firstLine="1273" w:firstLineChars="398"/>
        <w:rPr>
          <w:rFonts w:ascii="仿宋" w:hAnsi="仿宋" w:eastAsia="仿宋" w:cs="Times New Roman"/>
          <w:sz w:val="32"/>
          <w:szCs w:val="32"/>
        </w:rPr>
      </w:pPr>
      <w:r>
        <w:rPr>
          <w:rFonts w:ascii="仿宋" w:hAnsi="仿宋" w:eastAsia="仿宋" w:cs="Times New Roman"/>
          <w:sz w:val="32"/>
          <w:szCs w:val="32"/>
        </w:rPr>
        <w:t>二、</w:t>
      </w:r>
      <w:r>
        <w:rPr>
          <w:rFonts w:hint="eastAsia" w:ascii="仿宋" w:hAnsi="仿宋" w:eastAsia="仿宋" w:cs="Times New Roman"/>
          <w:sz w:val="32"/>
          <w:szCs w:val="32"/>
        </w:rPr>
        <w:t>机构设置</w:t>
      </w:r>
    </w:p>
    <w:p>
      <w:pPr>
        <w:widowControl/>
        <w:spacing w:after="160" w:line="580" w:lineRule="exact"/>
        <w:ind w:firstLine="640" w:firstLineChars="200"/>
        <w:rPr>
          <w:rFonts w:ascii="仿宋" w:hAnsi="仿宋" w:eastAsia="仿宋" w:cs="Times New Roman"/>
          <w:sz w:val="32"/>
          <w:szCs w:val="32"/>
        </w:rPr>
      </w:pPr>
      <w:r>
        <w:rPr>
          <w:rFonts w:ascii="仿宋" w:hAnsi="仿宋" w:eastAsia="仿宋" w:cs="Times New Roman"/>
          <w:sz w:val="32"/>
          <w:szCs w:val="32"/>
        </w:rPr>
        <w:t>第二部分   201</w:t>
      </w:r>
      <w:r>
        <w:rPr>
          <w:rFonts w:hint="eastAsia" w:ascii="仿宋" w:hAnsi="仿宋" w:eastAsia="仿宋" w:cs="Times New Roman"/>
          <w:sz w:val="32"/>
          <w:szCs w:val="32"/>
        </w:rPr>
        <w:t>9</w:t>
      </w:r>
      <w:r>
        <w:rPr>
          <w:rFonts w:ascii="仿宋" w:hAnsi="仿宋" w:eastAsia="仿宋" w:cs="Times New Roman"/>
          <w:sz w:val="32"/>
          <w:szCs w:val="32"/>
        </w:rPr>
        <w:t>年部门决算情况说明</w:t>
      </w:r>
    </w:p>
    <w:p>
      <w:pPr>
        <w:widowControl/>
        <w:spacing w:after="160" w:line="580" w:lineRule="exact"/>
        <w:ind w:left="640" w:firstLine="640" w:firstLineChars="200"/>
        <w:rPr>
          <w:rFonts w:ascii="仿宋" w:hAnsi="仿宋" w:eastAsia="仿宋" w:cs="Times New Roman"/>
          <w:sz w:val="32"/>
          <w:szCs w:val="32"/>
        </w:rPr>
      </w:pPr>
      <w:r>
        <w:rPr>
          <w:rFonts w:ascii="仿宋" w:hAnsi="仿宋" w:eastAsia="仿宋" w:cs="Times New Roman"/>
          <w:sz w:val="32"/>
          <w:szCs w:val="32"/>
        </w:rPr>
        <w:t>一、收入支出决算总体情况说明</w:t>
      </w:r>
    </w:p>
    <w:p>
      <w:pPr>
        <w:widowControl/>
        <w:spacing w:after="160" w:line="580" w:lineRule="exact"/>
        <w:ind w:left="640" w:firstLine="640" w:firstLineChars="200"/>
        <w:rPr>
          <w:rFonts w:ascii="仿宋" w:hAnsi="仿宋" w:eastAsia="仿宋" w:cs="Times New Roman"/>
          <w:sz w:val="32"/>
          <w:szCs w:val="32"/>
        </w:rPr>
      </w:pPr>
      <w:r>
        <w:rPr>
          <w:rFonts w:ascii="仿宋" w:hAnsi="仿宋" w:eastAsia="仿宋" w:cs="Times New Roman"/>
          <w:sz w:val="32"/>
          <w:szCs w:val="32"/>
        </w:rPr>
        <w:t>二、收入决算情况说明</w:t>
      </w:r>
    </w:p>
    <w:p>
      <w:pPr>
        <w:widowControl/>
        <w:spacing w:after="160" w:line="580" w:lineRule="exact"/>
        <w:ind w:left="640" w:firstLine="640" w:firstLineChars="200"/>
        <w:rPr>
          <w:rFonts w:ascii="仿宋" w:hAnsi="仿宋" w:eastAsia="仿宋" w:cs="Times New Roman"/>
          <w:sz w:val="32"/>
          <w:szCs w:val="32"/>
        </w:rPr>
      </w:pPr>
      <w:r>
        <w:rPr>
          <w:rFonts w:ascii="仿宋" w:hAnsi="仿宋" w:eastAsia="仿宋" w:cs="Times New Roman"/>
          <w:sz w:val="32"/>
          <w:szCs w:val="32"/>
        </w:rPr>
        <w:t>三、支出决算情况说明</w:t>
      </w:r>
    </w:p>
    <w:p>
      <w:pPr>
        <w:widowControl/>
        <w:spacing w:after="160" w:line="580" w:lineRule="exact"/>
        <w:ind w:left="640" w:firstLine="640" w:firstLineChars="200"/>
        <w:rPr>
          <w:rFonts w:ascii="仿宋" w:hAnsi="仿宋" w:eastAsia="仿宋" w:cs="Times New Roman"/>
          <w:sz w:val="32"/>
          <w:szCs w:val="32"/>
        </w:rPr>
      </w:pPr>
      <w:r>
        <w:rPr>
          <w:rFonts w:ascii="仿宋" w:hAnsi="仿宋" w:eastAsia="仿宋" w:cs="Times New Roman"/>
          <w:sz w:val="32"/>
          <w:szCs w:val="32"/>
        </w:rPr>
        <w:t>四、财政拨款收入支出决算总体情况说明</w:t>
      </w:r>
    </w:p>
    <w:p>
      <w:pPr>
        <w:widowControl/>
        <w:spacing w:after="160" w:line="580" w:lineRule="exact"/>
        <w:ind w:left="640" w:firstLine="640" w:firstLineChars="200"/>
        <w:rPr>
          <w:rFonts w:ascii="仿宋" w:hAnsi="仿宋" w:eastAsia="仿宋" w:cs="Times New Roman"/>
          <w:sz w:val="32"/>
          <w:szCs w:val="32"/>
        </w:rPr>
      </w:pPr>
      <w:r>
        <w:rPr>
          <w:rFonts w:hint="eastAsia" w:ascii="仿宋" w:hAnsi="仿宋" w:eastAsia="仿宋" w:cs="Times New Roman"/>
          <w:sz w:val="32"/>
          <w:szCs w:val="32"/>
        </w:rPr>
        <w:t>五、一般公共预算</w:t>
      </w:r>
      <w:r>
        <w:rPr>
          <w:rFonts w:ascii="仿宋" w:hAnsi="仿宋" w:eastAsia="仿宋" w:cs="Times New Roman"/>
          <w:sz w:val="32"/>
          <w:szCs w:val="32"/>
        </w:rPr>
        <w:t>“三公”经费支出决算情况说明</w:t>
      </w:r>
    </w:p>
    <w:p>
      <w:pPr>
        <w:widowControl/>
        <w:spacing w:after="160" w:line="580" w:lineRule="exact"/>
        <w:ind w:left="640" w:firstLine="640" w:firstLineChars="200"/>
        <w:rPr>
          <w:rFonts w:ascii="仿宋" w:hAnsi="仿宋" w:eastAsia="仿宋" w:cs="Times New Roman"/>
          <w:sz w:val="32"/>
          <w:szCs w:val="32"/>
        </w:rPr>
      </w:pPr>
      <w:r>
        <w:rPr>
          <w:rFonts w:hint="eastAsia" w:ascii="仿宋" w:hAnsi="仿宋" w:eastAsia="仿宋" w:cs="Times New Roman"/>
          <w:sz w:val="32"/>
          <w:szCs w:val="32"/>
        </w:rPr>
        <w:t>六</w:t>
      </w:r>
      <w:r>
        <w:rPr>
          <w:rFonts w:ascii="仿宋" w:hAnsi="仿宋" w:eastAsia="仿宋" w:cs="Times New Roman"/>
          <w:sz w:val="32"/>
          <w:szCs w:val="32"/>
        </w:rPr>
        <w:t>、预算绩效情况说明</w:t>
      </w:r>
    </w:p>
    <w:p>
      <w:pPr>
        <w:widowControl/>
        <w:spacing w:after="160" w:line="580" w:lineRule="exact"/>
        <w:ind w:left="640" w:firstLine="640" w:firstLineChars="200"/>
        <w:rPr>
          <w:rFonts w:ascii="仿宋" w:hAnsi="仿宋" w:eastAsia="仿宋" w:cs="Times New Roman"/>
          <w:sz w:val="32"/>
          <w:szCs w:val="32"/>
        </w:rPr>
      </w:pPr>
      <w:r>
        <w:rPr>
          <w:rFonts w:hint="eastAsia" w:ascii="仿宋" w:hAnsi="仿宋" w:eastAsia="仿宋" w:cs="Times New Roman"/>
          <w:sz w:val="32"/>
          <w:szCs w:val="32"/>
        </w:rPr>
        <w:t>七</w:t>
      </w:r>
      <w:r>
        <w:rPr>
          <w:rFonts w:ascii="仿宋" w:hAnsi="仿宋" w:eastAsia="仿宋" w:cs="Times New Roman"/>
          <w:sz w:val="32"/>
          <w:szCs w:val="32"/>
        </w:rPr>
        <w:t>、其他重要事项的说明</w:t>
      </w:r>
    </w:p>
    <w:p>
      <w:pPr>
        <w:widowControl/>
        <w:spacing w:after="160" w:line="580" w:lineRule="exact"/>
        <w:ind w:firstLine="640" w:firstLineChars="200"/>
        <w:rPr>
          <w:rFonts w:ascii="仿宋" w:hAnsi="仿宋" w:eastAsia="仿宋" w:cs="Times New Roman"/>
          <w:sz w:val="32"/>
          <w:szCs w:val="32"/>
        </w:rPr>
      </w:pPr>
      <w:r>
        <w:rPr>
          <w:rFonts w:ascii="仿宋" w:hAnsi="仿宋" w:eastAsia="仿宋" w:cs="Times New Roman"/>
          <w:sz w:val="32"/>
          <w:szCs w:val="32"/>
        </w:rPr>
        <w:t>第三部分名词解释</w:t>
      </w:r>
    </w:p>
    <w:p>
      <w:pPr>
        <w:widowControl/>
        <w:spacing w:after="160" w:line="580" w:lineRule="exact"/>
        <w:ind w:firstLine="640" w:firstLineChars="200"/>
        <w:rPr>
          <w:rFonts w:ascii="仿宋" w:hAnsi="仿宋" w:eastAsia="仿宋" w:cs="Times New Roman"/>
          <w:sz w:val="20"/>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r>
        <w:rPr>
          <w:rFonts w:ascii="仿宋" w:hAnsi="仿宋" w:eastAsia="仿宋" w:cs="Times New Roman"/>
          <w:sz w:val="32"/>
          <w:szCs w:val="32"/>
        </w:rPr>
        <w:t>第</w:t>
      </w:r>
      <w:r>
        <w:rPr>
          <w:rFonts w:hint="eastAsia" w:ascii="仿宋" w:hAnsi="仿宋" w:eastAsia="仿宋" w:cs="Times New Roman"/>
          <w:sz w:val="32"/>
          <w:szCs w:val="32"/>
        </w:rPr>
        <w:t>四</w:t>
      </w:r>
      <w:r>
        <w:rPr>
          <w:rFonts w:ascii="仿宋" w:hAnsi="仿宋" w:eastAsia="仿宋" w:cs="Times New Roman"/>
          <w:sz w:val="32"/>
          <w:szCs w:val="32"/>
        </w:rPr>
        <w:t>部分201</w:t>
      </w:r>
      <w:r>
        <w:rPr>
          <w:rFonts w:hint="eastAsia" w:ascii="仿宋" w:hAnsi="仿宋" w:eastAsia="仿宋" w:cs="Times New Roman"/>
          <w:sz w:val="32"/>
          <w:szCs w:val="32"/>
        </w:rPr>
        <w:t>9</w:t>
      </w:r>
      <w:r>
        <w:rPr>
          <w:rFonts w:ascii="仿宋" w:hAnsi="仿宋" w:eastAsia="仿宋" w:cs="Times New Roman"/>
          <w:sz w:val="32"/>
          <w:szCs w:val="32"/>
        </w:rPr>
        <w:t>年度部门决算报表</w:t>
      </w:r>
    </w:p>
    <w:p>
      <w:pPr>
        <w:rPr>
          <w:rFonts w:ascii="仿宋" w:hAnsi="仿宋" w:eastAsia="仿宋"/>
        </w:rPr>
      </w:pPr>
      <w:r>
        <w:rPr>
          <w:rFonts w:ascii="仿宋" w:hAnsi="仿宋" w:eastAsia="仿宋"/>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6"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wps:txbx>
                      <wps:bodyPr anchor="ctr" anchorCtr="0" upright="1"/>
                    </wps:wsp>
                  </a:graphicData>
                </a:graphic>
              </wp:anchor>
            </w:drawing>
          </mc:Choice>
          <mc:Fallback>
            <w:pict>
              <v:shape id="文本框 17"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A&#10;">
                <v:fill type="pattern" on="t" color2="#FFFFFF" o:title="5%" focussize="0,0" r:id="rId30"/>
                <v:stroke weight="1pt" color="#FFD966" joinstyle="round"/>
                <v:imagedata o:title=""/>
                <o:lock v:ext="edit" aspectratio="f"/>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mc:Fallback>
        </mc:AlternateContent>
      </w:r>
      <w:r>
        <w:rPr>
          <w:rFonts w:ascii="仿宋" w:hAnsi="仿宋" w:eastAsia="仿宋"/>
        </w:rPr>
        <w:br w:type="page"/>
      </w:r>
    </w:p>
    <w:p>
      <w:pPr>
        <w:pStyle w:val="2"/>
        <w:numPr>
          <w:ilvl w:val="0"/>
          <w:numId w:val="1"/>
        </w:numPr>
        <w:spacing w:before="0" w:after="0" w:line="580" w:lineRule="exact"/>
        <w:jc w:val="left"/>
        <w:rPr>
          <w:rFonts w:ascii="仿宋" w:hAnsi="仿宋" w:eastAsia="仿宋" w:cs="黑体"/>
          <w:b w:val="0"/>
          <w:bCs w:val="0"/>
          <w:kern w:val="0"/>
          <w:sz w:val="32"/>
          <w:szCs w:val="32"/>
        </w:rPr>
      </w:pPr>
      <w:r>
        <w:rPr>
          <w:rFonts w:hint="eastAsia" w:ascii="仿宋" w:hAnsi="仿宋" w:eastAsia="仿宋" w:cs="黑体"/>
          <w:b w:val="0"/>
          <w:bCs w:val="0"/>
          <w:kern w:val="0"/>
          <w:sz w:val="32"/>
          <w:szCs w:val="32"/>
        </w:rPr>
        <w:t>部门职责</w:t>
      </w:r>
    </w:p>
    <w:p>
      <w:pPr>
        <w:rPr>
          <w:rFonts w:ascii="仿宋" w:hAnsi="仿宋" w:eastAsia="仿宋"/>
          <w:sz w:val="28"/>
          <w:szCs w:val="28"/>
        </w:rPr>
      </w:pPr>
      <w:r>
        <w:rPr>
          <w:rFonts w:hint="eastAsia" w:ascii="仿宋" w:hAnsi="仿宋" w:eastAsia="仿宋"/>
          <w:sz w:val="28"/>
          <w:szCs w:val="28"/>
        </w:rPr>
        <w:t>根据《青龙满族自治县三星口乡人民政府职能配置、内设机构和人员编制方案》规定，青龙满族自治县三星口乡人民政府的主要职责是：</w:t>
      </w:r>
    </w:p>
    <w:p>
      <w:pPr>
        <w:rPr>
          <w:rFonts w:ascii="仿宋" w:hAnsi="仿宋" w:eastAsia="仿宋"/>
          <w:sz w:val="28"/>
          <w:szCs w:val="28"/>
        </w:rPr>
      </w:pPr>
      <w:r>
        <w:rPr>
          <w:rFonts w:ascii="仿宋" w:hAnsi="仿宋" w:eastAsia="仿宋"/>
          <w:sz w:val="28"/>
          <w:szCs w:val="28"/>
        </w:rPr>
        <w:tab/>
      </w:r>
      <w:r>
        <w:rPr>
          <w:rFonts w:ascii="仿宋" w:hAnsi="仿宋" w:eastAsia="仿宋"/>
          <w:sz w:val="28"/>
          <w:szCs w:val="28"/>
        </w:rPr>
        <w:t>1、保障法规有效实施；发挥常委及代表的桥梁纽带作用，集中反映民意，促进依法履职。</w:t>
      </w:r>
      <w:r>
        <w:rPr>
          <w:rFonts w:hint="eastAsia" w:ascii="仿宋" w:hAnsi="仿宋" w:eastAsia="仿宋"/>
          <w:sz w:val="28"/>
          <w:szCs w:val="28"/>
        </w:rPr>
        <w:t>确保乡人大换届选举工作顺利完成，提高组织换届选举工作水平；保障会议顺利召开，完成会议议程。</w:t>
      </w:r>
    </w:p>
    <w:p>
      <w:pPr>
        <w:ind w:firstLine="420" w:firstLineChars="150"/>
        <w:rPr>
          <w:rFonts w:ascii="仿宋" w:hAnsi="仿宋" w:eastAsia="仿宋"/>
          <w:sz w:val="28"/>
          <w:szCs w:val="28"/>
        </w:rPr>
      </w:pPr>
      <w:r>
        <w:rPr>
          <w:rFonts w:ascii="仿宋" w:hAnsi="仿宋" w:eastAsia="仿宋"/>
          <w:sz w:val="28"/>
          <w:szCs w:val="28"/>
        </w:rPr>
        <w:t>2、积极发挥职能作用，加强党风廉政建设，营造风清气正、干事创业的工作氛围。</w:t>
      </w:r>
    </w:p>
    <w:p>
      <w:pPr>
        <w:ind w:firstLine="420" w:firstLineChars="150"/>
        <w:rPr>
          <w:rFonts w:ascii="仿宋" w:hAnsi="仿宋" w:eastAsia="仿宋"/>
          <w:sz w:val="28"/>
          <w:szCs w:val="28"/>
        </w:rPr>
      </w:pPr>
      <w:r>
        <w:rPr>
          <w:rFonts w:ascii="仿宋" w:hAnsi="仿宋" w:eastAsia="仿宋"/>
          <w:sz w:val="28"/>
          <w:szCs w:val="28"/>
        </w:rPr>
        <w:t>3、加强党组织建设和党员管理,不断提高执政能力和领导水平</w:t>
      </w:r>
    </w:p>
    <w:p>
      <w:pPr>
        <w:ind w:firstLine="420" w:firstLineChars="150"/>
        <w:rPr>
          <w:rFonts w:ascii="仿宋" w:hAnsi="仿宋" w:eastAsia="仿宋"/>
          <w:sz w:val="28"/>
          <w:szCs w:val="28"/>
        </w:rPr>
      </w:pPr>
      <w:r>
        <w:rPr>
          <w:rFonts w:ascii="仿宋" w:hAnsi="仿宋" w:eastAsia="仿宋"/>
          <w:sz w:val="28"/>
          <w:szCs w:val="28"/>
        </w:rPr>
        <w:t>4、积极鼓励适龄青年参与征兵工作</w:t>
      </w:r>
    </w:p>
    <w:p>
      <w:pPr>
        <w:ind w:firstLine="420" w:firstLineChars="150"/>
        <w:rPr>
          <w:rFonts w:ascii="仿宋" w:hAnsi="仿宋" w:eastAsia="仿宋"/>
          <w:sz w:val="28"/>
          <w:szCs w:val="28"/>
        </w:rPr>
      </w:pPr>
      <w:r>
        <w:rPr>
          <w:rFonts w:ascii="仿宋" w:hAnsi="仿宋" w:eastAsia="仿宋"/>
          <w:sz w:val="28"/>
          <w:szCs w:val="28"/>
        </w:rPr>
        <w:t>5、完成乡党委、政府交办的工作任务，全乡妇女精神面貌有较大改观，创业就业能力逐步增强，素质得到全面提升。</w:t>
      </w:r>
    </w:p>
    <w:p>
      <w:pPr>
        <w:ind w:firstLine="420" w:firstLineChars="150"/>
        <w:rPr>
          <w:rFonts w:ascii="仿宋" w:hAnsi="仿宋" w:eastAsia="仿宋"/>
          <w:sz w:val="28"/>
          <w:szCs w:val="28"/>
        </w:rPr>
      </w:pPr>
      <w:r>
        <w:rPr>
          <w:rFonts w:ascii="仿宋" w:hAnsi="仿宋" w:eastAsia="仿宋"/>
          <w:sz w:val="28"/>
          <w:szCs w:val="28"/>
        </w:rPr>
        <w:t>6、加强团干部配备和激励，加强思想、作风建设，团干部教育培训；加强青联、学联、少工委工作的指导，加强青年社团组织以及青少年活动阵地的指导和管理。基层团组织服务能力不断提高。</w:t>
      </w:r>
    </w:p>
    <w:p>
      <w:pPr>
        <w:ind w:firstLine="420" w:firstLineChars="150"/>
        <w:rPr>
          <w:rFonts w:ascii="仿宋" w:hAnsi="仿宋" w:eastAsia="仿宋"/>
          <w:sz w:val="28"/>
          <w:szCs w:val="28"/>
        </w:rPr>
      </w:pPr>
      <w:r>
        <w:rPr>
          <w:rFonts w:ascii="仿宋" w:hAnsi="仿宋" w:eastAsia="仿宋"/>
          <w:sz w:val="28"/>
          <w:szCs w:val="28"/>
        </w:rPr>
        <w:t>7、数据资源丰富、数据正版、权威、可靠，用户满意度高。故障及时修复，线路畅通，系统运行稳定。提高效能，全力提升为民服务水平；</w:t>
      </w:r>
    </w:p>
    <w:p>
      <w:pPr>
        <w:ind w:firstLine="420" w:firstLineChars="150"/>
        <w:rPr>
          <w:rFonts w:ascii="仿宋" w:hAnsi="仿宋" w:eastAsia="仿宋"/>
          <w:sz w:val="28"/>
          <w:szCs w:val="28"/>
        </w:rPr>
      </w:pPr>
      <w:r>
        <w:rPr>
          <w:rFonts w:ascii="仿宋" w:hAnsi="仿宋" w:eastAsia="仿宋"/>
          <w:sz w:val="28"/>
          <w:szCs w:val="28"/>
        </w:rPr>
        <w:t>8、确保工作环境安全，保证工作正常开展。</w:t>
      </w:r>
    </w:p>
    <w:p>
      <w:pPr>
        <w:ind w:firstLine="420" w:firstLineChars="150"/>
        <w:rPr>
          <w:rFonts w:ascii="仿宋" w:hAnsi="仿宋" w:eastAsia="仿宋"/>
          <w:sz w:val="28"/>
          <w:szCs w:val="28"/>
        </w:rPr>
      </w:pPr>
      <w:r>
        <w:rPr>
          <w:rFonts w:ascii="仿宋" w:hAnsi="仿宋" w:eastAsia="仿宋"/>
          <w:sz w:val="28"/>
          <w:szCs w:val="28"/>
        </w:rPr>
        <w:t>9、城镇美化、亮化、硬化建设情况</w:t>
      </w:r>
    </w:p>
    <w:p>
      <w:pPr>
        <w:ind w:firstLine="280" w:firstLineChars="100"/>
        <w:rPr>
          <w:rFonts w:ascii="仿宋" w:hAnsi="仿宋" w:eastAsia="仿宋"/>
          <w:sz w:val="28"/>
          <w:szCs w:val="28"/>
        </w:rPr>
      </w:pPr>
      <w:r>
        <w:rPr>
          <w:rFonts w:ascii="仿宋" w:hAnsi="仿宋" w:eastAsia="仿宋"/>
          <w:sz w:val="28"/>
          <w:szCs w:val="28"/>
        </w:rPr>
        <w:t>10、根据单位实际据实开展财政预决算工作，严格按照实际情况开展预决算工作。</w:t>
      </w:r>
    </w:p>
    <w:p>
      <w:pPr>
        <w:ind w:firstLine="420" w:firstLineChars="150"/>
        <w:rPr>
          <w:rFonts w:ascii="仿宋" w:hAnsi="仿宋" w:eastAsia="仿宋"/>
          <w:sz w:val="28"/>
          <w:szCs w:val="28"/>
        </w:rPr>
      </w:pPr>
      <w:r>
        <w:rPr>
          <w:rFonts w:ascii="仿宋" w:hAnsi="仿宋" w:eastAsia="仿宋"/>
          <w:sz w:val="28"/>
          <w:szCs w:val="28"/>
        </w:rPr>
        <w:t>11、开展统计执法检查和培训工作，防范统计违法现象的发生；拟定全乡统计教育培训制度、规划等，统一归口管理指导全乡统计教育培训工作；做好统计调查工作；及时准确上报统计资料。</w:t>
      </w:r>
    </w:p>
    <w:p>
      <w:pPr>
        <w:ind w:firstLine="420" w:firstLineChars="150"/>
        <w:rPr>
          <w:rFonts w:ascii="仿宋" w:hAnsi="仿宋" w:eastAsia="仿宋"/>
          <w:sz w:val="28"/>
          <w:szCs w:val="28"/>
        </w:rPr>
      </w:pPr>
      <w:r>
        <w:rPr>
          <w:rFonts w:ascii="仿宋" w:hAnsi="仿宋" w:eastAsia="仿宋"/>
          <w:sz w:val="28"/>
          <w:szCs w:val="28"/>
        </w:rPr>
        <w:t>12、本着节俭的原则，做到能用则用，提高资产的使用效率。</w:t>
      </w:r>
    </w:p>
    <w:p>
      <w:pPr>
        <w:ind w:firstLine="420" w:firstLineChars="150"/>
        <w:rPr>
          <w:rFonts w:ascii="仿宋" w:hAnsi="仿宋" w:eastAsia="仿宋"/>
          <w:sz w:val="28"/>
          <w:szCs w:val="28"/>
        </w:rPr>
      </w:pPr>
      <w:r>
        <w:rPr>
          <w:rFonts w:ascii="仿宋" w:hAnsi="仿宋" w:eastAsia="仿宋"/>
          <w:sz w:val="28"/>
          <w:szCs w:val="28"/>
        </w:rPr>
        <w:t>13、加强社会治安综合治理，维护社会稳定，搞好农村矛盾纠纷排查调处，对督导事项及时妥善化解。</w:t>
      </w:r>
    </w:p>
    <w:p>
      <w:pPr>
        <w:ind w:firstLine="280" w:firstLineChars="100"/>
        <w:rPr>
          <w:rFonts w:ascii="仿宋" w:hAnsi="仿宋" w:eastAsia="仿宋"/>
          <w:sz w:val="28"/>
          <w:szCs w:val="28"/>
        </w:rPr>
      </w:pPr>
      <w:r>
        <w:rPr>
          <w:rFonts w:ascii="仿宋" w:hAnsi="仿宋" w:eastAsia="仿宋"/>
          <w:sz w:val="28"/>
          <w:szCs w:val="28"/>
        </w:rPr>
        <w:t>14、搞好农村公共事务服务工作。</w:t>
      </w:r>
    </w:p>
    <w:p>
      <w:pPr>
        <w:ind w:firstLine="280" w:firstLineChars="100"/>
        <w:rPr>
          <w:rFonts w:ascii="仿宋" w:hAnsi="仿宋" w:eastAsia="仿宋"/>
          <w:sz w:val="28"/>
          <w:szCs w:val="28"/>
        </w:rPr>
      </w:pPr>
      <w:r>
        <w:rPr>
          <w:rFonts w:ascii="仿宋" w:hAnsi="仿宋" w:eastAsia="仿宋"/>
          <w:sz w:val="28"/>
          <w:szCs w:val="28"/>
        </w:rPr>
        <w:t>15、提高劳动力收入水平，提高人民群众生活水平。</w:t>
      </w:r>
    </w:p>
    <w:p>
      <w:pPr>
        <w:ind w:firstLine="280" w:firstLineChars="100"/>
        <w:rPr>
          <w:rFonts w:ascii="仿宋" w:hAnsi="仿宋" w:eastAsia="仿宋"/>
          <w:sz w:val="28"/>
          <w:szCs w:val="28"/>
        </w:rPr>
      </w:pPr>
      <w:r>
        <w:rPr>
          <w:rFonts w:ascii="仿宋" w:hAnsi="仿宋" w:eastAsia="仿宋"/>
          <w:sz w:val="28"/>
          <w:szCs w:val="28"/>
        </w:rPr>
        <w:t>16、提高全乡人民的社会保障程度，达到应保尽保。</w:t>
      </w:r>
    </w:p>
    <w:p>
      <w:pPr>
        <w:ind w:firstLine="280" w:firstLineChars="100"/>
        <w:rPr>
          <w:rFonts w:ascii="仿宋" w:hAnsi="仿宋" w:eastAsia="仿宋"/>
          <w:sz w:val="28"/>
          <w:szCs w:val="28"/>
        </w:rPr>
      </w:pPr>
      <w:r>
        <w:rPr>
          <w:rFonts w:ascii="仿宋" w:hAnsi="仿宋" w:eastAsia="仿宋"/>
          <w:sz w:val="28"/>
          <w:szCs w:val="28"/>
        </w:rPr>
        <w:t>17、有效降低城乡居民看病就医的经济负担。</w:t>
      </w:r>
    </w:p>
    <w:p>
      <w:pPr>
        <w:ind w:firstLine="280" w:firstLineChars="100"/>
        <w:rPr>
          <w:rFonts w:ascii="仿宋" w:hAnsi="仿宋" w:eastAsia="仿宋"/>
          <w:sz w:val="28"/>
          <w:szCs w:val="28"/>
        </w:rPr>
      </w:pPr>
      <w:r>
        <w:rPr>
          <w:rFonts w:ascii="仿宋" w:hAnsi="仿宋" w:eastAsia="仿宋"/>
          <w:sz w:val="28"/>
          <w:szCs w:val="28"/>
        </w:rPr>
        <w:t>18、加强村镇建设，改善农村人居环境，实现城乡统筹发展。</w:t>
      </w:r>
    </w:p>
    <w:p>
      <w:pPr>
        <w:ind w:firstLine="280" w:firstLineChars="100"/>
        <w:rPr>
          <w:rFonts w:ascii="仿宋" w:hAnsi="仿宋" w:eastAsia="仿宋"/>
          <w:sz w:val="28"/>
          <w:szCs w:val="28"/>
        </w:rPr>
      </w:pPr>
      <w:r>
        <w:rPr>
          <w:rFonts w:ascii="仿宋" w:hAnsi="仿宋" w:eastAsia="仿宋"/>
          <w:sz w:val="28"/>
          <w:szCs w:val="28"/>
        </w:rPr>
        <w:t>19、最大限度地发现、纠正、督促企业消除各类隐患，预防和减少事故的发生，确保全乡安全生产形势持续稳定好转。</w:t>
      </w:r>
    </w:p>
    <w:p>
      <w:pPr>
        <w:ind w:firstLine="280" w:firstLineChars="100"/>
        <w:rPr>
          <w:rFonts w:ascii="仿宋" w:hAnsi="仿宋" w:eastAsia="仿宋"/>
          <w:sz w:val="28"/>
          <w:szCs w:val="28"/>
        </w:rPr>
      </w:pPr>
      <w:r>
        <w:rPr>
          <w:rFonts w:ascii="仿宋" w:hAnsi="仿宋" w:eastAsia="仿宋"/>
          <w:sz w:val="28"/>
          <w:szCs w:val="28"/>
        </w:rPr>
        <w:t>20、公共文化设施达标，机构和队伍健全，实现公共文化资源共享，形成城乡一体公共文化服务网络；公共文化产品生产和服务能力提高，基本公共文化服务标准化、均等化水平不断提高。</w:t>
      </w:r>
    </w:p>
    <w:p>
      <w:pPr>
        <w:ind w:firstLine="280" w:firstLineChars="100"/>
        <w:rPr>
          <w:rFonts w:ascii="仿宋" w:hAnsi="仿宋" w:eastAsia="仿宋"/>
          <w:sz w:val="28"/>
          <w:szCs w:val="28"/>
        </w:rPr>
      </w:pPr>
      <w:r>
        <w:rPr>
          <w:rFonts w:ascii="仿宋" w:hAnsi="仿宋" w:eastAsia="仿宋"/>
          <w:sz w:val="28"/>
          <w:szCs w:val="28"/>
        </w:rPr>
        <w:t>21、改善农村计划怀孕夫妇健康状况，降低出生缺陷发生风险；为各类育龄人群提供安全、有效避孕节育技术服务.为推进计生工作，做好宣传教育和咨询服务。</w:t>
      </w:r>
    </w:p>
    <w:p>
      <w:pPr>
        <w:ind w:firstLine="280" w:firstLineChars="100"/>
        <w:rPr>
          <w:rFonts w:ascii="仿宋" w:hAnsi="仿宋" w:eastAsia="仿宋"/>
          <w:sz w:val="28"/>
          <w:szCs w:val="28"/>
        </w:rPr>
      </w:pPr>
      <w:r>
        <w:rPr>
          <w:rFonts w:ascii="仿宋" w:hAnsi="仿宋" w:eastAsia="仿宋"/>
          <w:sz w:val="28"/>
          <w:szCs w:val="28"/>
        </w:rPr>
        <w:t>22、严格按照法律法规规定开展村财乡管工作。</w:t>
      </w:r>
    </w:p>
    <w:p>
      <w:pPr>
        <w:ind w:firstLine="280" w:firstLineChars="100"/>
        <w:rPr>
          <w:rFonts w:ascii="仿宋" w:hAnsi="仿宋" w:eastAsia="仿宋"/>
          <w:sz w:val="28"/>
          <w:szCs w:val="28"/>
        </w:rPr>
      </w:pPr>
      <w:r>
        <w:rPr>
          <w:rFonts w:ascii="仿宋" w:hAnsi="仿宋" w:eastAsia="仿宋"/>
          <w:sz w:val="28"/>
          <w:szCs w:val="28"/>
        </w:rPr>
        <w:t>23、提高村干部工作积极性，推进科学民主决策、确保村级工作正常运转，壮大村级经济实力。</w:t>
      </w:r>
    </w:p>
    <w:p>
      <w:pPr>
        <w:ind w:firstLine="280" w:firstLineChars="100"/>
        <w:rPr>
          <w:rFonts w:ascii="仿宋" w:hAnsi="仿宋" w:eastAsia="仿宋"/>
          <w:sz w:val="28"/>
          <w:szCs w:val="28"/>
        </w:rPr>
      </w:pPr>
      <w:r>
        <w:rPr>
          <w:rFonts w:ascii="仿宋" w:hAnsi="仿宋" w:eastAsia="仿宋"/>
          <w:sz w:val="28"/>
          <w:szCs w:val="28"/>
        </w:rPr>
        <w:t>24、农技推广范围，病虫害监测农作物防疫。</w:t>
      </w:r>
    </w:p>
    <w:p>
      <w:pPr>
        <w:ind w:firstLine="280" w:firstLineChars="100"/>
        <w:rPr>
          <w:rFonts w:ascii="仿宋" w:hAnsi="仿宋" w:eastAsia="仿宋"/>
          <w:sz w:val="28"/>
          <w:szCs w:val="28"/>
        </w:rPr>
      </w:pPr>
      <w:r>
        <w:rPr>
          <w:rFonts w:ascii="仿宋" w:hAnsi="仿宋" w:eastAsia="仿宋"/>
          <w:sz w:val="28"/>
          <w:szCs w:val="28"/>
        </w:rPr>
        <w:t>25、加强环境保护。</w:t>
      </w:r>
    </w:p>
    <w:p>
      <w:pPr>
        <w:ind w:firstLine="280" w:firstLineChars="100"/>
        <w:rPr>
          <w:rFonts w:ascii="仿宋" w:hAnsi="仿宋" w:eastAsia="仿宋"/>
          <w:sz w:val="28"/>
          <w:szCs w:val="28"/>
        </w:rPr>
      </w:pPr>
      <w:r>
        <w:rPr>
          <w:rFonts w:ascii="仿宋" w:hAnsi="仿宋" w:eastAsia="仿宋"/>
          <w:sz w:val="28"/>
          <w:szCs w:val="28"/>
        </w:rPr>
        <w:t>26、确保饮水安全，加强水利配套设施建设及防汛抗旱工作的正常开展。</w:t>
      </w:r>
    </w:p>
    <w:p>
      <w:pPr>
        <w:keepNext/>
        <w:keepLines/>
        <w:spacing w:line="580" w:lineRule="exact"/>
        <w:ind w:firstLine="640" w:firstLineChars="200"/>
        <w:jc w:val="left"/>
        <w:outlineLvl w:val="0"/>
        <w:rPr>
          <w:rFonts w:ascii="仿宋" w:hAnsi="仿宋" w:eastAsia="仿宋" w:cs="黑体"/>
          <w:kern w:val="0"/>
          <w:sz w:val="32"/>
          <w:szCs w:val="32"/>
        </w:rPr>
      </w:pPr>
      <w:r>
        <w:rPr>
          <w:rFonts w:hint="eastAsia" w:ascii="仿宋" w:hAnsi="仿宋" w:eastAsia="仿宋" w:cs="黑体"/>
          <w:kern w:val="0"/>
          <w:sz w:val="32"/>
          <w:szCs w:val="32"/>
        </w:rPr>
        <w:t>二、机构设置</w:t>
      </w:r>
    </w:p>
    <w:p>
      <w:pPr>
        <w:spacing w:line="560" w:lineRule="exact"/>
        <w:rPr>
          <w:rFonts w:ascii="仿宋" w:hAnsi="仿宋" w:eastAsia="仿宋" w:cs="ArialUnicodeMS"/>
          <w:kern w:val="0"/>
          <w:sz w:val="32"/>
          <w:szCs w:val="32"/>
        </w:rPr>
      </w:pPr>
      <w:r>
        <w:rPr>
          <w:rFonts w:hint="eastAsia" w:ascii="仿宋" w:hAnsi="仿宋" w:eastAsia="仿宋" w:cs="ArialUnicodeMS"/>
          <w:kern w:val="0"/>
          <w:sz w:val="32"/>
          <w:szCs w:val="32"/>
        </w:rPr>
        <w:t>从决算编报单位构成看，纳入2019 年度本部门决算汇编范围的独立核算单位（以下简称“单位”）共 1个，无下属独立核算单位，具体情况如下：</w:t>
      </w:r>
    </w:p>
    <w:tbl>
      <w:tblPr>
        <w:tblStyle w:val="9"/>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序号</w:t>
            </w:r>
          </w:p>
        </w:tc>
        <w:tc>
          <w:tcPr>
            <w:tcW w:w="3485" w:type="dxa"/>
            <w:vAlign w:val="center"/>
          </w:tcPr>
          <w:p>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单位名称</w:t>
            </w:r>
          </w:p>
        </w:tc>
        <w:tc>
          <w:tcPr>
            <w:tcW w:w="2445" w:type="dxa"/>
            <w:vAlign w:val="center"/>
          </w:tcPr>
          <w:p>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单位基本性质</w:t>
            </w:r>
          </w:p>
        </w:tc>
        <w:tc>
          <w:tcPr>
            <w:tcW w:w="2665" w:type="dxa"/>
            <w:vAlign w:val="center"/>
          </w:tcPr>
          <w:p>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 w:hAnsi="仿宋" w:eastAsia="仿宋" w:cs="ArialUnicodeMS"/>
                <w:kern w:val="0"/>
                <w:sz w:val="28"/>
                <w:szCs w:val="28"/>
              </w:rPr>
            </w:pPr>
            <w:r>
              <w:rPr>
                <w:rFonts w:hint="eastAsia" w:ascii="仿宋" w:hAnsi="仿宋" w:eastAsia="仿宋" w:cs="ArialUnicodeMS"/>
                <w:kern w:val="0"/>
                <w:sz w:val="28"/>
                <w:szCs w:val="28"/>
              </w:rPr>
              <w:t>1</w:t>
            </w:r>
          </w:p>
        </w:tc>
        <w:tc>
          <w:tcPr>
            <w:tcW w:w="3485" w:type="dxa"/>
          </w:tcPr>
          <w:p>
            <w:pPr>
              <w:spacing w:line="560" w:lineRule="exact"/>
              <w:rPr>
                <w:rFonts w:ascii="仿宋" w:hAnsi="仿宋" w:eastAsia="仿宋" w:cs="ArialUnicodeMS"/>
                <w:kern w:val="0"/>
                <w:sz w:val="28"/>
                <w:szCs w:val="28"/>
              </w:rPr>
            </w:pPr>
            <w:r>
              <w:rPr>
                <w:rFonts w:hint="eastAsia" w:ascii="仿宋" w:hAnsi="仿宋" w:eastAsia="仿宋" w:cs="ArialUnicodeMS"/>
                <w:kern w:val="0"/>
                <w:sz w:val="28"/>
                <w:szCs w:val="28"/>
              </w:rPr>
              <w:t>青龙满族自治县三星口乡人民政府</w:t>
            </w:r>
          </w:p>
        </w:tc>
        <w:tc>
          <w:tcPr>
            <w:tcW w:w="2445" w:type="dxa"/>
          </w:tcPr>
          <w:p>
            <w:pPr>
              <w:spacing w:line="560" w:lineRule="exact"/>
              <w:jc w:val="center"/>
              <w:rPr>
                <w:rFonts w:ascii="仿宋" w:hAnsi="仿宋" w:eastAsia="仿宋" w:cs="ArialUnicodeMS"/>
                <w:kern w:val="0"/>
                <w:sz w:val="28"/>
                <w:szCs w:val="28"/>
              </w:rPr>
            </w:pPr>
            <w:r>
              <w:rPr>
                <w:rFonts w:hint="eastAsia" w:ascii="仿宋" w:hAnsi="仿宋" w:eastAsia="仿宋" w:cs="ArialUnicodeMS"/>
                <w:kern w:val="0"/>
                <w:sz w:val="28"/>
                <w:szCs w:val="28"/>
              </w:rPr>
              <w:t>行政</w:t>
            </w:r>
          </w:p>
        </w:tc>
        <w:tc>
          <w:tcPr>
            <w:tcW w:w="2665" w:type="dxa"/>
          </w:tcPr>
          <w:p>
            <w:pPr>
              <w:spacing w:line="560" w:lineRule="exact"/>
              <w:jc w:val="center"/>
              <w:rPr>
                <w:rFonts w:ascii="仿宋" w:hAnsi="仿宋" w:eastAsia="仿宋" w:cs="ArialUnicodeMS"/>
                <w:kern w:val="0"/>
                <w:sz w:val="28"/>
                <w:szCs w:val="28"/>
              </w:rPr>
            </w:pPr>
            <w:r>
              <w:rPr>
                <w:rFonts w:hint="eastAsia" w:ascii="仿宋" w:hAnsi="仿宋" w:eastAsia="仿宋" w:cs="ArialUnicodeMS"/>
                <w:kern w:val="0"/>
                <w:sz w:val="28"/>
                <w:szCs w:val="28"/>
              </w:rPr>
              <w:t>财政拨款</w:t>
            </w:r>
          </w:p>
        </w:tc>
      </w:tr>
    </w:tbl>
    <w:p>
      <w:pPr>
        <w:spacing w:line="580" w:lineRule="exact"/>
        <w:ind w:firstLine="640" w:firstLineChars="200"/>
        <w:rPr>
          <w:rFonts w:ascii="仿宋" w:hAnsi="仿宋" w:eastAsia="仿宋" w:cs="ArialUnicodeMS"/>
          <w:kern w:val="0"/>
          <w:sz w:val="32"/>
          <w:szCs w:val="32"/>
        </w:rPr>
      </w:pPr>
    </w:p>
    <w:p>
      <w:pPr>
        <w:widowControl/>
        <w:spacing w:after="160" w:line="580" w:lineRule="exact"/>
        <w:ind w:firstLine="640" w:firstLineChars="200"/>
        <w:rPr>
          <w:rFonts w:ascii="仿宋" w:hAnsi="仿宋" w:eastAsia="仿宋" w:cs="Times New Roman"/>
          <w:sz w:val="32"/>
          <w:szCs w:val="32"/>
        </w:rPr>
      </w:pPr>
    </w:p>
    <w:p>
      <w:pPr>
        <w:widowControl/>
        <w:spacing w:after="160" w:line="580" w:lineRule="exact"/>
        <w:ind w:firstLine="640" w:firstLineChars="200"/>
        <w:rPr>
          <w:rFonts w:ascii="仿宋" w:hAnsi="仿宋" w:eastAsia="仿宋" w:cs="Times New Roman"/>
          <w:sz w:val="32"/>
          <w:szCs w:val="32"/>
        </w:rPr>
      </w:pPr>
    </w:p>
    <w:p>
      <w:pPr>
        <w:widowControl/>
        <w:spacing w:after="160" w:line="580" w:lineRule="exact"/>
        <w:ind w:firstLine="640" w:firstLineChars="200"/>
        <w:rPr>
          <w:rFonts w:ascii="仿宋" w:hAnsi="仿宋" w:eastAsia="仿宋" w:cs="Times New Roman"/>
          <w:sz w:val="32"/>
          <w:szCs w:val="32"/>
        </w:rPr>
      </w:pPr>
    </w:p>
    <w:p>
      <w:pPr>
        <w:widowControl/>
        <w:spacing w:after="160" w:line="580" w:lineRule="exact"/>
        <w:ind w:firstLine="640" w:firstLineChars="200"/>
        <w:rPr>
          <w:rFonts w:ascii="仿宋" w:hAnsi="仿宋" w:eastAsia="仿宋"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仿宋" w:hAnsi="仿宋" w:eastAsia="仿宋"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仿宋" w:hAnsi="仿宋" w:eastAsia="仿宋"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rFonts w:ascii="仿宋" w:hAnsi="仿宋" w:eastAsia="仿宋"/>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mc:Fallback>
        </mc:AlternateContent>
      </w:r>
    </w:p>
    <w:p>
      <w:pPr>
        <w:widowControl/>
        <w:spacing w:line="580" w:lineRule="exact"/>
        <w:ind w:firstLine="640" w:firstLineChars="200"/>
        <w:rPr>
          <w:rFonts w:ascii="仿宋" w:hAnsi="仿宋" w:eastAsia="仿宋"/>
          <w:sz w:val="32"/>
          <w:szCs w:val="32"/>
        </w:rPr>
      </w:pPr>
    </w:p>
    <w:p>
      <w:pPr>
        <w:jc w:val="center"/>
        <w:rPr>
          <w:rFonts w:ascii="仿宋" w:hAnsi="仿宋" w:eastAsia="仿宋" w:cs="黑体"/>
          <w:sz w:val="56"/>
          <w:szCs w:val="72"/>
        </w:rPr>
      </w:pPr>
    </w:p>
    <w:p>
      <w:pPr>
        <w:jc w:val="center"/>
        <w:rPr>
          <w:rFonts w:ascii="仿宋" w:hAnsi="仿宋" w:eastAsia="仿宋" w:cs="黑体"/>
          <w:sz w:val="56"/>
          <w:szCs w:val="72"/>
        </w:rPr>
      </w:pPr>
    </w:p>
    <w:p>
      <w:pPr>
        <w:jc w:val="center"/>
        <w:rPr>
          <w:rFonts w:ascii="仿宋" w:hAnsi="仿宋" w:eastAsia="仿宋" w:cs="黑体"/>
          <w:sz w:val="56"/>
          <w:szCs w:val="72"/>
        </w:rPr>
      </w:pPr>
      <w:r>
        <w:rPr>
          <w:rFonts w:ascii="仿宋" w:hAnsi="仿宋" w:eastAsia="仿宋"/>
          <w:sz w:val="72"/>
        </w:rP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7"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wps:txbx>
                      <wps:bodyPr anchor="ctr" anchorCtr="0" upright="1"/>
                    </wps:wsp>
                  </a:graphicData>
                </a:graphic>
              </wp:anchor>
            </w:drawing>
          </mc:Choice>
          <mc:Fallback>
            <w:pict>
              <v:shape id="文本框 15"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AA&#10;">
                <v:fill type="pattern" on="t" color2="#FFFFFF" o:title="5%"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mc:Fallback>
        </mc:AlternateContent>
      </w:r>
    </w:p>
    <w:p>
      <w:pPr>
        <w:jc w:val="center"/>
        <w:rPr>
          <w:rFonts w:ascii="仿宋" w:hAnsi="仿宋" w:eastAsia="仿宋" w:cs="黑体"/>
          <w:sz w:val="56"/>
          <w:szCs w:val="72"/>
        </w:rPr>
      </w:pPr>
    </w:p>
    <w:p>
      <w:pPr>
        <w:jc w:val="center"/>
        <w:rPr>
          <w:rFonts w:ascii="仿宋" w:hAnsi="仿宋" w:eastAsia="仿宋" w:cs="黑体"/>
          <w:sz w:val="56"/>
          <w:szCs w:val="72"/>
        </w:rPr>
      </w:pPr>
    </w:p>
    <w:p>
      <w:pPr>
        <w:jc w:val="center"/>
        <w:rPr>
          <w:rFonts w:ascii="仿宋" w:hAnsi="仿宋" w:eastAsia="仿宋" w:cs="黑体"/>
          <w:sz w:val="56"/>
          <w:szCs w:val="72"/>
        </w:rPr>
      </w:pPr>
    </w:p>
    <w:p>
      <w:pPr>
        <w:jc w:val="center"/>
        <w:rPr>
          <w:rFonts w:ascii="仿宋" w:hAnsi="仿宋" w:eastAsia="仿宋" w:cs="黑体"/>
          <w:sz w:val="56"/>
          <w:szCs w:val="72"/>
        </w:rPr>
      </w:pPr>
    </w:p>
    <w:p>
      <w:pPr>
        <w:jc w:val="center"/>
        <w:rPr>
          <w:rFonts w:ascii="仿宋" w:hAnsi="仿宋" w:eastAsia="仿宋" w:cs="黑体"/>
          <w:sz w:val="56"/>
          <w:szCs w:val="72"/>
        </w:rPr>
      </w:pPr>
    </w:p>
    <w:p>
      <w:pPr>
        <w:keepNext/>
        <w:keepLines/>
        <w:snapToGrid w:val="0"/>
        <w:spacing w:line="580" w:lineRule="exact"/>
        <w:ind w:firstLine="640" w:firstLineChars="200"/>
        <w:outlineLvl w:val="1"/>
        <w:rPr>
          <w:rFonts w:ascii="仿宋" w:hAnsi="仿宋" w:eastAsia="仿宋" w:cs="Times New Roman"/>
          <w:sz w:val="32"/>
          <w:szCs w:val="32"/>
        </w:rPr>
      </w:pPr>
      <w:r>
        <w:rPr>
          <w:rFonts w:hint="eastAsia" w:ascii="仿宋" w:hAnsi="仿宋" w:eastAsia="仿宋" w:cs="Times New Roman"/>
          <w:sz w:val="32"/>
          <w:szCs w:val="32"/>
        </w:rPr>
        <w:t>一、收入</w:t>
      </w:r>
      <w:r>
        <w:rPr>
          <w:rFonts w:hint="eastAsia" w:ascii="仿宋" w:hAnsi="仿宋" w:eastAsia="仿宋" w:cs="黑体"/>
          <w:kern w:val="0"/>
          <w:sz w:val="32"/>
          <w:szCs w:val="32"/>
        </w:rPr>
        <w:t>支出</w:t>
      </w:r>
      <w:r>
        <w:rPr>
          <w:rFonts w:hint="eastAsia" w:ascii="仿宋" w:hAnsi="仿宋" w:eastAsia="仿宋" w:cs="Times New Roman"/>
          <w:sz w:val="32"/>
          <w:szCs w:val="32"/>
        </w:rPr>
        <w:t>决算总体情况说明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本部门2019年度收支总计（含结转和结余）657.78万元。与2018年度决算相比，收支各增加96.53万元，增长17.19%，主要原因是人员经费正常增资、新增抚恤费及村级经费增加。</w:t>
      </w:r>
    </w:p>
    <w:p>
      <w:pPr>
        <w:keepNext/>
        <w:keepLines/>
        <w:snapToGrid w:val="0"/>
        <w:spacing w:line="580" w:lineRule="exact"/>
        <w:ind w:firstLine="640" w:firstLineChars="200"/>
        <w:outlineLvl w:val="1"/>
        <w:rPr>
          <w:rFonts w:ascii="仿宋" w:hAnsi="仿宋" w:eastAsia="仿宋" w:cs="Times New Roman"/>
          <w:sz w:val="32"/>
          <w:szCs w:val="32"/>
        </w:rPr>
      </w:pPr>
      <w:r>
        <w:rPr>
          <w:rFonts w:hint="eastAsia" w:ascii="仿宋" w:hAnsi="仿宋" w:eastAsia="仿宋" w:cs="Times New Roman"/>
          <w:sz w:val="32"/>
          <w:szCs w:val="32"/>
        </w:rPr>
        <w:t>二、收入决算情况说明</w:t>
      </w:r>
    </w:p>
    <w:p>
      <w:pPr>
        <w:adjustRightInd w:val="0"/>
        <w:snapToGrid w:val="0"/>
        <w:spacing w:line="580" w:lineRule="exact"/>
        <w:ind w:firstLine="640" w:firstLineChars="200"/>
        <w:rPr>
          <w:rFonts w:ascii="仿宋" w:hAnsi="仿宋" w:eastAsia="仿宋" w:cs="Times New Roman"/>
          <w:b/>
          <w:bCs/>
          <w:sz w:val="32"/>
          <w:szCs w:val="32"/>
        </w:rPr>
      </w:pPr>
      <w:r>
        <w:rPr>
          <w:rFonts w:hint="eastAsia" w:ascii="仿宋" w:hAnsi="仿宋" w:eastAsia="仿宋" w:cs="DengXian-Regular"/>
          <w:sz w:val="32"/>
          <w:szCs w:val="32"/>
        </w:rPr>
        <w:t>本部门2019年度本年收入合计569.1万元，其中：财政拨款收入569.1万元，占100%；</w:t>
      </w:r>
    </w:p>
    <w:p>
      <w:pPr>
        <w:keepNext/>
        <w:keepLines/>
        <w:snapToGrid w:val="0"/>
        <w:spacing w:line="580" w:lineRule="exact"/>
        <w:ind w:firstLine="640" w:firstLineChars="200"/>
        <w:outlineLvl w:val="1"/>
        <w:rPr>
          <w:rFonts w:ascii="仿宋" w:hAnsi="仿宋" w:eastAsia="仿宋" w:cs="Times New Roman"/>
          <w:sz w:val="32"/>
          <w:szCs w:val="32"/>
        </w:rPr>
      </w:pPr>
      <w:r>
        <w:rPr>
          <w:rFonts w:hint="eastAsia" w:ascii="仿宋" w:hAnsi="仿宋" w:eastAsia="仿宋" w:cs="Times New Roman"/>
          <w:sz w:val="32"/>
          <w:szCs w:val="32"/>
        </w:rPr>
        <w:t>三、支出决算情况说明</w:t>
      </w:r>
    </w:p>
    <w:p>
      <w:pPr>
        <w:adjustRightInd w:val="0"/>
        <w:snapToGrid w:val="0"/>
        <w:spacing w:line="580" w:lineRule="exact"/>
        <w:ind w:firstLine="420" w:firstLineChars="200"/>
        <w:rPr>
          <w:rFonts w:ascii="仿宋" w:hAnsi="仿宋" w:eastAsia="仿宋" w:cs="DengXian-Regular"/>
          <w:sz w:val="32"/>
          <w:szCs w:val="32"/>
        </w:rPr>
      </w:pPr>
      <w:r>
        <mc:AlternateContent>
          <mc:Choice Requires="wps">
            <w:drawing>
              <wp:anchor distT="0" distB="0" distL="114300" distR="114300" simplePos="0" relativeHeight="251673600" behindDoc="0" locked="0" layoutInCell="1" allowOverlap="1">
                <wp:simplePos x="0" y="0"/>
                <wp:positionH relativeFrom="column">
                  <wp:posOffset>429895</wp:posOffset>
                </wp:positionH>
                <wp:positionV relativeFrom="paragraph">
                  <wp:posOffset>1074420</wp:posOffset>
                </wp:positionV>
                <wp:extent cx="4572000" cy="457200"/>
                <wp:effectExtent l="0" t="0" r="0" b="0"/>
                <wp:wrapNone/>
                <wp:docPr id="19" name="文本框 30"/>
                <wp:cNvGraphicFramePr/>
                <a:graphic xmlns:a="http://schemas.openxmlformats.org/drawingml/2006/main">
                  <a:graphicData uri="http://schemas.microsoft.com/office/word/2010/wordprocessingShape">
                    <wps:wsp>
                      <wps:cNvSpPr txBox="1"/>
                      <wps:spPr>
                        <a:xfrm>
                          <a:off x="0" y="0"/>
                          <a:ext cx="4572000" cy="457200"/>
                        </a:xfrm>
                        <a:prstGeom prst="rect">
                          <a:avLst/>
                        </a:prstGeom>
                        <a:solidFill>
                          <a:srgbClr val="FFFFFF"/>
                        </a:solidFill>
                        <a:ln>
                          <a:noFill/>
                        </a:ln>
                      </wps:spPr>
                      <wps:txbx>
                        <w:txbxContent>
                          <w:p>
                            <w:pPr>
                              <w:pStyle w:val="3"/>
                              <w:jc w:val="center"/>
                              <w:rPr>
                                <w:rFonts w:ascii="仿宋" w:hAnsi="仿宋" w:eastAsia="仿宋" w:cs="Times New Roman"/>
                                <w:b/>
                                <w:bCs/>
                                <w:sz w:val="28"/>
                                <w:szCs w:val="28"/>
                              </w:rPr>
                            </w:pPr>
                            <w:r>
                              <w:rPr>
                                <w:sz w:val="28"/>
                                <w:szCs w:val="28"/>
                              </w:rPr>
                              <w:t>财政拨款支出情况</w:t>
                            </w:r>
                          </w:p>
                        </w:txbxContent>
                      </wps:txbx>
                      <wps:bodyPr lIns="0" tIns="0" rIns="0" bIns="0" upright="1"/>
                    </wps:wsp>
                  </a:graphicData>
                </a:graphic>
              </wp:anchor>
            </w:drawing>
          </mc:Choice>
          <mc:Fallback>
            <w:pict>
              <v:shape id="文本框 30" o:spid="_x0000_s1026" o:spt="202" type="#_x0000_t202" style="position:absolute;left:0pt;margin-left:33.85pt;margin-top:84.6pt;height:36pt;width:360pt;z-index:251673600;mso-width-relative:page;mso-height-relative:page;" fillcolor="#FFFFFF" filled="t" stroked="f" coordsize="21600,21600" o:gfxdata="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YKr01wAAAAoBAAAPAAAAAAAAAAEAIAAAACIAAABkcnMvZG93&#10;bnJldi54bWxQSwECFAAUAAAACACHTuJAAPDvMsgBAACdAwAADgAAAAAAAAABACAAAAAmAQAAZHJz&#10;L2Uyb0RvYy54bWxQSwUGAAAAAAYABgBZAQAAYAUAAAAA&#10;">
                <v:fill on="t" focussize="0,0"/>
                <v:stroke on="f"/>
                <v:imagedata o:title=""/>
                <o:lock v:ext="edit" aspectratio="f"/>
                <v:textbox inset="0mm,0mm,0mm,0mm">
                  <w:txbxContent>
                    <w:p>
                      <w:pPr>
                        <w:pStyle w:val="3"/>
                        <w:jc w:val="center"/>
                        <w:rPr>
                          <w:rFonts w:ascii="仿宋" w:hAnsi="仿宋" w:eastAsia="仿宋" w:cs="Times New Roman"/>
                          <w:b/>
                          <w:bCs/>
                          <w:sz w:val="28"/>
                          <w:szCs w:val="28"/>
                        </w:rPr>
                      </w:pPr>
                      <w:r>
                        <w:rPr>
                          <w:sz w:val="28"/>
                          <w:szCs w:val="28"/>
                        </w:rPr>
                        <w:t>财政拨款支出情况</w:t>
                      </w:r>
                    </w:p>
                  </w:txbxContent>
                </v:textbox>
              </v:shape>
            </w:pict>
          </mc:Fallback>
        </mc:AlternateContent>
      </w:r>
      <w:r>
        <w:rPr>
          <w:rFonts w:hint="eastAsia" w:ascii="仿宋" w:hAnsi="仿宋" w:eastAsia="仿宋" w:cs="DengXian-Regular"/>
          <w:sz w:val="32"/>
          <w:szCs w:val="32"/>
        </w:rPr>
        <w:t>本部门2019年度本年支出合计609.48万元，其中财政拨款：基本支出476.42万元，占78.17%；项目支出133.06万元，占21.83%；</w:t>
      </w:r>
    </w:p>
    <w:p>
      <w:pPr>
        <w:keepNext/>
        <w:keepLines/>
        <w:snapToGrid w:val="0"/>
        <w:spacing w:line="580" w:lineRule="exact"/>
        <w:ind w:firstLine="643" w:firstLineChars="200"/>
        <w:outlineLvl w:val="1"/>
        <w:rPr>
          <w:rFonts w:ascii="仿宋" w:hAnsi="仿宋" w:eastAsia="仿宋" w:cs="Times New Roman"/>
          <w:b/>
          <w:bCs/>
          <w:sz w:val="32"/>
          <w:szCs w:val="32"/>
        </w:rPr>
      </w:pPr>
    </w:p>
    <w:p>
      <w:pPr>
        <w:keepNext/>
        <w:keepLines/>
        <w:snapToGrid w:val="0"/>
        <w:spacing w:line="580" w:lineRule="exact"/>
        <w:outlineLvl w:val="1"/>
        <w:rPr>
          <w:rFonts w:ascii="仿宋" w:hAnsi="仿宋" w:eastAsia="仿宋" w:cs="Times New Roman"/>
          <w:b/>
          <w:bCs/>
          <w:sz w:val="32"/>
          <w:szCs w:val="32"/>
        </w:rPr>
      </w:pPr>
      <w:r>
        <w:rPr>
          <w:rFonts w:ascii="仿宋" w:hAnsi="仿宋" w:eastAsia="仿宋" w:cs="Times New Roman"/>
          <w:b/>
          <w:bCs/>
          <w:sz w:val="32"/>
          <w:szCs w:val="32"/>
        </w:rPr>
        <w:drawing>
          <wp:anchor distT="0" distB="0" distL="114300" distR="114300" simplePos="0" relativeHeight="251672576" behindDoc="0" locked="0" layoutInCell="1" allowOverlap="1">
            <wp:simplePos x="0" y="0"/>
            <wp:positionH relativeFrom="column">
              <wp:posOffset>429895</wp:posOffset>
            </wp:positionH>
            <wp:positionV relativeFrom="paragraph">
              <wp:posOffset>39370</wp:posOffset>
            </wp:positionV>
            <wp:extent cx="4572000" cy="2743200"/>
            <wp:effectExtent l="19050" t="0" r="1905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keepNext/>
        <w:keepLines/>
        <w:snapToGrid w:val="0"/>
        <w:spacing w:line="580" w:lineRule="exact"/>
        <w:outlineLvl w:val="1"/>
        <w:rPr>
          <w:rFonts w:ascii="仿宋" w:hAnsi="仿宋" w:eastAsia="仿宋" w:cs="Times New Roman"/>
          <w:b/>
          <w:bCs/>
          <w:sz w:val="32"/>
          <w:szCs w:val="32"/>
        </w:rPr>
      </w:pPr>
    </w:p>
    <w:p>
      <w:pPr>
        <w:keepNext/>
        <w:keepLines/>
        <w:snapToGrid w:val="0"/>
        <w:spacing w:line="580" w:lineRule="exact"/>
        <w:outlineLvl w:val="1"/>
        <w:rPr>
          <w:rFonts w:ascii="仿宋" w:hAnsi="仿宋" w:eastAsia="仿宋" w:cs="Times New Roman"/>
          <w:b/>
          <w:bCs/>
          <w:sz w:val="32"/>
          <w:szCs w:val="32"/>
        </w:rPr>
      </w:pPr>
    </w:p>
    <w:p>
      <w:pPr>
        <w:keepNext/>
        <w:keepLines/>
        <w:snapToGrid w:val="0"/>
        <w:spacing w:line="580" w:lineRule="exact"/>
        <w:outlineLvl w:val="1"/>
        <w:rPr>
          <w:rFonts w:ascii="仿宋" w:hAnsi="仿宋" w:eastAsia="仿宋" w:cs="Times New Roman"/>
          <w:b/>
          <w:bCs/>
          <w:sz w:val="32"/>
          <w:szCs w:val="32"/>
        </w:rPr>
      </w:pPr>
    </w:p>
    <w:p>
      <w:pPr>
        <w:keepNext/>
        <w:keepLines/>
        <w:snapToGrid w:val="0"/>
        <w:spacing w:line="580" w:lineRule="exact"/>
        <w:outlineLvl w:val="1"/>
        <w:rPr>
          <w:rFonts w:ascii="仿宋" w:hAnsi="仿宋" w:eastAsia="仿宋" w:cs="Times New Roman"/>
          <w:b/>
          <w:bCs/>
          <w:sz w:val="32"/>
          <w:szCs w:val="32"/>
        </w:rPr>
      </w:pPr>
    </w:p>
    <w:p>
      <w:pPr>
        <w:keepNext/>
        <w:keepLines/>
        <w:snapToGrid w:val="0"/>
        <w:spacing w:line="580" w:lineRule="exact"/>
        <w:outlineLvl w:val="1"/>
        <w:rPr>
          <w:rFonts w:ascii="仿宋" w:hAnsi="仿宋" w:eastAsia="仿宋" w:cs="Times New Roman"/>
          <w:b/>
          <w:bCs/>
          <w:sz w:val="32"/>
          <w:szCs w:val="32"/>
        </w:rPr>
      </w:pPr>
    </w:p>
    <w:p>
      <w:pPr>
        <w:keepNext/>
        <w:keepLines/>
        <w:snapToGrid w:val="0"/>
        <w:spacing w:line="580" w:lineRule="exact"/>
        <w:outlineLvl w:val="1"/>
        <w:rPr>
          <w:rFonts w:ascii="仿宋" w:hAnsi="仿宋" w:eastAsia="仿宋" w:cs="Times New Roman"/>
          <w:b/>
          <w:bCs/>
          <w:sz w:val="32"/>
          <w:szCs w:val="32"/>
        </w:rPr>
      </w:pPr>
    </w:p>
    <w:p>
      <w:pPr>
        <w:keepNext/>
        <w:keepLines/>
        <w:snapToGrid w:val="0"/>
        <w:spacing w:line="580" w:lineRule="exact"/>
        <w:outlineLvl w:val="1"/>
        <w:rPr>
          <w:rFonts w:ascii="仿宋" w:hAnsi="仿宋" w:eastAsia="仿宋" w:cs="Times New Roman"/>
          <w:b/>
          <w:bCs/>
          <w:sz w:val="32"/>
          <w:szCs w:val="32"/>
        </w:rPr>
      </w:pPr>
    </w:p>
    <w:p>
      <w:pPr>
        <w:keepNext/>
        <w:keepLines/>
        <w:snapToGrid w:val="0"/>
        <w:spacing w:line="580" w:lineRule="exact"/>
        <w:ind w:firstLine="640" w:firstLineChars="200"/>
        <w:outlineLvl w:val="1"/>
        <w:rPr>
          <w:rFonts w:ascii="仿宋" w:hAnsi="仿宋" w:eastAsia="仿宋" w:cs="Times New Roman"/>
          <w:sz w:val="32"/>
          <w:szCs w:val="32"/>
        </w:rPr>
      </w:pPr>
      <w:r>
        <w:rPr>
          <w:rFonts w:hint="eastAsia" w:ascii="仿宋" w:hAnsi="仿宋" w:eastAsia="仿宋" w:cs="Times New Roman"/>
          <w:sz w:val="32"/>
          <w:szCs w:val="32"/>
        </w:rPr>
        <w:t>四、</w:t>
      </w:r>
      <w:r>
        <w:rPr>
          <w:rFonts w:hint="eastAsia" w:ascii="仿宋" w:hAnsi="仿宋" w:eastAsia="仿宋" w:cs="黑体"/>
          <w:kern w:val="0"/>
          <w:sz w:val="32"/>
          <w:szCs w:val="32"/>
        </w:rPr>
        <w:t>财政</w:t>
      </w:r>
      <w:r>
        <w:rPr>
          <w:rFonts w:hint="eastAsia" w:ascii="仿宋" w:hAnsi="仿宋" w:eastAsia="仿宋" w:cs="Times New Roman"/>
          <w:sz w:val="32"/>
          <w:szCs w:val="32"/>
        </w:rPr>
        <w:t>拨款收入支出决算总体情况说明</w:t>
      </w:r>
    </w:p>
    <w:p>
      <w:pPr>
        <w:snapToGrid w:val="0"/>
        <w:spacing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（一）财政拨款收支与2018 年度决算对比情况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形成的财政拨款收支均为一般公共预算财政拨款，其中本年收入569.1万元,比2018年度增加57.85万元，增长11.31%，主要是人员经费正常增资、新增抚恤费、村级经费增加；本年支出609.48万元，增加137万元，增长28.99%，主要是人员经费正常增资、新增抚恤费、村级经费、上年末结余等形成支出增加。</w:t>
      </w:r>
    </w:p>
    <w:p>
      <w:pPr>
        <w:adjustRightInd w:val="0"/>
        <w:snapToGrid w:val="0"/>
        <w:spacing w:line="580" w:lineRule="exact"/>
        <w:ind w:firstLine="640" w:firstLineChars="200"/>
        <w:rPr>
          <w:rFonts w:ascii="仿宋" w:hAnsi="仿宋" w:eastAsia="仿宋" w:cs="DengXian-Regular"/>
          <w:sz w:val="32"/>
          <w:szCs w:val="32"/>
        </w:rPr>
      </w:pPr>
    </w:p>
    <w:p>
      <w:pPr>
        <w:adjustRightInd w:val="0"/>
        <w:snapToGrid w:val="0"/>
        <w:spacing w:line="580" w:lineRule="exact"/>
        <w:ind w:firstLine="640" w:firstLineChars="200"/>
        <w:rPr>
          <w:rFonts w:ascii="仿宋" w:hAnsi="仿宋" w:eastAsia="仿宋" w:cs="DengXian-Regular"/>
          <w:sz w:val="32"/>
          <w:szCs w:val="32"/>
        </w:rPr>
      </w:pPr>
    </w:p>
    <w:p>
      <w:pPr>
        <w:adjustRightInd w:val="0"/>
        <w:snapToGrid w:val="0"/>
        <w:spacing w:line="580" w:lineRule="exact"/>
        <w:ind w:firstLine="420" w:firstLineChars="200"/>
        <w:rPr>
          <w:rFonts w:ascii="仿宋" w:hAnsi="仿宋" w:eastAsia="仿宋" w:cs="DengXian-Regular"/>
          <w:sz w:val="32"/>
          <w:szCs w:val="32"/>
        </w:rPr>
      </w:pPr>
      <w:r>
        <mc:AlternateContent>
          <mc:Choice Requires="wps">
            <w:drawing>
              <wp:anchor distT="0" distB="0" distL="114300" distR="114300" simplePos="0" relativeHeight="251675648" behindDoc="0" locked="0" layoutInCell="1" allowOverlap="1">
                <wp:simplePos x="0" y="0"/>
                <wp:positionH relativeFrom="column">
                  <wp:posOffset>706120</wp:posOffset>
                </wp:positionH>
                <wp:positionV relativeFrom="paragraph">
                  <wp:posOffset>-360680</wp:posOffset>
                </wp:positionV>
                <wp:extent cx="4572000" cy="457200"/>
                <wp:effectExtent l="0" t="0" r="0" b="0"/>
                <wp:wrapNone/>
                <wp:docPr id="20" name="文本框 33"/>
                <wp:cNvGraphicFramePr/>
                <a:graphic xmlns:a="http://schemas.openxmlformats.org/drawingml/2006/main">
                  <a:graphicData uri="http://schemas.microsoft.com/office/word/2010/wordprocessingShape">
                    <wps:wsp>
                      <wps:cNvSpPr txBox="1"/>
                      <wps:spPr>
                        <a:xfrm>
                          <a:off x="0" y="0"/>
                          <a:ext cx="4572000" cy="457200"/>
                        </a:xfrm>
                        <a:prstGeom prst="rect">
                          <a:avLst/>
                        </a:prstGeom>
                        <a:solidFill>
                          <a:srgbClr val="FFFFFF"/>
                        </a:solidFill>
                        <a:ln>
                          <a:noFill/>
                        </a:ln>
                      </wps:spPr>
                      <wps:txbx>
                        <w:txbxContent>
                          <w:p>
                            <w:pPr>
                              <w:pStyle w:val="3"/>
                              <w:jc w:val="center"/>
                              <w:rPr>
                                <w:rFonts w:ascii="仿宋" w:hAnsi="仿宋" w:eastAsia="仿宋" w:cs="DengXian-Regular"/>
                                <w:sz w:val="28"/>
                                <w:szCs w:val="28"/>
                              </w:rPr>
                            </w:pPr>
                            <w:r>
                              <w:rPr>
                                <w:sz w:val="28"/>
                                <w:szCs w:val="28"/>
                              </w:rPr>
                              <w:t>财政拨款收支与2018年对比</w:t>
                            </w:r>
                          </w:p>
                        </w:txbxContent>
                      </wps:txbx>
                      <wps:bodyPr lIns="0" tIns="0" rIns="0" bIns="0" upright="1"/>
                    </wps:wsp>
                  </a:graphicData>
                </a:graphic>
              </wp:anchor>
            </w:drawing>
          </mc:Choice>
          <mc:Fallback>
            <w:pict>
              <v:shape id="文本框 33" o:spid="_x0000_s1026" o:spt="202" type="#_x0000_t202" style="position:absolute;left:0pt;margin-left:55.6pt;margin-top:-28.4pt;height:36pt;width:360pt;z-index:251675648;mso-width-relative:page;mso-height-relative:page;" fillcolor="#FFFFFF" filled="t" stroked="f" coordsize="21600,21600" o:gfxdata="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9J3tcAAAAKAQAADwAAAAAAAAABACAAAAAiAAAAZHJzL2Rv&#10;d25yZXYueG1sUEsBAhQAFAAAAAgAh07iQNM56MXJAQAAnQMAAA4AAAAAAAAAAQAgAAAAJgEAAGRy&#10;cy9lMm9Eb2MueG1sUEsFBgAAAAAGAAYAWQEAAGEFAAAAAA==&#10;">
                <v:fill on="t" focussize="0,0"/>
                <v:stroke on="f"/>
                <v:imagedata o:title=""/>
                <o:lock v:ext="edit" aspectratio="f"/>
                <v:textbox inset="0mm,0mm,0mm,0mm">
                  <w:txbxContent>
                    <w:p>
                      <w:pPr>
                        <w:pStyle w:val="3"/>
                        <w:jc w:val="center"/>
                        <w:rPr>
                          <w:rFonts w:ascii="仿宋" w:hAnsi="仿宋" w:eastAsia="仿宋" w:cs="DengXian-Regular"/>
                          <w:sz w:val="28"/>
                          <w:szCs w:val="28"/>
                        </w:rPr>
                      </w:pPr>
                      <w:r>
                        <w:rPr>
                          <w:sz w:val="28"/>
                          <w:szCs w:val="28"/>
                        </w:rPr>
                        <w:t>财政拨款收支与2018年对比</w:t>
                      </w:r>
                    </w:p>
                  </w:txbxContent>
                </v:textbox>
              </v:shape>
            </w:pict>
          </mc:Fallback>
        </mc:AlternateContent>
      </w:r>
      <w:r>
        <w:rPr>
          <w:rFonts w:hint="eastAsia" w:ascii="仿宋" w:hAnsi="仿宋" w:eastAsia="仿宋" w:cs="DengXian-Regular"/>
          <w:sz w:val="32"/>
          <w:szCs w:val="32"/>
        </w:rPr>
        <w:drawing>
          <wp:anchor distT="0" distB="0" distL="114300" distR="114300" simplePos="0" relativeHeight="251674624" behindDoc="0" locked="0" layoutInCell="1" allowOverlap="1">
            <wp:simplePos x="0" y="0"/>
            <wp:positionH relativeFrom="column">
              <wp:posOffset>706120</wp:posOffset>
            </wp:positionH>
            <wp:positionV relativeFrom="paragraph">
              <wp:posOffset>96520</wp:posOffset>
            </wp:positionV>
            <wp:extent cx="4572000" cy="2743200"/>
            <wp:effectExtent l="19050" t="0" r="1905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adjustRightInd w:val="0"/>
        <w:snapToGrid w:val="0"/>
        <w:spacing w:line="580" w:lineRule="exact"/>
        <w:ind w:firstLine="640" w:firstLineChars="200"/>
        <w:rPr>
          <w:rFonts w:ascii="仿宋" w:hAnsi="仿宋" w:eastAsia="仿宋" w:cs="DengXian-Regular"/>
          <w:sz w:val="32"/>
          <w:szCs w:val="32"/>
        </w:rPr>
      </w:pPr>
    </w:p>
    <w:p>
      <w:pPr>
        <w:adjustRightInd w:val="0"/>
        <w:snapToGrid w:val="0"/>
        <w:spacing w:line="580" w:lineRule="exact"/>
        <w:ind w:firstLine="640" w:firstLineChars="200"/>
        <w:rPr>
          <w:rFonts w:ascii="仿宋" w:hAnsi="仿宋" w:eastAsia="仿宋" w:cs="DengXian-Regular"/>
          <w:sz w:val="32"/>
          <w:szCs w:val="32"/>
        </w:rPr>
      </w:pPr>
    </w:p>
    <w:p>
      <w:pPr>
        <w:adjustRightInd w:val="0"/>
        <w:snapToGrid w:val="0"/>
        <w:spacing w:line="580" w:lineRule="exact"/>
        <w:ind w:firstLine="640" w:firstLineChars="200"/>
        <w:rPr>
          <w:rFonts w:ascii="仿宋" w:hAnsi="仿宋" w:eastAsia="仿宋" w:cs="DengXian-Regular"/>
          <w:sz w:val="32"/>
          <w:szCs w:val="32"/>
        </w:rPr>
      </w:pPr>
    </w:p>
    <w:p>
      <w:pPr>
        <w:snapToGrid w:val="0"/>
        <w:spacing w:line="580" w:lineRule="exact"/>
        <w:ind w:firstLine="643" w:firstLineChars="200"/>
        <w:rPr>
          <w:rFonts w:ascii="仿宋" w:hAnsi="仿宋" w:eastAsia="仿宋" w:cs="DengXian-Bold"/>
          <w:b/>
          <w:bCs/>
          <w:sz w:val="32"/>
          <w:szCs w:val="32"/>
        </w:rPr>
      </w:pPr>
    </w:p>
    <w:p>
      <w:pPr>
        <w:snapToGrid w:val="0"/>
        <w:spacing w:line="580" w:lineRule="exact"/>
        <w:ind w:firstLine="643" w:firstLineChars="200"/>
        <w:rPr>
          <w:rFonts w:ascii="仿宋" w:hAnsi="仿宋" w:eastAsia="仿宋" w:cs="DengXian-Bold"/>
          <w:b/>
          <w:bCs/>
          <w:sz w:val="32"/>
          <w:szCs w:val="32"/>
        </w:rPr>
      </w:pPr>
    </w:p>
    <w:p>
      <w:pPr>
        <w:snapToGrid w:val="0"/>
        <w:spacing w:line="580" w:lineRule="exact"/>
        <w:ind w:firstLine="643" w:firstLineChars="200"/>
        <w:rPr>
          <w:rFonts w:ascii="仿宋" w:hAnsi="仿宋" w:eastAsia="仿宋" w:cs="DengXian-Bold"/>
          <w:b/>
          <w:bCs/>
          <w:sz w:val="32"/>
          <w:szCs w:val="32"/>
        </w:rPr>
      </w:pPr>
    </w:p>
    <w:p>
      <w:pPr>
        <w:snapToGrid w:val="0"/>
        <w:spacing w:line="580" w:lineRule="exact"/>
        <w:ind w:firstLine="643" w:firstLineChars="200"/>
        <w:rPr>
          <w:rFonts w:ascii="仿宋" w:hAnsi="仿宋" w:eastAsia="仿宋" w:cs="DengXian-Bold"/>
          <w:b/>
          <w:bCs/>
          <w:sz w:val="32"/>
          <w:szCs w:val="32"/>
        </w:rPr>
      </w:pPr>
    </w:p>
    <w:p>
      <w:pPr>
        <w:snapToGrid w:val="0"/>
        <w:spacing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（二）财政拨款收支与年初预算数对比情况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一般公共预算财政拨款收入569.1万元，完成年初预算的134.99%（如图4）,比年初预算增加147.69万元，决算数大于预算数主要原因是新增死亡抚恤金、村级经费及上年末结转结余；本年支出609.48万元，完成年初预算的144%,比年初预算增加188.07万元，决算数大于预算数主要原因是主要是新增死亡抚恤金、村级经费及上年末结转结余。</w:t>
      </w:r>
    </w:p>
    <w:p>
      <w:pPr>
        <w:numPr>
          <w:ilvl w:val="0"/>
          <w:numId w:val="2"/>
        </w:numPr>
        <w:adjustRightInd w:val="0"/>
        <w:snapToGrid w:val="0"/>
        <w:spacing w:line="580" w:lineRule="exact"/>
        <w:ind w:left="420" w:leftChars="200"/>
        <w:rPr>
          <w:rFonts w:ascii="仿宋" w:hAnsi="仿宋" w:eastAsia="仿宋" w:cs="DengXian-Bold"/>
          <w:b/>
          <w:bCs/>
          <w:sz w:val="32"/>
          <w:szCs w:val="32"/>
        </w:rPr>
      </w:pPr>
      <w:r>
        <w:rPr>
          <w:rFonts w:hint="eastAsia" w:ascii="仿宋" w:hAnsi="仿宋" w:eastAsia="仿宋" w:cs="DengXian-Bold"/>
          <w:b/>
          <w:bCs/>
          <w:sz w:val="32"/>
          <w:szCs w:val="32"/>
        </w:rPr>
        <w:t>财政拨款支出决算结构情况。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2019 年度财政拨款支出609.48万元，主要用于以下方面：一般公共服务（类）支出233.42万元，占38.29%；社会保障和就业（类）支出 103.7万元，占17.02%；卫生健康（类）支出 21.03万元，占3.46%；节能环保（类）支出 26万元，占4.27%；农林水（类）支出 212.68万元，占34.89%；住房保障（类）支出12.65万元，占 2.07%。</w:t>
      </w:r>
    </w:p>
    <w:p>
      <w:pPr>
        <w:pStyle w:val="3"/>
        <w:jc w:val="center"/>
        <w:rPr>
          <w:rFonts w:ascii="仿宋" w:hAnsi="仿宋" w:eastAsia="仿宋" w:cs="DengXian-Bold"/>
          <w:b/>
          <w:bCs/>
          <w:sz w:val="28"/>
          <w:szCs w:val="28"/>
        </w:rPr>
      </w:pPr>
      <w:r>
        <w:rPr>
          <w:sz w:val="28"/>
          <w:szCs w:val="28"/>
        </w:rPr>
        <w:t>财政拨款支出结构</w:t>
      </w:r>
    </w:p>
    <w:p>
      <w:pPr>
        <w:adjustRightInd w:val="0"/>
        <w:snapToGrid w:val="0"/>
        <w:spacing w:line="580" w:lineRule="exact"/>
        <w:rPr>
          <w:rFonts w:ascii="仿宋" w:hAnsi="仿宋" w:eastAsia="仿宋" w:cs="DengXian-Bold"/>
          <w:b/>
          <w:bCs/>
          <w:sz w:val="32"/>
          <w:szCs w:val="32"/>
        </w:rPr>
      </w:pPr>
      <w:r>
        <w:rPr>
          <w:rFonts w:ascii="仿宋" w:hAnsi="仿宋" w:eastAsia="仿宋" w:cs="DengXian-Bold"/>
          <w:b/>
          <w:bCs/>
          <w:sz w:val="32"/>
          <w:szCs w:val="32"/>
        </w:rPr>
        <w:drawing>
          <wp:anchor distT="0" distB="0" distL="114300" distR="114300" simplePos="0" relativeHeight="251676672" behindDoc="0" locked="0" layoutInCell="1" allowOverlap="1">
            <wp:simplePos x="0" y="0"/>
            <wp:positionH relativeFrom="column">
              <wp:posOffset>496570</wp:posOffset>
            </wp:positionH>
            <wp:positionV relativeFrom="paragraph">
              <wp:posOffset>93980</wp:posOffset>
            </wp:positionV>
            <wp:extent cx="4781550" cy="2295525"/>
            <wp:effectExtent l="19050" t="0" r="1905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adjustRightInd w:val="0"/>
        <w:snapToGrid w:val="0"/>
        <w:spacing w:line="580" w:lineRule="exact"/>
        <w:ind w:left="420" w:leftChars="200"/>
        <w:rPr>
          <w:rFonts w:ascii="仿宋" w:hAnsi="仿宋" w:eastAsia="仿宋" w:cs="DengXian-Bold"/>
          <w:b/>
          <w:bCs/>
          <w:sz w:val="32"/>
          <w:szCs w:val="32"/>
        </w:rPr>
      </w:pPr>
    </w:p>
    <w:p>
      <w:pPr>
        <w:adjustRightInd w:val="0"/>
        <w:snapToGrid w:val="0"/>
        <w:spacing w:line="580" w:lineRule="exact"/>
        <w:ind w:left="420" w:leftChars="200"/>
        <w:rPr>
          <w:rFonts w:ascii="仿宋" w:hAnsi="仿宋" w:eastAsia="仿宋" w:cs="DengXian-Bold"/>
          <w:b/>
          <w:bCs/>
          <w:sz w:val="32"/>
          <w:szCs w:val="32"/>
        </w:rPr>
      </w:pPr>
    </w:p>
    <w:p>
      <w:pPr>
        <w:adjustRightInd w:val="0"/>
        <w:snapToGrid w:val="0"/>
        <w:spacing w:line="580" w:lineRule="exact"/>
        <w:ind w:left="420" w:leftChars="200"/>
        <w:rPr>
          <w:rFonts w:ascii="仿宋" w:hAnsi="仿宋" w:eastAsia="仿宋" w:cs="DengXian-Bold"/>
          <w:b/>
          <w:bCs/>
          <w:sz w:val="32"/>
          <w:szCs w:val="32"/>
        </w:rPr>
      </w:pPr>
    </w:p>
    <w:p>
      <w:pPr>
        <w:adjustRightInd w:val="0"/>
        <w:snapToGrid w:val="0"/>
        <w:spacing w:line="580" w:lineRule="exact"/>
        <w:ind w:left="420" w:leftChars="200"/>
        <w:rPr>
          <w:rFonts w:ascii="仿宋" w:hAnsi="仿宋" w:eastAsia="仿宋" w:cs="DengXian-Bold"/>
          <w:b/>
          <w:bCs/>
          <w:sz w:val="32"/>
          <w:szCs w:val="32"/>
        </w:rPr>
      </w:pPr>
    </w:p>
    <w:p>
      <w:pPr>
        <w:adjustRightInd w:val="0"/>
        <w:snapToGrid w:val="0"/>
        <w:spacing w:line="580" w:lineRule="exact"/>
        <w:ind w:left="420" w:leftChars="200"/>
        <w:rPr>
          <w:rFonts w:ascii="仿宋" w:hAnsi="仿宋" w:eastAsia="仿宋" w:cs="DengXian-Bold"/>
          <w:b/>
          <w:bCs/>
          <w:sz w:val="32"/>
          <w:szCs w:val="32"/>
        </w:rPr>
      </w:pPr>
    </w:p>
    <w:p>
      <w:pPr>
        <w:adjustRightInd w:val="0"/>
        <w:snapToGrid w:val="0"/>
        <w:spacing w:line="580" w:lineRule="exact"/>
        <w:ind w:left="420" w:leftChars="200"/>
        <w:rPr>
          <w:rFonts w:ascii="仿宋" w:hAnsi="仿宋" w:eastAsia="仿宋" w:cs="DengXian-Bold"/>
          <w:b/>
          <w:bCs/>
          <w:sz w:val="32"/>
          <w:szCs w:val="32"/>
        </w:rPr>
      </w:pPr>
    </w:p>
    <w:p>
      <w:pPr>
        <w:adjustRightInd w:val="0"/>
        <w:snapToGrid w:val="0"/>
        <w:spacing w:line="580" w:lineRule="exact"/>
        <w:ind w:left="420" w:leftChars="200"/>
        <w:rPr>
          <w:rFonts w:ascii="仿宋" w:hAnsi="仿宋" w:eastAsia="仿宋" w:cs="DengXian-Bold"/>
          <w:b/>
          <w:bCs/>
          <w:sz w:val="32"/>
          <w:szCs w:val="32"/>
        </w:rPr>
      </w:pPr>
      <w:r>
        <w:rPr>
          <w:rFonts w:hint="eastAsia" w:ascii="仿宋" w:hAnsi="仿宋" w:eastAsia="仿宋" w:cs="DengXian-Bold"/>
          <w:b/>
          <w:bCs/>
          <w:sz w:val="32"/>
          <w:szCs w:val="32"/>
        </w:rPr>
        <w:t>（四）一般公共预算基本支出决算情况说明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2019年度财政拨款基本支出476.40万元，其中：人员经费 404.62万元，主要包括基本工资、津贴补贴、奖金、绩效工资、机关事业单位基本养老保险缴费、职业年金缴费、职工基本医疗保险缴费、住房公积金、医疗费、其他社会保障缴费、其他工资福利支出、退休费、抚恤金、生活补助；公用经费71.79万元，主要包括办公费、电费、邮电费、差旅费、会议费、公务接待费、公务用车运行维护费、其他交通费用、其他商品和服务支出。</w:t>
      </w:r>
    </w:p>
    <w:p>
      <w:pPr>
        <w:keepNext/>
        <w:keepLines/>
        <w:snapToGrid w:val="0"/>
        <w:spacing w:line="580" w:lineRule="exact"/>
        <w:ind w:firstLine="640" w:firstLineChars="200"/>
        <w:outlineLvl w:val="1"/>
        <w:rPr>
          <w:rFonts w:ascii="仿宋" w:hAnsi="仿宋" w:eastAsia="仿宋" w:cs="Times New Roman"/>
          <w:sz w:val="32"/>
          <w:szCs w:val="32"/>
        </w:rPr>
      </w:pPr>
      <w:r>
        <w:rPr>
          <w:rFonts w:hint="eastAsia" w:ascii="仿宋" w:hAnsi="仿宋" w:eastAsia="仿宋" w:cs="Times New Roman"/>
          <w:sz w:val="32"/>
          <w:szCs w:val="32"/>
        </w:rPr>
        <w:t>五、一般公共预算“三公” 经费支出决算情况说明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本部门2019年度“三公”经费支出共计4.34万元，完成预算的72.33%,较预算减少1.66万元，降低27.67%，主要是认真</w:t>
      </w:r>
      <w:r>
        <w:rPr>
          <w:rFonts w:hint="eastAsia" w:ascii="仿宋" w:hAnsi="仿宋" w:eastAsia="仿宋" w:cs="DengXian-Regular"/>
          <w:sz w:val="32"/>
          <w:szCs w:val="32"/>
          <w:lang w:eastAsia="zh-CN"/>
        </w:rPr>
        <w:t>贯彻落实中央八项规定</w:t>
      </w:r>
      <w:r>
        <w:rPr>
          <w:rFonts w:hint="eastAsia" w:ascii="仿宋" w:hAnsi="仿宋" w:eastAsia="仿宋" w:cs="DengXian-Regular"/>
          <w:sz w:val="32"/>
          <w:szCs w:val="32"/>
        </w:rPr>
        <w:t>精神和厉行节约要求，从严控制“三公”经费开支，公车运行维护费用当年支出减少；较2018年度减少1.66万元，降低27.67%，主要是认真</w:t>
      </w:r>
      <w:r>
        <w:rPr>
          <w:rFonts w:hint="eastAsia" w:ascii="仿宋" w:hAnsi="仿宋" w:eastAsia="仿宋" w:cs="DengXian-Regular"/>
          <w:sz w:val="32"/>
          <w:szCs w:val="32"/>
          <w:lang w:eastAsia="zh-CN"/>
        </w:rPr>
        <w:t>贯彻落实中央八项规定</w:t>
      </w:r>
      <w:r>
        <w:rPr>
          <w:rFonts w:hint="eastAsia" w:ascii="仿宋" w:hAnsi="仿宋" w:eastAsia="仿宋" w:cs="DengXian-Regular"/>
          <w:sz w:val="32"/>
          <w:szCs w:val="32"/>
        </w:rPr>
        <w:t>精神和厉行节约要求，从严控制“三公”经费开支，公车运行维护费用当年支出减少。具体情况如下：</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（一）因公出国（境）费支出0万元。</w:t>
      </w:r>
      <w:r>
        <w:rPr>
          <w:rFonts w:hint="eastAsia" w:ascii="仿宋" w:hAnsi="仿宋" w:eastAsia="仿宋" w:cs="DengXian-Regular"/>
          <w:sz w:val="32"/>
          <w:szCs w:val="32"/>
        </w:rPr>
        <w:t>本部门2019年度因公出国（境）团组0个、共0人；参加其他单位组织的因公出国（境）团组0个、共0人；无本单位组织的出国（境）团组。</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（二）公务用车购置及运行维护费支出2.34万元。</w:t>
      </w:r>
      <w:r>
        <w:rPr>
          <w:rFonts w:hint="eastAsia" w:ascii="仿宋" w:hAnsi="仿宋" w:eastAsia="仿宋" w:cs="DengXian-Regular"/>
          <w:sz w:val="32"/>
          <w:szCs w:val="32"/>
        </w:rPr>
        <w:t>本部门2019年度公务用车购置及运行维护费较预算减少1.66万元，降低27.67%,</w:t>
      </w:r>
      <w:r>
        <w:rPr>
          <w:rFonts w:hint="eastAsia" w:ascii="仿宋" w:hAnsi="仿宋" w:eastAsia="仿宋" w:cs="DengXian-Regular"/>
          <w:sz w:val="32"/>
          <w:szCs w:val="32"/>
          <w:lang w:eastAsia="zh-CN"/>
        </w:rPr>
        <w:t>主要是</w:t>
      </w:r>
      <w:r>
        <w:rPr>
          <w:rFonts w:hint="eastAsia" w:ascii="仿宋" w:hAnsi="仿宋" w:eastAsia="仿宋" w:cs="DengXian-Regular"/>
          <w:sz w:val="32"/>
          <w:szCs w:val="32"/>
        </w:rPr>
        <w:t>认真</w:t>
      </w:r>
      <w:r>
        <w:rPr>
          <w:rFonts w:hint="eastAsia" w:ascii="仿宋" w:hAnsi="仿宋" w:eastAsia="仿宋" w:cs="DengXian-Regular"/>
          <w:sz w:val="32"/>
          <w:szCs w:val="32"/>
          <w:lang w:eastAsia="zh-CN"/>
        </w:rPr>
        <w:t>贯彻落实中央八项规定</w:t>
      </w:r>
      <w:r>
        <w:rPr>
          <w:rFonts w:hint="eastAsia" w:ascii="仿宋" w:hAnsi="仿宋" w:eastAsia="仿宋" w:cs="DengXian-Regular"/>
          <w:sz w:val="32"/>
          <w:szCs w:val="32"/>
        </w:rPr>
        <w:t>精神和厉行节约要求，从严控制“三公”经费开支，公车运行维护费用当年支出减少；公车运行维护费支出2.34万元，较上年减少1.66万元，降低27.67%,</w:t>
      </w:r>
      <w:r>
        <w:rPr>
          <w:rFonts w:hint="eastAsia" w:ascii="仿宋" w:hAnsi="仿宋" w:eastAsia="仿宋" w:cs="DengXian-Regular"/>
          <w:sz w:val="32"/>
          <w:szCs w:val="32"/>
          <w:lang w:eastAsia="zh-CN"/>
        </w:rPr>
        <w:t>主要是</w:t>
      </w:r>
      <w:r>
        <w:rPr>
          <w:rFonts w:hint="eastAsia" w:ascii="仿宋" w:hAnsi="仿宋" w:eastAsia="仿宋" w:cs="DengXian-Regular"/>
          <w:sz w:val="32"/>
          <w:szCs w:val="32"/>
        </w:rPr>
        <w:t>认真</w:t>
      </w:r>
      <w:r>
        <w:rPr>
          <w:rFonts w:hint="eastAsia" w:ascii="仿宋" w:hAnsi="仿宋" w:eastAsia="仿宋" w:cs="DengXian-Regular"/>
          <w:sz w:val="32"/>
          <w:szCs w:val="32"/>
          <w:lang w:eastAsia="zh-CN"/>
        </w:rPr>
        <w:t>贯彻落实中央八项规定</w:t>
      </w:r>
      <w:r>
        <w:rPr>
          <w:rFonts w:hint="eastAsia" w:ascii="仿宋" w:hAnsi="仿宋" w:eastAsia="仿宋" w:cs="DengXian-Regular"/>
          <w:sz w:val="32"/>
          <w:szCs w:val="32"/>
        </w:rPr>
        <w:t>精神和厉行节约要求，从严控制“三公”经费开支，公车运行维护费用当年支出减少。</w:t>
      </w:r>
    </w:p>
    <w:p>
      <w:pPr>
        <w:adjustRightInd w:val="0"/>
        <w:snapToGrid w:val="0"/>
        <w:spacing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其中：</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公务用车购置费：</w:t>
      </w:r>
      <w:r>
        <w:rPr>
          <w:rFonts w:hint="eastAsia" w:ascii="仿宋" w:hAnsi="仿宋" w:eastAsia="仿宋" w:cs="DengXian-Regular"/>
          <w:sz w:val="32"/>
          <w:szCs w:val="32"/>
        </w:rPr>
        <w:t>本部门2019年度公务用车购置量0辆，发生“公务用车购置”经费支出0万元。本年度未发生“公务用车购置”经费支出。</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公务用车运行维护费：</w:t>
      </w:r>
      <w:r>
        <w:rPr>
          <w:rFonts w:hint="eastAsia" w:ascii="仿宋" w:hAnsi="仿宋" w:eastAsia="仿宋" w:cs="DengXian-Regular"/>
          <w:sz w:val="32"/>
          <w:szCs w:val="32"/>
        </w:rPr>
        <w:t>本部门2019年度单位公务用车保有量1辆。公车运行维护费支出2.34万元，较预算减少1.66万元，降低27.67%,</w:t>
      </w:r>
      <w:r>
        <w:rPr>
          <w:rFonts w:hint="eastAsia" w:ascii="仿宋" w:hAnsi="仿宋" w:eastAsia="仿宋" w:cs="DengXian-Regular"/>
          <w:sz w:val="32"/>
          <w:szCs w:val="32"/>
          <w:lang w:eastAsia="zh-CN"/>
        </w:rPr>
        <w:t>主要是</w:t>
      </w:r>
      <w:r>
        <w:rPr>
          <w:rFonts w:hint="eastAsia" w:ascii="仿宋" w:hAnsi="仿宋" w:eastAsia="仿宋" w:cs="DengXian-Regular"/>
          <w:sz w:val="32"/>
          <w:szCs w:val="32"/>
        </w:rPr>
        <w:t>认真</w:t>
      </w:r>
      <w:r>
        <w:rPr>
          <w:rFonts w:hint="eastAsia" w:ascii="仿宋" w:hAnsi="仿宋" w:eastAsia="仿宋" w:cs="DengXian-Regular"/>
          <w:sz w:val="32"/>
          <w:szCs w:val="32"/>
          <w:lang w:eastAsia="zh-CN"/>
        </w:rPr>
        <w:t>贯彻落实中央八项规定</w:t>
      </w:r>
      <w:r>
        <w:rPr>
          <w:rFonts w:hint="eastAsia" w:ascii="仿宋" w:hAnsi="仿宋" w:eastAsia="仿宋" w:cs="DengXian-Regular"/>
          <w:sz w:val="32"/>
          <w:szCs w:val="32"/>
        </w:rPr>
        <w:t>精神和厉行节约要求，从严控制“三公”经费开支，公车运行维护费用当年支出减少；较上年减少1.66万元，降低27.67%，</w:t>
      </w:r>
      <w:r>
        <w:rPr>
          <w:rFonts w:hint="eastAsia" w:ascii="仿宋" w:hAnsi="仿宋" w:eastAsia="仿宋" w:cs="DengXian-Regular"/>
          <w:sz w:val="32"/>
          <w:szCs w:val="32"/>
          <w:lang w:eastAsia="zh-CN"/>
        </w:rPr>
        <w:t>主要是</w:t>
      </w:r>
      <w:r>
        <w:rPr>
          <w:rFonts w:hint="eastAsia" w:ascii="仿宋" w:hAnsi="仿宋" w:eastAsia="仿宋" w:cs="DengXian-Regular"/>
          <w:sz w:val="32"/>
          <w:szCs w:val="32"/>
        </w:rPr>
        <w:t>认真</w:t>
      </w:r>
      <w:r>
        <w:rPr>
          <w:rFonts w:hint="eastAsia" w:ascii="仿宋" w:hAnsi="仿宋" w:eastAsia="仿宋" w:cs="DengXian-Regular"/>
          <w:sz w:val="32"/>
          <w:szCs w:val="32"/>
          <w:lang w:eastAsia="zh-CN"/>
        </w:rPr>
        <w:t>贯彻落实中央八项规定</w:t>
      </w:r>
      <w:r>
        <w:rPr>
          <w:rFonts w:hint="eastAsia" w:ascii="仿宋" w:hAnsi="仿宋" w:eastAsia="仿宋" w:cs="DengXian-Regular"/>
          <w:sz w:val="32"/>
          <w:szCs w:val="32"/>
        </w:rPr>
        <w:t>精神和厉行节约要求，从严控制“三公”经费开支，公车运行维护费用当年支出减少。</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（三）公务接待费支出2万元。</w:t>
      </w:r>
      <w:r>
        <w:rPr>
          <w:rFonts w:hint="eastAsia" w:ascii="仿宋" w:hAnsi="仿宋" w:eastAsia="仿宋" w:cs="DengXian-Regular"/>
          <w:sz w:val="32"/>
          <w:szCs w:val="32"/>
        </w:rPr>
        <w:t>本部门2019年度公务接待共63批次、817人次。公务接待费支出与年初预算持平；与上年度持平。</w:t>
      </w:r>
    </w:p>
    <w:p>
      <w:pPr>
        <w:adjustRightInd w:val="0"/>
        <w:snapToGrid w:val="0"/>
        <w:spacing w:line="580" w:lineRule="exact"/>
        <w:ind w:firstLine="640" w:firstLineChars="200"/>
        <w:rPr>
          <w:rFonts w:ascii="仿宋" w:hAnsi="仿宋" w:eastAsia="仿宋" w:cs="Times New Roman"/>
          <w:sz w:val="32"/>
          <w:szCs w:val="40"/>
        </w:rPr>
      </w:pPr>
      <w:r>
        <w:rPr>
          <w:rFonts w:hint="eastAsia" w:ascii="仿宋" w:hAnsi="仿宋" w:eastAsia="仿宋" w:cs="Times New Roman"/>
          <w:sz w:val="32"/>
          <w:szCs w:val="40"/>
        </w:rPr>
        <w:t>六、预算绩效情况说明</w:t>
      </w:r>
    </w:p>
    <w:p>
      <w:pPr>
        <w:adjustRightInd w:val="0"/>
        <w:snapToGrid w:val="0"/>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1. 预算绩效管理工作开展情况。</w:t>
      </w:r>
    </w:p>
    <w:p>
      <w:pPr>
        <w:spacing w:line="500" w:lineRule="exact"/>
        <w:ind w:firstLine="640" w:firstLineChars="200"/>
        <w:jc w:val="left"/>
        <w:rPr>
          <w:rFonts w:ascii="仿宋" w:hAnsi="仿宋" w:eastAsia="仿宋"/>
          <w:sz w:val="32"/>
          <w:szCs w:val="32"/>
        </w:rPr>
      </w:pPr>
      <w:r>
        <w:rPr>
          <w:rFonts w:hint="eastAsia" w:ascii="仿宋" w:hAnsi="仿宋" w:eastAsia="仿宋" w:cs="仿宋_GB2312"/>
          <w:sz w:val="32"/>
          <w:szCs w:val="32"/>
        </w:rPr>
        <w:t>根据预算绩效管理要求，本部门组织对2019年度一般公共预算项目支出全面开展绩效自评，其中，一级项目14个，共涉及资金171.56万元，占一般公共预算项目支出总额的100%。组织对“</w:t>
      </w:r>
      <w:r>
        <w:rPr>
          <w:rFonts w:hint="eastAsia" w:ascii="仿宋" w:hAnsi="仿宋" w:eastAsia="仿宋" w:cs="宋体"/>
          <w:kern w:val="0"/>
          <w:sz w:val="32"/>
          <w:szCs w:val="32"/>
        </w:rPr>
        <w:t>人大代表之家工作经费</w:t>
      </w:r>
      <w:r>
        <w:rPr>
          <w:rFonts w:hint="eastAsia" w:ascii="仿宋" w:hAnsi="仿宋" w:eastAsia="仿宋" w:cs="仿宋_GB2312"/>
          <w:sz w:val="32"/>
          <w:szCs w:val="32"/>
        </w:rPr>
        <w:t>”“</w:t>
      </w:r>
      <w:r>
        <w:rPr>
          <w:rFonts w:hint="eastAsia" w:ascii="仿宋" w:hAnsi="仿宋" w:eastAsia="仿宋" w:cs="宋体"/>
          <w:kern w:val="0"/>
          <w:sz w:val="32"/>
          <w:szCs w:val="32"/>
        </w:rPr>
        <w:t xml:space="preserve"> 综治工作经费</w:t>
      </w:r>
      <w:r>
        <w:rPr>
          <w:rFonts w:hint="eastAsia" w:ascii="仿宋" w:hAnsi="仿宋" w:eastAsia="仿宋" w:cs="仿宋_GB2312"/>
          <w:sz w:val="32"/>
          <w:szCs w:val="32"/>
        </w:rPr>
        <w:t>”</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纪委保障机制经费“</w:t>
      </w:r>
      <w:r>
        <w:rPr>
          <w:rFonts w:hint="eastAsia" w:ascii="仿宋" w:hAnsi="仿宋" w:eastAsia="仿宋" w:cs="仿宋_GB2312"/>
          <w:sz w:val="32"/>
          <w:szCs w:val="32"/>
        </w:rPr>
        <w:t>等14个项目开展了部门评价，涉及一般公共预算支出171.56万元。从评价情况来看，</w:t>
      </w:r>
      <w:r>
        <w:rPr>
          <w:rFonts w:ascii="仿宋" w:hAnsi="仿宋" w:eastAsia="仿宋"/>
          <w:sz w:val="32"/>
          <w:szCs w:val="32"/>
        </w:rPr>
        <w:t>截</w:t>
      </w:r>
      <w:r>
        <w:rPr>
          <w:rFonts w:hint="eastAsia" w:ascii="仿宋" w:hAnsi="仿宋" w:eastAsia="仿宋"/>
          <w:sz w:val="32"/>
          <w:szCs w:val="32"/>
          <w:lang w:eastAsia="zh-CN"/>
        </w:rPr>
        <w:t>至</w:t>
      </w:r>
      <w:r>
        <w:rPr>
          <w:rFonts w:hint="eastAsia" w:ascii="仿宋" w:hAnsi="仿宋" w:eastAsia="仿宋"/>
          <w:sz w:val="32"/>
          <w:szCs w:val="32"/>
        </w:rPr>
        <w:t>12</w:t>
      </w:r>
      <w:r>
        <w:rPr>
          <w:rFonts w:ascii="仿宋" w:hAnsi="仿宋" w:eastAsia="仿宋"/>
          <w:sz w:val="32"/>
          <w:szCs w:val="32"/>
        </w:rPr>
        <w:t>月份，我乡1</w:t>
      </w:r>
      <w:r>
        <w:rPr>
          <w:rFonts w:hint="eastAsia" w:ascii="仿宋" w:hAnsi="仿宋" w:eastAsia="仿宋"/>
          <w:sz w:val="32"/>
          <w:szCs w:val="32"/>
        </w:rPr>
        <w:t>4</w:t>
      </w:r>
      <w:r>
        <w:rPr>
          <w:rFonts w:ascii="仿宋" w:hAnsi="仿宋" w:eastAsia="仿宋"/>
          <w:sz w:val="32"/>
          <w:szCs w:val="32"/>
        </w:rPr>
        <w:t>个预算项目资金1</w:t>
      </w:r>
      <w:r>
        <w:rPr>
          <w:rFonts w:hint="eastAsia" w:ascii="仿宋" w:hAnsi="仿宋" w:eastAsia="仿宋"/>
          <w:sz w:val="32"/>
          <w:szCs w:val="32"/>
        </w:rPr>
        <w:t>71</w:t>
      </w:r>
      <w:r>
        <w:rPr>
          <w:rFonts w:ascii="仿宋" w:hAnsi="仿宋" w:eastAsia="仿宋"/>
          <w:sz w:val="32"/>
          <w:szCs w:val="32"/>
        </w:rPr>
        <w:t>.</w:t>
      </w:r>
      <w:r>
        <w:rPr>
          <w:rFonts w:hint="eastAsia" w:ascii="仿宋" w:hAnsi="仿宋" w:eastAsia="仿宋"/>
          <w:sz w:val="32"/>
          <w:szCs w:val="32"/>
        </w:rPr>
        <w:t>56</w:t>
      </w:r>
      <w:r>
        <w:rPr>
          <w:rFonts w:ascii="仿宋" w:hAnsi="仿宋" w:eastAsia="仿宋"/>
          <w:sz w:val="32"/>
          <w:szCs w:val="32"/>
        </w:rPr>
        <w:t>万元，预算执行资金总计为</w:t>
      </w:r>
      <w:r>
        <w:rPr>
          <w:rFonts w:hint="eastAsia" w:ascii="仿宋" w:hAnsi="仿宋" w:eastAsia="仿宋"/>
          <w:sz w:val="32"/>
          <w:szCs w:val="32"/>
        </w:rPr>
        <w:t>133.06</w:t>
      </w:r>
      <w:r>
        <w:rPr>
          <w:rFonts w:ascii="仿宋" w:hAnsi="仿宋" w:eastAsia="仿宋"/>
          <w:sz w:val="32"/>
          <w:szCs w:val="32"/>
        </w:rPr>
        <w:t>万元，预算执行率为</w:t>
      </w:r>
      <w:r>
        <w:rPr>
          <w:rFonts w:hint="eastAsia" w:ascii="仿宋" w:hAnsi="仿宋" w:eastAsia="仿宋"/>
          <w:sz w:val="32"/>
          <w:szCs w:val="32"/>
        </w:rPr>
        <w:t>77.56</w:t>
      </w:r>
      <w:r>
        <w:rPr>
          <w:rFonts w:ascii="仿宋" w:hAnsi="仿宋" w:eastAsia="仿宋"/>
          <w:sz w:val="32"/>
          <w:szCs w:val="32"/>
        </w:rPr>
        <w:t>%。实际形成预算支出为</w:t>
      </w:r>
      <w:r>
        <w:rPr>
          <w:rFonts w:hint="eastAsia" w:ascii="仿宋" w:hAnsi="仿宋" w:eastAsia="仿宋"/>
          <w:sz w:val="32"/>
          <w:szCs w:val="32"/>
        </w:rPr>
        <w:t>133.06</w:t>
      </w:r>
      <w:r>
        <w:rPr>
          <w:rFonts w:ascii="仿宋" w:hAnsi="仿宋" w:eastAsia="仿宋"/>
          <w:sz w:val="32"/>
          <w:szCs w:val="32"/>
        </w:rPr>
        <w:t>万元，占预算项目资金</w:t>
      </w:r>
      <w:r>
        <w:rPr>
          <w:rFonts w:hint="eastAsia" w:ascii="仿宋" w:hAnsi="仿宋" w:eastAsia="仿宋"/>
          <w:sz w:val="32"/>
          <w:szCs w:val="32"/>
        </w:rPr>
        <w:t>77.56</w:t>
      </w:r>
      <w:r>
        <w:rPr>
          <w:rFonts w:ascii="仿宋" w:hAnsi="仿宋" w:eastAsia="仿宋"/>
          <w:sz w:val="32"/>
          <w:szCs w:val="32"/>
        </w:rPr>
        <w:t>%，占预算执行资金</w:t>
      </w:r>
      <w:r>
        <w:rPr>
          <w:rFonts w:hint="eastAsia" w:ascii="仿宋" w:hAnsi="仿宋" w:eastAsia="仿宋"/>
          <w:sz w:val="32"/>
          <w:szCs w:val="32"/>
        </w:rPr>
        <w:t>100</w:t>
      </w:r>
      <w:r>
        <w:rPr>
          <w:rFonts w:ascii="仿宋" w:hAnsi="仿宋" w:eastAsia="仿宋"/>
          <w:sz w:val="32"/>
          <w:szCs w:val="32"/>
        </w:rPr>
        <w:t>%。总体绩效目标完</w:t>
      </w:r>
      <w:r>
        <w:rPr>
          <w:rFonts w:hint="eastAsia" w:ascii="仿宋" w:hAnsi="仿宋" w:eastAsia="仿宋"/>
          <w:sz w:val="32"/>
          <w:szCs w:val="32"/>
        </w:rPr>
        <w:t>77.56</w:t>
      </w:r>
      <w:r>
        <w:rPr>
          <w:rFonts w:ascii="仿宋" w:hAnsi="仿宋" w:eastAsia="仿宋"/>
          <w:sz w:val="32"/>
          <w:szCs w:val="32"/>
        </w:rPr>
        <w:t>%，绩效目标实际执行现状与年度绩效目标</w:t>
      </w:r>
      <w:r>
        <w:rPr>
          <w:rFonts w:hint="eastAsia" w:ascii="仿宋" w:hAnsi="仿宋" w:eastAsia="仿宋"/>
          <w:sz w:val="32"/>
          <w:szCs w:val="32"/>
        </w:rPr>
        <w:t>不</w:t>
      </w:r>
      <w:r>
        <w:rPr>
          <w:rFonts w:ascii="仿宋" w:hAnsi="仿宋" w:eastAsia="仿宋"/>
          <w:sz w:val="32"/>
          <w:szCs w:val="32"/>
        </w:rPr>
        <w:t>存在偏差。较好的保证了机关各项工作正常开展及绩效目标的完成。</w:t>
      </w:r>
    </w:p>
    <w:p>
      <w:pPr>
        <w:widowControl/>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2. 部门决算中项目绩效自评结果。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行政运行化债支出、严重精神障碍患者监护人责任险、人大代表之家工作经费、人大代表之家工作经费、党建工作经费、团委工作经费、扶贫工作专项经费、村级组织运转经费-服务群众专项经费、村级组织运转经费—村干部基础职务补贴、村级组织运转经费—村级组织办公经费、燃煤锅炉改造及清洁能源补贴、纪委保障机制经费、纪委谈话室建设资金、综治工作经费、等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各项目自评表如下：</w:t>
      </w:r>
    </w:p>
    <w:tbl>
      <w:tblPr>
        <w:tblStyle w:val="8"/>
        <w:tblW w:w="9420" w:type="dxa"/>
        <w:tblInd w:w="93" w:type="dxa"/>
        <w:tblLayout w:type="fixed"/>
        <w:tblCellMar>
          <w:top w:w="0" w:type="dxa"/>
          <w:left w:w="108" w:type="dxa"/>
          <w:bottom w:w="0" w:type="dxa"/>
          <w:right w:w="108" w:type="dxa"/>
        </w:tblCellMar>
      </w:tblPr>
      <w:tblGrid>
        <w:gridCol w:w="1220"/>
        <w:gridCol w:w="1080"/>
        <w:gridCol w:w="1080"/>
        <w:gridCol w:w="1240"/>
        <w:gridCol w:w="1400"/>
        <w:gridCol w:w="980"/>
        <w:gridCol w:w="940"/>
        <w:gridCol w:w="1480"/>
      </w:tblGrid>
      <w:tr>
        <w:tblPrEx>
          <w:tblCellMar>
            <w:top w:w="0" w:type="dxa"/>
            <w:left w:w="108" w:type="dxa"/>
            <w:bottom w:w="0" w:type="dxa"/>
            <w:right w:w="108" w:type="dxa"/>
          </w:tblCellMar>
        </w:tblPrEx>
        <w:trPr>
          <w:trHeight w:val="510" w:hRule="atLeast"/>
        </w:trPr>
        <w:tc>
          <w:tcPr>
            <w:tcW w:w="942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942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0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9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9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三星口乡行政运行化债支出（非专项资金）</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19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9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4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9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按时足足额化解部分政府债务，确保社会稳定，防止债务风险。</w:t>
            </w:r>
          </w:p>
        </w:tc>
        <w:tc>
          <w:tcPr>
            <w:tcW w:w="3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已经按时足足额化解部分政府债务，确保了社会稳定，在一定程度上防止了债务风险。</w:t>
            </w:r>
          </w:p>
        </w:tc>
        <w:tc>
          <w:tcPr>
            <w:tcW w:w="14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5"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债务偿还率</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债务偿还工作完成率</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25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债务纠纷发生次数</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=5</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0</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30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&gt;=85%</w:t>
            </w:r>
          </w:p>
        </w:tc>
        <w:tc>
          <w:tcPr>
            <w:tcW w:w="940" w:type="dxa"/>
            <w:tcBorders>
              <w:top w:val="nil"/>
              <w:left w:val="nil"/>
              <w:bottom w:val="nil"/>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9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4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94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2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0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9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9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4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ind w:firstLine="640" w:firstLineChars="200"/>
        <w:rPr>
          <w:rFonts w:ascii="仿宋" w:hAnsi="仿宋" w:eastAsia="仿宋" w:cs="仿宋_GB2312"/>
          <w:sz w:val="32"/>
          <w:szCs w:val="32"/>
        </w:rPr>
      </w:pPr>
    </w:p>
    <w:tbl>
      <w:tblPr>
        <w:tblStyle w:val="8"/>
        <w:tblW w:w="10280" w:type="dxa"/>
        <w:tblInd w:w="93" w:type="dxa"/>
        <w:tblLayout w:type="fixed"/>
        <w:tblCellMar>
          <w:top w:w="0" w:type="dxa"/>
          <w:left w:w="108" w:type="dxa"/>
          <w:bottom w:w="0" w:type="dxa"/>
          <w:right w:w="108" w:type="dxa"/>
        </w:tblCellMar>
      </w:tblPr>
      <w:tblGrid>
        <w:gridCol w:w="1220"/>
        <w:gridCol w:w="1080"/>
        <w:gridCol w:w="1080"/>
        <w:gridCol w:w="1240"/>
        <w:gridCol w:w="1420"/>
        <w:gridCol w:w="1080"/>
        <w:gridCol w:w="1080"/>
        <w:gridCol w:w="2080"/>
      </w:tblGrid>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严重精神障碍患者监护人责任险（非专项资金）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0.76</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0.76</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0.76</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0.76</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0.76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0.76</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做好严重精神障碍患者管控工作是防范公共安全风险人重要内容，为严重精神障碍患者监护人办理相关保险业，预防一旦发生严重精神障碍患者伤及人身、损坏财物事件生，通过政府出资投保的方式，通过保险理赔，减少监护人损失、增强监护人、当事人社会保障，从而化解事后风险。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尚未发生严重精神病障碍患者伤人事件，未发保险理赔赔偿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147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享受保险人数(人)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=76人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参保率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责任险报销及时率（%）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被保险人满意度（%）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30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公众安全感指数(%)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&gt;=85%</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tbl>
      <w:tblPr>
        <w:tblStyle w:val="8"/>
        <w:tblpPr w:leftFromText="180" w:rightFromText="180" w:vertAnchor="text" w:horzAnchor="margin" w:tblpY="-5621"/>
        <w:tblW w:w="10280" w:type="dxa"/>
        <w:tblInd w:w="0" w:type="dxa"/>
        <w:tblLayout w:type="fixed"/>
        <w:tblCellMar>
          <w:top w:w="0" w:type="dxa"/>
          <w:left w:w="108" w:type="dxa"/>
          <w:bottom w:w="0" w:type="dxa"/>
          <w:right w:w="108" w:type="dxa"/>
        </w:tblCellMar>
      </w:tblPr>
      <w:tblGrid>
        <w:gridCol w:w="1220"/>
        <w:gridCol w:w="1080"/>
        <w:gridCol w:w="1080"/>
        <w:gridCol w:w="1240"/>
        <w:gridCol w:w="1420"/>
        <w:gridCol w:w="1080"/>
        <w:gridCol w:w="1080"/>
        <w:gridCol w:w="2080"/>
      </w:tblGrid>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640"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人大代表之家工作经费（非专项资金）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保障法规有效实施；发挥常委及代表的桥梁纽带作用，集中反映民意，促进依法履职。  </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人大代表及时进行了依法监督履职，及时足额保障人大代表团工作经费。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5"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代表参加活动或培训覆盖率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完成调研报告数量</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&gt;=5篇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意见建议采纳率（%）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&gt;=70%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30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群众满意度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ind w:firstLine="640" w:firstLineChars="200"/>
        <w:rPr>
          <w:rFonts w:ascii="仿宋" w:hAnsi="仿宋" w:eastAsia="仿宋" w:cs="仿宋_GB2312"/>
          <w:sz w:val="32"/>
          <w:szCs w:val="32"/>
        </w:rPr>
      </w:pPr>
    </w:p>
    <w:p>
      <w:pPr>
        <w:adjustRightInd w:val="0"/>
        <w:snapToGrid w:val="0"/>
        <w:spacing w:line="580" w:lineRule="exact"/>
        <w:ind w:firstLine="640" w:firstLineChars="200"/>
        <w:rPr>
          <w:rFonts w:ascii="仿宋" w:hAnsi="仿宋" w:eastAsia="仿宋" w:cs="仿宋_GB2312"/>
          <w:sz w:val="32"/>
          <w:szCs w:val="32"/>
        </w:rPr>
      </w:pPr>
    </w:p>
    <w:p>
      <w:pPr>
        <w:adjustRightInd w:val="0"/>
        <w:snapToGrid w:val="0"/>
        <w:spacing w:line="580" w:lineRule="exact"/>
        <w:ind w:firstLine="640" w:firstLineChars="200"/>
        <w:rPr>
          <w:rFonts w:ascii="仿宋" w:hAnsi="仿宋" w:eastAsia="仿宋" w:cs="仿宋_GB2312"/>
          <w:sz w:val="32"/>
          <w:szCs w:val="32"/>
        </w:rPr>
      </w:pPr>
    </w:p>
    <w:p>
      <w:pPr>
        <w:adjustRightInd w:val="0"/>
        <w:snapToGrid w:val="0"/>
        <w:spacing w:line="580" w:lineRule="exact"/>
        <w:ind w:firstLine="640" w:firstLineChars="200"/>
        <w:rPr>
          <w:rFonts w:ascii="仿宋" w:hAnsi="仿宋" w:eastAsia="仿宋" w:cs="仿宋_GB2312"/>
          <w:sz w:val="32"/>
          <w:szCs w:val="32"/>
        </w:rPr>
      </w:pPr>
    </w:p>
    <w:p>
      <w:pPr>
        <w:adjustRightInd w:val="0"/>
        <w:snapToGrid w:val="0"/>
        <w:spacing w:line="580" w:lineRule="exact"/>
        <w:ind w:firstLine="640" w:firstLineChars="200"/>
        <w:rPr>
          <w:rFonts w:ascii="仿宋" w:hAnsi="仿宋" w:eastAsia="仿宋" w:cs="仿宋_GB2312"/>
          <w:sz w:val="32"/>
          <w:szCs w:val="32"/>
        </w:rPr>
      </w:pPr>
    </w:p>
    <w:tbl>
      <w:tblPr>
        <w:tblStyle w:val="8"/>
        <w:tblW w:w="10285" w:type="dxa"/>
        <w:tblInd w:w="93" w:type="dxa"/>
        <w:tblLayout w:type="fixed"/>
        <w:tblCellMar>
          <w:top w:w="0" w:type="dxa"/>
          <w:left w:w="108" w:type="dxa"/>
          <w:bottom w:w="0" w:type="dxa"/>
          <w:right w:w="108" w:type="dxa"/>
        </w:tblCellMar>
      </w:tblPr>
      <w:tblGrid>
        <w:gridCol w:w="1152"/>
        <w:gridCol w:w="68"/>
        <w:gridCol w:w="825"/>
        <w:gridCol w:w="255"/>
        <w:gridCol w:w="242"/>
        <w:gridCol w:w="838"/>
        <w:gridCol w:w="1240"/>
        <w:gridCol w:w="1420"/>
        <w:gridCol w:w="132"/>
        <w:gridCol w:w="704"/>
        <w:gridCol w:w="244"/>
        <w:gridCol w:w="537"/>
        <w:gridCol w:w="543"/>
        <w:gridCol w:w="537"/>
        <w:gridCol w:w="1548"/>
      </w:tblGrid>
      <w:tr>
        <w:tblPrEx>
          <w:tblCellMar>
            <w:top w:w="0" w:type="dxa"/>
            <w:left w:w="108" w:type="dxa"/>
            <w:bottom w:w="0" w:type="dxa"/>
            <w:right w:w="108" w:type="dxa"/>
          </w:tblCellMar>
        </w:tblPrEx>
        <w:trPr>
          <w:trHeight w:val="510" w:hRule="atLeast"/>
        </w:trPr>
        <w:tc>
          <w:tcPr>
            <w:tcW w:w="10285" w:type="dxa"/>
            <w:gridSpan w:val="1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5" w:type="dxa"/>
            <w:gridSpan w:val="15"/>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7"/>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5"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党建工作经费（非专项资金）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208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208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加强党组织建设和党员管理,不断提高执政能力和领导水平 。  </w:t>
            </w:r>
          </w:p>
        </w:tc>
        <w:tc>
          <w:tcPr>
            <w:tcW w:w="358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及时为党的建设工作提供了财力保障。</w:t>
            </w:r>
          </w:p>
        </w:tc>
        <w:tc>
          <w:tcPr>
            <w:tcW w:w="208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5" w:hRule="atLeast"/>
        </w:trPr>
        <w:tc>
          <w:tcPr>
            <w:tcW w:w="122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gridSpan w:val="2"/>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组织宣传活动次数（次）</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&gt;=10次</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0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70"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舆情信息数量（条）</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&gt;=100条</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20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85"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报刊杂志续订率（%）</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15 </w:t>
            </w:r>
          </w:p>
        </w:tc>
      </w:tr>
      <w:tr>
        <w:tblPrEx>
          <w:tblCellMar>
            <w:top w:w="0" w:type="dxa"/>
            <w:left w:w="108" w:type="dxa"/>
            <w:bottom w:w="0" w:type="dxa"/>
            <w:right w:w="108" w:type="dxa"/>
          </w:tblCellMar>
        </w:tblPrEx>
        <w:trPr>
          <w:trHeight w:val="270"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受训学员满意度（%）</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15 </w:t>
            </w:r>
          </w:p>
        </w:tc>
      </w:tr>
      <w:tr>
        <w:tblPrEx>
          <w:tblCellMar>
            <w:top w:w="0" w:type="dxa"/>
            <w:left w:w="108" w:type="dxa"/>
            <w:bottom w:w="0" w:type="dxa"/>
            <w:right w:w="108" w:type="dxa"/>
          </w:tblCellMar>
        </w:tblPrEx>
        <w:trPr>
          <w:trHeight w:val="285"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群众满意度</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gridSpan w:val="3"/>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gridSpan w:val="2"/>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5" w:type="dxa"/>
            <w:gridSpan w:val="2"/>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5" w:type="dxa"/>
            <w:gridSpan w:val="2"/>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735" w:hRule="atLeast"/>
        </w:trPr>
        <w:tc>
          <w:tcPr>
            <w:tcW w:w="122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5"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5"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r>
        <w:tblPrEx>
          <w:tblCellMar>
            <w:top w:w="0" w:type="dxa"/>
            <w:left w:w="108" w:type="dxa"/>
            <w:bottom w:w="0" w:type="dxa"/>
            <w:right w:w="108" w:type="dxa"/>
          </w:tblCellMar>
        </w:tblPrEx>
        <w:trPr>
          <w:trHeight w:val="510" w:hRule="atLeast"/>
        </w:trPr>
        <w:tc>
          <w:tcPr>
            <w:tcW w:w="10285" w:type="dxa"/>
            <w:gridSpan w:val="1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5" w:type="dxa"/>
            <w:gridSpan w:val="15"/>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6172"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704"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781"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548"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52"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89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412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团委工作经费（非专项资金）</w:t>
            </w:r>
          </w:p>
        </w:tc>
        <w:tc>
          <w:tcPr>
            <w:tcW w:w="70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0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139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433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186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5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89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49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3630"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7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7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5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8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49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36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7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78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8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49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363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7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8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5020"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256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5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502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加强网络和新媒体正面宣传，用核心价值观引领青年，协助县政府教育部门做好中、小学学生的教育管理工作.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25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团委开展各项团组织活动，保障乡团委日常办公经费需要。</w:t>
            </w:r>
          </w:p>
        </w:tc>
        <w:tc>
          <w:tcPr>
            <w:tcW w:w="15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502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5" w:hRule="atLeast"/>
        </w:trPr>
        <w:tc>
          <w:tcPr>
            <w:tcW w:w="11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502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52"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89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4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433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7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5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49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3630" w:type="dxa"/>
            <w:gridSpan w:val="4"/>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县青联委员、学联代表参加活动或培训覆盖率</w:t>
            </w:r>
          </w:p>
        </w:tc>
        <w:tc>
          <w:tcPr>
            <w:tcW w:w="70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70"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49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630" w:type="dxa"/>
            <w:gridSpan w:val="4"/>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团组织发展情况</w:t>
            </w:r>
          </w:p>
        </w:tc>
        <w:tc>
          <w:tcPr>
            <w:tcW w:w="70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85"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49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334" w:type="dxa"/>
            <w:gridSpan w:val="5"/>
            <w:tcBorders>
              <w:top w:val="single" w:color="auto" w:sz="4" w:space="0"/>
              <w:left w:val="nil"/>
              <w:bottom w:val="single" w:color="auto" w:sz="4" w:space="0"/>
              <w:right w:val="single" w:color="000000" w:sz="4" w:space="0"/>
            </w:tcBorders>
            <w:shd w:val="clear" w:color="auto" w:fill="auto"/>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5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49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433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未成年思想道德建设宣传情况</w:t>
            </w:r>
          </w:p>
        </w:tc>
        <w:tc>
          <w:tcPr>
            <w:tcW w:w="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30 </w:t>
            </w:r>
          </w:p>
        </w:tc>
      </w:tr>
      <w:tr>
        <w:tblPrEx>
          <w:tblCellMar>
            <w:top w:w="0" w:type="dxa"/>
            <w:left w:w="108" w:type="dxa"/>
            <w:bottom w:w="0" w:type="dxa"/>
            <w:right w:w="108" w:type="dxa"/>
          </w:tblCellMar>
        </w:tblPrEx>
        <w:trPr>
          <w:trHeight w:val="270"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49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33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49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334"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5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49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433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群众满意度</w:t>
            </w:r>
          </w:p>
        </w:tc>
        <w:tc>
          <w:tcPr>
            <w:tcW w:w="78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9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33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8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5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9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334" w:type="dxa"/>
            <w:gridSpan w:val="5"/>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81" w:type="dxa"/>
            <w:gridSpan w:val="2"/>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gridSpan w:val="2"/>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548"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8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433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1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7585"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735" w:hRule="atLeast"/>
        </w:trPr>
        <w:tc>
          <w:tcPr>
            <w:tcW w:w="115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133"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152"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893"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497"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3630" w:type="dxa"/>
            <w:gridSpan w:val="4"/>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704"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781"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548"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rPr>
          <w:rFonts w:ascii="仿宋" w:hAnsi="仿宋" w:eastAsia="仿宋" w:cs="仿宋_GB2312"/>
          <w:sz w:val="32"/>
          <w:szCs w:val="32"/>
        </w:rPr>
      </w:pPr>
    </w:p>
    <w:tbl>
      <w:tblPr>
        <w:tblStyle w:val="8"/>
        <w:tblW w:w="10280" w:type="dxa"/>
        <w:tblInd w:w="93" w:type="dxa"/>
        <w:tblLayout w:type="fixed"/>
        <w:tblCellMar>
          <w:top w:w="0" w:type="dxa"/>
          <w:left w:w="108" w:type="dxa"/>
          <w:bottom w:w="0" w:type="dxa"/>
          <w:right w:w="108" w:type="dxa"/>
        </w:tblCellMar>
      </w:tblPr>
      <w:tblGrid>
        <w:gridCol w:w="1220"/>
        <w:gridCol w:w="1080"/>
        <w:gridCol w:w="1080"/>
        <w:gridCol w:w="1240"/>
        <w:gridCol w:w="1420"/>
        <w:gridCol w:w="1080"/>
        <w:gridCol w:w="1080"/>
        <w:gridCol w:w="2080"/>
      </w:tblGrid>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扶贫工作专项经费（非专项资金）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脱贫攻坚圆满完成，所有贫困户实现脱贫，扶贫资金报账手续、程序管理规范化，扶贫产业资金及时足额落实到位。</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贫困户已脱贫，扶贫资金报</w:t>
            </w:r>
            <w:r>
              <w:rPr>
                <w:rFonts w:hint="eastAsia" w:ascii="宋体" w:hAnsi="宋体" w:eastAsia="宋体" w:cs="宋体"/>
                <w:color w:val="000000"/>
                <w:kern w:val="0"/>
                <w:sz w:val="16"/>
                <w:szCs w:val="16"/>
                <w:lang w:eastAsia="zh-CN"/>
              </w:rPr>
              <w:t>账</w:t>
            </w:r>
            <w:r>
              <w:rPr>
                <w:rFonts w:hint="eastAsia" w:ascii="宋体" w:hAnsi="宋体" w:eastAsia="宋体" w:cs="宋体"/>
                <w:color w:val="000000"/>
                <w:kern w:val="0"/>
                <w:sz w:val="16"/>
                <w:szCs w:val="16"/>
              </w:rPr>
              <w:t>及时到位经费需要。</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5"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脱贫人口比率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脱贫工作完成率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20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各级抽查及自查结果</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拨付比例</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15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完成百分比</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15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&gt;=85%</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90</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村级组织运转经费-服务群众专项经费（非专项资金）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22</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22</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完善农村综合改革，保障村级行政运行经费、村干部工资、村级育龄小组长工资及时足额到位。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保障村级行政运行经费、村干部工资、村级育龄小组长工资及时足额到位。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900"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村务公开完成率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&gt;=70%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25.00</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村公共设施完好率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25.00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村务信访稳定上访数量</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&lt;=2件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30.00</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群众满意度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50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95</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村级组织运转经费—村干部基础职务补贴（非专项资金）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67.5</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67.5</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84</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67.5</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67.5</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完善农村综合改革，保障村级行政运行经费、村干部工资、村级育龄小组长工资及时足额到位。 </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及时足额保障村干部工资发放</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900"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年终镇政府对村级工作考核分数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扶持村集体发展资金拨付完成率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村务公开完成率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资金到位率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30.00</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村干部满意度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84</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99</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ind w:firstLine="640" w:firstLineChars="200"/>
        <w:rPr>
          <w:rFonts w:ascii="仿宋" w:hAnsi="仿宋" w:eastAsia="仿宋" w:cs="仿宋_GB2312"/>
          <w:sz w:val="32"/>
          <w:szCs w:val="32"/>
        </w:rPr>
      </w:pPr>
    </w:p>
    <w:tbl>
      <w:tblPr>
        <w:tblStyle w:val="8"/>
        <w:tblW w:w="10280" w:type="dxa"/>
        <w:tblInd w:w="93" w:type="dxa"/>
        <w:tblLayout w:type="fixed"/>
        <w:tblCellMar>
          <w:top w:w="0" w:type="dxa"/>
          <w:left w:w="108" w:type="dxa"/>
          <w:bottom w:w="0" w:type="dxa"/>
          <w:right w:w="108" w:type="dxa"/>
        </w:tblCellMar>
      </w:tblPr>
      <w:tblGrid>
        <w:gridCol w:w="1220"/>
        <w:gridCol w:w="1080"/>
        <w:gridCol w:w="1080"/>
        <w:gridCol w:w="1240"/>
        <w:gridCol w:w="1420"/>
        <w:gridCol w:w="1080"/>
        <w:gridCol w:w="1080"/>
        <w:gridCol w:w="2080"/>
      </w:tblGrid>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村级组织运转经费—村级组织办公经费（非专项资金）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村级积极认真落实镇政府各项工作安排和部署，保证党的政策落实到位。</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该项目预算执行较好，确保了村级工作正常开展。</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900"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年终镇政府对村级工作考核分数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村务公开完成率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扶持村集体发展资金拨付完成率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资金到位率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30.00</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村委会正常运转率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50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95</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ind w:firstLine="640" w:firstLineChars="200"/>
        <w:rPr>
          <w:rFonts w:ascii="仿宋" w:hAnsi="仿宋" w:eastAsia="仿宋" w:cs="仿宋_GB2312"/>
          <w:sz w:val="32"/>
          <w:szCs w:val="32"/>
        </w:rPr>
      </w:pPr>
    </w:p>
    <w:tbl>
      <w:tblPr>
        <w:tblStyle w:val="8"/>
        <w:tblW w:w="10280" w:type="dxa"/>
        <w:tblInd w:w="93" w:type="dxa"/>
        <w:tblLayout w:type="fixed"/>
        <w:tblCellMar>
          <w:top w:w="0" w:type="dxa"/>
          <w:left w:w="108" w:type="dxa"/>
          <w:bottom w:w="0" w:type="dxa"/>
          <w:right w:w="108" w:type="dxa"/>
        </w:tblCellMar>
      </w:tblPr>
      <w:tblGrid>
        <w:gridCol w:w="1220"/>
        <w:gridCol w:w="1080"/>
        <w:gridCol w:w="1080"/>
        <w:gridCol w:w="1240"/>
        <w:gridCol w:w="1420"/>
        <w:gridCol w:w="1080"/>
        <w:gridCol w:w="1080"/>
        <w:gridCol w:w="2080"/>
      </w:tblGrid>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燃煤锅炉改造及清洁能源补贴（非专项资金）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修缮节能锅炉，利用燃烧清洁能源，污染物排放标准达标。 </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已完成修缮节能锅炉，利用燃烧清洁能源，污染物排放标准已达标。</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5"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二氧化硫削排放减率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&gt;=50%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细颗粒物排放削减率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nil"/>
              <w:right w:val="single" w:color="000000" w:sz="4" w:space="0"/>
            </w:tcBorders>
            <w:shd w:val="clear" w:color="auto" w:fill="auto"/>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全年空气优良天数增长率（%）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&gt;=50%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30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公众满意度（%）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纪委保障机制经费（非专项资金）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三星口乡纪委工作运行经费，确保纪委工作正常开展运行，提高我乡党风廉政建设水平。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按时完成县委部署，常态化监督全覆盖。足额保障纪委工作经费。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5"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纪检监察干部业务培训率。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监督检查覆盖率（%）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20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案件办结率（%）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挽回经济损失（万元)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&gt;=5万元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30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群众满意度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2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ind w:firstLine="640" w:firstLineChars="200"/>
        <w:rPr>
          <w:rFonts w:ascii="仿宋" w:hAnsi="仿宋" w:eastAsia="仿宋" w:cs="仿宋_GB2312"/>
          <w:sz w:val="32"/>
          <w:szCs w:val="32"/>
        </w:rPr>
      </w:pPr>
    </w:p>
    <w:tbl>
      <w:tblPr>
        <w:tblStyle w:val="8"/>
        <w:tblW w:w="9850" w:type="dxa"/>
        <w:tblInd w:w="93" w:type="dxa"/>
        <w:tblLayout w:type="fixed"/>
        <w:tblCellMar>
          <w:top w:w="0" w:type="dxa"/>
          <w:left w:w="108" w:type="dxa"/>
          <w:bottom w:w="0" w:type="dxa"/>
          <w:right w:w="108" w:type="dxa"/>
        </w:tblCellMar>
      </w:tblPr>
      <w:tblGrid>
        <w:gridCol w:w="1220"/>
        <w:gridCol w:w="1080"/>
        <w:gridCol w:w="1080"/>
        <w:gridCol w:w="1357"/>
        <w:gridCol w:w="1553"/>
        <w:gridCol w:w="1080"/>
        <w:gridCol w:w="1080"/>
        <w:gridCol w:w="1400"/>
      </w:tblGrid>
      <w:tr>
        <w:tblPrEx>
          <w:tblCellMar>
            <w:top w:w="0" w:type="dxa"/>
            <w:left w:w="108" w:type="dxa"/>
            <w:bottom w:w="0" w:type="dxa"/>
            <w:right w:w="108" w:type="dxa"/>
          </w:tblCellMar>
        </w:tblPrEx>
        <w:trPr>
          <w:trHeight w:val="510" w:hRule="atLeast"/>
        </w:trPr>
        <w:tc>
          <w:tcPr>
            <w:tcW w:w="985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985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737"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55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0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43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纪委谈话室建设资金（非专项资金）</w:t>
            </w:r>
          </w:p>
        </w:tc>
        <w:tc>
          <w:tcPr>
            <w:tcW w:w="155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5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9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3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4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3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4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3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5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5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71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三星口乡纪委工作运行经费，确保纪委工作正常开展运行，提高我乡党风廉政建设水平。  </w:t>
            </w:r>
          </w:p>
        </w:tc>
        <w:tc>
          <w:tcPr>
            <w:tcW w:w="37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按时完成县委部署，常态化监督全覆盖。足额保障纪委工作经费。</w:t>
            </w:r>
          </w:p>
        </w:tc>
        <w:tc>
          <w:tcPr>
            <w:tcW w:w="14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71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4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5"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71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4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9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工作完成率</w:t>
            </w:r>
          </w:p>
        </w:tc>
        <w:tc>
          <w:tcPr>
            <w:tcW w:w="10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91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工程验收合格率（%）</w:t>
            </w:r>
          </w:p>
        </w:tc>
        <w:tc>
          <w:tcPr>
            <w:tcW w:w="1080" w:type="dxa"/>
            <w:tcBorders>
              <w:top w:val="nil"/>
              <w:left w:val="nil"/>
              <w:bottom w:val="nil"/>
              <w:right w:val="nil"/>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25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9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910" w:type="dxa"/>
            <w:gridSpan w:val="2"/>
            <w:tcBorders>
              <w:top w:val="nil"/>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0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廉政建设及微腐败治理工作考核分数</w:t>
            </w:r>
          </w:p>
        </w:tc>
        <w:tc>
          <w:tcPr>
            <w:tcW w:w="108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≧95分</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30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91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群众满意度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91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91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0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9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72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63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357"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55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40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ind w:firstLine="640" w:firstLineChars="200"/>
        <w:rPr>
          <w:rFonts w:ascii="仿宋" w:hAnsi="仿宋" w:eastAsia="仿宋" w:cs="仿宋_GB2312"/>
          <w:sz w:val="32"/>
          <w:szCs w:val="32"/>
        </w:rPr>
      </w:pPr>
    </w:p>
    <w:tbl>
      <w:tblPr>
        <w:tblStyle w:val="8"/>
        <w:tblW w:w="9500" w:type="dxa"/>
        <w:tblInd w:w="93" w:type="dxa"/>
        <w:tblLayout w:type="fixed"/>
        <w:tblCellMar>
          <w:top w:w="0" w:type="dxa"/>
          <w:left w:w="108" w:type="dxa"/>
          <w:bottom w:w="0" w:type="dxa"/>
          <w:right w:w="108" w:type="dxa"/>
        </w:tblCellMar>
      </w:tblPr>
      <w:tblGrid>
        <w:gridCol w:w="1220"/>
        <w:gridCol w:w="1080"/>
        <w:gridCol w:w="1080"/>
        <w:gridCol w:w="1240"/>
        <w:gridCol w:w="1420"/>
        <w:gridCol w:w="1080"/>
        <w:gridCol w:w="1080"/>
        <w:gridCol w:w="1300"/>
      </w:tblGrid>
      <w:tr>
        <w:tblPrEx>
          <w:tblCellMar>
            <w:top w:w="0" w:type="dxa"/>
            <w:left w:w="108" w:type="dxa"/>
            <w:bottom w:w="0" w:type="dxa"/>
            <w:right w:w="108" w:type="dxa"/>
          </w:tblCellMar>
        </w:tblPrEx>
        <w:trPr>
          <w:trHeight w:val="510" w:hRule="atLeast"/>
        </w:trPr>
        <w:tc>
          <w:tcPr>
            <w:tcW w:w="950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950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综治工作经费（非专项资金）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宋体"/>
                <w:color w:val="000000"/>
                <w:kern w:val="0"/>
                <w:szCs w:val="21"/>
              </w:rPr>
            </w:pPr>
            <w:r>
              <w:rPr>
                <w:rFonts w:ascii="Calibri" w:hAnsi="Calibri" w:eastAsia="宋体" w:cs="宋体"/>
                <w:color w:val="000000"/>
                <w:kern w:val="0"/>
                <w:szCs w:val="21"/>
              </w:rPr>
              <w:t>0</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对越级访、集体访、进京访的情况清楚、动向明确、处理及时、方式妥当；通过资金、帮扶等方式解决信访人家庭生活困难问题，有效与信访人沟通交流，化解不稳定因素。落实网格化管理机制，发挥小组长职责，落实领导接访制度。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全乡无越级上访、集体访、进京访情况，全乡安全稳定。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900"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接访处理及时性（天）</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=20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50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发生非访次数（次）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30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30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90</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预算尚未执行，加快经费执行。绩效目标实际执行现状与年度绩效目标不存在偏差。</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30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ind w:firstLine="640" w:firstLineChars="200"/>
        <w:rPr>
          <w:rFonts w:ascii="仿宋" w:hAnsi="仿宋" w:eastAsia="仿宋" w:cs="仿宋_GB2312"/>
          <w:sz w:val="32"/>
          <w:szCs w:val="32"/>
        </w:rPr>
      </w:pPr>
    </w:p>
    <w:tbl>
      <w:tblPr>
        <w:tblStyle w:val="8"/>
        <w:tblW w:w="9620" w:type="dxa"/>
        <w:tblInd w:w="93" w:type="dxa"/>
        <w:tblLayout w:type="fixed"/>
        <w:tblCellMar>
          <w:top w:w="0" w:type="dxa"/>
          <w:left w:w="108" w:type="dxa"/>
          <w:bottom w:w="0" w:type="dxa"/>
          <w:right w:w="108" w:type="dxa"/>
        </w:tblCellMar>
      </w:tblPr>
      <w:tblGrid>
        <w:gridCol w:w="1220"/>
        <w:gridCol w:w="1080"/>
        <w:gridCol w:w="1080"/>
        <w:gridCol w:w="1240"/>
        <w:gridCol w:w="1420"/>
        <w:gridCol w:w="1080"/>
        <w:gridCol w:w="1080"/>
        <w:gridCol w:w="1420"/>
      </w:tblGrid>
      <w:tr>
        <w:tblPrEx>
          <w:tblCellMar>
            <w:top w:w="0" w:type="dxa"/>
            <w:left w:w="108" w:type="dxa"/>
            <w:bottom w:w="0" w:type="dxa"/>
            <w:right w:w="108" w:type="dxa"/>
          </w:tblCellMar>
        </w:tblPrEx>
        <w:trPr>
          <w:trHeight w:val="510" w:hRule="atLeast"/>
        </w:trPr>
        <w:tc>
          <w:tcPr>
            <w:tcW w:w="962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9620" w:type="dxa"/>
            <w:gridSpan w:val="8"/>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462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填报单位（盖章）：青龙满族自治县三星口乡人民政府</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防火防汛工作经费（非专项资金）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青龙满族自治县三星口乡人民政府</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14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1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组织护林防火、生态公益林管护及野生动植物、森林、湿地资源及农业环境的保护；汛期防汛工作的正常开展，严防发生重大洪水灾害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已完成春季护防火任务，未发生森林火灾。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  </w:t>
            </w:r>
          </w:p>
        </w:tc>
        <w:tc>
          <w:tcPr>
            <w:tcW w:w="14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900"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0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日常巡查次数(次)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&gt;=2次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日常巡查覆盖率(％)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25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重点污染物降低率（%）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火灾案件查处率（%）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水情报汛准确率（%）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公众满意度（%）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42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预算资金支出占预算安排数（%）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&gt;=90%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10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xml:space="preserve">100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4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不存在任何问题。</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杨卫晖</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0335-7757004</w:t>
            </w:r>
          </w:p>
        </w:tc>
      </w:tr>
    </w:tbl>
    <w:p>
      <w:pPr>
        <w:adjustRightInd w:val="0"/>
        <w:snapToGrid w:val="0"/>
        <w:spacing w:line="580" w:lineRule="exact"/>
        <w:ind w:firstLine="640" w:firstLineChars="200"/>
        <w:rPr>
          <w:rFonts w:ascii="仿宋" w:hAnsi="仿宋" w:eastAsia="仿宋" w:cs="仿宋_GB2312"/>
          <w:sz w:val="32"/>
          <w:szCs w:val="32"/>
        </w:rPr>
      </w:pPr>
    </w:p>
    <w:p>
      <w:pPr>
        <w:adjustRightInd w:val="0"/>
        <w:snapToGrid w:val="0"/>
        <w:spacing w:line="580" w:lineRule="exact"/>
        <w:ind w:firstLine="640" w:firstLineChars="200"/>
        <w:rPr>
          <w:rFonts w:ascii="仿宋" w:hAnsi="仿宋" w:eastAsia="仿宋" w:cs="仿宋_GB2312"/>
          <w:sz w:val="32"/>
          <w:szCs w:val="32"/>
        </w:rPr>
      </w:pPr>
    </w:p>
    <w:p>
      <w:pPr>
        <w:keepNext/>
        <w:keepLines/>
        <w:snapToGrid w:val="0"/>
        <w:spacing w:line="580" w:lineRule="exact"/>
        <w:ind w:firstLine="640" w:firstLineChars="200"/>
        <w:outlineLvl w:val="1"/>
        <w:rPr>
          <w:rFonts w:ascii="仿宋" w:hAnsi="仿宋" w:eastAsia="仿宋" w:cs="Times New Roman"/>
          <w:sz w:val="32"/>
          <w:szCs w:val="32"/>
        </w:rPr>
      </w:pPr>
      <w:r>
        <w:rPr>
          <w:rFonts w:hint="eastAsia" w:ascii="仿宋" w:hAnsi="仿宋" w:eastAsia="仿宋" w:cs="Times New Roman"/>
          <w:sz w:val="32"/>
          <w:szCs w:val="32"/>
        </w:rPr>
        <w:t>七、其他重要事项的说明</w:t>
      </w:r>
    </w:p>
    <w:p>
      <w:pPr>
        <w:keepNext/>
        <w:keepLines/>
        <w:snapToGrid w:val="0"/>
        <w:spacing w:line="580" w:lineRule="exact"/>
        <w:ind w:firstLine="643" w:firstLineChars="200"/>
        <w:outlineLvl w:val="2"/>
        <w:rPr>
          <w:rFonts w:ascii="仿宋" w:hAnsi="仿宋" w:eastAsia="仿宋" w:cs="DengXian-Bold"/>
          <w:b/>
          <w:bCs/>
          <w:sz w:val="32"/>
          <w:szCs w:val="32"/>
        </w:rPr>
      </w:pPr>
      <w:r>
        <w:rPr>
          <w:rFonts w:hint="eastAsia" w:ascii="仿宋" w:hAnsi="仿宋" w:eastAsia="仿宋" w:cs="DengXian-Bold"/>
          <w:b/>
          <w:bCs/>
          <w:sz w:val="32"/>
          <w:szCs w:val="32"/>
        </w:rPr>
        <w:t>（一）机关运行经费情况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本部门2019年度机关运行经费支出71.79万元，比2018年度增加38.19万元，增长113.6%。主要原因是上年末结余结转下年。</w:t>
      </w:r>
    </w:p>
    <w:p>
      <w:pPr>
        <w:keepNext/>
        <w:keepLines/>
        <w:snapToGrid w:val="0"/>
        <w:spacing w:line="580" w:lineRule="exact"/>
        <w:ind w:firstLine="643" w:firstLineChars="200"/>
        <w:outlineLvl w:val="2"/>
        <w:rPr>
          <w:rFonts w:ascii="仿宋" w:hAnsi="仿宋" w:eastAsia="仿宋" w:cs="DengXian-Bold"/>
          <w:b/>
          <w:bCs/>
          <w:sz w:val="32"/>
          <w:szCs w:val="32"/>
        </w:rPr>
      </w:pPr>
      <w:r>
        <w:rPr>
          <w:rFonts w:hint="eastAsia" w:ascii="仿宋" w:hAnsi="仿宋" w:eastAsia="仿宋" w:cs="DengXian-Bold"/>
          <w:b/>
          <w:bCs/>
          <w:sz w:val="32"/>
          <w:szCs w:val="32"/>
        </w:rPr>
        <w:t>（二）政府采购情况</w:t>
      </w:r>
    </w:p>
    <w:p>
      <w:pPr>
        <w:snapToGrid w:val="0"/>
        <w:spacing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本部门2019年度政府采购支出总额0万元，从采购类型来看，</w:t>
      </w:r>
      <w:r>
        <w:rPr>
          <w:rFonts w:ascii="仿宋" w:hAnsi="仿宋" w:eastAsia="仿宋" w:cs="仿宋_GB2312"/>
          <w:color w:val="000000"/>
          <w:kern w:val="0"/>
          <w:sz w:val="32"/>
          <w:szCs w:val="32"/>
        </w:rPr>
        <w:t>政府采购货物支出</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万元、政府采购工程支出</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 xml:space="preserve">万元、政府采购服务支出 </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万元。授予中小企业合同金</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万元，占政府采购支出总额的</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其中授予小微企业合同金额</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万元，占政府采购支出总额的</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w:t>
      </w:r>
    </w:p>
    <w:p>
      <w:pPr>
        <w:keepNext/>
        <w:keepLines/>
        <w:snapToGrid w:val="0"/>
        <w:spacing w:line="580" w:lineRule="exact"/>
        <w:ind w:firstLine="643" w:firstLineChars="200"/>
        <w:outlineLvl w:val="2"/>
        <w:rPr>
          <w:rFonts w:ascii="仿宋" w:hAnsi="仿宋" w:eastAsia="仿宋" w:cs="DengXian-Bold"/>
          <w:b/>
          <w:bCs/>
          <w:sz w:val="32"/>
          <w:szCs w:val="32"/>
        </w:rPr>
      </w:pPr>
      <w:r>
        <w:rPr>
          <w:rFonts w:hint="eastAsia" w:ascii="仿宋" w:hAnsi="仿宋" w:eastAsia="仿宋" w:cs="DengXian-Bold"/>
          <w:b/>
          <w:bCs/>
          <w:sz w:val="32"/>
          <w:szCs w:val="32"/>
        </w:rPr>
        <w:t>（三）国有资产占用情况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2019年12月31日，本部门共有车辆1辆，比上年增加0辆，主要是本部门无公务用车。其中，副部（省）级及以上领导用车0辆，主要领导干部用车0辆，机要通信用车0辆，应急保障用车1辆，执法执勤用车0辆，特种专业技术用车0辆，离退休干部用车0辆，其他用车0辆。</w:t>
      </w:r>
    </w:p>
    <w:p>
      <w:pPr>
        <w:adjustRightInd w:val="0"/>
        <w:snapToGrid w:val="0"/>
        <w:spacing w:line="580" w:lineRule="exact"/>
        <w:ind w:firstLine="640" w:firstLineChars="200"/>
        <w:rPr>
          <w:rFonts w:ascii="仿宋" w:hAnsi="仿宋" w:eastAsia="仿宋" w:cs="DengXian-Bold"/>
          <w:b/>
          <w:bCs/>
          <w:sz w:val="32"/>
          <w:szCs w:val="32"/>
        </w:rPr>
      </w:pPr>
      <w:r>
        <w:rPr>
          <w:rFonts w:hint="eastAsia" w:ascii="仿宋" w:hAnsi="仿宋" w:eastAsia="仿宋" w:cs="DengXian-Regular"/>
          <w:sz w:val="32"/>
          <w:szCs w:val="32"/>
        </w:rPr>
        <w:t>单位价值</w:t>
      </w:r>
      <w:r>
        <w:rPr>
          <w:rFonts w:hint="eastAsia" w:ascii="仿宋" w:hAnsi="仿宋" w:eastAsia="仿宋" w:cs="TimesNewRomanPSMT"/>
          <w:sz w:val="32"/>
          <w:szCs w:val="32"/>
        </w:rPr>
        <w:t>50</w:t>
      </w:r>
      <w:r>
        <w:rPr>
          <w:rFonts w:hint="eastAsia" w:ascii="仿宋" w:hAnsi="仿宋" w:eastAsia="仿宋" w:cs="DengXian-Regular"/>
          <w:sz w:val="32"/>
          <w:szCs w:val="32"/>
        </w:rPr>
        <w:t>万元以上通用设备0台（套），与上年持平，单位价值</w:t>
      </w:r>
      <w:r>
        <w:rPr>
          <w:rFonts w:hint="eastAsia" w:ascii="仿宋" w:hAnsi="仿宋" w:eastAsia="仿宋" w:cs="TimesNewRomanPSMT"/>
          <w:sz w:val="32"/>
          <w:szCs w:val="32"/>
        </w:rPr>
        <w:t>100</w:t>
      </w:r>
      <w:r>
        <w:rPr>
          <w:rFonts w:hint="eastAsia" w:ascii="仿宋" w:hAnsi="仿宋" w:eastAsia="仿宋" w:cs="DengXian-Regular"/>
          <w:sz w:val="32"/>
          <w:szCs w:val="32"/>
        </w:rPr>
        <w:t>万元以上专用设备0台（套），与上年持平。</w:t>
      </w:r>
    </w:p>
    <w:p>
      <w:pPr>
        <w:keepNext/>
        <w:keepLines/>
        <w:snapToGrid w:val="0"/>
        <w:spacing w:line="580" w:lineRule="exact"/>
        <w:ind w:firstLine="643" w:firstLineChars="200"/>
        <w:outlineLvl w:val="2"/>
        <w:rPr>
          <w:rFonts w:ascii="仿宋" w:hAnsi="仿宋" w:eastAsia="仿宋" w:cs="DengXian-Bold"/>
          <w:b/>
          <w:bCs/>
          <w:sz w:val="32"/>
          <w:szCs w:val="32"/>
        </w:rPr>
      </w:pPr>
      <w:r>
        <w:rPr>
          <w:rFonts w:hint="eastAsia" w:ascii="仿宋" w:hAnsi="仿宋" w:eastAsia="仿宋" w:cs="DengXian-Bold"/>
          <w:b/>
          <w:bCs/>
          <w:sz w:val="32"/>
          <w:szCs w:val="32"/>
        </w:rPr>
        <w:t>（四）其他需要说明的情况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 本部门2019年度政府性基金预算财政拨款、国有资本经营预算财政拨款无收支及结转结余情况，故《政府性基金预算财政拨款收入支出决算表》、《国有资本经营预算财政拨款支出决算表》以空表列示。</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仿宋" w:hAnsi="仿宋" w:eastAsia="仿宋"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仿宋" w:hAnsi="仿宋" w:eastAsia="仿宋" w:cs="黑体"/>
          <w:sz w:val="56"/>
          <w:szCs w:val="72"/>
        </w:rPr>
      </w:pPr>
    </w:p>
    <w:p>
      <w:pPr>
        <w:jc w:val="center"/>
        <w:rPr>
          <w:rFonts w:ascii="仿宋" w:hAnsi="仿宋" w:eastAsia="仿宋"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仿宋" w:hAnsi="仿宋" w:eastAsia="仿宋"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仿宋" w:hAnsi="仿宋" w:eastAsia="仿宋" w:cs="黑体"/>
          <w:sz w:val="56"/>
          <w:szCs w:val="72"/>
        </w:rPr>
        <w:br w:type="page"/>
      </w:r>
    </w:p>
    <w:p>
      <w:pPr>
        <w:rPr>
          <w:rFonts w:ascii="仿宋" w:hAnsi="仿宋" w:eastAsia="仿宋" w:cs="黑体"/>
          <w:sz w:val="56"/>
          <w:szCs w:val="72"/>
        </w:rPr>
      </w:pPr>
    </w:p>
    <w:p>
      <w:pPr>
        <w:jc w:val="center"/>
        <w:rPr>
          <w:rFonts w:ascii="仿宋" w:hAnsi="仿宋" w:eastAsia="仿宋" w:cs="黑体"/>
          <w:sz w:val="56"/>
          <w:szCs w:val="72"/>
        </w:rPr>
      </w:pPr>
    </w:p>
    <w:p>
      <w:pPr>
        <w:jc w:val="center"/>
        <w:rPr>
          <w:rFonts w:ascii="仿宋" w:hAnsi="仿宋" w:eastAsia="仿宋" w:cs="黑体"/>
          <w:sz w:val="56"/>
          <w:szCs w:val="72"/>
        </w:rPr>
      </w:pPr>
      <w:r>
        <w:rPr>
          <w:rFonts w:ascii="仿宋" w:hAnsi="仿宋" w:eastAsia="仿宋"/>
          <w:sz w:val="72"/>
        </w:rPr>
        <mc:AlternateContent>
          <mc:Choice Requires="wps">
            <w:drawing>
              <wp:anchor distT="0" distB="0" distL="114300" distR="114300" simplePos="0" relativeHeight="251670528" behindDoc="0" locked="0" layoutInCell="1" allowOverlap="1">
                <wp:simplePos x="0" y="0"/>
                <wp:positionH relativeFrom="column">
                  <wp:posOffset>-964565</wp:posOffset>
                </wp:positionH>
                <wp:positionV relativeFrom="paragraph">
                  <wp:posOffset>536575</wp:posOffset>
                </wp:positionV>
                <wp:extent cx="7793355" cy="3341370"/>
                <wp:effectExtent l="4445" t="4445" r="12700" b="6985"/>
                <wp:wrapNone/>
                <wp:docPr id="18"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75.95pt;margin-top:42.25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AA&#10;">
                <v:fill type="pattern" on="t" color2="#FFFFFF" o:title="5%" focussize="0,0" r:id="rId30"/>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mc:Fallback>
        </mc:AlternateContent>
      </w:r>
    </w:p>
    <w:p>
      <w:pPr>
        <w:jc w:val="center"/>
        <w:rPr>
          <w:rFonts w:ascii="仿宋" w:hAnsi="仿宋" w:eastAsia="仿宋"/>
          <w:sz w:val="7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tabs>
          <w:tab w:val="left" w:pos="886"/>
        </w:tabs>
        <w:jc w:val="left"/>
        <w:rPr>
          <w:rFonts w:ascii="仿宋" w:hAnsi="仿宋" w:eastAsia="仿宋"/>
        </w:rPr>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 w:hAnsi="仿宋" w:eastAsia="仿宋" w:cs="ArialUnicodeMS"/>
          <w:sz w:val="32"/>
          <w:szCs w:val="32"/>
          <w:highlight w:val="yellow"/>
        </w:rPr>
      </w:pPr>
    </w:p>
    <w:p>
      <w:pPr>
        <w:pStyle w:val="15"/>
        <w:widowControl/>
        <w:numPr>
          <w:ilvl w:val="0"/>
          <w:numId w:val="3"/>
        </w:numPr>
        <w:snapToGrid w:val="0"/>
        <w:spacing w:line="560" w:lineRule="exact"/>
        <w:ind w:left="0" w:firstLine="643"/>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财政拨款收入：</w:t>
      </w:r>
      <w:r>
        <w:rPr>
          <w:rFonts w:hint="eastAsia" w:ascii="仿宋" w:hAnsi="仿宋"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（二）事业收入：</w:t>
      </w:r>
      <w:r>
        <w:rPr>
          <w:rFonts w:hint="eastAsia" w:ascii="仿宋" w:hAnsi="仿宋"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（三）其他收入：</w:t>
      </w:r>
      <w:r>
        <w:rPr>
          <w:rFonts w:hint="eastAsia" w:ascii="仿宋" w:hAnsi="仿宋"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（四）用事业基金弥补收支差额：</w:t>
      </w:r>
      <w:r>
        <w:rPr>
          <w:rFonts w:hint="eastAsia" w:ascii="仿宋" w:hAnsi="仿宋"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（五）年初结转和结余：</w:t>
      </w:r>
      <w:r>
        <w:rPr>
          <w:rFonts w:hint="eastAsia" w:ascii="仿宋" w:hAnsi="仿宋"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（六）结余分配：</w:t>
      </w:r>
      <w:r>
        <w:rPr>
          <w:rFonts w:hint="eastAsia" w:ascii="仿宋" w:hAnsi="仿宋"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（七）年末结转和结余：</w:t>
      </w:r>
      <w:r>
        <w:rPr>
          <w:rFonts w:hint="eastAsia" w:ascii="仿宋" w:hAnsi="仿宋"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（八）基本支出：</w:t>
      </w:r>
      <w:r>
        <w:rPr>
          <w:rFonts w:hint="eastAsia" w:ascii="仿宋" w:hAnsi="仿宋"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（九）项目支出：</w:t>
      </w:r>
      <w:r>
        <w:rPr>
          <w:rFonts w:hint="eastAsia" w:ascii="仿宋" w:hAnsi="仿宋"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（十）基本建设支出：</w:t>
      </w:r>
      <w:r>
        <w:rPr>
          <w:rFonts w:hint="eastAsia" w:ascii="仿宋" w:hAnsi="仿宋"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（十一）其他资本性支出：</w:t>
      </w:r>
      <w:r>
        <w:rPr>
          <w:rFonts w:hint="eastAsia" w:ascii="仿宋" w:hAnsi="仿宋"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（十二）“三公”经费：</w:t>
      </w:r>
      <w:r>
        <w:rPr>
          <w:rFonts w:hint="eastAsia" w:ascii="仿宋" w:hAnsi="仿宋"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（十三）其他交通费用：</w:t>
      </w:r>
      <w:r>
        <w:rPr>
          <w:rFonts w:hint="eastAsia" w:ascii="仿宋" w:hAnsi="仿宋"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（十四）公务用车购置：</w:t>
      </w:r>
      <w:r>
        <w:rPr>
          <w:rFonts w:hint="eastAsia" w:ascii="仿宋" w:hAnsi="仿宋"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（十五）其他交通工具购置：</w:t>
      </w:r>
      <w:r>
        <w:rPr>
          <w:rFonts w:hint="eastAsia" w:ascii="仿宋" w:hAnsi="仿宋"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（十六）机关运行经费：</w:t>
      </w:r>
      <w:r>
        <w:rPr>
          <w:rFonts w:hint="eastAsia" w:ascii="仿宋" w:hAnsi="仿宋"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 w:hAnsi="仿宋" w:eastAsia="仿宋" w:cs="ArialUnicodeMS"/>
          <w:kern w:val="0"/>
          <w:sz w:val="32"/>
          <w:szCs w:val="32"/>
        </w:rPr>
      </w:pPr>
      <w:r>
        <w:rPr>
          <w:rFonts w:hint="eastAsia" w:ascii="仿宋" w:hAnsi="仿宋" w:eastAsia="仿宋" w:cs="Times New Roman"/>
          <w:b/>
          <w:bCs/>
          <w:color w:val="000000"/>
          <w:kern w:val="0"/>
          <w:sz w:val="32"/>
          <w:szCs w:val="32"/>
        </w:rPr>
        <w:t>（十七）经费形式:</w:t>
      </w:r>
      <w:r>
        <w:rPr>
          <w:rFonts w:hint="eastAsia" w:ascii="仿宋" w:hAnsi="仿宋" w:eastAsia="仿宋" w:cs="Times New Roman"/>
          <w:color w:val="000000"/>
          <w:kern w:val="0"/>
          <w:sz w:val="32"/>
          <w:szCs w:val="32"/>
        </w:rPr>
        <w:t>按照经费来源，</w:t>
      </w:r>
      <w:r>
        <w:rPr>
          <w:rFonts w:hint="eastAsia" w:ascii="仿宋" w:hAnsi="仿宋" w:eastAsia="仿宋" w:cs="ArialUnicodeMS"/>
          <w:kern w:val="0"/>
          <w:sz w:val="32"/>
          <w:szCs w:val="32"/>
        </w:rPr>
        <w:t>可分为财政拨款、财政性资金基本保证、财政性资金定额或定项补助、财政性资金零补助四类。</w:t>
      </w:r>
    </w:p>
    <w:p>
      <w:pPr>
        <w:rPr>
          <w:rFonts w:ascii="仿宋" w:hAnsi="仿宋" w:eastAsia="仿宋"/>
        </w:rPr>
      </w:pPr>
    </w:p>
    <w:p>
      <w:pPr>
        <w:rPr>
          <w:rFonts w:ascii="仿宋" w:hAnsi="仿宋" w:eastAsia="仿宋"/>
        </w:rPr>
      </w:pPr>
    </w:p>
    <w:p>
      <w:pPr>
        <w:jc w:val="left"/>
        <w:rPr>
          <w:rFonts w:ascii="仿宋" w:hAnsi="仿宋" w:eastAsia="仿宋"/>
        </w:rPr>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rPr>
          <w:rFonts w:ascii="仿宋" w:hAnsi="仿宋" w:eastAsia="仿宋"/>
        </w:rPr>
        <w:sectPr>
          <w:pgSz w:w="11906" w:h="16838"/>
          <w:pgMar w:top="2098" w:right="1474" w:bottom="1985" w:left="1588" w:header="851" w:footer="992" w:gutter="0"/>
          <w:pgNumType w:fmt="numberInDash"/>
          <w:cols w:space="425" w:num="1"/>
          <w:docGrid w:type="lines" w:linePitch="312" w:charSpace="0"/>
        </w:sectPr>
      </w:pPr>
      <w:r>
        <w:rPr>
          <w:rFonts w:ascii="仿宋" w:hAnsi="仿宋" w:eastAsia="仿宋"/>
          <w:sz w:val="72"/>
        </w:rP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5"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fill type="pattern" on="t" color2="#FFFFFF" o:title="5%"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mc:Fallback>
        </mc:AlternateContent>
      </w:r>
    </w:p>
    <w:p>
      <w:pPr>
        <w:tabs>
          <w:tab w:val="left" w:pos="886"/>
        </w:tabs>
        <w:jc w:val="left"/>
        <w:rPr>
          <w:rFonts w:ascii="仿宋" w:hAnsi="仿宋" w:eastAsia="仿宋"/>
        </w:rPr>
      </w:pPr>
    </w:p>
    <w:p>
      <w:pPr>
        <w:widowControl/>
        <w:spacing w:line="56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详见:青龙满族自治县三星口乡人民政府2019年度部门决算公开相关报表(共9张)</w:t>
      </w:r>
    </w:p>
    <w:p>
      <w:pPr>
        <w:rPr>
          <w:rFonts w:ascii="仿宋" w:hAnsi="仿宋" w:eastAsia="仿宋"/>
        </w:rPr>
      </w:pPr>
      <w:r>
        <w:rPr>
          <w:rFonts w:ascii="仿宋" w:hAnsi="仿宋" w:eastAsia="仿宋"/>
        </w:rPr>
        <w:br w:type="page"/>
      </w:r>
    </w:p>
    <w:p>
      <w: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altName w:val="Meiryo"/>
    <w:panose1 w:val="020B07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panose1 w:val="02000000000000000000"/>
    <w:charset w:val="86"/>
    <w:family w:val="roman"/>
    <w:pitch w:val="default"/>
    <w:sig w:usb0="A00002BF" w:usb1="38CF7CFA" w:usb2="00082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88960"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896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cRbHVQA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4paM2gAAAAoBAAAPAAAAAAAAAAEAIAAAACIA&#10;AABkcnMvZG93bnJldi54bWxQSwECFAAUAAAACACHTuJAHEWx1UACAABxBAAADgAAAAAAAAABACAA&#10;AAApAQAAZHJzL2Uyb0RvYy54bWxQSwUGAAAAAAYABgBZAQAA2wUAAAAA&#10;">
              <v:fill on="f" focussize="0,0"/>
              <v:stroke on="f" weight="0.5pt"/>
              <v:imagedata o:title=""/>
              <o:lock v:ext="edit" aspectratio="f"/>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9203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3"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- 34 -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9203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&#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939z2QAAAAoBAAAPAAAAAAAAAAEAIAAAACIAAABk&#10;cnMvZG93bnJldi54bWxQSwECFAAUAAAACACHTuJAakrO8j4CAABwBAAADgAAAAAAAAABACAAAAAo&#10;AQAAZHJzL2Uyb0RvYy54bWxQSwUGAAAAAAYABgBZAQAA2AUAAAAA&#10;">
              <v:fill on="f" focussize="0,0"/>
              <v:stroke on="f" weight="0.5pt"/>
              <v:imagedata o:title=""/>
              <o:lock v:ext="edit" aspectratio="f"/>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- 34 -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85888"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4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588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9SQFVT4CAABwBAAADgAAAAAAAAABACAAAAAo&#10;AQAAZHJzL2Uyb0RvYy54bWxQSwUGAAAAAAYABgBZAQAA2AUAAAAA&#10;">
              <v:fill on="f" focussize="0,0"/>
              <v:stroke on="f" weight="0.5pt"/>
              <v:imagedata o:title=""/>
              <o:lock v:ext="edit" aspectratio="f"/>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86912"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691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AqVPos/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&#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dXN+9kAAAAKAQAADwAAAAAAAAABACAAAAAiAAAA&#10;ZHJzL2Rvd25yZXYueG1sUEsBAhQAFAAAAAgAh07iQAqVPos/AgAAcAQAAA4AAAAAAAAAAQAgAAAA&#10;KAEAAGRycy9lMm9Eb2MueG1sUEsFBgAAAAAGAAYAWQEAANkFAAAAAA==&#10;">
              <v:fill on="f" focussize="0,0"/>
              <v:stroke on="f" weight="0.5pt"/>
              <v:imagedata o:title=""/>
              <o:lock v:ext="edit" aspectratio="f"/>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8793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4"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- 32 -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793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fJB+tPQIAAG8EAAAOAAAAAAAAAAEAIAAAACgB&#10;AABkcnMvZTJvRG9jLnhtbFBLBQYAAAAABgAGAFkBAADXBQAAAAA=&#10;">
              <v:fill on="f" focussize="0,0"/>
              <v:stroke on="f" weight="0.5pt"/>
              <v:imagedata o:title=""/>
              <o:lock v:ext="edit" aspectratio="f"/>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- 32 -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6848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848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7575550" cy="748665"/>
              <wp:effectExtent l="0" t="0" r="0" b="0"/>
              <wp:wrapNone/>
              <wp:docPr id="24"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203"/>
                      </a:xfrm>
                    </wpg:grpSpPr>
                    <wps:wsp>
                      <wps:cNvPr id="21" name="矩形 2"/>
                      <wps:cNvSpPr/>
                      <wps:spPr>
                        <a:xfrm>
                          <a:off x="881" y="1538"/>
                          <a:ext cx="11925" cy="146"/>
                        </a:xfrm>
                        <a:prstGeom prst="rect">
                          <a:avLst/>
                        </a:prstGeom>
                        <a:solidFill>
                          <a:srgbClr val="FFD966"/>
                        </a:solidFill>
                        <a:ln w="12700">
                          <a:noFill/>
                        </a:ln>
                      </wps:spPr>
                      <wps:bodyPr anchor="ctr" anchorCtr="0" upright="1"/>
                    </wps:wsp>
                    <wps:wsp>
                      <wps:cNvPr id="22"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3"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7456;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AA&#10;">
              <o:lock v:ext="edit" aspectratio="f"/>
              <v:rect id="矩形 2" o:spid="_x0000_s1026"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AA&#10;" path="m668,0l2619,10,2619,1265,0,1265,668,0xe">
                <v:path o:connecttype="segments"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79744" behindDoc="0" locked="0" layoutInCell="1" allowOverlap="1">
              <wp:simplePos x="0" y="0"/>
              <wp:positionH relativeFrom="page">
                <wp:posOffset>0</wp:posOffset>
              </wp:positionH>
              <wp:positionV relativeFrom="page">
                <wp:posOffset>0</wp:posOffset>
              </wp:positionV>
              <wp:extent cx="7553960" cy="480695"/>
              <wp:effectExtent l="0" t="0" r="0" b="0"/>
              <wp:wrapNone/>
              <wp:docPr id="32"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203"/>
                      </a:xfrm>
                    </wpg:grpSpPr>
                    <wps:wsp>
                      <wps:cNvPr id="29" name="矩形 2"/>
                      <wps:cNvSpPr/>
                      <wps:spPr>
                        <a:xfrm>
                          <a:off x="881" y="1538"/>
                          <a:ext cx="11925" cy="146"/>
                        </a:xfrm>
                        <a:prstGeom prst="rect">
                          <a:avLst/>
                        </a:prstGeom>
                        <a:solidFill>
                          <a:srgbClr val="FFD966"/>
                        </a:solidFill>
                        <a:ln w="12700">
                          <a:noFill/>
                        </a:ln>
                      </wps:spPr>
                      <wps:bodyPr anchor="ctr" anchorCtr="0" upright="1"/>
                    </wps:wsp>
                    <wps:wsp>
                      <wps:cNvPr id="30"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1"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9744;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0768"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80768;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82816"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8281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0</wp:posOffset>
              </wp:positionV>
              <wp:extent cx="7575550" cy="748665"/>
              <wp:effectExtent l="0" t="0" r="0" b="0"/>
              <wp:wrapNone/>
              <wp:docPr id="36"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203"/>
                      </a:xfrm>
                    </wpg:grpSpPr>
                    <wps:wsp>
                      <wps:cNvPr id="33" name="矩形 2"/>
                      <wps:cNvSpPr/>
                      <wps:spPr>
                        <a:xfrm>
                          <a:off x="881" y="1538"/>
                          <a:ext cx="11925" cy="146"/>
                        </a:xfrm>
                        <a:prstGeom prst="rect">
                          <a:avLst/>
                        </a:prstGeom>
                        <a:solidFill>
                          <a:srgbClr val="FFD966"/>
                        </a:solidFill>
                        <a:ln w="12700">
                          <a:noFill/>
                        </a:ln>
                      </wps:spPr>
                      <wps:bodyPr anchor="ctr" anchorCtr="0" upright="1"/>
                    </wps:wsp>
                    <wps:wsp>
                      <wps:cNvPr id="34"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5"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81792;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93056"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7"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203"/>
                      </a:xfrm>
                    </wpg:grpSpPr>
                    <wps:wsp>
                      <wps:cNvPr id="54" name="矩形 2"/>
                      <wps:cNvSpPr/>
                      <wps:spPr>
                        <a:xfrm>
                          <a:off x="881" y="1538"/>
                          <a:ext cx="11925" cy="146"/>
                        </a:xfrm>
                        <a:prstGeom prst="rect">
                          <a:avLst/>
                        </a:prstGeom>
                        <a:solidFill>
                          <a:srgbClr val="FFD966"/>
                        </a:solidFill>
                        <a:ln w="12700">
                          <a:noFill/>
                        </a:ln>
                      </wps:spPr>
                      <wps:bodyPr anchor="ctr" anchorCtr="0" upright="1"/>
                    </wps:wsp>
                    <wps:wsp>
                      <wps:cNvPr id="55"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6"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93056;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AA&#10;">
              <o:lock v:ext="edit" aspectratio="f"/>
              <v:rect id="矩形 2" o:spid="_x0000_s102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4080" behindDoc="0" locked="0" layoutInCell="1" allowOverlap="1">
              <wp:simplePos x="0" y="0"/>
              <wp:positionH relativeFrom="page">
                <wp:posOffset>0</wp:posOffset>
              </wp:positionH>
              <wp:positionV relativeFrom="page">
                <wp:posOffset>377825</wp:posOffset>
              </wp:positionV>
              <wp:extent cx="3556000" cy="406400"/>
              <wp:effectExtent l="0" t="0" r="0" b="0"/>
              <wp:wrapNone/>
              <wp:docPr id="58"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59"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94080;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AW+24QRgMAAK0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x6bsHtcAAAAHAQAADwAAAAAAAAABACAAAAAiAAAAZHJzL2Rvd25yZXYueG1sUEsBAhQAFAAA&#10;AAgAh07iQBb7bhBGAwAArQgAAA4AAAAAAAAAAQAgAAAAJgEAAGRycy9lMm9Eb2MueG1sUEsFBgAA&#10;AAAGAAYAWQEAAN4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89984" behindDoc="0" locked="0" layoutInCell="1" allowOverlap="1">
              <wp:simplePos x="0" y="0"/>
              <wp:positionH relativeFrom="page">
                <wp:posOffset>0</wp:posOffset>
              </wp:positionH>
              <wp:positionV relativeFrom="page">
                <wp:posOffset>0</wp:posOffset>
              </wp:positionV>
              <wp:extent cx="7575550" cy="483235"/>
              <wp:effectExtent l="0" t="0" r="0" b="0"/>
              <wp:wrapNone/>
              <wp:docPr id="49"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203"/>
                      </a:xfrm>
                    </wpg:grpSpPr>
                    <wps:wsp>
                      <wps:cNvPr id="46" name="矩形 2"/>
                      <wps:cNvSpPr/>
                      <wps:spPr>
                        <a:xfrm>
                          <a:off x="881" y="1538"/>
                          <a:ext cx="11925" cy="146"/>
                        </a:xfrm>
                        <a:prstGeom prst="rect">
                          <a:avLst/>
                        </a:prstGeom>
                        <a:solidFill>
                          <a:srgbClr val="FFD966"/>
                        </a:solidFill>
                        <a:ln w="12700">
                          <a:noFill/>
                        </a:ln>
                      </wps:spPr>
                      <wps:bodyPr anchor="ctr" anchorCtr="0" upright="1"/>
                    </wps:wsp>
                    <wps:wsp>
                      <wps:cNvPr id="47"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8"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89984;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1008" behindDoc="0" locked="0" layoutInCell="1" allowOverlap="1">
              <wp:simplePos x="0" y="0"/>
              <wp:positionH relativeFrom="page">
                <wp:align>left</wp:align>
              </wp:positionH>
              <wp:positionV relativeFrom="page">
                <wp:posOffset>377825</wp:posOffset>
              </wp:positionV>
              <wp:extent cx="3228975" cy="406400"/>
              <wp:effectExtent l="0" t="0" r="0" b="0"/>
              <wp:wrapNone/>
              <wp:docPr id="50"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5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91008;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PCAQPtcAAAAHAQAADwAAAAAAAAABACAAAAAiAAAAZHJzL2Rvd25yZXYueG1sUEsBAhQA&#10;FAAAAAgAh07iQFTaGwVJAwAArQgAAA4AAAAAAAAAAQAgAAAAJgEAAGRycy9lMm9Eb2MueG1sUEsF&#10;BgAAAAAGAAYAWQEAAOEGA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682625</wp:posOffset>
              </wp:positionV>
              <wp:extent cx="7553960" cy="400050"/>
              <wp:effectExtent l="0" t="0" r="0" b="0"/>
              <wp:wrapNone/>
              <wp:docPr id="41"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203"/>
                      </a:xfrm>
                    </wpg:grpSpPr>
                    <wps:wsp>
                      <wps:cNvPr id="37" name="矩形 2"/>
                      <wps:cNvSpPr/>
                      <wps:spPr>
                        <a:xfrm>
                          <a:off x="881" y="1538"/>
                          <a:ext cx="11925" cy="146"/>
                        </a:xfrm>
                        <a:prstGeom prst="rect">
                          <a:avLst/>
                        </a:prstGeom>
                        <a:solidFill>
                          <a:srgbClr val="FFD966"/>
                        </a:solidFill>
                        <a:ln w="12700">
                          <a:noFill/>
                        </a:ln>
                      </wps:spPr>
                      <wps:bodyPr anchor="ctr" anchorCtr="0" upright="1"/>
                    </wps:wsp>
                    <wps:wsp>
                      <wps:cNvPr id="38"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9"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83840;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AA&#10;">
              <o:lock v:ext="edit" aspectratio="f"/>
              <v:rect id="矩形 2" o:spid="_x0000_s1026"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4864"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4864;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77696"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8"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203"/>
                      </a:xfrm>
                    </wpg:grpSpPr>
                    <wps:wsp>
                      <wps:cNvPr id="25" name="矩形 2"/>
                      <wps:cNvSpPr/>
                      <wps:spPr>
                        <a:xfrm>
                          <a:off x="881" y="1538"/>
                          <a:ext cx="11925" cy="146"/>
                        </a:xfrm>
                        <a:prstGeom prst="rect">
                          <a:avLst/>
                        </a:prstGeom>
                        <a:solidFill>
                          <a:srgbClr val="FFD966"/>
                        </a:solidFill>
                        <a:ln w="12700">
                          <a:noFill/>
                        </a:ln>
                      </wps:spPr>
                      <wps:bodyPr anchor="ctr" anchorCtr="0" upright="1"/>
                    </wps:wsp>
                    <wps:wsp>
                      <wps:cNvPr id="26"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7" name="任意多边形 4"/>
                      <wps:cNvSpPr/>
                      <wps:spPr>
                        <a:xfrm>
                          <a:off x="10467" y="505"/>
                          <a:ext cx="2385" cy="1107"/>
                        </a:xfrm>
                        <a:custGeom>
                          <a:avLst/>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7696;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A&#10;">
              <o:lock v:ext="edit" aspectratio="f"/>
              <v:rect id="矩形 2" o:spid="_x0000_s102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A&#10;" path="m668,0l2619,10,2619,1265,0,1265,668,0xe">
                <v:path o:connecttype="segments"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8720"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8720;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9D07D85"/>
    <w:multiLevelType w:val="multilevel"/>
    <w:tmpl w:val="49D07D85"/>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9827322"/>
    <w:multiLevelType w:val="multilevel"/>
    <w:tmpl w:val="69827322"/>
    <w:lvl w:ilvl="0" w:tentative="0">
      <w:start w:val="1"/>
      <w:numFmt w:val="japaneseCounting"/>
      <w:lvlText w:val="（%1）"/>
      <w:lvlJc w:val="left"/>
      <w:pPr>
        <w:ind w:left="1723" w:hanging="108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zQxYmMxNTBmNDEwZmQyMmJmZjUwYWY1M2EwNDUifQ=="/>
  </w:docVars>
  <w:rsids>
    <w:rsidRoot w:val="00000000"/>
    <w:rsid w:val="09AF2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ody Text"/>
    <w:basedOn w:val="1"/>
    <w:unhideWhenUsed/>
    <w:qFormat/>
    <w:uiPriority w:val="99"/>
    <w:rPr>
      <w:rFonts w:ascii="仿宋_GB2312" w:hAnsi="仿宋_GB2312" w:eastAsia="仿宋_GB2312" w:cs="仿宋_GB2312"/>
      <w:sz w:val="32"/>
      <w:szCs w:val="32"/>
      <w:lang w:val="zh-CN" w:bidi="zh-CN"/>
    </w:rPr>
  </w:style>
  <w:style w:type="paragraph" w:styleId="5">
    <w:name w:val="Balloon Text"/>
    <w:basedOn w:val="1"/>
    <w:link w:val="14"/>
    <w:autoRedefine/>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autoRedefine/>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7"/>
    <w:autoRedefine/>
    <w:qFormat/>
    <w:uiPriority w:val="99"/>
    <w:rPr>
      <w:rFonts w:asciiTheme="minorHAnsi" w:hAnsiTheme="minorHAnsi" w:eastAsiaTheme="minorEastAsia"/>
      <w:sz w:val="18"/>
      <w:szCs w:val="18"/>
    </w:rPr>
  </w:style>
  <w:style w:type="character" w:customStyle="1" w:styleId="12">
    <w:name w:val="页脚 Char"/>
    <w:basedOn w:val="10"/>
    <w:link w:val="6"/>
    <w:autoRedefine/>
    <w:qFormat/>
    <w:uiPriority w:val="99"/>
    <w:rPr>
      <w:sz w:val="18"/>
      <w:szCs w:val="18"/>
    </w:rPr>
  </w:style>
  <w:style w:type="paragraph" w:customStyle="1" w:styleId="13">
    <w:name w:val="列出段落1"/>
    <w:basedOn w:val="1"/>
    <w:autoRedefine/>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批注框文本 Char"/>
    <w:basedOn w:val="10"/>
    <w:link w:val="5"/>
    <w:autoRedefine/>
    <w:semiHidden/>
    <w:qFormat/>
    <w:uiPriority w:val="99"/>
    <w:rPr>
      <w:rFonts w:asciiTheme="minorHAnsi" w:hAnsiTheme="minorHAnsi" w:eastAsiaTheme="minorEastAsia" w:cstheme="minorBidi"/>
      <w:kern w:val="2"/>
      <w:sz w:val="18"/>
      <w:szCs w:val="18"/>
    </w:rPr>
  </w:style>
  <w:style w:type="paragraph" w:customStyle="1"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1.bmp"/><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2019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2019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2019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Lbl>
              <c:idx val="0"/>
              <c:layout>
                <c:manualLayout>
                  <c:x val="-0.171043744531934"/>
                  <c:y val="0.2924460484106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6522419072616"/>
                  <c:y val="-0.69964165937591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Sheet2!$A$1:$A$2</c:f>
              <c:strCache>
                <c:ptCount val="2"/>
                <c:pt idx="0">
                  <c:v>基本支出</c:v>
                </c:pt>
                <c:pt idx="1">
                  <c:v>项目支出</c:v>
                </c:pt>
              </c:strCache>
            </c:strRef>
          </c:cat>
          <c:val>
            <c:numRef>
              <c:f>Sheet2!$B$1:$B$2</c:f>
              <c:numCache>
                <c:formatCode>0.00%</c:formatCode>
                <c:ptCount val="2"/>
                <c:pt idx="0">
                  <c:v>0.7817</c:v>
                </c:pt>
                <c:pt idx="1" c:formatCode="General">
                  <c:v>21.83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Sheet2!$A$8</c:f>
              <c:strCache>
                <c:ptCount val="1"/>
                <c:pt idx="0">
                  <c:v>财政拨款收入</c:v>
                </c:pt>
              </c:strCache>
            </c:strRef>
          </c:tx>
          <c:invertIfNegative val="0"/>
          <c:dLbls>
            <c:delete val="1"/>
          </c:dLbls>
          <c:cat>
            <c:strRef>
              <c:f>Sheet2!$B$7:$C$7</c:f>
              <c:strCache>
                <c:ptCount val="2"/>
                <c:pt idx="0">
                  <c:v>2018年</c:v>
                </c:pt>
                <c:pt idx="1">
                  <c:v>2019年</c:v>
                </c:pt>
              </c:strCache>
            </c:strRef>
          </c:cat>
          <c:val>
            <c:numRef>
              <c:f>Sheet2!$B$8:$C$8</c:f>
              <c:numCache>
                <c:formatCode>0%</c:formatCode>
                <c:ptCount val="2"/>
                <c:pt idx="0">
                  <c:v>1</c:v>
                </c:pt>
                <c:pt idx="1">
                  <c:v>1.11</c:v>
                </c:pt>
              </c:numCache>
            </c:numRef>
          </c:val>
        </c:ser>
        <c:ser>
          <c:idx val="1"/>
          <c:order val="1"/>
          <c:tx>
            <c:strRef>
              <c:f>Sheet2!$A$9</c:f>
              <c:strCache>
                <c:ptCount val="1"/>
                <c:pt idx="0">
                  <c:v>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Sheet2!$B$7:$C$7</c:f>
              <c:strCache>
                <c:ptCount val="2"/>
                <c:pt idx="0">
                  <c:v>2018年</c:v>
                </c:pt>
                <c:pt idx="1">
                  <c:v>2019年</c:v>
                </c:pt>
              </c:strCache>
            </c:strRef>
          </c:cat>
          <c:val>
            <c:numRef>
              <c:f>Sheet2!$B$9:$C$9</c:f>
              <c:numCache>
                <c:formatCode>0%</c:formatCode>
                <c:ptCount val="2"/>
                <c:pt idx="0">
                  <c:v>1</c:v>
                </c:pt>
                <c:pt idx="1">
                  <c:v>1.29</c:v>
                </c:pt>
              </c:numCache>
            </c:numRef>
          </c:val>
        </c:ser>
        <c:dLbls>
          <c:showLegendKey val="0"/>
          <c:showVal val="0"/>
          <c:showCatName val="0"/>
          <c:showSerName val="0"/>
          <c:showPercent val="0"/>
          <c:showBubbleSize val="0"/>
        </c:dLbls>
        <c:gapWidth val="150"/>
        <c:axId val="123840000"/>
        <c:axId val="123841536"/>
      </c:barChart>
      <c:catAx>
        <c:axId val="1238400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841536"/>
        <c:crosses val="autoZero"/>
        <c:auto val="1"/>
        <c:lblAlgn val="ctr"/>
        <c:lblOffset val="100"/>
        <c:noMultiLvlLbl val="0"/>
      </c:catAx>
      <c:valAx>
        <c:axId val="12384153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84000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2512051531407"/>
          <c:y val="8.66904085122134e-5"/>
          <c:w val="0.511240079053864"/>
          <c:h val="0.78128382514486"/>
        </c:manualLayout>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Sheet2!$A$31:$A$36</c:f>
              <c:strCache>
                <c:ptCount val="6"/>
                <c:pt idx="0">
                  <c:v>一般公共服务（类）支出</c:v>
                </c:pt>
                <c:pt idx="1">
                  <c:v>社会保障和就业（类）支出</c:v>
                </c:pt>
                <c:pt idx="2">
                  <c:v>卫生健康（类）支出</c:v>
                </c:pt>
                <c:pt idx="3">
                  <c:v>节能环保（类）支出</c:v>
                </c:pt>
                <c:pt idx="4">
                  <c:v>农林水（类）支出</c:v>
                </c:pt>
                <c:pt idx="5">
                  <c:v>住房保障（类）支出</c:v>
                </c:pt>
              </c:strCache>
            </c:strRef>
          </c:cat>
          <c:val>
            <c:numRef>
              <c:f>Sheet2!$B$31:$B$36</c:f>
              <c:numCache>
                <c:formatCode>0.00%</c:formatCode>
                <c:ptCount val="6"/>
                <c:pt idx="0">
                  <c:v>0.383</c:v>
                </c:pt>
                <c:pt idx="1" c:formatCode="0%">
                  <c:v>0.17</c:v>
                </c:pt>
                <c:pt idx="2">
                  <c:v>0.034</c:v>
                </c:pt>
                <c:pt idx="3">
                  <c:v>0.043</c:v>
                </c:pt>
                <c:pt idx="4">
                  <c:v>0.349</c:v>
                </c:pt>
                <c:pt idx="5">
                  <c:v>0.021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728351685123"/>
          <c:y val="0.259747595448332"/>
          <c:w val="0.32049431321085"/>
          <c:h val="0.73976377952755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37</Pages>
  <Words>2595</Words>
  <Characters>14796</Characters>
  <Lines>123</Lines>
  <Paragraphs>34</Paragraphs>
  <TotalTime>0</TotalTime>
  <ScaleCrop>false</ScaleCrop>
  <LinksUpToDate>false</LinksUpToDate>
  <CharactersWithSpaces>17357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2020-11-04T18:13:00Z</dcterms:created>
  <dc:creator>王明新TIAD</dc:creator>
  <cp:lastModifiedBy>Administrator</cp:lastModifiedBy>
  <cp:lastPrinted>2020-07-30T10:37:00Z</cp:lastPrinted>
  <dcterms:modified xsi:type="dcterms:W3CDTF">2024-04-12T03:05:30Z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7620433D7E4D44CB89D50488700C1AF9_13</vt:lpwstr>
  </property>
</Properties>
</file>