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headerReference r:id="rId3" w:type="default"/>
          <w:headerReference r:id="rId4" w:type="even"/>
          <w:pgSz w:w="11906" w:h="16838"/>
          <w:pgMar w:top="0" w:right="0" w:bottom="0" w:left="0" w:header="851" w:footer="992" w:gutter="0"/>
          <w:cols w:space="425" w:num="1"/>
          <w:titlePg/>
          <w:docGrid w:type="lines" w:linePitch="312" w:charSpace="0"/>
        </w:sectPr>
      </w:pPr>
      <w:bookmarkStart w:id="0" w:name="_GoBack"/>
      <w:bookmarkEnd w:id="0"/>
      <w:r>
        <mc:AlternateContent>
          <mc:Choice Requires="wpg">
            <w:drawing>
              <wp:anchor distT="0" distB="0" distL="114300" distR="114300" simplePos="0" relativeHeight="251659264" behindDoc="1" locked="0" layoutInCell="1" allowOverlap="1">
                <wp:simplePos x="0" y="0"/>
                <wp:positionH relativeFrom="column">
                  <wp:posOffset>-1174750</wp:posOffset>
                </wp:positionH>
                <wp:positionV relativeFrom="paragraph">
                  <wp:posOffset>-115570</wp:posOffset>
                </wp:positionV>
                <wp:extent cx="7623175" cy="1676400"/>
                <wp:effectExtent l="0" t="0" r="0" b="0"/>
                <wp:wrapNone/>
                <wp:docPr id="3" name="组合 2"/>
                <wp:cNvGraphicFramePr/>
                <a:graphic xmlns:a="http://schemas.openxmlformats.org/drawingml/2006/main">
                  <a:graphicData uri="http://schemas.microsoft.com/office/word/2010/wordprocessingGroup">
                    <wpg:wgp>
                      <wpg:cNvGrpSpPr/>
                      <wpg:grpSpPr>
                        <a:xfrm>
                          <a:off x="0" y="0"/>
                          <a:ext cx="7623175" cy="1676400"/>
                          <a:chOff x="13622" y="-70791"/>
                          <a:chExt cx="12005" cy="2640086"/>
                        </a:xfrm>
                      </wpg:grpSpPr>
                      <wps:wsp>
                        <wps:cNvPr id="1" name="矩形 5"/>
                        <wps:cNvSpPr/>
                        <wps:spPr>
                          <a:xfrm>
                            <a:off x="13622" y="283"/>
                            <a:ext cx="12005" cy="6170"/>
                          </a:xfrm>
                          <a:prstGeom prst="rect">
                            <a:avLst/>
                          </a:prstGeom>
                          <a:solidFill>
                            <a:srgbClr val="FDBC11"/>
                          </a:solidFill>
                          <a:ln w="12700">
                            <a:noFill/>
                          </a:ln>
                        </wps:spPr>
                        <wps:bodyPr anchor="ctr" upright="1"/>
                      </wps:wsp>
                      <wps:wsp>
                        <wps:cNvPr id="2" name="文本框 4"/>
                        <wps:cNvSpPr txBox="1"/>
                        <wps:spPr>
                          <a:xfrm>
                            <a:off x="17229" y="-70791"/>
                            <a:ext cx="8083" cy="2640086"/>
                          </a:xfrm>
                          <a:prstGeom prst="rect">
                            <a:avLst/>
                          </a:prstGeom>
                          <a:noFill/>
                          <a:ln>
                            <a:noFill/>
                          </a:ln>
                        </wps:spPr>
                        <wps:txbx>
                          <w:txbxContent>
                            <w:p>
                              <w:pPr>
                                <w:ind w:left="920" w:hanging="920" w:hangingChars="100"/>
                                <w:jc w:val="left"/>
                                <w:rPr>
                                  <w:color w:val="000000"/>
                                  <w:kern w:val="0"/>
                                  <w:sz w:val="92"/>
                                  <w:szCs w:val="92"/>
                                </w:rPr>
                              </w:pPr>
                              <w:r>
                                <w:rPr>
                                  <w:rFonts w:hint="eastAsia" w:ascii="思源黑体 HW Bold" w:hAnsi="思源黑体 HW Bold" w:eastAsia="思源黑体 HW Bold"/>
                                  <w:color w:val="000000"/>
                                  <w:kern w:val="24"/>
                                  <w:sz w:val="92"/>
                                  <w:szCs w:val="92"/>
                                </w:rPr>
                                <w:t>朱杖子乡人民政府部门决算公开</w:t>
                              </w:r>
                            </w:p>
                          </w:txbxContent>
                        </wps:txbx>
                        <wps:bodyPr upright="1">
                          <a:spAutoFit/>
                        </wps:bodyPr>
                      </wps:wsp>
                    </wpg:wgp>
                  </a:graphicData>
                </a:graphic>
              </wp:anchor>
            </w:drawing>
          </mc:Choice>
          <mc:Fallback>
            <w:pict>
              <v:group id="组合 2" o:spid="_x0000_s1026" o:spt="203" style="position:absolute;left:0pt;margin-left:-92.5pt;margin-top:-9.1pt;height:132pt;width:600.25pt;z-index:-251657216;mso-width-relative:page;mso-height-relative:page;" coordorigin="13622,-70791" coordsize="12005,2640086" o:gfxdata="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d74XDbAAAADQEAAA8AAAAAAAAAAQAgAAAAIgAAAGRycy9kb3ducmV2LnhtbFBLAQIUABQAAAAI&#10;AIdO4kBT3ghqlQIAAEEGAAAOAAAAAAAAAAEAIAAAACoBAABkcnMvZTJvRG9jLnhtbFBLBQYAAAAA&#10;BgAGAFkBAAAxBgAAAAA=&#10;">
                <o:lock v:ext="edit" aspectratio="f"/>
                <v:rect id="矩形 5" o:spid="_x0000_s1026" o:spt="1" style="position:absolute;left:13622;top:283;height:6170;width:12005;v-text-anchor:middle;" fillcolor="#FDBC11" filled="t" stroked="f" coordsize="21600,21600" o:gfxdata="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2cS65AAAA2gAA&#10;AA8AAAAAAAAAAQAgAAAAIgAAAGRycy9kb3ducmV2LnhtbFBLAQIUABQAAAAIAIdO4kAzLwWeOwAA&#10;ADkAAAAQAAAAAAAAAAEAIAAAAAgBAABkcnMvc2hhcGV4bWwueG1sUEsFBgAAAAAGAAYAWwEAALID&#10;AAAAAA==&#10;">
                  <v:fill on="t" focussize="0,0"/>
                  <v:stroke on="f" weight="1pt"/>
                  <v:imagedata o:title=""/>
                  <o:lock v:ext="edit" aspectratio="f"/>
                </v:rect>
                <v:shape id="文本框 4" o:spid="_x0000_s1026" o:spt="202" type="#_x0000_t202" style="position:absolute;left:17229;top:-70791;height:2640086;width:8083;"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ind w:left="920" w:hanging="920" w:hangingChars="100"/>
                          <w:jc w:val="left"/>
                          <w:rPr>
                            <w:color w:val="000000"/>
                            <w:kern w:val="0"/>
                            <w:sz w:val="92"/>
                            <w:szCs w:val="92"/>
                          </w:rPr>
                        </w:pPr>
                        <w:r>
                          <w:rPr>
                            <w:rFonts w:hint="eastAsia" w:ascii="思源黑体 HW Bold" w:hAnsi="思源黑体 HW Bold" w:eastAsia="思源黑体 HW Bold"/>
                            <w:color w:val="000000"/>
                            <w:kern w:val="24"/>
                            <w:sz w:val="92"/>
                            <w:szCs w:val="92"/>
                          </w:rPr>
                          <w:t>朱杖子乡人民政府部门决算公开</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wps:txbx>
                      <wps:bodyPr upright="1">
                        <a:spAutoFit/>
                      </wps:bodyPr>
                    </wps:wsp>
                  </a:graphicData>
                </a:graphic>
              </wp:anchor>
            </w:drawing>
          </mc:Choice>
          <mc:Fallback>
            <w:pict>
              <v:shape id="_x0000_s1026"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L2WSzZAAAADgEAAA8AAAAAAAAAAQAgAAAAIgAAAGRycy9kb3ducmV2LnhtbFBLAQIU&#10;ABQAAAAIAIdO4kBjjE5+uQEAAGsDAAAOAAAAAAAAAAEAIAAAACgBAABkcnMvZTJvRG9jLnhtbFBL&#10;BQYAAAAABgAGAFkBAABTBQ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5" name="椭圆 8"/>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w="12700">
                          <a:noFill/>
                        </a:ln>
                      </wps:spPr>
                      <wps:txbx>
                        <w:txbxContent>
                          <w:p/>
                        </w:txbxContent>
                      </wps:txbx>
                      <wps:bodyPr anchor="ctr" upright="1"/>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esZGNoAAAALAQAADwAAAAAAAAABACAAAAAiAAAAZHJzL2Rv&#10;d25yZXYueG1sUEsBAhQAFAAAAAgAh07iQAz8DCDGAQAAhQMAAA4AAAAAAAAAAQAgAAAAKQEAAGRy&#10;cy9lMm9Eb2MueG1sUEsFBgAAAAAGAAYAWQEAAGEFAAAAAA==&#10;">
                <v:fill on="t" focussize="0,0"/>
                <v:stroke on="f" weight="1pt"/>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2" name="矩形 14"/>
                <wp:cNvGraphicFramePr/>
                <a:graphic xmlns:a="http://schemas.openxmlformats.org/drawingml/2006/main">
                  <a:graphicData uri="http://schemas.microsoft.com/office/word/2010/wordprocessingShape">
                    <wps:wsp>
                      <wps:cNvSpPr/>
                      <wps:spPr>
                        <a:xfrm>
                          <a:off x="0" y="0"/>
                          <a:ext cx="2040255" cy="883920"/>
                        </a:xfrm>
                        <a:prstGeom prst="rect">
                          <a:avLst/>
                        </a:prstGeom>
                        <a:noFill/>
                        <a:ln>
                          <a:noFill/>
                        </a:ln>
                      </wps:spPr>
                      <wps:txbx>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E7FKEsAEAAF0DAAAOAAAAAAAAAAEAIAAAACgBAABkcnMvZTJvRG9jLnhtbFBLBQYAAAAABgAG&#10;AFkBAABK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1" name="椭圆 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w="12700">
                          <a:noFill/>
                        </a:ln>
                      </wps:spPr>
                      <wps:txbx>
                        <w:txbxContent>
                          <w:p/>
                        </w:txbxContent>
                      </wps:txbx>
                      <wps:bodyPr anchor="ctr" upright="1"/>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nP3xNsAAAALAQAADwAAAAAAAAABACAAAAAiAAAAZHJz&#10;L2Rvd25yZXYueG1sUEsBAhQAFAAAAAgAh07iQKAYqpjIAQAAhgMAAA4AAAAAAAAAAQAgAAAAKgEA&#10;AGRycy9lMm9Eb2MueG1sUEsFBgAAAAAGAAYAWQEAAGQFAAAAAA==&#10;">
                <v:fill on="t" focussize="0,0"/>
                <v:stroke on="f" weight="1pt"/>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944880" b="10612755"/>
                <wp:wrapNone/>
                <wp:docPr id="8" name="组合 9"/>
                <wp:cNvGraphicFramePr/>
                <a:graphic xmlns:a="http://schemas.openxmlformats.org/drawingml/2006/main">
                  <a:graphicData uri="http://schemas.microsoft.com/office/word/2010/wordprocessingGroup">
                    <wpg:wgp>
                      <wpg:cNvGrpSpPr/>
                      <wpg:grpSpPr>
                        <a:xfrm>
                          <a:off x="0" y="0"/>
                          <a:ext cx="7559675" cy="272415"/>
                          <a:chOff x="0" y="0"/>
                          <a:chExt cx="7559675" cy="272415"/>
                        </a:xfrm>
                      </wpg:grpSpPr>
                      <wps:wsp>
                        <wps:cNvPr id="6" name="矩形 6"/>
                        <wps:cNvSpPr/>
                        <wps:spPr>
                          <a:xfrm>
                            <a:off x="1483" y="16692"/>
                            <a:ext cx="1125" cy="428"/>
                          </a:xfrm>
                          <a:prstGeom prst="rect">
                            <a:avLst/>
                          </a:prstGeom>
                          <a:solidFill>
                            <a:srgbClr val="FDBC11"/>
                          </a:solidFill>
                          <a:ln w="12700">
                            <a:noFill/>
                          </a:ln>
                        </wps:spPr>
                        <wps:bodyPr anchor="ctr" upright="1"/>
                      </wps:wsp>
                      <wps:wsp>
                        <wps:cNvPr id="7" name="矩形 7"/>
                        <wps:cNvSpPr/>
                        <wps:spPr>
                          <a:xfrm>
                            <a:off x="2608" y="16693"/>
                            <a:ext cx="10780" cy="428"/>
                          </a:xfrm>
                          <a:prstGeom prst="rect">
                            <a:avLst/>
                          </a:prstGeom>
                          <a:solidFill>
                            <a:srgbClr val="1F2959"/>
                          </a:solidFill>
                          <a:ln w="12700">
                            <a:noFill/>
                          </a:ln>
                        </wps:spPr>
                        <wps:bodyPr anchor="ctr" upright="1"/>
                      </wps:wsp>
                    </wpg:wgp>
                  </a:graphicData>
                </a:graphic>
              </wp:anchor>
            </w:drawing>
          </mc:Choice>
          <mc:Fallback>
            <w:pict>
              <v:group id="组合 9" o:spid="_x0000_s1026" o:spt="203" style="position:absolute;left:0pt;margin-left:1.25pt;margin-top:821.7pt;height:21.45pt;width:595.25pt;z-index:251662336;mso-width-relative:page;mso-height-relative:page;" coordsize="7559675,272415"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1yfJdoA&#10;AAAMAQAADwAAAAAAAAABACAAAAAiAAAAZHJzL2Rvd25yZXYueG1sUEsBAhQAFAAAAAgAh07iQHND&#10;UjpWAgAAQAYAAA4AAAAAAAAAAQAgAAAAKQEAAGRycy9lMm9Eb2MueG1sUEsFBgAAAAAGAAYAWQEA&#10;APEFAAAAAA==&#10;">
                <o:lock v:ext="edit" aspectratio="f"/>
                <v:rect id="_x0000_s1026" o:spid="_x0000_s1026" o:spt="1" style="position:absolute;left:1483;top:16692;height:428;width:112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v:imagedata o:title=""/>
                  <o:lock v:ext="edit" aspectratio="f"/>
                </v:rect>
                <v:rect id="_x0000_s1026" o:spid="_x0000_s1026" o:spt="1" style="position:absolute;left:2608;top:16693;height:428;width:10780;v-text-anchor:middle;" fillcolor="#1F2959" filled="t" stroked="f" coordsize="21600,21600" o:gfxdata="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jIUwugAAANoA&#10;AAAPAAAAAAAAAAEAIAAAACIAAABkcnMvZG93bnJldi54bWxQSwECFAAUAAAACACHTuJAMy8FnjsA&#10;AAA5AAAAEAAAAAAAAAABACAAAAAJAQAAZHJzL3NoYXBleG1sLnhtbFBLBQYAAAAABgAGAFsBAACz&#10;AwAAAAA=&#10;">
                  <v:fill on="t" focussize="0,0"/>
                  <v:stroke on="f" weight="1pt"/>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9"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wps:spPr>
                      <wps:txbx>
                        <w:txbxContent>
                          <w:p/>
                        </w:txbxContent>
                      </wps:txbx>
                      <wps:bodyPr wrap="none" upright="1">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ZBfR2wAAAAwBAAAPAAAAAAAAAAEAIAAAACIAAABkcnMvZG93bnJldi54bWxQSwEC&#10;FAAUAAAACACHTuJAsGbtX7gBAABoAwAADgAAAAAAAAABACAAAAAqAQAAZHJzL2Uyb0RvYy54bWxQ&#10;SwUGAAAAAAYABgBZAQAAVAU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jc w:val="cente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年度朱杖子乡部门</w:t>
      </w:r>
    </w:p>
    <w:p>
      <w:pPr>
        <w:jc w:val="center"/>
        <w:rPr>
          <w:rFonts w:ascii="黑体" w:hAnsi="黑体" w:eastAsia="黑体" w:cs="黑体"/>
          <w:b/>
          <w:bCs/>
          <w:sz w:val="72"/>
          <w:szCs w:val="96"/>
        </w:rPr>
      </w:pPr>
      <w:r>
        <w:rPr>
          <w:rFonts w:hint="eastAsia" w:ascii="黑体" w:hAnsi="黑体" w:eastAsia="黑体" w:cs="黑体"/>
          <w:b/>
          <w:bCs/>
          <w:sz w:val="72"/>
          <w:szCs w:val="96"/>
        </w:rPr>
        <w:t>决算公开</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ind w:firstLine="1320" w:firstLineChars="300"/>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青龙满族自治县朱杖子乡人民政府</w:t>
      </w:r>
    </w:p>
    <w:p>
      <w:pPr>
        <w:snapToGrid w:val="0"/>
        <w:jc w:val="center"/>
        <w:rPr>
          <w:rFonts w:ascii="楷体_GB2312" w:hAnsi="楷体_GB2312" w:eastAsia="楷体_GB2312" w:cs="楷体_GB2312"/>
          <w:color w:val="000000"/>
          <w:kern w:val="0"/>
          <w:sz w:val="44"/>
          <w:szCs w:val="44"/>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二〇二〇年十月</w:t>
      </w: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3" name="文本框 1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upright="1"/>
                    </wps:wsp>
                  </a:graphicData>
                </a:graphic>
              </wp:anchor>
            </w:drawing>
          </mc:Choice>
          <mc:Fallback>
            <w:pict>
              <v:shape id="_x0000_s1026"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YTMp3AAAAA0BAAAPAAAAAAAAAAEAIAAAACIAAABkcnMvZG93&#10;bnJldi54bWxQSwECFAAUAAAACACHTuJAFoH9PjUCAACQBAAADgAAAAAAAAABACAAAAArAQAAZHJz&#10;L2Uyb0RvYy54bWxQSwUGAAAAAAYABgBZAQAA0gUAAAAA&#10;">
                <v:fill type="pattern" on="t" color2="#FFFFFF" o:title="5%" focussize="0,0" r:id="rId22"/>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pPr>
        <w:pStyle w:val="2"/>
        <w:spacing w:before="0" w:after="0" w:line="56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before="100" w:beforeAutospacing="1" w:line="520" w:lineRule="exact"/>
        <w:ind w:firstLine="641"/>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一</w:t>
      </w:r>
      <w:r>
        <w:rPr>
          <w:rFonts w:ascii="仿宋_GB2312" w:hAnsi="仿宋" w:eastAsia="仿宋_GB2312"/>
          <w:sz w:val="32"/>
          <w:szCs w:val="32"/>
        </w:rPr>
        <w:t>)</w:t>
      </w:r>
      <w:r>
        <w:rPr>
          <w:rFonts w:hint="eastAsia" w:ascii="仿宋_GB2312" w:hAnsi="仿宋" w:eastAsia="仿宋_GB2312"/>
          <w:sz w:val="32"/>
          <w:szCs w:val="32"/>
        </w:rPr>
        <w:t>乡镇党政机构主要工作职责</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党政办公室：承担民主政治、精神文明建设及党政日常事务职责。</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社会事务办公室：承担发展社会事业和加强社会管理职责。</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经济发展办公室：承担组织制定产业发展规划、指导农村产业结构调整和农业产业化职责；营造良好投资环境，负责招商引资和项目建设工作；发展旅游业、服务业、壮大第二、第三产业。负责编制年度财政预（决）算草案并组织实施，管理预算内外资金的收支活动；负责管理和监督乡镇各单位行政事业经费和上级拨付的各项专项资金，负责乡镇统计工作。</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综合治理办公室：承担社会治安综合治理和司法行政工作职责。</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人口和计划生育办公室：承担人口和计划生育政策法规、行政管理和计生协会工作职责。</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城镇规划建设办公室：负责村镇规划、建设、管理工作，加强基础设施建设，推进城乡一体化进程，搞好社会主义新农村建设工作；负责村镇容貌、环境卫生管理等工作。</w:t>
      </w:r>
    </w:p>
    <w:p>
      <w:pPr>
        <w:spacing w:before="100" w:beforeAutospacing="1" w:line="520" w:lineRule="exact"/>
        <w:ind w:firstLine="641"/>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二）乡镇事业单位主要工作职能</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农村经济管理站：负责村级财务管理工作，实行资金、账目双代管；负责调解农村土地承包合同纠纷；负责推动和引导农村经济合作组织的发展，提高农村生产组织化程度；增强农村集体组织经济实力，大力发展民营经济，培育和发展农民专业合作组织和中介组织。</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公共事务服务站：负责辖区内农民工求职登记、职业介绍、职业培训等就业服务工作；负责新型农村养老保险、农村合作医疗、文化广播和体育等服务工作；负责安全生产监督管理工作。</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农业综合服务站：负责种植业、畜牧业、林果业、农业机械、水利等技术推广服务工作。组织农业公共信息及培训教育、技术咨询等服务；组织农业病虫害、农业灾害的监测、预报、防治和处理；组织实施农作物、畜牧养殖、森林植物、果品、花卉、种苗及水生植物检疫防疫；组织护林防火、生态公益林管护及野生动植物、森林、湿地资源及农业环境的保护；负责农机安全生产监督管理和农业机械管理；组织协调水资源管理、监测、保护、节约和防汛抗旱技术服务工作，维护农村饮水安全，组织协调农业水利基本建设和水土保持。</w:t>
      </w:r>
    </w:p>
    <w:p>
      <w:pPr>
        <w:spacing w:before="100" w:beforeAutospacing="1" w:line="520" w:lineRule="exact"/>
        <w:ind w:firstLine="641"/>
        <w:rPr>
          <w:rFonts w:ascii="仿宋_GB2312" w:hAnsi="仿宋" w:eastAsia="仿宋_GB2312"/>
          <w:sz w:val="32"/>
          <w:szCs w:val="32"/>
        </w:rPr>
      </w:pPr>
      <w:r>
        <w:rPr>
          <w:rFonts w:hint="eastAsia" w:ascii="仿宋_GB2312" w:hAnsi="仿宋" w:eastAsia="仿宋_GB2312"/>
          <w:sz w:val="32"/>
          <w:szCs w:val="32"/>
        </w:rPr>
        <w:t>人口和计划生育服务站：负责计划生育宣传、统计工作；负责计划生育“四术”及生殖健康服务工作；负责计生药具管理工作。</w:t>
      </w:r>
    </w:p>
    <w:p>
      <w:pPr>
        <w:spacing w:before="100" w:beforeAutospacing="1" w:line="560" w:lineRule="exact"/>
        <w:rPr>
          <w:rFonts w:ascii="宋体" w:eastAsia="宋体"/>
          <w:sz w:val="32"/>
          <w:szCs w:val="32"/>
        </w:rPr>
        <w:sectPr>
          <w:headerReference r:id="rId15" w:type="first"/>
          <w:footerReference r:id="rId18" w:type="first"/>
          <w:headerReference r:id="rId13" w:type="default"/>
          <w:footerReference r:id="rId16" w:type="default"/>
          <w:headerReference r:id="rId14" w:type="even"/>
          <w:footerReference r:id="rId17" w:type="even"/>
          <w:pgSz w:w="11906" w:h="16838"/>
          <w:pgMar w:top="1361" w:right="1021" w:bottom="1361" w:left="1021" w:header="851" w:footer="992" w:gutter="0"/>
          <w:cols w:space="425" w:num="1"/>
          <w:docGrid w:type="lines" w:linePitch="435" w:charSpace="0"/>
        </w:sect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 xml:space="preserve"> 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943"/>
        <w:gridCol w:w="198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943"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198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943"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青龙满族自治县朱杖子乡人民政府</w:t>
            </w:r>
          </w:p>
        </w:tc>
        <w:tc>
          <w:tcPr>
            <w:tcW w:w="198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txb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wps:txbx>
                      <wps:bodyPr upright="1"/>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uj5PeAAAADQEAAA8AAAAAAAAAAQAgAAAAIgAAAGRycy9kb3ducmV2LnhtbFBL&#10;AQIUABQAAAAIAIdO4kBcKywCtwEAAFoDAAAOAAAAAAAAAAEAIAAAAC0BAABkcnMvZTJvRG9jLnht&#10;bFBLBQYAAAAABgAGAFkBAABWBQAAAAA=&#10;">
                <v:fill on="f" focussize="0,0"/>
                <v:stroke on="f" weight="0.5pt"/>
                <v:imagedata o:title=""/>
                <o:lock v:ext="edit" aspectratio="f"/>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mc:Fallback>
        </mc:AlternateContent>
      </w:r>
    </w:p>
    <w:p>
      <w:pPr>
        <w:widowControl/>
        <w:spacing w:line="580" w:lineRule="exact"/>
        <w:ind w:firstLine="640" w:firstLineChars="200"/>
        <w:rPr>
          <w:rFonts w:eastAsia="黑体"/>
          <w:sz w:val="32"/>
          <w:szCs w:val="32"/>
        </w:rPr>
      </w:pPr>
    </w:p>
    <w:p>
      <w:pPr>
        <w:rPr>
          <w:rFonts w:ascii="黑体" w:hAnsi="黑体" w:eastAsia="黑体" w:cs="黑体"/>
          <w:sz w:val="56"/>
          <w:szCs w:val="72"/>
        </w:rPr>
      </w:pPr>
      <w: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wps:txbx>
                      <wps:bodyPr anchor="ctr" upright="1"/>
                    </wps:wsp>
                  </a:graphicData>
                </a:graphic>
              </wp:anchor>
            </w:drawing>
          </mc:Choice>
          <mc:Fallback>
            <w:pict>
              <v:shape id="_x0000_s1026"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z4toAAAALAQAADwAAAAAAAAABACAAAAAiAAAAZHJzL2Rvd25y&#10;ZXYueG1sUEsBAhQAFAAAAAgAh07iQDyNcuE1AgAAjwQAAA4AAAAAAAAAAQAgAAAAKQEAAGRycy9l&#10;Mm9Eb2MueG1sUEsFBgAAAAAGAAYAWQEAANAFAAAAAA==&#10;">
                <v:fill type="pattern" on="t" color2="#FFFFFF" o:title="5%" focussize="0,0" r:id="rId22"/>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年度收入</w:t>
      </w:r>
      <w:r>
        <w:rPr>
          <w:rFonts w:ascii="仿宋_GB2312" w:hAnsi="Times New Roman" w:eastAsia="仿宋_GB2312" w:cs="DengXian-Regular"/>
          <w:sz w:val="32"/>
          <w:szCs w:val="32"/>
        </w:rPr>
        <w:t>849.70</w:t>
      </w:r>
      <w:r>
        <w:rPr>
          <w:rFonts w:hint="eastAsia" w:ascii="仿宋_GB2312" w:hAnsi="Times New Roman" w:eastAsia="仿宋_GB2312" w:cs="DengXian-Regular"/>
          <w:sz w:val="32"/>
          <w:szCs w:val="32"/>
        </w:rPr>
        <w:t>万元，支出总计</w:t>
      </w:r>
      <w:r>
        <w:rPr>
          <w:rFonts w:ascii="仿宋_GB2312" w:hAnsi="Times New Roman" w:eastAsia="仿宋_GB2312" w:cs="DengXian-Regular"/>
          <w:sz w:val="32"/>
          <w:szCs w:val="32"/>
        </w:rPr>
        <w:t>743.11</w:t>
      </w:r>
      <w:r>
        <w:rPr>
          <w:rFonts w:hint="eastAsia" w:ascii="仿宋_GB2312" w:hAnsi="Times New Roman" w:eastAsia="仿宋_GB2312" w:cs="DengXian-Regular"/>
          <w:sz w:val="32"/>
          <w:szCs w:val="32"/>
        </w:rPr>
        <w:t>万元，结余</w:t>
      </w:r>
      <w:r>
        <w:rPr>
          <w:rFonts w:ascii="仿宋_GB2312" w:hAnsi="Times New Roman" w:eastAsia="仿宋_GB2312" w:cs="DengXian-Regular"/>
          <w:sz w:val="32"/>
          <w:szCs w:val="32"/>
        </w:rPr>
        <w:t>106.59</w:t>
      </w:r>
      <w:r>
        <w:rPr>
          <w:rFonts w:hint="eastAsia" w:ascii="仿宋_GB2312" w:hAnsi="Times New Roman" w:eastAsia="仿宋_GB2312" w:cs="DengXian-Regular"/>
          <w:sz w:val="32"/>
          <w:szCs w:val="32"/>
        </w:rPr>
        <w:t>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年度决算相比，收入增加</w:t>
      </w:r>
      <w:r>
        <w:rPr>
          <w:rFonts w:ascii="仿宋_GB2312" w:hAnsi="Times New Roman" w:eastAsia="仿宋_GB2312" w:cs="DengXian-Regular"/>
          <w:sz w:val="32"/>
          <w:szCs w:val="32"/>
        </w:rPr>
        <w:t>15</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，主要原因是增加人员经费；与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年度决算相比，支出减少</w:t>
      </w:r>
      <w:r>
        <w:rPr>
          <w:rFonts w:ascii="仿宋_GB2312" w:hAnsi="Times New Roman" w:eastAsia="仿宋_GB2312" w:cs="DengXian-Regular"/>
          <w:sz w:val="32"/>
          <w:szCs w:val="32"/>
        </w:rPr>
        <w:t>91.68</w:t>
      </w:r>
      <w:r>
        <w:rPr>
          <w:rFonts w:hint="eastAsia" w:ascii="仿宋_GB2312" w:hAnsi="Times New Roman" w:eastAsia="仿宋_GB2312" w:cs="DengXian-Regular"/>
          <w:sz w:val="32"/>
          <w:szCs w:val="32"/>
        </w:rPr>
        <w:t>万元，减少</w:t>
      </w:r>
      <w:r>
        <w:rPr>
          <w:rFonts w:ascii="仿宋_GB2312" w:hAnsi="Times New Roman" w:eastAsia="仿宋_GB2312" w:cs="DengXian-Regular"/>
          <w:sz w:val="32"/>
          <w:szCs w:val="32"/>
        </w:rPr>
        <w:t>10.78%</w:t>
      </w:r>
      <w:r>
        <w:rPr>
          <w:rFonts w:hint="eastAsia" w:ascii="仿宋_GB2312" w:hAnsi="Times New Roman" w:eastAsia="仿宋_GB2312" w:cs="DengXian-Regular"/>
          <w:sz w:val="32"/>
          <w:szCs w:val="32"/>
        </w:rPr>
        <w:t>，主要原因是主要是压减机关运行经费，部分经费年底前未支出。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w:t>
      </w:r>
      <w:r>
        <w:rPr>
          <w:rFonts w:ascii="仿宋_GB2312" w:hAnsi="Times New Roman" w:eastAsia="仿宋_GB2312" w:cs="DengXian-Regular"/>
          <w:sz w:val="32"/>
          <w:szCs w:val="32"/>
        </w:rPr>
        <w:t>849.70</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849.70</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ascii="仿宋_GB2312" w:hAnsi="Times New Roman" w:eastAsia="仿宋_GB2312" w:cs="DengXian-Regular"/>
          <w:sz w:val="32"/>
          <w:szCs w:val="32"/>
        </w:rPr>
        <w:t>743.11</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622.98</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83.83%</w:t>
      </w:r>
      <w:r>
        <w:rPr>
          <w:rFonts w:hint="eastAsia" w:ascii="仿宋_GB2312" w:hAnsi="Times New Roman" w:eastAsia="仿宋_GB2312" w:cs="DengXian-Regular"/>
          <w:sz w:val="32"/>
          <w:szCs w:val="32"/>
        </w:rPr>
        <w:t>；项目支出</w:t>
      </w:r>
      <w:r>
        <w:rPr>
          <w:rFonts w:ascii="仿宋_GB2312" w:hAnsi="Times New Roman" w:eastAsia="仿宋_GB2312" w:cs="DengXian-Regular"/>
          <w:sz w:val="32"/>
          <w:szCs w:val="32"/>
        </w:rPr>
        <w:t>120.13</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16.17%</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420" w:firstLineChars="200"/>
        <w:rPr>
          <w:rFonts w:hint="eastAsia" w:ascii="仿宋_GB2312" w:hAnsi="Times New Roman" w:eastAsia="仿宋_GB2312" w:cs="DengXian-Regular"/>
          <w:sz w:val="32"/>
          <w:szCs w:val="32"/>
        </w:rPr>
      </w:pPr>
      <w:r>
        <w:drawing>
          <wp:anchor distT="0" distB="0" distL="114300" distR="114300" simplePos="0" relativeHeight="251672576" behindDoc="0" locked="0" layoutInCell="1" allowOverlap="1">
            <wp:simplePos x="0" y="0"/>
            <wp:positionH relativeFrom="column">
              <wp:posOffset>569595</wp:posOffset>
            </wp:positionH>
            <wp:positionV relativeFrom="paragraph">
              <wp:posOffset>71755</wp:posOffset>
            </wp:positionV>
            <wp:extent cx="4629150" cy="2781300"/>
            <wp:effectExtent l="0" t="0" r="0" b="0"/>
            <wp:wrapSquare wrapText="bothSides"/>
            <wp:docPr id="18"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1"/>
                    <pic:cNvPicPr>
                      <a:picLocks noChangeAspect="1"/>
                    </pic:cNvPicPr>
                  </pic:nvPicPr>
                  <pic:blipFill>
                    <a:blip r:embed="rId23"/>
                    <a:stretch>
                      <a:fillRect/>
                    </a:stretch>
                  </pic:blipFill>
                  <pic:spPr>
                    <a:xfrm>
                      <a:off x="0" y="0"/>
                      <a:ext cx="4629150" cy="2781300"/>
                    </a:xfrm>
                    <a:prstGeom prst="rect">
                      <a:avLst/>
                    </a:prstGeom>
                    <a:noFill/>
                    <a:ln>
                      <a:noFill/>
                    </a:ln>
                  </pic:spPr>
                </pic:pic>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ascii="仿宋_GB2312" w:hAnsi="Times New Roman" w:eastAsia="仿宋_GB2312" w:cs="DengXian-Regular"/>
          <w:sz w:val="32"/>
          <w:szCs w:val="32"/>
        </w:rPr>
        <w:t>849.7</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ascii="仿宋_GB2312" w:hAnsi="Times New Roman" w:eastAsia="仿宋_GB2312" w:cs="DengXian-Regular"/>
          <w:sz w:val="32"/>
          <w:szCs w:val="32"/>
        </w:rPr>
        <w:t>15</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，主要是增加人员经费；本年支出</w:t>
      </w:r>
      <w:r>
        <w:rPr>
          <w:rFonts w:ascii="仿宋_GB2312" w:hAnsi="Times New Roman" w:eastAsia="仿宋_GB2312" w:cs="DengXian-Regular"/>
          <w:sz w:val="32"/>
          <w:szCs w:val="32"/>
        </w:rPr>
        <w:t>743.11</w:t>
      </w:r>
      <w:r>
        <w:rPr>
          <w:rFonts w:hint="eastAsia" w:ascii="仿宋_GB2312" w:hAnsi="Times New Roman" w:eastAsia="仿宋_GB2312" w:cs="DengXian-Regular"/>
          <w:sz w:val="32"/>
          <w:szCs w:val="32"/>
        </w:rPr>
        <w:t>万元，减少</w:t>
      </w:r>
      <w:r>
        <w:rPr>
          <w:rFonts w:ascii="仿宋_GB2312" w:hAnsi="Times New Roman" w:eastAsia="仿宋_GB2312" w:cs="DengXian-Regular"/>
          <w:sz w:val="32"/>
          <w:szCs w:val="32"/>
        </w:rPr>
        <w:t>91.68</w:t>
      </w:r>
      <w:r>
        <w:rPr>
          <w:rFonts w:hint="eastAsia" w:ascii="仿宋_GB2312" w:hAnsi="Times New Roman" w:eastAsia="仿宋_GB2312" w:cs="DengXian-Regular"/>
          <w:sz w:val="32"/>
          <w:szCs w:val="32"/>
        </w:rPr>
        <w:t>万元，降低</w:t>
      </w:r>
      <w:r>
        <w:rPr>
          <w:rFonts w:ascii="仿宋_GB2312" w:hAnsi="Times New Roman" w:eastAsia="仿宋_GB2312" w:cs="DengXian-Regular"/>
          <w:sz w:val="32"/>
          <w:szCs w:val="32"/>
        </w:rPr>
        <w:t>10.78%</w:t>
      </w:r>
      <w:r>
        <w:rPr>
          <w:rFonts w:hint="eastAsia" w:ascii="仿宋_GB2312" w:hAnsi="Times New Roman" w:eastAsia="仿宋_GB2312" w:cs="DengXian-Regular"/>
          <w:sz w:val="32"/>
          <w:szCs w:val="32"/>
        </w:rPr>
        <w:t>，主要是压减机关运行经费，部分经费年底前未支出。</w:t>
      </w:r>
    </w:p>
    <w:p>
      <w:pPr>
        <w:adjustRightInd w:val="0"/>
        <w:snapToGrid w:val="0"/>
        <w:spacing w:line="580" w:lineRule="exact"/>
        <w:ind w:firstLine="420" w:firstLineChars="200"/>
        <w:rPr>
          <w:rFonts w:ascii="仿宋_GB2312" w:hAnsi="Times New Roman" w:eastAsia="仿宋_GB2312" w:cs="DengXian-Bold"/>
          <w:b/>
          <w:bCs/>
          <w:sz w:val="32"/>
          <w:szCs w:val="32"/>
        </w:rPr>
      </w:pPr>
      <w:r>
        <w:drawing>
          <wp:anchor distT="0" distB="0" distL="114300" distR="114300" simplePos="0" relativeHeight="251673600" behindDoc="0" locked="0" layoutInCell="1" allowOverlap="1">
            <wp:simplePos x="0" y="0"/>
            <wp:positionH relativeFrom="column">
              <wp:posOffset>115570</wp:posOffset>
            </wp:positionH>
            <wp:positionV relativeFrom="paragraph">
              <wp:posOffset>239395</wp:posOffset>
            </wp:positionV>
            <wp:extent cx="4781550" cy="3048000"/>
            <wp:effectExtent l="0" t="0" r="0" b="0"/>
            <wp:wrapTopAndBottom/>
            <wp:docPr id="19" name="图片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2"/>
                    <pic:cNvPicPr>
                      <a:picLocks noChangeAspect="1"/>
                    </pic:cNvPicPr>
                  </pic:nvPicPr>
                  <pic:blipFill>
                    <a:blip r:embed="rId24"/>
                    <a:stretch>
                      <a:fillRect/>
                    </a:stretch>
                  </pic:blipFill>
                  <pic:spPr>
                    <a:xfrm>
                      <a:off x="0" y="0"/>
                      <a:ext cx="4781550" cy="3048000"/>
                    </a:xfrm>
                    <a:prstGeom prst="rect">
                      <a:avLst/>
                    </a:prstGeom>
                    <a:noFill/>
                    <a:ln>
                      <a:noFill/>
                    </a:ln>
                  </pic:spPr>
                </pic:pic>
              </a:graphicData>
            </a:graphic>
          </wp:anchor>
        </w:drawing>
      </w: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w:t>
      </w:r>
      <w:r>
        <w:rPr>
          <w:rFonts w:ascii="仿宋_GB2312" w:hAnsi="Times New Roman" w:eastAsia="仿宋_GB2312" w:cs="DengXian-Regular"/>
          <w:sz w:val="32"/>
          <w:szCs w:val="32"/>
        </w:rPr>
        <w:t>849.7</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114.27%,</w:t>
      </w:r>
      <w:r>
        <w:rPr>
          <w:rFonts w:hint="eastAsia" w:ascii="仿宋_GB2312" w:hAnsi="Times New Roman" w:eastAsia="仿宋_GB2312" w:cs="DengXian-Regular"/>
          <w:sz w:val="32"/>
          <w:szCs w:val="32"/>
        </w:rPr>
        <w:t>比年初预算增加</w:t>
      </w:r>
      <w:r>
        <w:rPr>
          <w:rFonts w:ascii="仿宋_GB2312" w:hAnsi="Times New Roman" w:eastAsia="仿宋_GB2312" w:cs="DengXian-Regular"/>
          <w:sz w:val="32"/>
          <w:szCs w:val="32"/>
        </w:rPr>
        <w:t>106.1</w:t>
      </w:r>
      <w:r>
        <w:rPr>
          <w:rFonts w:hint="eastAsia" w:ascii="仿宋_GB2312" w:hAnsi="Times New Roman" w:eastAsia="仿宋_GB2312" w:cs="DengXian-Regular"/>
          <w:sz w:val="32"/>
          <w:szCs w:val="32"/>
        </w:rPr>
        <w:t>万元，决算数大于预算数主要原因是增加人员经费；本年支出</w:t>
      </w:r>
      <w:r>
        <w:rPr>
          <w:rFonts w:ascii="仿宋_GB2312" w:hAnsi="Times New Roman" w:eastAsia="仿宋_GB2312" w:cs="DengXian-Regular"/>
          <w:sz w:val="32"/>
          <w:szCs w:val="32"/>
        </w:rPr>
        <w:t>743.11</w:t>
      </w:r>
      <w:r>
        <w:rPr>
          <w:rFonts w:hint="eastAsia" w:ascii="仿宋_GB2312" w:hAnsi="Times New Roman" w:eastAsia="仿宋_GB2312" w:cs="DengXian-Regular"/>
          <w:sz w:val="32"/>
          <w:szCs w:val="32"/>
        </w:rPr>
        <w:t>万元，完成年初预算的</w:t>
      </w:r>
      <w:r>
        <w:rPr>
          <w:rFonts w:ascii="仿宋_GB2312" w:hAnsi="Times New Roman" w:eastAsia="仿宋_GB2312" w:cs="DengXian-Regular"/>
          <w:sz w:val="32"/>
          <w:szCs w:val="32"/>
        </w:rPr>
        <w:t>99.93%,</w:t>
      </w:r>
      <w:r>
        <w:rPr>
          <w:rFonts w:hint="eastAsia" w:ascii="仿宋_GB2312" w:hAnsi="Times New Roman" w:eastAsia="仿宋_GB2312" w:cs="DengXian-Regular"/>
          <w:sz w:val="32"/>
          <w:szCs w:val="32"/>
        </w:rPr>
        <w:t>比年初预算减少</w:t>
      </w:r>
      <w:r>
        <w:rPr>
          <w:rFonts w:ascii="仿宋_GB2312" w:hAnsi="Times New Roman" w:eastAsia="仿宋_GB2312" w:cs="DengXian-Regular"/>
          <w:sz w:val="32"/>
          <w:szCs w:val="32"/>
        </w:rPr>
        <w:t>0.49</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主要是</w:t>
      </w:r>
      <w:r>
        <w:rPr>
          <w:rFonts w:hint="eastAsia" w:ascii="仿宋_GB2312" w:hAnsi="Times New Roman" w:eastAsia="仿宋_GB2312" w:cs="DengXian-Regular"/>
          <w:sz w:val="32"/>
          <w:szCs w:val="32"/>
        </w:rPr>
        <w:t>压减机关运行经费，部分经费年底前未支出。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hint="eastAsia"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ascii="仿宋_GB2312" w:hAnsi="Times New Roman" w:eastAsia="仿宋_GB2312" w:cs="DengXian-Regular"/>
          <w:sz w:val="32"/>
          <w:szCs w:val="32"/>
        </w:rPr>
        <w:t>743.11</w:t>
      </w:r>
      <w:r>
        <w:rPr>
          <w:rFonts w:hint="eastAsia" w:ascii="仿宋_GB2312" w:hAnsi="Times New Roman" w:eastAsia="仿宋_GB2312" w:cs="DengXian-Regular"/>
          <w:sz w:val="32"/>
          <w:szCs w:val="32"/>
        </w:rPr>
        <w:t>万元，主要用于以下方面一般公共服务（类）支出</w:t>
      </w:r>
      <w:r>
        <w:rPr>
          <w:rFonts w:ascii="仿宋_GB2312" w:hAnsi="Times New Roman" w:eastAsia="仿宋_GB2312" w:cs="DengXian-Regular"/>
          <w:sz w:val="32"/>
          <w:szCs w:val="32"/>
        </w:rPr>
        <w:t>273.97</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36.9%</w:t>
      </w:r>
      <w:r>
        <w:rPr>
          <w:rFonts w:hint="eastAsia" w:ascii="仿宋_GB2312" w:hAnsi="Times New Roman" w:eastAsia="仿宋_GB2312" w:cs="DengXian-Regular"/>
          <w:sz w:val="32"/>
          <w:szCs w:val="32"/>
        </w:rPr>
        <w:t>，；社会保障和就业（类）支出</w:t>
      </w:r>
      <w:r>
        <w:rPr>
          <w:rFonts w:ascii="仿宋_GB2312" w:hAnsi="Times New Roman" w:eastAsia="仿宋_GB2312" w:cs="DengXian-Regular"/>
          <w:sz w:val="32"/>
          <w:szCs w:val="32"/>
        </w:rPr>
        <w:t xml:space="preserve"> 100.54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13.53%</w:t>
      </w:r>
      <w:r>
        <w:rPr>
          <w:rFonts w:hint="eastAsia" w:ascii="仿宋_GB2312" w:hAnsi="Times New Roman" w:eastAsia="仿宋_GB2312" w:cs="DengXian-Regular"/>
          <w:sz w:val="32"/>
          <w:szCs w:val="32"/>
        </w:rPr>
        <w:t>；卫生健康（类）支出</w:t>
      </w:r>
      <w:r>
        <w:rPr>
          <w:rFonts w:ascii="仿宋_GB2312" w:hAnsi="Times New Roman" w:eastAsia="仿宋_GB2312" w:cs="DengXian-Regular"/>
          <w:sz w:val="32"/>
          <w:szCs w:val="32"/>
        </w:rPr>
        <w:t>36.64</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；节能环保（类）支出</w:t>
      </w:r>
      <w:r>
        <w:rPr>
          <w:rFonts w:ascii="仿宋_GB2312" w:hAnsi="Times New Roman" w:eastAsia="仿宋_GB2312" w:cs="DengXian-Regular"/>
          <w:sz w:val="32"/>
          <w:szCs w:val="32"/>
        </w:rPr>
        <w:t>52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6.99%</w:t>
      </w:r>
      <w:r>
        <w:rPr>
          <w:rFonts w:hint="eastAsia" w:ascii="仿宋_GB2312" w:hAnsi="Times New Roman" w:eastAsia="仿宋_GB2312" w:cs="DengXian-Regular"/>
          <w:sz w:val="32"/>
          <w:szCs w:val="32"/>
        </w:rPr>
        <w:t>；农林水（类）支出</w:t>
      </w:r>
      <w:r>
        <w:rPr>
          <w:rFonts w:ascii="仿宋_GB2312" w:hAnsi="Times New Roman" w:eastAsia="仿宋_GB2312" w:cs="DengXian-Regular"/>
          <w:sz w:val="32"/>
          <w:szCs w:val="32"/>
        </w:rPr>
        <w:t>263.74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35.4%</w:t>
      </w:r>
      <w:r>
        <w:rPr>
          <w:rFonts w:hint="eastAsia" w:ascii="仿宋_GB2312" w:hAnsi="Times New Roman" w:eastAsia="仿宋_GB2312" w:cs="DengXian-Regular"/>
          <w:sz w:val="32"/>
          <w:szCs w:val="32"/>
        </w:rPr>
        <w:t>；住房保障（类）支出</w:t>
      </w:r>
      <w:r>
        <w:rPr>
          <w:rFonts w:ascii="仿宋_GB2312" w:hAnsi="Times New Roman" w:eastAsia="仿宋_GB2312" w:cs="DengXian-Regular"/>
          <w:sz w:val="32"/>
          <w:szCs w:val="32"/>
        </w:rPr>
        <w:t>16.22</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 xml:space="preserve"> 2.18%</w:t>
      </w:r>
      <w:r>
        <w:rPr>
          <w:rFonts w:hint="eastAsia" w:ascii="仿宋_GB2312" w:hAnsi="Times New Roman" w:eastAsia="仿宋_GB2312" w:cs="DengXian-Regular"/>
          <w:sz w:val="32"/>
          <w:szCs w:val="32"/>
        </w:rPr>
        <w:t>。</w:t>
      </w:r>
    </w:p>
    <w:p>
      <w:pPr>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inline distT="0" distB="0" distL="114300" distR="114300">
            <wp:extent cx="4572635" cy="2746375"/>
            <wp:effectExtent l="4445" t="4445" r="13970" b="11430"/>
            <wp:docPr id="20" name="图片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ascii="仿宋_GB2312" w:hAnsi="Times New Roman" w:eastAsia="仿宋_GB2312" w:cs="DengXian-Regular"/>
          <w:sz w:val="32"/>
          <w:szCs w:val="32"/>
        </w:rPr>
        <w:t>622.98</w:t>
      </w:r>
      <w:r>
        <w:rPr>
          <w:rFonts w:hint="eastAsia" w:ascii="仿宋_GB2312" w:hAnsi="Times New Roman" w:eastAsia="仿宋_GB2312" w:cs="DengXian-Regular"/>
          <w:sz w:val="32"/>
          <w:szCs w:val="32"/>
        </w:rPr>
        <w:t>万元，其中：人员经费</w:t>
      </w:r>
      <w:r>
        <w:rPr>
          <w:rFonts w:ascii="仿宋_GB2312" w:hAnsi="Times New Roman" w:eastAsia="仿宋_GB2312" w:cs="DengXian-Regular"/>
          <w:sz w:val="32"/>
          <w:szCs w:val="32"/>
        </w:rPr>
        <w:t xml:space="preserve"> 575.10</w:t>
      </w:r>
      <w:r>
        <w:rPr>
          <w:rFonts w:hint="eastAsia" w:ascii="仿宋_GB2312" w:hAnsi="Times New Roman" w:eastAsia="仿宋_GB2312" w:cs="DengXian-Regular"/>
          <w:sz w:val="32"/>
          <w:szCs w:val="32"/>
        </w:rPr>
        <w:t>万元，主要包括基本工资</w:t>
      </w:r>
      <w:r>
        <w:rPr>
          <w:rFonts w:hint="eastAsia" w:ascii="仿宋_GB2312" w:hAnsi="Times New Roman" w:eastAsia="仿宋_GB2312" w:cs="DengXian-Regular"/>
          <w:sz w:val="32"/>
          <w:szCs w:val="32"/>
          <w:lang w:val="en-US" w:eastAsia="zh-CN"/>
        </w:rPr>
        <w:t>310.02万元</w:t>
      </w:r>
      <w:r>
        <w:rPr>
          <w:rFonts w:hint="eastAsia" w:ascii="仿宋_GB2312" w:hAnsi="Times New Roman" w:eastAsia="仿宋_GB2312" w:cs="DengXian-Regular"/>
          <w:sz w:val="32"/>
          <w:szCs w:val="32"/>
        </w:rPr>
        <w:t>、津贴补贴</w:t>
      </w:r>
      <w:r>
        <w:rPr>
          <w:rFonts w:hint="eastAsia" w:ascii="仿宋_GB2312" w:hAnsi="Times New Roman" w:eastAsia="仿宋_GB2312" w:cs="DengXian-Regular"/>
          <w:sz w:val="32"/>
          <w:szCs w:val="32"/>
          <w:lang w:val="en-US" w:eastAsia="zh-CN"/>
        </w:rPr>
        <w:t>52.23万元</w:t>
      </w:r>
      <w:r>
        <w:rPr>
          <w:rFonts w:hint="eastAsia" w:ascii="仿宋_GB2312" w:hAnsi="Times New Roman" w:eastAsia="仿宋_GB2312" w:cs="DengXian-Regular"/>
          <w:sz w:val="32"/>
          <w:szCs w:val="32"/>
        </w:rPr>
        <w:t>、奖金</w:t>
      </w:r>
      <w:r>
        <w:rPr>
          <w:rFonts w:hint="eastAsia" w:ascii="仿宋_GB2312" w:hAnsi="Times New Roman" w:eastAsia="仿宋_GB2312" w:cs="DengXian-Regular"/>
          <w:sz w:val="32"/>
          <w:szCs w:val="32"/>
          <w:lang w:val="en-US" w:eastAsia="zh-CN"/>
        </w:rPr>
        <w:t>2.44万元</w:t>
      </w:r>
      <w:r>
        <w:rPr>
          <w:rFonts w:hint="eastAsia" w:ascii="仿宋_GB2312" w:hAnsi="Times New Roman" w:eastAsia="仿宋_GB2312" w:cs="DengXian-Regular"/>
          <w:sz w:val="32"/>
          <w:szCs w:val="32"/>
        </w:rPr>
        <w:t>、绩效工资</w:t>
      </w:r>
      <w:r>
        <w:rPr>
          <w:rFonts w:hint="eastAsia" w:ascii="仿宋_GB2312" w:hAnsi="Times New Roman" w:eastAsia="仿宋_GB2312" w:cs="DengXian-Regular"/>
          <w:sz w:val="32"/>
          <w:szCs w:val="32"/>
          <w:lang w:val="en-US" w:eastAsia="zh-CN"/>
        </w:rPr>
        <w:t>54.59晚宴</w:t>
      </w:r>
      <w:r>
        <w:rPr>
          <w:rFonts w:hint="eastAsia" w:ascii="仿宋_GB2312" w:hAnsi="Times New Roman" w:eastAsia="仿宋_GB2312" w:cs="DengXian-Regular"/>
          <w:sz w:val="32"/>
          <w:szCs w:val="32"/>
        </w:rPr>
        <w:t>、机关事业单位基本养老保险缴费</w:t>
      </w:r>
      <w:r>
        <w:rPr>
          <w:rFonts w:hint="eastAsia" w:ascii="仿宋_GB2312" w:hAnsi="Times New Roman" w:eastAsia="仿宋_GB2312" w:cs="DengXian-Regular"/>
          <w:sz w:val="32"/>
          <w:szCs w:val="32"/>
          <w:lang w:val="en-US" w:eastAsia="zh-CN"/>
        </w:rPr>
        <w:t>77.91万元</w:t>
      </w:r>
      <w:r>
        <w:rPr>
          <w:rFonts w:hint="eastAsia" w:ascii="仿宋_GB2312" w:hAnsi="Times New Roman" w:eastAsia="仿宋_GB2312" w:cs="DengXian-Regular"/>
          <w:sz w:val="32"/>
          <w:szCs w:val="32"/>
        </w:rPr>
        <w:t>、职业年金缴费</w:t>
      </w:r>
      <w:r>
        <w:rPr>
          <w:rFonts w:hint="eastAsia" w:ascii="仿宋_GB2312" w:hAnsi="Times New Roman" w:eastAsia="仿宋_GB2312" w:cs="DengXian-Regular"/>
          <w:sz w:val="32"/>
          <w:szCs w:val="32"/>
          <w:lang w:val="en-US" w:eastAsia="zh-CN"/>
        </w:rPr>
        <w:t>16.89万元</w:t>
      </w:r>
      <w:r>
        <w:rPr>
          <w:rFonts w:hint="eastAsia" w:ascii="仿宋_GB2312" w:hAnsi="Times New Roman" w:eastAsia="仿宋_GB2312" w:cs="DengXian-Regular"/>
          <w:sz w:val="32"/>
          <w:szCs w:val="32"/>
        </w:rPr>
        <w:t>、职工基本医疗保险缴费</w:t>
      </w:r>
      <w:r>
        <w:rPr>
          <w:rFonts w:hint="eastAsia" w:ascii="仿宋_GB2312" w:hAnsi="Times New Roman" w:eastAsia="仿宋_GB2312" w:cs="DengXian-Regular"/>
          <w:sz w:val="32"/>
          <w:szCs w:val="32"/>
          <w:lang w:val="en-US" w:eastAsia="zh-CN"/>
        </w:rPr>
        <w:t>36.64万元</w:t>
      </w:r>
      <w:r>
        <w:rPr>
          <w:rFonts w:hint="eastAsia" w:ascii="仿宋_GB2312" w:hAnsi="Times New Roman" w:eastAsia="仿宋_GB2312" w:cs="DengXian-Regular"/>
          <w:sz w:val="32"/>
          <w:szCs w:val="32"/>
        </w:rPr>
        <w:t>、住房公积金</w:t>
      </w:r>
      <w:r>
        <w:rPr>
          <w:rFonts w:hint="eastAsia" w:ascii="仿宋_GB2312" w:hAnsi="Times New Roman" w:eastAsia="仿宋_GB2312" w:cs="DengXian-Regular"/>
          <w:sz w:val="32"/>
          <w:szCs w:val="32"/>
          <w:lang w:val="en-US" w:eastAsia="zh-CN"/>
        </w:rPr>
        <w:t>16.22万元</w:t>
      </w:r>
      <w:r>
        <w:rPr>
          <w:rFonts w:hint="eastAsia" w:ascii="仿宋_GB2312" w:hAnsi="Times New Roman" w:eastAsia="仿宋_GB2312" w:cs="DengXian-Regular"/>
          <w:sz w:val="32"/>
          <w:szCs w:val="32"/>
        </w:rPr>
        <w:t>、其他社会保障缴费</w:t>
      </w:r>
      <w:r>
        <w:rPr>
          <w:rFonts w:hint="eastAsia" w:ascii="仿宋_GB2312" w:hAnsi="Times New Roman" w:eastAsia="仿宋_GB2312" w:cs="DengXian-Regular"/>
          <w:sz w:val="32"/>
          <w:szCs w:val="32"/>
          <w:lang w:val="en-US" w:eastAsia="zh-CN"/>
        </w:rPr>
        <w:t>1.92万元</w:t>
      </w:r>
      <w:r>
        <w:rPr>
          <w:rFonts w:hint="eastAsia" w:ascii="仿宋_GB2312" w:hAnsi="Times New Roman" w:eastAsia="仿宋_GB2312" w:cs="DengXian-Regular"/>
          <w:sz w:val="32"/>
          <w:szCs w:val="32"/>
        </w:rPr>
        <w:t>、其他工资福利支出</w:t>
      </w:r>
      <w:r>
        <w:rPr>
          <w:rFonts w:hint="eastAsia" w:ascii="仿宋_GB2312" w:hAnsi="Times New Roman" w:eastAsia="仿宋_GB2312" w:cs="DengXian-Regular"/>
          <w:sz w:val="32"/>
          <w:szCs w:val="32"/>
          <w:lang w:val="en-US" w:eastAsia="zh-CN"/>
        </w:rPr>
        <w:t>0.5万元</w:t>
      </w:r>
      <w:r>
        <w:rPr>
          <w:rFonts w:hint="eastAsia" w:ascii="仿宋_GB2312" w:hAnsi="Times New Roman" w:eastAsia="仿宋_GB2312" w:cs="DengXian-Regular"/>
          <w:sz w:val="32"/>
          <w:szCs w:val="32"/>
        </w:rPr>
        <w:t>、退休费</w:t>
      </w:r>
      <w:r>
        <w:rPr>
          <w:rFonts w:hint="eastAsia" w:ascii="仿宋_GB2312" w:hAnsi="Times New Roman" w:eastAsia="仿宋_GB2312" w:cs="DengXian-Regular"/>
          <w:sz w:val="32"/>
          <w:szCs w:val="32"/>
          <w:lang w:eastAsia="zh-CN"/>
        </w:rPr>
        <w:t>和</w:t>
      </w:r>
      <w:r>
        <w:rPr>
          <w:rFonts w:hint="eastAsia" w:ascii="仿宋_GB2312" w:hAnsi="Times New Roman" w:eastAsia="仿宋_GB2312" w:cs="DengXian-Regular"/>
          <w:sz w:val="32"/>
          <w:szCs w:val="32"/>
        </w:rPr>
        <w:t>其他对个人和家庭的补助支出</w:t>
      </w:r>
      <w:r>
        <w:rPr>
          <w:rFonts w:hint="eastAsia" w:ascii="仿宋_GB2312" w:hAnsi="Times New Roman" w:eastAsia="仿宋_GB2312" w:cs="DengXian-Regular"/>
          <w:sz w:val="32"/>
          <w:szCs w:val="32"/>
          <w:lang w:val="en-US" w:eastAsia="zh-CN"/>
        </w:rPr>
        <w:t>5.75万元</w:t>
      </w:r>
      <w:r>
        <w:rPr>
          <w:rFonts w:hint="eastAsia" w:ascii="仿宋_GB2312" w:hAnsi="Times New Roman" w:eastAsia="仿宋_GB2312" w:cs="DengXian-Regular"/>
          <w:sz w:val="32"/>
          <w:szCs w:val="32"/>
        </w:rPr>
        <w:t>；公用经费</w:t>
      </w:r>
      <w:r>
        <w:rPr>
          <w:rFonts w:ascii="仿宋_GB2312" w:hAnsi="Times New Roman" w:eastAsia="仿宋_GB2312" w:cs="DengXian-Regular"/>
          <w:sz w:val="32"/>
          <w:szCs w:val="32"/>
        </w:rPr>
        <w:t>47.88</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val="en-US" w:eastAsia="zh-CN"/>
        </w:rPr>
        <w:t>15万元</w:t>
      </w:r>
      <w:r>
        <w:rPr>
          <w:rFonts w:hint="eastAsia" w:ascii="仿宋_GB2312" w:hAnsi="Times New Roman" w:eastAsia="仿宋_GB2312" w:cs="DengXian-Regular"/>
          <w:sz w:val="32"/>
          <w:szCs w:val="32"/>
        </w:rPr>
        <w:t>、印刷费</w:t>
      </w:r>
      <w:r>
        <w:rPr>
          <w:rFonts w:hint="eastAsia" w:ascii="仿宋_GB2312" w:hAnsi="Times New Roman" w:eastAsia="仿宋_GB2312" w:cs="DengXian-Regular"/>
          <w:sz w:val="32"/>
          <w:szCs w:val="32"/>
          <w:lang w:val="en-US" w:eastAsia="zh-CN"/>
        </w:rPr>
        <w:t>1万元</w:t>
      </w:r>
      <w:r>
        <w:rPr>
          <w:rFonts w:hint="eastAsia" w:ascii="仿宋_GB2312" w:hAnsi="Times New Roman" w:eastAsia="仿宋_GB2312" w:cs="DengXian-Regular"/>
          <w:sz w:val="32"/>
          <w:szCs w:val="32"/>
        </w:rPr>
        <w:t>、电</w:t>
      </w:r>
      <w:r>
        <w:rPr>
          <w:rFonts w:hint="eastAsia" w:ascii="仿宋_GB2312" w:hAnsi="Times New Roman" w:eastAsia="仿宋_GB2312" w:cs="DengXian-Regular"/>
          <w:sz w:val="32"/>
          <w:szCs w:val="32"/>
          <w:lang w:val="en-US" w:eastAsia="zh-CN"/>
        </w:rPr>
        <w:t>7万元</w:t>
      </w:r>
      <w:r>
        <w:rPr>
          <w:rFonts w:hint="eastAsia" w:ascii="仿宋_GB2312" w:hAnsi="Times New Roman" w:eastAsia="仿宋_GB2312" w:cs="DengXian-Regular"/>
          <w:sz w:val="32"/>
          <w:szCs w:val="32"/>
        </w:rPr>
        <w:t>费、邮电费</w:t>
      </w:r>
      <w:r>
        <w:rPr>
          <w:rFonts w:hint="eastAsia" w:ascii="仿宋_GB2312" w:hAnsi="Times New Roman" w:eastAsia="仿宋_GB2312" w:cs="DengXian-Regular"/>
          <w:sz w:val="32"/>
          <w:szCs w:val="32"/>
          <w:lang w:val="en-US" w:eastAsia="zh-CN"/>
        </w:rPr>
        <w:t>1.5万元</w:t>
      </w:r>
      <w:r>
        <w:rPr>
          <w:rFonts w:hint="eastAsia" w:ascii="仿宋_GB2312" w:hAnsi="Times New Roman" w:eastAsia="仿宋_GB2312" w:cs="DengXian-Regular"/>
          <w:sz w:val="32"/>
          <w:szCs w:val="32"/>
        </w:rPr>
        <w:t>、差旅费</w:t>
      </w:r>
      <w:r>
        <w:rPr>
          <w:rFonts w:hint="eastAsia" w:ascii="仿宋_GB2312" w:hAnsi="Times New Roman" w:eastAsia="仿宋_GB2312" w:cs="DengXian-Regular"/>
          <w:sz w:val="32"/>
          <w:szCs w:val="32"/>
          <w:lang w:val="en-US" w:eastAsia="zh-CN"/>
        </w:rPr>
        <w:t>4万元</w:t>
      </w:r>
      <w:r>
        <w:rPr>
          <w:rFonts w:hint="eastAsia" w:ascii="仿宋_GB2312" w:hAnsi="Times New Roman" w:eastAsia="仿宋_GB2312" w:cs="DengXian-Regular"/>
          <w:sz w:val="32"/>
          <w:szCs w:val="32"/>
        </w:rPr>
        <w:t>、维修（护）费</w:t>
      </w:r>
      <w:r>
        <w:rPr>
          <w:rFonts w:hint="eastAsia" w:ascii="仿宋_GB2312" w:hAnsi="Times New Roman" w:eastAsia="仿宋_GB2312" w:cs="DengXian-Regular"/>
          <w:sz w:val="32"/>
          <w:szCs w:val="32"/>
          <w:lang w:val="en-US" w:eastAsia="zh-CN"/>
        </w:rPr>
        <w:t>2万元</w:t>
      </w:r>
      <w:r>
        <w:rPr>
          <w:rFonts w:hint="eastAsia" w:ascii="仿宋_GB2312" w:hAnsi="Times New Roman" w:eastAsia="仿宋_GB2312" w:cs="DengXian-Regular"/>
          <w:sz w:val="32"/>
          <w:szCs w:val="32"/>
        </w:rPr>
        <w:t>、公务接待费</w:t>
      </w:r>
      <w:r>
        <w:rPr>
          <w:rFonts w:hint="eastAsia" w:ascii="仿宋_GB2312" w:hAnsi="Times New Roman" w:eastAsia="仿宋_GB2312" w:cs="DengXian-Regular"/>
          <w:sz w:val="32"/>
          <w:szCs w:val="32"/>
          <w:lang w:val="en-US" w:eastAsia="zh-CN"/>
        </w:rPr>
        <w:t>3万元</w:t>
      </w:r>
      <w:r>
        <w:rPr>
          <w:rFonts w:hint="eastAsia" w:ascii="仿宋_GB2312" w:hAnsi="Times New Roman" w:eastAsia="仿宋_GB2312" w:cs="DengXian-Regular"/>
          <w:sz w:val="32"/>
          <w:szCs w:val="32"/>
        </w:rPr>
        <w:t>、劳务费</w:t>
      </w:r>
      <w:r>
        <w:rPr>
          <w:rFonts w:hint="eastAsia" w:ascii="仿宋_GB2312" w:hAnsi="Times New Roman" w:eastAsia="仿宋_GB2312" w:cs="DengXian-Regular"/>
          <w:sz w:val="32"/>
          <w:szCs w:val="32"/>
          <w:lang w:val="en-US" w:eastAsia="zh-CN"/>
        </w:rPr>
        <w:t>4万元</w:t>
      </w:r>
      <w:r>
        <w:rPr>
          <w:rFonts w:hint="eastAsia" w:ascii="仿宋_GB2312" w:hAnsi="Times New Roman" w:eastAsia="仿宋_GB2312" w:cs="DengXian-Regular"/>
          <w:sz w:val="32"/>
          <w:szCs w:val="32"/>
        </w:rPr>
        <w:t>、公务用车运行维护费</w:t>
      </w:r>
      <w:r>
        <w:rPr>
          <w:rFonts w:hint="eastAsia" w:ascii="仿宋_GB2312" w:hAnsi="Times New Roman" w:eastAsia="仿宋_GB2312" w:cs="DengXian-Regular"/>
          <w:sz w:val="32"/>
          <w:szCs w:val="32"/>
          <w:lang w:val="en-US" w:eastAsia="zh-CN"/>
        </w:rPr>
        <w:t>4万元</w:t>
      </w:r>
      <w:r>
        <w:rPr>
          <w:rFonts w:hint="eastAsia" w:ascii="仿宋_GB2312" w:hAnsi="Times New Roman" w:eastAsia="仿宋_GB2312" w:cs="DengXian-Regular"/>
          <w:sz w:val="32"/>
          <w:szCs w:val="32"/>
        </w:rPr>
        <w:t>、其他交通费用</w:t>
      </w:r>
      <w:r>
        <w:rPr>
          <w:rFonts w:hint="eastAsia" w:ascii="仿宋_GB2312" w:hAnsi="Times New Roman" w:eastAsia="仿宋_GB2312" w:cs="DengXian-Regular"/>
          <w:sz w:val="32"/>
          <w:szCs w:val="32"/>
          <w:lang w:val="en-US" w:eastAsia="zh-CN"/>
        </w:rPr>
        <w:t>6.38万元</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w:t>
      </w:r>
      <w:r>
        <w:rPr>
          <w:rFonts w:ascii="仿宋_GB2312" w:hAnsi="Times New Roman" w:eastAsia="仿宋_GB2312" w:cs="DengXian-Regular"/>
          <w:sz w:val="32"/>
          <w:szCs w:val="32"/>
        </w:rPr>
        <w:t>7</w:t>
      </w:r>
      <w:r>
        <w:rPr>
          <w:rFonts w:hint="eastAsia" w:ascii="仿宋_GB2312" w:hAnsi="Times New Roman" w:eastAsia="仿宋_GB2312" w:cs="DengXian-Regular"/>
          <w:sz w:val="32"/>
          <w:szCs w:val="32"/>
        </w:rPr>
        <w:t>万元，与年初预算持平</w:t>
      </w:r>
      <w:r>
        <w:rPr>
          <w:rFonts w:hint="eastAsia" w:ascii="仿宋_GB2312" w:hAnsi="Times New Roman" w:eastAsia="仿宋_GB2312" w:cs="DengXian-Regular"/>
          <w:sz w:val="32"/>
          <w:szCs w:val="32"/>
          <w:lang w:val="en-US" w:eastAsia="zh-CN"/>
        </w:rPr>
        <w:t>;比2018年决算支出减少0.1万元。</w:t>
      </w:r>
      <w:r>
        <w:rPr>
          <w:rFonts w:hint="eastAsia" w:ascii="仿宋_GB2312" w:eastAsia="仿宋_GB2312" w:cs="DengXian-Regular"/>
          <w:sz w:val="32"/>
          <w:szCs w:val="32"/>
        </w:rPr>
        <w:t>主要是认真</w:t>
      </w:r>
      <w:r>
        <w:rPr>
          <w:rFonts w:hint="eastAsia" w:ascii="仿宋_GB2312" w:eastAsia="仿宋_GB2312" w:cs="DengXian-Regular"/>
          <w:sz w:val="32"/>
          <w:szCs w:val="32"/>
          <w:lang w:eastAsia="zh-CN"/>
        </w:rPr>
        <w:t>贯彻落实中央八项规定</w:t>
      </w:r>
      <w:r>
        <w:rPr>
          <w:rFonts w:hint="eastAsia" w:ascii="仿宋_GB2312" w:eastAsia="仿宋_GB2312" w:cs="DengXian-Regular"/>
          <w:sz w:val="32"/>
          <w:szCs w:val="32"/>
        </w:rPr>
        <w:t>精神和厉行节约要求，从严控制“三公”经费开支</w:t>
      </w: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3" w:firstLineChars="200"/>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w:t>
      </w:r>
      <w:r>
        <w:rPr>
          <w:rFonts w:hint="eastAsia" w:ascii="仿宋_GB2312" w:hAnsi="Times New Roman" w:eastAsia="仿宋_GB2312" w:cs="DengXian-Regular"/>
          <w:sz w:val="32"/>
          <w:szCs w:val="32"/>
          <w:lang w:eastAsia="zh-CN"/>
        </w:rPr>
        <w:t>费支出为</w:t>
      </w:r>
      <w:r>
        <w:rPr>
          <w:rFonts w:hint="eastAsia" w:ascii="仿宋_GB2312" w:hAnsi="Times New Roman" w:eastAsia="仿宋_GB2312" w:cs="DengXian-Regular"/>
          <w:sz w:val="32"/>
          <w:szCs w:val="32"/>
          <w:lang w:val="en-US" w:eastAsia="zh-CN"/>
        </w:rPr>
        <w:t>0万元，未发生“因公出国（境）费支出”。</w:t>
      </w:r>
    </w:p>
    <w:p>
      <w:pPr>
        <w:numPr>
          <w:ilvl w:val="0"/>
          <w:numId w:val="0"/>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4</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年度公务用车购置及运行维护费与年初预算</w:t>
      </w:r>
      <w:r>
        <w:rPr>
          <w:rFonts w:hint="eastAsia" w:ascii="仿宋_GB2312" w:eastAsia="仿宋_GB2312" w:cs="DengXian-Regular"/>
          <w:sz w:val="32"/>
          <w:szCs w:val="32"/>
          <w:lang w:eastAsia="zh-CN"/>
        </w:rPr>
        <w:t>和上年</w:t>
      </w:r>
      <w:r>
        <w:rPr>
          <w:rFonts w:hint="eastAsia" w:ascii="仿宋_GB2312" w:eastAsia="仿宋_GB2312" w:cs="DengXian-Regular"/>
          <w:sz w:val="32"/>
          <w:szCs w:val="32"/>
        </w:rPr>
        <w:t>持平</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辆，未发生“公务用车购置”费用。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辆。</w:t>
      </w:r>
      <w:r>
        <w:rPr>
          <w:rFonts w:hint="eastAsia" w:ascii="仿宋_GB2312" w:eastAsia="仿宋_GB2312" w:cs="DengXian-Regular"/>
          <w:sz w:val="32"/>
          <w:szCs w:val="32"/>
        </w:rPr>
        <w:t>公车运行维护费支出</w:t>
      </w:r>
      <w:r>
        <w:rPr>
          <w:rFonts w:hint="eastAsia" w:ascii="仿宋_GB2312" w:eastAsia="仿宋_GB2312" w:cs="DengXian-Regular"/>
          <w:sz w:val="32"/>
          <w:szCs w:val="32"/>
          <w:lang w:eastAsia="zh-CN"/>
        </w:rPr>
        <w:t>为</w:t>
      </w:r>
      <w:r>
        <w:rPr>
          <w:rFonts w:hint="eastAsia" w:ascii="仿宋_GB2312" w:eastAsia="仿宋_GB2312" w:cs="DengXian-Regular"/>
          <w:sz w:val="32"/>
          <w:szCs w:val="32"/>
          <w:lang w:val="en-US" w:eastAsia="zh-CN"/>
        </w:rPr>
        <w:t>4万元，</w:t>
      </w:r>
      <w:r>
        <w:rPr>
          <w:rFonts w:hint="eastAsia" w:ascii="仿宋_GB2312" w:eastAsia="仿宋_GB2312" w:cs="DengXian-Regular"/>
          <w:sz w:val="32"/>
          <w:szCs w:val="32"/>
        </w:rPr>
        <w:t>与年初预算</w:t>
      </w:r>
      <w:r>
        <w:rPr>
          <w:rFonts w:hint="eastAsia" w:ascii="仿宋_GB2312" w:eastAsia="仿宋_GB2312" w:cs="DengXian-Regular"/>
          <w:sz w:val="32"/>
          <w:szCs w:val="32"/>
          <w:lang w:eastAsia="zh-CN"/>
        </w:rPr>
        <w:t>和上年</w:t>
      </w:r>
      <w:r>
        <w:rPr>
          <w:rFonts w:hint="eastAsia" w:ascii="仿宋_GB2312" w:eastAsia="仿宋_GB2312" w:cs="DengXian-Regular"/>
          <w:sz w:val="32"/>
          <w:szCs w:val="32"/>
        </w:rPr>
        <w:t>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hint="default"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3</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w:t>
      </w:r>
      <w:r>
        <w:rPr>
          <w:rFonts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年度公务接待共</w:t>
      </w:r>
      <w:r>
        <w:rPr>
          <w:rFonts w:ascii="仿宋_GB2312" w:eastAsia="仿宋_GB2312" w:cs="DengXian-Regular"/>
          <w:sz w:val="32"/>
          <w:szCs w:val="32"/>
        </w:rPr>
        <w:t>90</w:t>
      </w:r>
      <w:r>
        <w:rPr>
          <w:rFonts w:hint="eastAsia" w:ascii="仿宋_GB2312" w:eastAsia="仿宋_GB2312" w:cs="DengXian-Regular"/>
          <w:sz w:val="32"/>
          <w:szCs w:val="32"/>
        </w:rPr>
        <w:t>批次、</w:t>
      </w:r>
      <w:r>
        <w:rPr>
          <w:rFonts w:ascii="仿宋_GB2312" w:eastAsia="仿宋_GB2312" w:cs="DengXian-Regular"/>
          <w:sz w:val="32"/>
          <w:szCs w:val="32"/>
        </w:rPr>
        <w:t>1020</w:t>
      </w:r>
      <w:r>
        <w:rPr>
          <w:rFonts w:hint="eastAsia" w:ascii="仿宋_GB2312" w:eastAsia="仿宋_GB2312" w:cs="DengXian-Regular"/>
          <w:sz w:val="32"/>
          <w:szCs w:val="32"/>
        </w:rPr>
        <w:t>人次。公务接待费支出</w:t>
      </w:r>
      <w:r>
        <w:rPr>
          <w:rFonts w:hint="eastAsia" w:ascii="仿宋_GB2312" w:eastAsia="仿宋_GB2312" w:cs="DengXian-Regular"/>
          <w:sz w:val="32"/>
          <w:szCs w:val="32"/>
          <w:lang w:eastAsia="zh-CN"/>
        </w:rPr>
        <w:t>为</w:t>
      </w:r>
      <w:r>
        <w:rPr>
          <w:rFonts w:hint="eastAsia" w:ascii="仿宋_GB2312" w:eastAsia="仿宋_GB2312" w:cs="DengXian-Regular"/>
          <w:sz w:val="32"/>
          <w:szCs w:val="32"/>
          <w:lang w:val="en-US" w:eastAsia="zh-CN"/>
        </w:rPr>
        <w:t>3万元，</w:t>
      </w:r>
      <w:r>
        <w:rPr>
          <w:rFonts w:hint="eastAsia" w:ascii="仿宋_GB2312" w:eastAsia="仿宋_GB2312" w:cs="DengXian-Regular"/>
          <w:sz w:val="32"/>
          <w:szCs w:val="32"/>
        </w:rPr>
        <w:t>与年初预算持平</w:t>
      </w:r>
      <w:r>
        <w:rPr>
          <w:rFonts w:hint="eastAsia" w:ascii="仿宋_GB2312" w:hAnsi="Times New Roman" w:eastAsia="仿宋_GB2312" w:cs="DengXian-Regular"/>
          <w:sz w:val="32"/>
          <w:szCs w:val="32"/>
          <w:lang w:eastAsia="zh-CN"/>
        </w:rPr>
        <w:t>；比上年减少</w:t>
      </w:r>
      <w:r>
        <w:rPr>
          <w:rFonts w:hint="eastAsia" w:ascii="仿宋_GB2312" w:hAnsi="Times New Roman" w:eastAsia="仿宋_GB2312" w:cs="DengXian-Regular"/>
          <w:sz w:val="32"/>
          <w:szCs w:val="32"/>
          <w:lang w:val="en-US" w:eastAsia="zh-CN"/>
        </w:rPr>
        <w:t>0.1万元。</w:t>
      </w:r>
      <w:r>
        <w:rPr>
          <w:rFonts w:hint="eastAsia" w:ascii="仿宋_GB2312" w:eastAsia="仿宋_GB2312" w:cs="DengXian-Regular"/>
          <w:sz w:val="32"/>
          <w:szCs w:val="32"/>
        </w:rPr>
        <w:t>主要是认真</w:t>
      </w:r>
      <w:r>
        <w:rPr>
          <w:rFonts w:hint="eastAsia" w:ascii="仿宋_GB2312" w:eastAsia="仿宋_GB2312" w:cs="DengXian-Regular"/>
          <w:sz w:val="32"/>
          <w:szCs w:val="32"/>
          <w:lang w:eastAsia="zh-CN"/>
        </w:rPr>
        <w:t>贯彻落实中央八项规定</w:t>
      </w:r>
      <w:r>
        <w:rPr>
          <w:rFonts w:hint="eastAsia" w:ascii="仿宋_GB2312" w:eastAsia="仿宋_GB2312" w:cs="DengXian-Regular"/>
          <w:sz w:val="32"/>
          <w:szCs w:val="32"/>
        </w:rPr>
        <w:t>精神和厉行节约要求，从严控制“三公”经费开支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年度一般公共预算项目支出全面开展绩效自评，共涉及项目</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个，资金</w:t>
      </w:r>
      <w:r>
        <w:rPr>
          <w:rFonts w:ascii="仿宋_GB2312" w:hAnsi="仿宋_GB2312" w:eastAsia="仿宋_GB2312" w:cs="仿宋_GB2312"/>
          <w:sz w:val="32"/>
          <w:szCs w:val="32"/>
        </w:rPr>
        <w:t>228.7</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本部门在今年部门决算公开中反映党建工作经费及防火防汛工作经费等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个项目（共</w:t>
      </w:r>
      <w:r>
        <w:rPr>
          <w:rFonts w:ascii="仿宋_GB2312" w:hAnsi="仿宋_GB2312" w:eastAsia="仿宋_GB2312" w:cs="仿宋_GB2312"/>
          <w:sz w:val="32"/>
          <w:szCs w:val="32"/>
        </w:rPr>
        <w:t>181.5</w:t>
      </w:r>
      <w:r>
        <w:rPr>
          <w:rFonts w:hint="eastAsia" w:ascii="仿宋_GB2312" w:hAnsi="仿宋_GB2312" w:eastAsia="仿宋_GB2312" w:cs="仿宋_GB2312"/>
          <w:sz w:val="32"/>
          <w:szCs w:val="32"/>
        </w:rPr>
        <w:t>万元）绩效自评结果。</w:t>
      </w:r>
    </w:p>
    <w:tbl>
      <w:tblPr>
        <w:tblStyle w:val="7"/>
        <w:tblW w:w="9766" w:type="dxa"/>
        <w:tblInd w:w="-354" w:type="dxa"/>
        <w:shd w:val="clear" w:color="auto" w:fill="auto"/>
        <w:tblLayout w:type="fixed"/>
        <w:tblCellMar>
          <w:top w:w="0" w:type="dxa"/>
          <w:left w:w="0" w:type="dxa"/>
          <w:bottom w:w="0" w:type="dxa"/>
          <w:right w:w="0" w:type="dxa"/>
        </w:tblCellMar>
      </w:tblPr>
      <w:tblGrid>
        <w:gridCol w:w="1325"/>
        <w:gridCol w:w="1225"/>
        <w:gridCol w:w="1508"/>
        <w:gridCol w:w="1050"/>
        <w:gridCol w:w="1167"/>
        <w:gridCol w:w="1208"/>
        <w:gridCol w:w="1000"/>
        <w:gridCol w:w="1283"/>
      </w:tblGrid>
      <w:tr>
        <w:tblPrEx>
          <w:shd w:val="clear" w:color="auto" w:fill="auto"/>
          <w:tblCellMar>
            <w:top w:w="0" w:type="dxa"/>
            <w:left w:w="0" w:type="dxa"/>
            <w:bottom w:w="0" w:type="dxa"/>
            <w:right w:w="0" w:type="dxa"/>
          </w:tblCellMar>
        </w:tblPrEx>
        <w:trPr>
          <w:trHeight w:val="510" w:hRule="atLeast"/>
        </w:trPr>
        <w:tc>
          <w:tcPr>
            <w:tcW w:w="9766"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76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4058" w:type="dxa"/>
            <w:gridSpan w:val="3"/>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信访维稳专项经费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宋体" w:hAnsi="宋体" w:eastAsia="宋体" w:cs="宋体"/>
                <w:i w:val="0"/>
                <w:color w:val="000000"/>
                <w:sz w:val="16"/>
                <w:szCs w:val="16"/>
                <w:u w:val="none"/>
                <w:lang w:val="en-US"/>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rPr>
              <w:t>贯彻执行国家的法律法规和政策，建立完善协调联动机制、全面落实网格化管理机制，协助司法机关打击各类违法犯罪活动和信访工作。监督社区矫正、人民调解、安置帮教、基层法律服务和基层司法所工作；负责对越级访、进京访、集体访等突发性事件进行协调沟通</w:t>
            </w:r>
            <w:r>
              <w:rPr>
                <w:rFonts w:hint="eastAsia" w:ascii="宋体" w:hAnsi="宋体" w:eastAsia="宋体" w:cs="宋体"/>
                <w:i w:val="0"/>
                <w:color w:val="000000"/>
                <w:sz w:val="16"/>
                <w:szCs w:val="16"/>
                <w:u w:val="none"/>
                <w:lang w:eastAsia="zh-CN"/>
              </w:rPr>
              <w:t>。</w:t>
            </w:r>
          </w:p>
        </w:tc>
        <w:tc>
          <w:tcPr>
            <w:tcW w:w="33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rPr>
              <w:t>建立完善协调联动机制、全面落实网格化管理机制，协助司法机关打击各类违法犯罪活动和信访工作。监督社区矫正、人民调解、安置帮教、基层法律服务和基层司法所工作</w:t>
            </w:r>
            <w:r>
              <w:rPr>
                <w:rFonts w:hint="eastAsia" w:ascii="宋体" w:hAnsi="宋体" w:eastAsia="宋体" w:cs="宋体"/>
                <w:i w:val="0"/>
                <w:color w:val="000000"/>
                <w:sz w:val="16"/>
                <w:szCs w:val="16"/>
                <w:u w:val="none"/>
                <w:lang w:eastAsia="zh-CN"/>
              </w:rPr>
              <w:t>。</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21"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tabs>
                <w:tab w:val="left" w:pos="388"/>
              </w:tabs>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产出指标（</w:t>
            </w:r>
            <w:r>
              <w:rPr>
                <w:rFonts w:hint="eastAsia" w:ascii="宋体" w:hAnsi="宋体" w:eastAsia="宋体" w:cs="宋体"/>
                <w:color w:val="000000"/>
                <w:kern w:val="0"/>
                <w:sz w:val="16"/>
                <w:szCs w:val="16"/>
                <w:lang w:val="en-US" w:eastAsia="zh-CN"/>
              </w:rPr>
              <w:t>50</w:t>
            </w:r>
            <w:r>
              <w:rPr>
                <w:rFonts w:hint="eastAsia" w:ascii="宋体" w:hAnsi="宋体" w:eastAsia="宋体" w:cs="宋体"/>
                <w:color w:val="000000"/>
                <w:kern w:val="0"/>
                <w:sz w:val="16"/>
                <w:szCs w:val="16"/>
                <w:lang w:eastAsia="zh-CN"/>
              </w:rPr>
              <w:t>）</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数量指标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纠纷调解比率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40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效益指标（30）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事件处理及时率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5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2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766" w:type="dxa"/>
        <w:tblInd w:w="-354" w:type="dxa"/>
        <w:shd w:val="clear" w:color="auto" w:fill="auto"/>
        <w:tblLayout w:type="fixed"/>
        <w:tblCellMar>
          <w:top w:w="0" w:type="dxa"/>
          <w:left w:w="0" w:type="dxa"/>
          <w:bottom w:w="0" w:type="dxa"/>
          <w:right w:w="0" w:type="dxa"/>
        </w:tblCellMar>
      </w:tblPr>
      <w:tblGrid>
        <w:gridCol w:w="1325"/>
        <w:gridCol w:w="1225"/>
        <w:gridCol w:w="1508"/>
        <w:gridCol w:w="1050"/>
        <w:gridCol w:w="1167"/>
        <w:gridCol w:w="1208"/>
        <w:gridCol w:w="1000"/>
        <w:gridCol w:w="1283"/>
      </w:tblGrid>
      <w:tr>
        <w:tblPrEx>
          <w:shd w:val="clear" w:color="auto" w:fill="auto"/>
          <w:tblCellMar>
            <w:top w:w="0" w:type="dxa"/>
            <w:left w:w="0" w:type="dxa"/>
            <w:bottom w:w="0" w:type="dxa"/>
            <w:right w:w="0" w:type="dxa"/>
          </w:tblCellMar>
        </w:tblPrEx>
        <w:trPr>
          <w:trHeight w:val="510" w:hRule="atLeast"/>
        </w:trPr>
        <w:tc>
          <w:tcPr>
            <w:tcW w:w="9766"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76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4058" w:type="dxa"/>
            <w:gridSpan w:val="3"/>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关于下达青龙满族自治县体育健身工程资金的通知</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29</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29</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宋体" w:hAnsi="宋体" w:eastAsia="宋体" w:cs="宋体"/>
                <w:i w:val="0"/>
                <w:color w:val="000000"/>
                <w:sz w:val="16"/>
                <w:szCs w:val="16"/>
                <w:u w:val="none"/>
                <w:lang w:val="en-US"/>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朱杖子村修建健身步道，美化环境，提高居民生活水平。</w:t>
            </w:r>
          </w:p>
        </w:tc>
        <w:tc>
          <w:tcPr>
            <w:tcW w:w="33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朱杖子村修建健身步道，美化环境，提高居民生活水平。</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67"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工程完工率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工程验收合格率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配套设施完成率（%）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效益指标（30）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i w:val="0"/>
                <w:color w:val="000000"/>
                <w:sz w:val="16"/>
                <w:szCs w:val="16"/>
                <w:u w:val="none"/>
                <w:lang w:eastAsia="zh-CN"/>
              </w:rPr>
            </w:pPr>
            <w:r>
              <w:rPr>
                <w:rFonts w:hint="eastAsia" w:ascii="宋体" w:hAnsi="宋体" w:eastAsia="宋体" w:cs="宋体"/>
                <w:color w:val="000000"/>
                <w:kern w:val="0"/>
                <w:sz w:val="16"/>
                <w:szCs w:val="16"/>
                <w:lang w:eastAsia="zh-CN"/>
              </w:rPr>
              <w:t>工程按期完成率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i w:val="0"/>
                <w:color w:val="000000"/>
                <w:sz w:val="16"/>
                <w:szCs w:val="16"/>
                <w:u w:val="none"/>
                <w:lang w:val="en-US" w:eastAsia="zh-CN"/>
              </w:rPr>
            </w:pPr>
            <w:r>
              <w:rPr>
                <w:rFonts w:hint="eastAsia" w:ascii="宋体" w:hAnsi="宋体" w:eastAsia="宋体" w:cs="宋体"/>
                <w:color w:val="000000"/>
                <w:kern w:val="0"/>
                <w:sz w:val="16"/>
                <w:szCs w:val="16"/>
                <w:lang w:val="en-US" w:eastAsia="zh-CN"/>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5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2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766" w:type="dxa"/>
        <w:tblInd w:w="-354" w:type="dxa"/>
        <w:shd w:val="clear" w:color="auto" w:fill="auto"/>
        <w:tblLayout w:type="fixed"/>
        <w:tblCellMar>
          <w:top w:w="0" w:type="dxa"/>
          <w:left w:w="0" w:type="dxa"/>
          <w:bottom w:w="0" w:type="dxa"/>
          <w:right w:w="0" w:type="dxa"/>
        </w:tblCellMar>
      </w:tblPr>
      <w:tblGrid>
        <w:gridCol w:w="1325"/>
        <w:gridCol w:w="1225"/>
        <w:gridCol w:w="1508"/>
        <w:gridCol w:w="1050"/>
        <w:gridCol w:w="1167"/>
        <w:gridCol w:w="1208"/>
        <w:gridCol w:w="1000"/>
        <w:gridCol w:w="1283"/>
      </w:tblGrid>
      <w:tr>
        <w:tblPrEx>
          <w:shd w:val="clear" w:color="auto" w:fill="auto"/>
          <w:tblCellMar>
            <w:top w:w="0" w:type="dxa"/>
            <w:left w:w="0" w:type="dxa"/>
            <w:bottom w:w="0" w:type="dxa"/>
            <w:right w:w="0" w:type="dxa"/>
          </w:tblCellMar>
        </w:tblPrEx>
        <w:trPr>
          <w:trHeight w:val="510" w:hRule="atLeast"/>
        </w:trPr>
        <w:tc>
          <w:tcPr>
            <w:tcW w:w="9766"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76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4058" w:type="dxa"/>
            <w:gridSpan w:val="3"/>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农村人居环境综合整治工作经费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6.5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6.5</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6.5</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6.5</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宋体" w:hAnsi="宋体" w:eastAsia="宋体" w:cs="宋体"/>
                <w:i w:val="0"/>
                <w:color w:val="000000"/>
                <w:sz w:val="16"/>
                <w:szCs w:val="16"/>
                <w:u w:val="none"/>
                <w:lang w:val="en-US"/>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根据县级下达的目标任务，全力组织实施农村厕所改造、农村生活垃圾治理、村庄清洁、农村生活污水治理、村庄绿化美化等农村环境综合整治专项活动，有效解决村庄环境脏乱差问题，实现村容村貌干净整洁，提高村民生活水平。</w:t>
            </w:r>
          </w:p>
        </w:tc>
        <w:tc>
          <w:tcPr>
            <w:tcW w:w="33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根据县级下达的目标任务，全力组织实施农村厕所改造、农村生活垃圾治理、村庄清洁、农村生活污水治理、村庄绿化美化等农村环境综合整治专项活动，有效解决村庄环境脏乱差问题，实现村容村貌干净整洁，提高村民生活水平。</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44"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产出指标（</w:t>
            </w:r>
            <w:r>
              <w:rPr>
                <w:rFonts w:hint="eastAsia" w:ascii="宋体" w:hAnsi="宋体" w:eastAsia="宋体" w:cs="宋体"/>
                <w:color w:val="000000"/>
                <w:kern w:val="0"/>
                <w:sz w:val="16"/>
                <w:szCs w:val="16"/>
                <w:lang w:val="en-US" w:eastAsia="zh-CN"/>
              </w:rPr>
              <w:t>50</w:t>
            </w:r>
            <w:r>
              <w:rPr>
                <w:rFonts w:hint="eastAsia" w:ascii="宋体" w:hAnsi="宋体" w:eastAsia="宋体" w:cs="宋体"/>
                <w:color w:val="000000"/>
                <w:kern w:val="0"/>
                <w:sz w:val="16"/>
                <w:szCs w:val="16"/>
                <w:lang w:eastAsia="zh-CN"/>
              </w:rPr>
              <w:t>）</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数量指标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eastAsia="zh-CN"/>
              </w:rPr>
              <w:t>重点污染治理工程数量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效益指标（30）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i w:val="0"/>
                <w:color w:val="000000"/>
                <w:sz w:val="16"/>
                <w:szCs w:val="16"/>
                <w:u w:val="none"/>
                <w:lang w:eastAsia="zh-CN"/>
              </w:rPr>
            </w:pPr>
            <w:r>
              <w:rPr>
                <w:rFonts w:hint="eastAsia" w:ascii="宋体" w:hAnsi="宋体" w:eastAsia="宋体" w:cs="宋体"/>
                <w:color w:val="000000"/>
                <w:kern w:val="0"/>
                <w:sz w:val="16"/>
                <w:szCs w:val="16"/>
                <w:lang w:eastAsia="zh-CN"/>
              </w:rPr>
              <w:t>试点示范村庄污水处理率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default" w:ascii="宋体" w:hAnsi="宋体" w:eastAsia="宋体" w:cs="宋体"/>
                <w:i w:val="0"/>
                <w:color w:val="000000"/>
                <w:sz w:val="16"/>
                <w:szCs w:val="16"/>
                <w:u w:val="none"/>
                <w:lang w:val="en-US" w:eastAsia="zh-CN"/>
              </w:rPr>
            </w:pPr>
            <w:r>
              <w:rPr>
                <w:rFonts w:hint="eastAsia" w:ascii="宋体" w:hAnsi="宋体" w:eastAsia="宋体" w:cs="宋体"/>
                <w:color w:val="000000"/>
                <w:kern w:val="0"/>
                <w:sz w:val="16"/>
                <w:szCs w:val="16"/>
                <w:lang w:val="en-US" w:eastAsia="zh-CN"/>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5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2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774" w:type="dxa"/>
        <w:tblInd w:w="-362" w:type="dxa"/>
        <w:shd w:val="clear" w:color="auto" w:fill="auto"/>
        <w:tblLayout w:type="fixed"/>
        <w:tblCellMar>
          <w:top w:w="0" w:type="dxa"/>
          <w:left w:w="0" w:type="dxa"/>
          <w:bottom w:w="0" w:type="dxa"/>
          <w:right w:w="0" w:type="dxa"/>
        </w:tblCellMar>
      </w:tblPr>
      <w:tblGrid>
        <w:gridCol w:w="1325"/>
        <w:gridCol w:w="1316"/>
        <w:gridCol w:w="1059"/>
        <w:gridCol w:w="1350"/>
        <w:gridCol w:w="1166"/>
        <w:gridCol w:w="1375"/>
        <w:gridCol w:w="1009"/>
        <w:gridCol w:w="1174"/>
      </w:tblGrid>
      <w:tr>
        <w:tblPrEx>
          <w:shd w:val="clear" w:color="auto" w:fill="auto"/>
          <w:tblCellMar>
            <w:top w:w="0" w:type="dxa"/>
            <w:left w:w="0" w:type="dxa"/>
            <w:bottom w:w="0" w:type="dxa"/>
            <w:right w:w="0" w:type="dxa"/>
          </w:tblCellMar>
        </w:tblPrEx>
        <w:trPr>
          <w:trHeight w:val="510" w:hRule="atLeast"/>
        </w:trPr>
        <w:tc>
          <w:tcPr>
            <w:tcW w:w="9774"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774"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50"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16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7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9"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tbl>
            <w:tblPr>
              <w:tblStyle w:val="7"/>
              <w:tblW w:w="7695" w:type="dxa"/>
              <w:tblInd w:w="-15" w:type="dxa"/>
              <w:shd w:val="clear" w:color="auto" w:fill="auto"/>
              <w:tblLayout w:type="fixed"/>
              <w:tblCellMar>
                <w:top w:w="0" w:type="dxa"/>
                <w:left w:w="0" w:type="dxa"/>
                <w:bottom w:w="0" w:type="dxa"/>
                <w:right w:w="0" w:type="dxa"/>
              </w:tblCellMar>
            </w:tblPr>
            <w:tblGrid>
              <w:gridCol w:w="7695"/>
            </w:tblGrid>
            <w:tr>
              <w:tblPrEx>
                <w:tblCellMar>
                  <w:top w:w="0" w:type="dxa"/>
                  <w:left w:w="0" w:type="dxa"/>
                  <w:bottom w:w="0" w:type="dxa"/>
                  <w:right w:w="0" w:type="dxa"/>
                </w:tblCellMar>
              </w:tblPrEx>
              <w:trPr>
                <w:trHeight w:val="600" w:hRule="atLeast"/>
              </w:trPr>
              <w:tc>
                <w:tcPr>
                  <w:tcW w:w="76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卧龙池垃圾地租金</w:t>
                  </w:r>
                </w:p>
              </w:tc>
            </w:tr>
          </w:tbl>
          <w:p>
            <w:pPr>
              <w:keepNext w:val="0"/>
              <w:keepLines w:val="0"/>
              <w:widowControl/>
              <w:suppressLineNumbers w:val="0"/>
              <w:jc w:val="both"/>
              <w:textAlignment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青龙满族自治县朱杖子乡人民政府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执行数：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其中：财政资金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22</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宋体" w:hAnsi="宋体" w:eastAsia="宋体" w:cs="宋体"/>
                <w:i w:val="0"/>
                <w:color w:val="000000"/>
                <w:sz w:val="16"/>
                <w:szCs w:val="16"/>
                <w:u w:val="none"/>
                <w:lang w:val="en-US"/>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2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5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eastAsia="zh-CN"/>
              </w:rPr>
              <w:t>朱杖子乡响应县委县政府安排部署，用挖掘机、铲车和车辆于</w:t>
            </w:r>
            <w:r>
              <w:rPr>
                <w:rFonts w:hint="eastAsia" w:ascii="宋体" w:hAnsi="宋体" w:eastAsia="宋体" w:cs="宋体"/>
                <w:i w:val="0"/>
                <w:color w:val="000000"/>
                <w:sz w:val="16"/>
                <w:szCs w:val="16"/>
                <w:u w:val="none"/>
                <w:lang w:val="en-US" w:eastAsia="zh-CN"/>
              </w:rPr>
              <w:t>2018年6月底将积存一年多的104万方垃圾全部清除到位。</w:t>
            </w:r>
          </w:p>
        </w:tc>
        <w:tc>
          <w:tcPr>
            <w:tcW w:w="35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朱杖子乡响应县委县政府安排部署，用挖掘机、铲车和车辆于</w:t>
            </w:r>
            <w:r>
              <w:rPr>
                <w:rFonts w:hint="eastAsia" w:ascii="宋体" w:hAnsi="宋体" w:eastAsia="宋体" w:cs="宋体"/>
                <w:i w:val="0"/>
                <w:color w:val="000000"/>
                <w:sz w:val="16"/>
                <w:szCs w:val="16"/>
                <w:u w:val="none"/>
                <w:lang w:val="en-US" w:eastAsia="zh-CN"/>
              </w:rPr>
              <w:t>2018年6月底将积存一年多的104万方垃圾全部清除到位。</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12"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5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工程完工率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工程验收合格率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25</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tabs>
                <w:tab w:val="left" w:pos="477"/>
              </w:tabs>
              <w:ind w:firstLine="160" w:firstLineChars="10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效益指标（30）</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经济效益指标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工程按期完成率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51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auto"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2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25" w:type="dxa"/>
            <w:tcBorders>
              <w:top w:val="single" w:color="auto"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9"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numPr>
          <w:ilvl w:val="0"/>
          <w:numId w:val="0"/>
        </w:numPr>
        <w:tabs>
          <w:tab w:val="left" w:pos="736"/>
        </w:tabs>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533" w:type="dxa"/>
        <w:tblInd w:w="-337" w:type="dxa"/>
        <w:shd w:val="clear" w:color="auto" w:fill="auto"/>
        <w:tblLayout w:type="fixed"/>
        <w:tblCellMar>
          <w:top w:w="0" w:type="dxa"/>
          <w:left w:w="0" w:type="dxa"/>
          <w:bottom w:w="0" w:type="dxa"/>
          <w:right w:w="0" w:type="dxa"/>
        </w:tblCellMar>
      </w:tblPr>
      <w:tblGrid>
        <w:gridCol w:w="1333"/>
        <w:gridCol w:w="1200"/>
        <w:gridCol w:w="1133"/>
        <w:gridCol w:w="1417"/>
        <w:gridCol w:w="1208"/>
        <w:gridCol w:w="1076"/>
        <w:gridCol w:w="1033"/>
        <w:gridCol w:w="1133"/>
      </w:tblGrid>
      <w:tr>
        <w:tblPrEx>
          <w:shd w:val="clear" w:color="auto" w:fill="auto"/>
          <w:tblCellMar>
            <w:top w:w="0" w:type="dxa"/>
            <w:left w:w="0" w:type="dxa"/>
            <w:bottom w:w="0" w:type="dxa"/>
            <w:right w:w="0" w:type="dxa"/>
          </w:tblCellMar>
        </w:tblPrEx>
        <w:trPr>
          <w:trHeight w:val="510" w:hRule="atLeast"/>
        </w:trPr>
        <w:tc>
          <w:tcPr>
            <w:tcW w:w="9533"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533"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83"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7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3"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村级组织运转经费-村级组织办公经费</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到位数：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r>
      <w:tr>
        <w:tblPrEx>
          <w:tblCellMar>
            <w:top w:w="0" w:type="dxa"/>
            <w:left w:w="0" w:type="dxa"/>
            <w:bottom w:w="0" w:type="dxa"/>
            <w:right w:w="0" w:type="dxa"/>
          </w:tblCellMar>
        </w:tblPrEx>
        <w:trPr>
          <w:trHeight w:val="3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其中：财政资金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default" w:ascii="宋体" w:hAnsi="宋体" w:eastAsia="宋体" w:cs="宋体"/>
                <w:i w:val="0"/>
                <w:color w:val="000000"/>
                <w:sz w:val="16"/>
                <w:szCs w:val="16"/>
                <w:u w:val="none"/>
                <w:lang w:val="en-US"/>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1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保证村级积极认真落实镇政府各项工作安排和部署，保证党的政策落实到位。</w:t>
            </w:r>
          </w:p>
        </w:tc>
        <w:tc>
          <w:tcPr>
            <w:tcW w:w="33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提高村干部工作积极性，推进科学民主决策、确保村级工作正常运转，壮大村级经济实力。</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33"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年终镇政府对村级工作考核分数</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村务公开完成率（%）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扶持村集体发展资金拨付完成率（%）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群众满意度</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≥95%</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10</w:t>
            </w:r>
          </w:p>
        </w:tc>
      </w:tr>
      <w:tr>
        <w:tblPrEx>
          <w:tblCellMar>
            <w:top w:w="0" w:type="dxa"/>
            <w:left w:w="0" w:type="dxa"/>
            <w:bottom w:w="0" w:type="dxa"/>
            <w:right w:w="0" w:type="dxa"/>
          </w:tblCellMar>
        </w:tblPrEx>
        <w:trPr>
          <w:trHeight w:val="495"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33"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82</w:t>
            </w:r>
          </w:p>
        </w:tc>
      </w:tr>
      <w:tr>
        <w:tblPrEx>
          <w:tblCellMar>
            <w:top w:w="0" w:type="dxa"/>
            <w:left w:w="0" w:type="dxa"/>
            <w:bottom w:w="0" w:type="dxa"/>
            <w:right w:w="0" w:type="dxa"/>
          </w:tblCellMar>
        </w:tblPrEx>
        <w:trPr>
          <w:trHeight w:val="735" w:hRule="atLeast"/>
        </w:trPr>
        <w:tc>
          <w:tcPr>
            <w:tcW w:w="1333"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0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591" w:type="dxa"/>
        <w:tblInd w:w="-337" w:type="dxa"/>
        <w:shd w:val="clear" w:color="auto" w:fill="auto"/>
        <w:tblLayout w:type="fixed"/>
        <w:tblCellMar>
          <w:top w:w="0" w:type="dxa"/>
          <w:left w:w="0" w:type="dxa"/>
          <w:bottom w:w="0" w:type="dxa"/>
          <w:right w:w="0" w:type="dxa"/>
        </w:tblCellMar>
      </w:tblPr>
      <w:tblGrid>
        <w:gridCol w:w="1308"/>
        <w:gridCol w:w="1308"/>
        <w:gridCol w:w="1034"/>
        <w:gridCol w:w="1350"/>
        <w:gridCol w:w="1175"/>
        <w:gridCol w:w="1266"/>
        <w:gridCol w:w="942"/>
        <w:gridCol w:w="1208"/>
      </w:tblGrid>
      <w:tr>
        <w:tblPrEx>
          <w:shd w:val="clear" w:color="auto" w:fill="auto"/>
          <w:tblCellMar>
            <w:top w:w="0" w:type="dxa"/>
            <w:left w:w="0" w:type="dxa"/>
            <w:bottom w:w="0" w:type="dxa"/>
            <w:right w:w="0" w:type="dxa"/>
          </w:tblCellMar>
        </w:tblPrEx>
        <w:trPr>
          <w:trHeight w:val="510" w:hRule="atLeast"/>
        </w:trPr>
        <w:tc>
          <w:tcPr>
            <w:tcW w:w="9591"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591"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6175" w:type="dxa"/>
            <w:gridSpan w:val="5"/>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26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942"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08"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村级组织运转经费-村干部基础职务补贴</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59</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执行数：</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59</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w:t>
            </w:r>
          </w:p>
        </w:tc>
      </w:tr>
      <w:tr>
        <w:tblPrEx>
          <w:tblCellMar>
            <w:top w:w="0" w:type="dxa"/>
            <w:left w:w="0" w:type="dxa"/>
            <w:bottom w:w="0" w:type="dxa"/>
            <w:right w:w="0" w:type="dxa"/>
          </w:tblCellMar>
        </w:tblPrEx>
        <w:trPr>
          <w:trHeight w:val="3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71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59</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其中：财政资金</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59</w:t>
            </w: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9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证村级积极认真落实镇政府各项工作安排和部署，保证党的政策落实到位。提高村干部工作积极性，推进科学民主决策、确保村级工作正常运转，壮大村级经济实力。严格按照法律法规规定开展村财管工作，确保实现农村干部补贴及时发放到位。</w:t>
            </w:r>
          </w:p>
        </w:tc>
        <w:tc>
          <w:tcPr>
            <w:tcW w:w="33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9个村村干部基础职务补贴按时发放。</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08"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扶持村集体发展资金拨付完成率（%）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村务公开完成率（%）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年终镇政府对村级工作考核分数</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≥98分</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99</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群众满意度</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≥95%</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100%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rPr>
              <w:t>10</w:t>
            </w:r>
          </w:p>
        </w:tc>
      </w:tr>
      <w:tr>
        <w:tblPrEx>
          <w:tblCellMar>
            <w:top w:w="0" w:type="dxa"/>
            <w:left w:w="0" w:type="dxa"/>
            <w:bottom w:w="0" w:type="dxa"/>
            <w:right w:w="0" w:type="dxa"/>
          </w:tblCellMar>
        </w:tblPrEx>
        <w:trPr>
          <w:trHeight w:val="495"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82.41%</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08"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7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95</w:t>
            </w:r>
          </w:p>
        </w:tc>
      </w:tr>
      <w:tr>
        <w:tblPrEx>
          <w:tblCellMar>
            <w:top w:w="0" w:type="dxa"/>
            <w:left w:w="0" w:type="dxa"/>
            <w:bottom w:w="0" w:type="dxa"/>
            <w:right w:w="0" w:type="dxa"/>
          </w:tblCellMar>
        </w:tblPrEx>
        <w:trPr>
          <w:trHeight w:val="735" w:hRule="atLeast"/>
        </w:trPr>
        <w:tc>
          <w:tcPr>
            <w:tcW w:w="1308"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283"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650" w:type="dxa"/>
        <w:tblInd w:w="-371" w:type="dxa"/>
        <w:shd w:val="clear" w:color="auto" w:fill="auto"/>
        <w:tblLayout w:type="fixed"/>
        <w:tblCellMar>
          <w:top w:w="0" w:type="dxa"/>
          <w:left w:w="0" w:type="dxa"/>
          <w:bottom w:w="0" w:type="dxa"/>
          <w:right w:w="0" w:type="dxa"/>
        </w:tblCellMar>
      </w:tblPr>
      <w:tblGrid>
        <w:gridCol w:w="1334"/>
        <w:gridCol w:w="1191"/>
        <w:gridCol w:w="1159"/>
        <w:gridCol w:w="1425"/>
        <w:gridCol w:w="1175"/>
        <w:gridCol w:w="1191"/>
        <w:gridCol w:w="1050"/>
        <w:gridCol w:w="1125"/>
      </w:tblGrid>
      <w:tr>
        <w:tblPrEx>
          <w:shd w:val="clear" w:color="auto" w:fill="auto"/>
          <w:tblCellMar>
            <w:top w:w="0" w:type="dxa"/>
            <w:left w:w="0" w:type="dxa"/>
            <w:bottom w:w="0" w:type="dxa"/>
            <w:right w:w="0" w:type="dxa"/>
          </w:tblCellMar>
        </w:tblPrEx>
        <w:trPr>
          <w:trHeight w:val="510" w:hRule="atLeast"/>
        </w:trPr>
        <w:tc>
          <w:tcPr>
            <w:tcW w:w="9650"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650"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109"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175"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3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8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综治工作经费</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6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2</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41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通过贯彻执行国家的法律法规和政策，加大依法行政的力度，维护农业农村工作的稳定；加强法制宣传教育、提高公民的法律意识和素质，教育农民知法、懂法和守法；协助司法机关打击各类刑事犯罪活动。</w:t>
            </w:r>
          </w:p>
        </w:tc>
        <w:tc>
          <w:tcPr>
            <w:tcW w:w="34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加强法制宣传教育、提高公民的法律意识和素质，教育农民知法、懂法和守法。</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4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34"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协调督导事项化解率(%)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法律援助案件受理数（件）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法律援助案件办结率(%)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普法宣传对象满意度(%)</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34"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91"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34"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316"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766" w:type="dxa"/>
        <w:tblInd w:w="-354" w:type="dxa"/>
        <w:shd w:val="clear" w:color="auto" w:fill="auto"/>
        <w:tblLayout w:type="fixed"/>
        <w:tblCellMar>
          <w:top w:w="0" w:type="dxa"/>
          <w:left w:w="0" w:type="dxa"/>
          <w:bottom w:w="0" w:type="dxa"/>
          <w:right w:w="0" w:type="dxa"/>
        </w:tblCellMar>
      </w:tblPr>
      <w:tblGrid>
        <w:gridCol w:w="1325"/>
        <w:gridCol w:w="1225"/>
        <w:gridCol w:w="1508"/>
        <w:gridCol w:w="1050"/>
        <w:gridCol w:w="1167"/>
        <w:gridCol w:w="1208"/>
        <w:gridCol w:w="1000"/>
        <w:gridCol w:w="1283"/>
      </w:tblGrid>
      <w:tr>
        <w:tblPrEx>
          <w:shd w:val="clear" w:color="auto" w:fill="auto"/>
          <w:tblCellMar>
            <w:top w:w="0" w:type="dxa"/>
            <w:left w:w="0" w:type="dxa"/>
            <w:bottom w:w="0" w:type="dxa"/>
            <w:right w:w="0" w:type="dxa"/>
          </w:tblCellMar>
        </w:tblPrEx>
        <w:trPr>
          <w:trHeight w:val="510" w:hRule="atLeast"/>
        </w:trPr>
        <w:tc>
          <w:tcPr>
            <w:tcW w:w="9766"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766"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4058" w:type="dxa"/>
            <w:gridSpan w:val="3"/>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05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08"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00"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燃煤锅炉改造清洁能源补贴</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30</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通过使用天然气供暖，确保实现污染物稳定达标排放。</w:t>
            </w:r>
          </w:p>
        </w:tc>
        <w:tc>
          <w:tcPr>
            <w:tcW w:w="33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加强对燃煤锅炉的改造，通过节能减排降低碳排放量，减少大气污染，机关单位必须率先垂范，确保大气治理和污染防治工作取得实效。</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7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25"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污染物排放降低率（%）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二氧化硫削排放减率（%）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细颗粒物排放削减率（%）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效益指标（30）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细颗粒物排放削减率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≥80%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25"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15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2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44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7"/>
        <w:tblW w:w="9575" w:type="dxa"/>
        <w:tblInd w:w="-304" w:type="dxa"/>
        <w:shd w:val="clear" w:color="auto" w:fill="auto"/>
        <w:tblLayout w:type="fixed"/>
        <w:tblCellMar>
          <w:top w:w="0" w:type="dxa"/>
          <w:left w:w="0" w:type="dxa"/>
          <w:bottom w:w="0" w:type="dxa"/>
          <w:right w:w="0" w:type="dxa"/>
        </w:tblCellMar>
      </w:tblPr>
      <w:tblGrid>
        <w:gridCol w:w="1342"/>
        <w:gridCol w:w="1166"/>
        <w:gridCol w:w="1234"/>
        <w:gridCol w:w="1291"/>
        <w:gridCol w:w="1184"/>
        <w:gridCol w:w="1117"/>
        <w:gridCol w:w="1016"/>
        <w:gridCol w:w="1167"/>
      </w:tblGrid>
      <w:tr>
        <w:tblPrEx>
          <w:shd w:val="clear" w:color="auto" w:fill="auto"/>
          <w:tblCellMar>
            <w:top w:w="0" w:type="dxa"/>
            <w:left w:w="0" w:type="dxa"/>
            <w:bottom w:w="0" w:type="dxa"/>
            <w:right w:w="0" w:type="dxa"/>
          </w:tblCellMar>
        </w:tblPrEx>
        <w:trPr>
          <w:trHeight w:val="510" w:hRule="atLeast"/>
        </w:trPr>
        <w:tc>
          <w:tcPr>
            <w:tcW w:w="9517" w:type="dxa"/>
            <w:gridSpan w:val="8"/>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县级部门预算项目绩效自评表</w:t>
            </w:r>
          </w:p>
        </w:tc>
      </w:tr>
      <w:tr>
        <w:tblPrEx>
          <w:tblCellMar>
            <w:top w:w="0" w:type="dxa"/>
            <w:left w:w="0" w:type="dxa"/>
            <w:bottom w:w="0" w:type="dxa"/>
            <w:right w:w="0" w:type="dxa"/>
          </w:tblCellMar>
        </w:tblPrEx>
        <w:trPr>
          <w:trHeight w:val="345" w:hRule="atLeast"/>
        </w:trPr>
        <w:tc>
          <w:tcPr>
            <w:tcW w:w="9517" w:type="dxa"/>
            <w:gridSpan w:val="8"/>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 年度）</w:t>
            </w:r>
          </w:p>
        </w:tc>
      </w:tr>
      <w:tr>
        <w:tblPrEx>
          <w:tblCellMar>
            <w:top w:w="0" w:type="dxa"/>
            <w:left w:w="0" w:type="dxa"/>
            <w:bottom w:w="0" w:type="dxa"/>
            <w:right w:w="0" w:type="dxa"/>
          </w:tblCellMar>
        </w:tblPrEx>
        <w:trPr>
          <w:trHeight w:val="435" w:hRule="atLeast"/>
        </w:trPr>
        <w:tc>
          <w:tcPr>
            <w:tcW w:w="5033" w:type="dxa"/>
            <w:gridSpan w:val="4"/>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填报单位（盖章）：青龙满族自治县朱杖子乡人民政府</w:t>
            </w:r>
          </w:p>
        </w:tc>
        <w:tc>
          <w:tcPr>
            <w:tcW w:w="1184"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7"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016" w:type="dxa"/>
            <w:tcBorders>
              <w:top w:val="nil"/>
              <w:left w:val="nil"/>
              <w:bottom w:val="nil"/>
              <w:right w:val="nil"/>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34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 基本情况</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纪委谈话室建设资金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青龙满族自治县朱杖子乡人民政府</w:t>
            </w:r>
          </w:p>
        </w:tc>
      </w:tr>
      <w:tr>
        <w:tblPrEx>
          <w:tblCellMar>
            <w:top w:w="0" w:type="dxa"/>
            <w:left w:w="0" w:type="dxa"/>
            <w:bottom w:w="0" w:type="dxa"/>
            <w:right w:w="0" w:type="dxa"/>
          </w:tblCellMar>
        </w:tblPrEx>
        <w:trPr>
          <w:trHeight w:val="28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31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提升纪委走读式谈话管理，加强纪委监督职能，全面提高纪委查案执纪水平。</w:t>
            </w:r>
          </w:p>
        </w:tc>
        <w:tc>
          <w:tcPr>
            <w:tcW w:w="33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按照纪委文件精神，加强纪委谈话室建设，提升纪委走读式谈话管理。建设谈话室，购置办公桌椅及监控设备。</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6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33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342"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 年度绩效指标完成情况</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工程量完成率（%）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配套设施完成率（%）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业务保障能力（%）</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受益群体满意度（%）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495"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CellMar>
            <w:top w:w="0" w:type="dxa"/>
            <w:left w:w="0" w:type="dxa"/>
            <w:bottom w:w="0" w:type="dxa"/>
            <w:right w:w="0" w:type="dxa"/>
          </w:tblCellMar>
        </w:tblPrEx>
        <w:trPr>
          <w:trHeight w:val="280" w:hRule="atLeast"/>
        </w:trPr>
        <w:tc>
          <w:tcPr>
            <w:tcW w:w="1342"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6"/>
                <w:szCs w:val="16"/>
                <w:u w:val="none"/>
              </w:rPr>
            </w:pPr>
          </w:p>
        </w:tc>
        <w:tc>
          <w:tcPr>
            <w:tcW w:w="700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735" w:hRule="atLeast"/>
        </w:trPr>
        <w:tc>
          <w:tcPr>
            <w:tcW w:w="1342"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 存在问题、原因及下一步整改措施</w:t>
            </w:r>
          </w:p>
        </w:tc>
        <w:tc>
          <w:tcPr>
            <w:tcW w:w="8175"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无</w:t>
            </w:r>
          </w:p>
        </w:tc>
      </w:tr>
    </w:tbl>
    <w:p>
      <w:pPr>
        <w:adjustRightInd w:val="0"/>
        <w:snapToGrid w:val="0"/>
        <w:spacing w:line="240" w:lineRule="auto"/>
        <w:ind w:firstLine="640" w:firstLineChars="200"/>
        <w:rPr>
          <w:rFonts w:hint="eastAsia" w:ascii="仿宋_GB2312" w:hAnsi="仿宋_GB2312" w:eastAsia="仿宋_GB2312" w:cs="仿宋_GB2312"/>
          <w:sz w:val="32"/>
          <w:szCs w:val="32"/>
          <w:lang w:eastAsia="zh-CN"/>
        </w:rPr>
      </w:pPr>
    </w:p>
    <w:p>
      <w:pPr>
        <w:adjustRightInd w:val="0"/>
        <w:snapToGrid w:val="0"/>
        <w:spacing w:line="240" w:lineRule="auto"/>
        <w:ind w:firstLine="640" w:firstLineChars="200"/>
        <w:rPr>
          <w:rFonts w:hint="eastAsia" w:ascii="仿宋_GB2312" w:hAnsi="仿宋_GB2312" w:eastAsia="仿宋_GB2312" w:cs="仿宋_GB2312"/>
          <w:sz w:val="32"/>
          <w:szCs w:val="32"/>
          <w:lang w:eastAsia="zh-CN"/>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ascii="仿宋_GB2312" w:hAnsi="Times New Roman" w:eastAsia="仿宋_GB2312" w:cs="DengXian-Regular"/>
          <w:sz w:val="32"/>
          <w:szCs w:val="32"/>
        </w:rPr>
        <w:t>47.88</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ascii="仿宋_GB2312" w:hAnsi="Times New Roman" w:eastAsia="仿宋_GB2312" w:cs="DengXian-Regular"/>
          <w:sz w:val="32"/>
          <w:szCs w:val="32"/>
        </w:rPr>
        <w:t>25.24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34.53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。主要原因主要是压减机关运行经费，部分经费年底前未支出。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2019</w:t>
      </w:r>
      <w:r>
        <w:rPr>
          <w:rFonts w:hint="eastAsia" w:ascii="仿宋_GB2312" w:eastAsia="仿宋_GB2312" w:cs="DengXian-Regular"/>
          <w:sz w:val="32"/>
          <w:szCs w:val="32"/>
        </w:rPr>
        <w:t>年度政府采购支出总额</w:t>
      </w:r>
      <w:r>
        <w:rPr>
          <w:rFonts w:ascii="仿宋_GB2312" w:eastAsia="仿宋_GB2312" w:cs="DengXian-Regular"/>
          <w:sz w:val="32"/>
          <w:szCs w:val="32"/>
        </w:rPr>
        <w:t>30</w:t>
      </w:r>
      <w:r>
        <w:rPr>
          <w:rFonts w:hint="eastAsia" w:ascii="仿宋_GB2312"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ascii="仿宋_GB2312" w:hAnsi="仿宋_GB2312" w:eastAsia="仿宋_GB2312" w:cs="仿宋_GB2312"/>
          <w:color w:val="000000"/>
          <w:kern w:val="0"/>
          <w:sz w:val="32"/>
          <w:szCs w:val="32"/>
        </w:rPr>
        <w:t xml:space="preserve">30 </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 xml:space="preserve"> 0</w:t>
      </w:r>
      <w:r>
        <w:rPr>
          <w:rFonts w:hint="eastAsia" w:ascii="仿宋_GB2312" w:hAnsi="仿宋_GB2312" w:eastAsia="仿宋_GB2312" w:cs="仿宋_GB2312"/>
          <w:color w:val="000000"/>
          <w:kern w:val="0"/>
          <w:sz w:val="32"/>
          <w:szCs w:val="32"/>
        </w:rPr>
        <w:t>万元。授予中小企业合同金</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0%</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cs="DengXian-Regular"/>
          <w:sz w:val="32"/>
          <w:szCs w:val="32"/>
        </w:rPr>
        <w:t>截至</w:t>
      </w:r>
      <w:r>
        <w:rPr>
          <w:rFonts w:ascii="仿宋_GB2312" w:eastAsia="仿宋_GB2312" w:cs="DengXian-Regular"/>
          <w:sz w:val="32"/>
          <w:szCs w:val="32"/>
        </w:rPr>
        <w:t>2018</w:t>
      </w:r>
      <w:r>
        <w:rPr>
          <w:rFonts w:hint="eastAsia" w:ascii="仿宋_GB2312" w:eastAsia="仿宋_GB2312" w:cs="DengXian-Regular"/>
          <w:sz w:val="32"/>
          <w:szCs w:val="32"/>
        </w:rPr>
        <w:t>年</w:t>
      </w:r>
      <w:r>
        <w:rPr>
          <w:rFonts w:ascii="仿宋_GB2312" w:eastAsia="仿宋_GB2312" w:cs="DengXian-Regular"/>
          <w:sz w:val="32"/>
          <w:szCs w:val="32"/>
        </w:rPr>
        <w:t>12</w:t>
      </w:r>
      <w:r>
        <w:rPr>
          <w:rFonts w:hint="eastAsia" w:ascii="仿宋_GB2312" w:eastAsia="仿宋_GB2312" w:cs="DengXian-Regular"/>
          <w:sz w:val="32"/>
          <w:szCs w:val="32"/>
        </w:rPr>
        <w:t>月</w:t>
      </w:r>
      <w:r>
        <w:rPr>
          <w:rFonts w:ascii="仿宋_GB2312" w:eastAsia="仿宋_GB2312" w:cs="DengXian-Regular"/>
          <w:sz w:val="32"/>
          <w:szCs w:val="32"/>
        </w:rPr>
        <w:t>31</w:t>
      </w:r>
      <w:r>
        <w:rPr>
          <w:rFonts w:hint="eastAsia" w:ascii="仿宋_GB2312" w:eastAsia="仿宋_GB2312" w:cs="DengXian-Regular"/>
          <w:sz w:val="32"/>
          <w:szCs w:val="32"/>
        </w:rPr>
        <w:t>日，本部门共有车辆</w:t>
      </w:r>
      <w:r>
        <w:rPr>
          <w:rFonts w:ascii="仿宋_GB2312" w:eastAsia="仿宋_GB2312" w:cs="DengXian-Regular"/>
          <w:sz w:val="32"/>
          <w:szCs w:val="32"/>
        </w:rPr>
        <w:t>2</w:t>
      </w:r>
      <w:r>
        <w:rPr>
          <w:rFonts w:hint="eastAsia" w:ascii="仿宋_GB2312" w:eastAsia="仿宋_GB2312" w:cs="DengXian-Regular"/>
          <w:sz w:val="32"/>
          <w:szCs w:val="32"/>
        </w:rPr>
        <w:t>辆，与上年持平，没有增减</w:t>
      </w:r>
      <w:r>
        <w:rPr>
          <w:rFonts w:hint="eastAsia" w:ascii="仿宋_GB2312" w:hAnsi="Times New Roman" w:eastAsia="仿宋_GB2312" w:cs="DengXian-Regular"/>
          <w:sz w:val="32"/>
          <w:szCs w:val="32"/>
        </w:rPr>
        <w:t>。其中，副部（省）级及以上领导用车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辆，主要领导干部用车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辆，机要通信用车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辆，应急保障用车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辆，执法执勤用车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辆，特种专业技术用车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辆，离退休干部用车</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辆，其他用车</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台（套），与上年持平，单位价值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ascii="仿宋_GB2312" w:hAnsi="Times New Roman" w:eastAsia="仿宋_GB2312" w:cs="DengXian-Regular"/>
          <w:sz w:val="32"/>
          <w:szCs w:val="32"/>
        </w:rPr>
        <w:t>0</w:t>
      </w:r>
      <w:r>
        <w:rPr>
          <w:rFonts w:hint="eastAsia" w:ascii="仿宋_GB2312" w:hAnsi="Times New Roman" w:eastAsia="仿宋_GB2312" w:cs="DengXian-Regular"/>
          <w:sz w:val="32"/>
          <w:szCs w:val="32"/>
        </w:rPr>
        <w:t>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6" name="文本框 1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upright="1"/>
                    </wps:wsp>
                  </a:graphicData>
                </a:graphic>
              </wp:anchor>
            </w:drawing>
          </mc:Choice>
          <mc:Fallback>
            <w:pict>
              <v:shape id="文本框 19"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5vsn2wAAAAwBAAAPAAAAAAAAAAEAIAAAACIAAABkcnMvZG93&#10;bnJldi54bWxQSwECFAAUAAAACACHTuJASVcvxjYCAACPBAAADgAAAAAAAAABACAAAAAqAQAAZHJz&#10;L2Uyb0RvYy54bWxQSwUGAAAAAAYABgBZAQAA0gUAAAAA&#10;">
                <v:fill type="pattern" on="t" color2="#FFFFFF" o:title="5%" focussize="0,0" r:id="rId22"/>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4" name="文本框 20"/>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upright="1"/>
                    </wps:wsp>
                  </a:graphicData>
                </a:graphic>
              </wp:anchor>
            </w:drawing>
          </mc:Choice>
          <mc:Fallback>
            <w:pict>
              <v:shape id="文本框 20"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cuJhwNAIAAI4EAAAOAAAAAAAAAAEAIAAAACsBAABkcnMv&#10;ZTJvRG9jLnhtbFBLBQYAAAAABgAGAFkBAADRBQAAAAA=&#10;">
                <v:fill type="pattern" on="t" color2="#FFFFFF" o:title="5%" focussize="0,0" r:id="rId22"/>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pPr>
        <w:tabs>
          <w:tab w:val="left" w:pos="886"/>
        </w:tabs>
        <w:jc w:val="left"/>
      </w:pPr>
    </w:p>
    <w:p>
      <w:pPr>
        <w:widowControl/>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详见</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青龙满族自治县朱杖子乡部门</w:t>
      </w:r>
      <w:r>
        <w:rPr>
          <w:rFonts w:ascii="仿宋_GB2312" w:hAnsi="宋体" w:eastAsia="仿宋_GB2312"/>
          <w:color w:val="000000"/>
          <w:kern w:val="0"/>
          <w:sz w:val="32"/>
          <w:szCs w:val="32"/>
        </w:rPr>
        <w:t>2019</w:t>
      </w:r>
      <w:r>
        <w:rPr>
          <w:rFonts w:hint="eastAsia" w:ascii="仿宋_GB2312" w:hAnsi="宋体" w:eastAsia="仿宋_GB2312"/>
          <w:color w:val="000000"/>
          <w:kern w:val="0"/>
          <w:sz w:val="32"/>
          <w:szCs w:val="32"/>
        </w:rPr>
        <w:t>年度部门决算公开相关报表</w:t>
      </w:r>
      <w:r>
        <w:rPr>
          <w:rFonts w:ascii="仿宋_GB2312" w:hAnsi="宋体" w:eastAsia="仿宋_GB2312"/>
          <w:color w:val="000000"/>
          <w:kern w:val="0"/>
          <w:sz w:val="32"/>
          <w:szCs w:val="32"/>
        </w:rPr>
        <w:t>(</w:t>
      </w:r>
      <w:r>
        <w:rPr>
          <w:rFonts w:hint="eastAsia" w:ascii="仿宋_GB2312" w:hAnsi="宋体" w:eastAsia="仿宋_GB2312"/>
          <w:color w:val="000000"/>
          <w:kern w:val="0"/>
          <w:sz w:val="32"/>
          <w:szCs w:val="32"/>
        </w:rPr>
        <w:t>共</w:t>
      </w:r>
      <w:r>
        <w:rPr>
          <w:rFonts w:ascii="仿宋_GB2312" w:hAnsi="宋体" w:eastAsia="仿宋_GB2312"/>
          <w:color w:val="000000"/>
          <w:kern w:val="0"/>
          <w:sz w:val="32"/>
          <w:szCs w:val="32"/>
        </w:rPr>
        <w:t>9</w:t>
      </w:r>
      <w:r>
        <w:rPr>
          <w:rFonts w:hint="eastAsia" w:ascii="仿宋_GB2312" w:hAnsi="宋体" w:eastAsia="仿宋_GB2312"/>
          <w:color w:val="000000"/>
          <w:kern w:val="0"/>
          <w:sz w:val="32"/>
          <w:szCs w:val="32"/>
        </w:rPr>
        <w:t>张</w:t>
      </w:r>
      <w:r>
        <w:rPr>
          <w:rFonts w:ascii="仿宋_GB2312" w:hAnsi="宋体" w:eastAsia="仿宋_GB2312"/>
          <w:color w:val="000000"/>
          <w:kern w:val="0"/>
          <w:sz w:val="32"/>
          <w:szCs w:val="32"/>
        </w:rPr>
        <w:t>)</w:t>
      </w:r>
    </w:p>
    <w:p>
      <w:pPr>
        <w:widowControl/>
        <w:jc w:val="left"/>
        <w:rPr>
          <w:rFonts w:ascii="仿宋_GB2312" w:hAnsi="宋体" w:eastAsia="仿宋_GB2312"/>
          <w:color w:val="000000"/>
          <w:kern w:val="0"/>
          <w:sz w:val="32"/>
          <w:szCs w:val="32"/>
        </w:rPr>
      </w:pPr>
      <w:r>
        <w:rPr>
          <w:rFonts w:ascii="仿宋_GB2312" w:hAnsi="宋体" w:eastAsia="仿宋_GB2312"/>
          <w:color w:val="000000"/>
          <w:kern w:val="0"/>
          <w:sz w:val="32"/>
          <w:szCs w:val="32"/>
        </w:rPr>
        <w:br w:type="page"/>
      </w:r>
    </w:p>
    <w:p>
      <w:pPr>
        <w:widowControl/>
        <w:spacing w:line="560" w:lineRule="exact"/>
        <w:ind w:firstLine="640" w:firstLineChars="200"/>
        <w:rPr>
          <w:rFonts w:ascii="仿宋_GB2312" w:hAnsi="宋体" w:eastAsia="仿宋_GB2312"/>
          <w:color w:val="000000"/>
          <w:kern w:val="0"/>
          <w:sz w:val="32"/>
          <w:szCs w:val="32"/>
        </w:rPr>
      </w:pPr>
    </w:p>
    <w:p>
      <w: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7" name="矩形 21"/>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w="12700">
                          <a:noFill/>
                        </a:ln>
                      </wps:spPr>
                      <wps:bodyPr anchor="ctr" upright="1"/>
                    </wps:wsp>
                  </a:graphicData>
                </a:graphic>
              </wp:anchor>
            </w:drawing>
          </mc:Choice>
          <mc:Fallback>
            <w:pict>
              <v:rect id="矩形 21"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JvLX90AAAAPAQAADwAAAAAAAAABACAAAAAiAAAAZHJz&#10;L2Rvd25yZXYueG1sUEsBAhQAFAAAAAgAh07iQBoxoTnGAQAAegMAAA4AAAAAAAAAAQAgAAAALAEA&#10;AGRycy9lMm9Eb2MueG1sUEsFBgAAAAAGAAYAWQEAAGQFAAAAAA==&#10;">
                <v:fill on="t" focussize="0,0"/>
                <v:stroke on="f" weight="1pt"/>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- 6 -</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40750"/>
    <w:multiLevelType w:val="singleLevel"/>
    <w:tmpl w:val="FA740750"/>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OWU1Y2IyZDNiNjI2ODU2MDk1MzA1YzNhOTY3ZjYifQ=="/>
  </w:docVars>
  <w:rsids>
    <w:rsidRoot w:val="6AAF1C96"/>
    <w:rsid w:val="00000746"/>
    <w:rsid w:val="00014557"/>
    <w:rsid w:val="000155D0"/>
    <w:rsid w:val="0004262D"/>
    <w:rsid w:val="00063337"/>
    <w:rsid w:val="0007063E"/>
    <w:rsid w:val="00073392"/>
    <w:rsid w:val="00073F4E"/>
    <w:rsid w:val="00086C89"/>
    <w:rsid w:val="000A39FB"/>
    <w:rsid w:val="000C2F88"/>
    <w:rsid w:val="000C66AC"/>
    <w:rsid w:val="00117746"/>
    <w:rsid w:val="00135C58"/>
    <w:rsid w:val="00163F95"/>
    <w:rsid w:val="00180A9A"/>
    <w:rsid w:val="001829C0"/>
    <w:rsid w:val="00182E1A"/>
    <w:rsid w:val="00184809"/>
    <w:rsid w:val="00185547"/>
    <w:rsid w:val="00192112"/>
    <w:rsid w:val="00196980"/>
    <w:rsid w:val="001B0127"/>
    <w:rsid w:val="001C12D5"/>
    <w:rsid w:val="001C69F7"/>
    <w:rsid w:val="002650EC"/>
    <w:rsid w:val="002A6C46"/>
    <w:rsid w:val="002C19B5"/>
    <w:rsid w:val="002D4F29"/>
    <w:rsid w:val="002E4A1F"/>
    <w:rsid w:val="00314FD8"/>
    <w:rsid w:val="00335920"/>
    <w:rsid w:val="003557C3"/>
    <w:rsid w:val="003A1CFB"/>
    <w:rsid w:val="003A4EE8"/>
    <w:rsid w:val="003B6005"/>
    <w:rsid w:val="00442CC2"/>
    <w:rsid w:val="00446244"/>
    <w:rsid w:val="0046686B"/>
    <w:rsid w:val="00473C20"/>
    <w:rsid w:val="004D4235"/>
    <w:rsid w:val="004D61CB"/>
    <w:rsid w:val="005011D6"/>
    <w:rsid w:val="00503F2E"/>
    <w:rsid w:val="00511D94"/>
    <w:rsid w:val="0052456A"/>
    <w:rsid w:val="00552226"/>
    <w:rsid w:val="00562CA3"/>
    <w:rsid w:val="00566120"/>
    <w:rsid w:val="00582E6D"/>
    <w:rsid w:val="005954D5"/>
    <w:rsid w:val="005A53FA"/>
    <w:rsid w:val="005D1293"/>
    <w:rsid w:val="005E071D"/>
    <w:rsid w:val="00644D5F"/>
    <w:rsid w:val="006727AD"/>
    <w:rsid w:val="00691425"/>
    <w:rsid w:val="006A516E"/>
    <w:rsid w:val="006B0830"/>
    <w:rsid w:val="006B2368"/>
    <w:rsid w:val="006C0131"/>
    <w:rsid w:val="006D1B85"/>
    <w:rsid w:val="006E3630"/>
    <w:rsid w:val="006F55EC"/>
    <w:rsid w:val="00716E2B"/>
    <w:rsid w:val="00750C18"/>
    <w:rsid w:val="00770F18"/>
    <w:rsid w:val="00773B74"/>
    <w:rsid w:val="0078290C"/>
    <w:rsid w:val="007B44DE"/>
    <w:rsid w:val="007C06CA"/>
    <w:rsid w:val="007F62CE"/>
    <w:rsid w:val="008163FB"/>
    <w:rsid w:val="00824B09"/>
    <w:rsid w:val="0082605B"/>
    <w:rsid w:val="00847B7A"/>
    <w:rsid w:val="00855C36"/>
    <w:rsid w:val="00857DBE"/>
    <w:rsid w:val="008701BC"/>
    <w:rsid w:val="008721FB"/>
    <w:rsid w:val="00883D92"/>
    <w:rsid w:val="008A45EF"/>
    <w:rsid w:val="008A5362"/>
    <w:rsid w:val="008F21F1"/>
    <w:rsid w:val="008F221B"/>
    <w:rsid w:val="008F5A2D"/>
    <w:rsid w:val="00916A27"/>
    <w:rsid w:val="00921602"/>
    <w:rsid w:val="00930520"/>
    <w:rsid w:val="0093692B"/>
    <w:rsid w:val="00952B98"/>
    <w:rsid w:val="00957EA1"/>
    <w:rsid w:val="00966E5B"/>
    <w:rsid w:val="009B4EF0"/>
    <w:rsid w:val="009D271F"/>
    <w:rsid w:val="00A23C4E"/>
    <w:rsid w:val="00A668CB"/>
    <w:rsid w:val="00A929C2"/>
    <w:rsid w:val="00AC70E9"/>
    <w:rsid w:val="00AD0892"/>
    <w:rsid w:val="00AD097F"/>
    <w:rsid w:val="00B25767"/>
    <w:rsid w:val="00B844F4"/>
    <w:rsid w:val="00BA06A1"/>
    <w:rsid w:val="00BA770A"/>
    <w:rsid w:val="00BB1579"/>
    <w:rsid w:val="00BF0E6E"/>
    <w:rsid w:val="00BF1210"/>
    <w:rsid w:val="00C054DE"/>
    <w:rsid w:val="00C679A9"/>
    <w:rsid w:val="00C7541C"/>
    <w:rsid w:val="00CC0FAA"/>
    <w:rsid w:val="00CD0736"/>
    <w:rsid w:val="00CE0EFF"/>
    <w:rsid w:val="00D0113B"/>
    <w:rsid w:val="00D137C3"/>
    <w:rsid w:val="00D1570F"/>
    <w:rsid w:val="00D32830"/>
    <w:rsid w:val="00D50165"/>
    <w:rsid w:val="00DA2327"/>
    <w:rsid w:val="00DB7153"/>
    <w:rsid w:val="00DB7F05"/>
    <w:rsid w:val="00DE5D41"/>
    <w:rsid w:val="00DF6F1A"/>
    <w:rsid w:val="00E028C3"/>
    <w:rsid w:val="00E14F77"/>
    <w:rsid w:val="00E26B73"/>
    <w:rsid w:val="00E3076B"/>
    <w:rsid w:val="00E36978"/>
    <w:rsid w:val="00E636AA"/>
    <w:rsid w:val="00E82A1E"/>
    <w:rsid w:val="00E8524F"/>
    <w:rsid w:val="00EC06F4"/>
    <w:rsid w:val="00EC3E03"/>
    <w:rsid w:val="00EE098A"/>
    <w:rsid w:val="00EE4E36"/>
    <w:rsid w:val="00F65C0C"/>
    <w:rsid w:val="00F665F4"/>
    <w:rsid w:val="00FB3DDB"/>
    <w:rsid w:val="00FD225F"/>
    <w:rsid w:val="013D7192"/>
    <w:rsid w:val="0145380D"/>
    <w:rsid w:val="015A24E5"/>
    <w:rsid w:val="01E00DA4"/>
    <w:rsid w:val="02ED18A4"/>
    <w:rsid w:val="03562B34"/>
    <w:rsid w:val="03972BD1"/>
    <w:rsid w:val="0485646A"/>
    <w:rsid w:val="05821046"/>
    <w:rsid w:val="0844715F"/>
    <w:rsid w:val="08B1050E"/>
    <w:rsid w:val="091303B8"/>
    <w:rsid w:val="094A7262"/>
    <w:rsid w:val="0AFF66B1"/>
    <w:rsid w:val="0BE41047"/>
    <w:rsid w:val="103434C0"/>
    <w:rsid w:val="13C6036D"/>
    <w:rsid w:val="16A3589D"/>
    <w:rsid w:val="18735ABF"/>
    <w:rsid w:val="19466830"/>
    <w:rsid w:val="19F64A40"/>
    <w:rsid w:val="1AA93366"/>
    <w:rsid w:val="1C1D641C"/>
    <w:rsid w:val="1C245E1C"/>
    <w:rsid w:val="1EE537BF"/>
    <w:rsid w:val="20F57CDE"/>
    <w:rsid w:val="249E6BAC"/>
    <w:rsid w:val="24DE2BE6"/>
    <w:rsid w:val="279F502C"/>
    <w:rsid w:val="28E43F29"/>
    <w:rsid w:val="2AE21190"/>
    <w:rsid w:val="2AE25177"/>
    <w:rsid w:val="2B1A2D7E"/>
    <w:rsid w:val="2BA97AA1"/>
    <w:rsid w:val="2D747E26"/>
    <w:rsid w:val="2F7870D7"/>
    <w:rsid w:val="31C2036A"/>
    <w:rsid w:val="320D02A5"/>
    <w:rsid w:val="348E566F"/>
    <w:rsid w:val="350244BD"/>
    <w:rsid w:val="350F2C84"/>
    <w:rsid w:val="37A702E9"/>
    <w:rsid w:val="37D43F68"/>
    <w:rsid w:val="39914AEC"/>
    <w:rsid w:val="399E4E40"/>
    <w:rsid w:val="3A226944"/>
    <w:rsid w:val="3AEE6A48"/>
    <w:rsid w:val="3C1620AA"/>
    <w:rsid w:val="3CB85651"/>
    <w:rsid w:val="3D8F080F"/>
    <w:rsid w:val="3DB74EF3"/>
    <w:rsid w:val="3EB710D4"/>
    <w:rsid w:val="427F0A52"/>
    <w:rsid w:val="44CE1FA4"/>
    <w:rsid w:val="453635DD"/>
    <w:rsid w:val="4654092B"/>
    <w:rsid w:val="47ED58E9"/>
    <w:rsid w:val="487F73ED"/>
    <w:rsid w:val="48C73DF0"/>
    <w:rsid w:val="49285141"/>
    <w:rsid w:val="49D61D40"/>
    <w:rsid w:val="4A347EAE"/>
    <w:rsid w:val="4AC135EF"/>
    <w:rsid w:val="4C3A596C"/>
    <w:rsid w:val="505F33EC"/>
    <w:rsid w:val="50EC0A3D"/>
    <w:rsid w:val="51D957D4"/>
    <w:rsid w:val="52600405"/>
    <w:rsid w:val="529B4319"/>
    <w:rsid w:val="53D2013F"/>
    <w:rsid w:val="56FF4AD4"/>
    <w:rsid w:val="57773DD6"/>
    <w:rsid w:val="578B79AB"/>
    <w:rsid w:val="58BF02E4"/>
    <w:rsid w:val="59E60972"/>
    <w:rsid w:val="5A6109EE"/>
    <w:rsid w:val="5A8C780C"/>
    <w:rsid w:val="5CAB5CAC"/>
    <w:rsid w:val="5CCD3FD5"/>
    <w:rsid w:val="5DF51740"/>
    <w:rsid w:val="5E5917B2"/>
    <w:rsid w:val="6127459B"/>
    <w:rsid w:val="61FA5F9D"/>
    <w:rsid w:val="63077348"/>
    <w:rsid w:val="630E48B5"/>
    <w:rsid w:val="64A71A73"/>
    <w:rsid w:val="64A90230"/>
    <w:rsid w:val="64CD6910"/>
    <w:rsid w:val="650852A0"/>
    <w:rsid w:val="65FA04A9"/>
    <w:rsid w:val="6789158D"/>
    <w:rsid w:val="67D81BA4"/>
    <w:rsid w:val="6A8D63F9"/>
    <w:rsid w:val="6AAF1C96"/>
    <w:rsid w:val="6D3865D9"/>
    <w:rsid w:val="6D905719"/>
    <w:rsid w:val="6F9F4432"/>
    <w:rsid w:val="70754E79"/>
    <w:rsid w:val="71135298"/>
    <w:rsid w:val="71D96BD9"/>
    <w:rsid w:val="7226158E"/>
    <w:rsid w:val="72AF7303"/>
    <w:rsid w:val="74D04FD1"/>
    <w:rsid w:val="751D73FB"/>
    <w:rsid w:val="75681757"/>
    <w:rsid w:val="75A346A8"/>
    <w:rsid w:val="76675AEB"/>
    <w:rsid w:val="784D5082"/>
    <w:rsid w:val="78BD1D26"/>
    <w:rsid w:val="794948DF"/>
    <w:rsid w:val="79B9382C"/>
    <w:rsid w:val="7A9652FB"/>
    <w:rsid w:val="7B043B76"/>
    <w:rsid w:val="7C041A6A"/>
    <w:rsid w:val="7C945986"/>
    <w:rsid w:val="7E327570"/>
    <w:rsid w:val="7E720094"/>
    <w:rsid w:val="7EB929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rFonts w:ascii="仿宋_GB2312" w:hAnsi="仿宋_GB2312" w:eastAsia="仿宋_GB2312" w:cs="仿宋_GB2312"/>
      <w:sz w:val="32"/>
      <w:szCs w:val="32"/>
      <w:lang w:val="zh-CN"/>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rFonts w:cs="Times New Roman"/>
      <w:b/>
      <w:bCs/>
      <w:kern w:val="44"/>
      <w:sz w:val="44"/>
      <w:szCs w:val="44"/>
    </w:rPr>
  </w:style>
  <w:style w:type="character" w:customStyle="1" w:styleId="11">
    <w:name w:val="正文文本 Char"/>
    <w:basedOn w:val="9"/>
    <w:link w:val="3"/>
    <w:semiHidden/>
    <w:qFormat/>
    <w:locked/>
    <w:uiPriority w:val="99"/>
    <w:rPr>
      <w:rFonts w:cs="Times New Roman"/>
    </w:rPr>
  </w:style>
  <w:style w:type="character" w:customStyle="1" w:styleId="12">
    <w:name w:val="批注框文本 Char"/>
    <w:basedOn w:val="9"/>
    <w:link w:val="4"/>
    <w:semiHidden/>
    <w:qFormat/>
    <w:locked/>
    <w:uiPriority w:val="99"/>
    <w:rPr>
      <w:rFonts w:ascii="等线" w:hAnsi="等线" w:eastAsia="等线" w:cs="Times New Roman"/>
      <w:kern w:val="2"/>
      <w:sz w:val="18"/>
      <w:szCs w:val="18"/>
    </w:rPr>
  </w:style>
  <w:style w:type="character" w:customStyle="1" w:styleId="13">
    <w:name w:val="页脚 Char"/>
    <w:basedOn w:val="9"/>
    <w:link w:val="5"/>
    <w:qFormat/>
    <w:locked/>
    <w:uiPriority w:val="99"/>
    <w:rPr>
      <w:rFonts w:cs="Times New Roman"/>
      <w:sz w:val="18"/>
      <w:szCs w:val="18"/>
    </w:rPr>
  </w:style>
  <w:style w:type="character" w:customStyle="1" w:styleId="14">
    <w:name w:val="页眉 Char"/>
    <w:basedOn w:val="9"/>
    <w:link w:val="6"/>
    <w:qFormat/>
    <w:locked/>
    <w:uiPriority w:val="99"/>
    <w:rPr>
      <w:rFonts w:ascii="等线" w:hAnsi="等线" w:eastAsia="等线" w:cs="Times New Roman"/>
      <w:sz w:val="18"/>
      <w:szCs w:val="18"/>
    </w:rPr>
  </w:style>
  <w:style w:type="paragraph" w:customStyle="1" w:styleId="15">
    <w:name w:val="列出段落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chart" Target="charts/chart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bmp"/><Relationship Id="rId21" Type="http://schemas.openxmlformats.org/officeDocument/2006/relationships/theme" Target="theme/theme1.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J:\2020.10.27\2019&#24180;&#20915;&#31639;&#20844;&#24320;\&#26417;&#26454;&#23376;&#20065;2019&#24180;&#20915;&#31639;&#20844;&#24320;\&#26032;&#24314;%20Microsoft%20Excel%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Sheet2!$A$2:$A$7</c:f>
              <c:strCache>
                <c:ptCount val="6"/>
                <c:pt idx="0">
                  <c:v>一般公共服务支出</c:v>
                </c:pt>
                <c:pt idx="1">
                  <c:v>社会保障和就业支出</c:v>
                </c:pt>
                <c:pt idx="2">
                  <c:v>卫生健康支出</c:v>
                </c:pt>
                <c:pt idx="3">
                  <c:v>节能环保支出</c:v>
                </c:pt>
                <c:pt idx="4">
                  <c:v>农林水支出</c:v>
                </c:pt>
                <c:pt idx="5">
                  <c:v>住房保障支出</c:v>
                </c:pt>
              </c:strCache>
            </c:strRef>
          </c:cat>
          <c:val>
            <c:numRef>
              <c:f>Sheet2!$B$2:$B$7</c:f>
              <c:numCache>
                <c:formatCode>0.00%</c:formatCode>
                <c:ptCount val="6"/>
                <c:pt idx="0">
                  <c:v>0.369</c:v>
                </c:pt>
                <c:pt idx="1">
                  <c:v>0.1353</c:v>
                </c:pt>
                <c:pt idx="2" c:formatCode="0%">
                  <c:v>0.05</c:v>
                </c:pt>
                <c:pt idx="3">
                  <c:v>0.0699</c:v>
                </c:pt>
                <c:pt idx="4">
                  <c:v>0.354</c:v>
                </c:pt>
                <c:pt idx="5">
                  <c:v>0.0218</c:v>
                </c:pt>
              </c:numCache>
            </c:numRef>
          </c:val>
        </c:ser>
        <c:dLbls>
          <c:showLegendKey val="1"/>
          <c:showVal val="1"/>
          <c:showCatName val="1"/>
          <c:showSerName val="1"/>
          <c:showPercent val="1"/>
          <c:showBubbleSize val="1"/>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ABCED-064B-4FDF-87B0-0CA748753AA2}">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28</Pages>
  <Words>4702</Words>
  <Characters>536</Characters>
  <Lines>4</Lines>
  <Paragraphs>10</Paragraphs>
  <TotalTime>0</TotalTime>
  <ScaleCrop>false</ScaleCrop>
  <LinksUpToDate>false</LinksUpToDate>
  <CharactersWithSpaces>5228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党政办</cp:lastModifiedBy>
  <cp:lastPrinted>2020-09-08T00:16:00Z</cp:lastPrinted>
  <dcterms:modified xsi:type="dcterms:W3CDTF">2024-04-12T03:20:52Z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AAE8E8F636F042C2B779AF00F612BDE3</vt:lpwstr>
  </property>
</Properties>
</file>