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2022年单位预算信息公开目录</w:t>
      </w:r>
    </w:p>
    <w:p>
      <w:pPr>
        <w:jc w:val="center"/>
      </w:pPr>
    </w:p>
    <w:p>
      <w:pPr>
        <w:jc w:val="center"/>
      </w:pPr>
      <w:r>
        <w:rPr>
          <w:rFonts w:ascii="黑体" w:hAnsi="黑体" w:eastAsia="黑体" w:cs="黑体"/>
          <w:b/>
          <w:color w:val="000000"/>
          <w:sz w:val="30"/>
        </w:rPr>
        <w:t>第一部分  单位预算</w:t>
      </w:r>
    </w:p>
    <w:p>
      <w:r>
        <w:rPr>
          <w:rFonts w:ascii="方正楷体_GBK" w:hAnsi="方正楷体_GBK" w:eastAsia="方正楷体_GBK" w:cs="方正楷体_GBK"/>
          <w:b/>
          <w:color w:val="000000"/>
          <w:sz w:val="28"/>
        </w:rPr>
        <w:t>单位预算公开表</w:t>
      </w:r>
    </w:p>
    <w:p>
      <w:pPr>
        <w:pStyle w:val="3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2</w:t>
      </w:r>
      <w:r>
        <w:fldChar w:fldCharType="end"/>
      </w:r>
      <w:r>
        <w:fldChar w:fldCharType="end"/>
      </w:r>
    </w:p>
    <w:p>
      <w:pPr>
        <w:pStyle w:val="38"/>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4</w:t>
      </w:r>
      <w:r>
        <w:fldChar w:fldCharType="end"/>
      </w:r>
      <w:r>
        <w:fldChar w:fldCharType="end"/>
      </w:r>
    </w:p>
    <w:p>
      <w:pPr>
        <w:pStyle w:val="38"/>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8</w:t>
      </w:r>
      <w:r>
        <w:fldChar w:fldCharType="end"/>
      </w:r>
      <w:r>
        <w:fldChar w:fldCharType="end"/>
      </w:r>
    </w:p>
    <w:p>
      <w:pPr>
        <w:pStyle w:val="38"/>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38"/>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8"/>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38"/>
        <w:tabs>
          <w:tab w:val="right" w:leader="dot" w:pos="14562"/>
        </w:tabs>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38"/>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38"/>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8"/>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38"/>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8"/>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8"/>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8"/>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8"/>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47</w:t>
      </w:r>
      <w:r>
        <w:fldChar w:fldCharType="end"/>
      </w:r>
      <w:r>
        <w:fldChar w:fldCharType="end"/>
      </w:r>
    </w:p>
    <w:p>
      <w:pPr>
        <w:pStyle w:val="38"/>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47</w:t>
      </w:r>
      <w:r>
        <w:fldChar w:fldCharType="end"/>
      </w:r>
      <w:r>
        <w:fldChar w:fldCharType="end"/>
      </w:r>
    </w:p>
    <w:p>
      <w:pPr>
        <w:pStyle w:val="38"/>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48</w:t>
      </w:r>
      <w:r>
        <w:fldChar w:fldCharType="end"/>
      </w:r>
      <w:r>
        <w:fldChar w:fldCharType="end"/>
      </w:r>
    </w:p>
    <w:p>
      <w:pPr>
        <w:pStyle w:val="38"/>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单位预算</w:t>
      </w:r>
    </w:p>
    <w:p>
      <w:pPr>
        <w:jc w:val="center"/>
        <w:outlineLvl w:val="1"/>
      </w:pPr>
      <w:bookmarkStart w:id="0" w:name="_Toc_2_2_0000000001"/>
      <w:r>
        <w:rPr>
          <w:rFonts w:ascii="方正小标宋_GBK" w:hAnsi="方正小标宋_GBK" w:eastAsia="方正小标宋_GBK" w:cs="方正小标宋_GBK"/>
          <w:color w:val="000000"/>
          <w:sz w:val="36"/>
        </w:rPr>
        <w:t>单位预算收支总表</w:t>
      </w:r>
      <w:bookmarkEnd w:id="0"/>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924青龙满族自治县凉水河乡人民政府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703.09</w:t>
            </w:r>
          </w:p>
        </w:tc>
        <w:tc>
          <w:tcPr>
            <w:tcW w:w="4535" w:type="dxa"/>
            <w:vAlign w:val="center"/>
          </w:tcPr>
          <w:p>
            <w:pPr>
              <w:pStyle w:val="14"/>
            </w:pPr>
            <w:r>
              <w:t>一、一般公共服务支出</w:t>
            </w:r>
          </w:p>
        </w:tc>
        <w:tc>
          <w:tcPr>
            <w:tcW w:w="2126" w:type="dxa"/>
            <w:vAlign w:val="center"/>
          </w:tcPr>
          <w:p>
            <w:pPr>
              <w:pStyle w:val="13"/>
            </w:pPr>
            <w:r>
              <w:t>560.98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44.66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170.32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t>本年收入合计</w:t>
            </w:r>
          </w:p>
        </w:tc>
        <w:tc>
          <w:tcPr>
            <w:tcW w:w="2126" w:type="dxa"/>
            <w:vAlign w:val="center"/>
          </w:tcPr>
          <w:p>
            <w:pPr>
              <w:pStyle w:val="17"/>
            </w:pPr>
            <w:r>
              <w:t>703.09</w:t>
            </w:r>
          </w:p>
        </w:tc>
        <w:tc>
          <w:tcPr>
            <w:tcW w:w="4535" w:type="dxa"/>
            <w:vAlign w:val="center"/>
          </w:tcPr>
          <w:p>
            <w:pPr>
              <w:pStyle w:val="16"/>
            </w:pPr>
            <w:r>
              <w:t>本年支出合计</w:t>
            </w:r>
          </w:p>
        </w:tc>
        <w:tc>
          <w:tcPr>
            <w:tcW w:w="2126" w:type="dxa"/>
            <w:vAlign w:val="center"/>
          </w:tcPr>
          <w:p>
            <w:pPr>
              <w:pStyle w:val="17"/>
            </w:pPr>
            <w:r>
              <w:t>932.32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t>上年结转结余</w:t>
            </w:r>
          </w:p>
        </w:tc>
        <w:tc>
          <w:tcPr>
            <w:tcW w:w="2126" w:type="dxa"/>
            <w:vAlign w:val="center"/>
          </w:tcPr>
          <w:p>
            <w:pPr>
              <w:pStyle w:val="13"/>
            </w:pPr>
            <w:r>
              <w:t>229.22</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t>收入总计</w:t>
            </w:r>
          </w:p>
        </w:tc>
        <w:tc>
          <w:tcPr>
            <w:tcW w:w="2126" w:type="dxa"/>
            <w:vAlign w:val="center"/>
          </w:tcPr>
          <w:p>
            <w:pPr>
              <w:pStyle w:val="17"/>
            </w:pPr>
            <w:r>
              <w:t>932.32</w:t>
            </w:r>
          </w:p>
        </w:tc>
        <w:tc>
          <w:tcPr>
            <w:tcW w:w="4535" w:type="dxa"/>
            <w:vAlign w:val="center"/>
          </w:tcPr>
          <w:p>
            <w:pPr>
              <w:pStyle w:val="16"/>
            </w:pPr>
            <w:r>
              <w:t>支出总计</w:t>
            </w:r>
          </w:p>
        </w:tc>
        <w:tc>
          <w:tcPr>
            <w:tcW w:w="2126" w:type="dxa"/>
            <w:vAlign w:val="center"/>
          </w:tcPr>
          <w:p>
            <w:pPr>
              <w:pStyle w:val="17"/>
            </w:pPr>
            <w:r>
              <w:t>932.32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单位预算收入总表</w:t>
      </w:r>
      <w:bookmarkEnd w:id="1"/>
    </w:p>
    <w:tbl>
      <w:tblPr>
        <w:tblStyle w:val="5"/>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924青龙满族自治县凉水河乡人民政府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932.32</w:t>
            </w:r>
          </w:p>
        </w:tc>
        <w:tc>
          <w:tcPr>
            <w:tcW w:w="1134" w:type="dxa"/>
            <w:vAlign w:val="center"/>
          </w:tcPr>
          <w:p>
            <w:pPr>
              <w:pStyle w:val="17"/>
            </w:pPr>
            <w:r>
              <w:t>703.09</w:t>
            </w:r>
          </w:p>
        </w:tc>
        <w:tc>
          <w:tcPr>
            <w:tcW w:w="1134" w:type="dxa"/>
            <w:vAlign w:val="center"/>
          </w:tcPr>
          <w:p>
            <w:pPr>
              <w:pStyle w:val="17"/>
            </w:pPr>
            <w:r>
              <w:t>703.09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560.98</w:t>
            </w:r>
          </w:p>
        </w:tc>
        <w:tc>
          <w:tcPr>
            <w:tcW w:w="1134" w:type="dxa"/>
            <w:vAlign w:val="center"/>
          </w:tcPr>
          <w:p>
            <w:pPr>
              <w:pStyle w:val="13"/>
            </w:pPr>
            <w:r>
              <w:t>519.19</w:t>
            </w:r>
          </w:p>
        </w:tc>
        <w:tc>
          <w:tcPr>
            <w:tcW w:w="1134" w:type="dxa"/>
            <w:vAlign w:val="center"/>
          </w:tcPr>
          <w:p>
            <w:pPr>
              <w:pStyle w:val="13"/>
            </w:pPr>
            <w:r>
              <w:t>519.19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2010102</w:t>
            </w:r>
          </w:p>
        </w:tc>
        <w:tc>
          <w:tcPr>
            <w:tcW w:w="1559" w:type="dxa"/>
            <w:vAlign w:val="center"/>
          </w:tcPr>
          <w:p>
            <w:pPr>
              <w:pStyle w:val="14"/>
            </w:pPr>
            <w:r>
              <w:t>一般行政管理事务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552.98</w:t>
            </w:r>
          </w:p>
        </w:tc>
        <w:tc>
          <w:tcPr>
            <w:tcW w:w="1134" w:type="dxa"/>
            <w:vAlign w:val="center"/>
          </w:tcPr>
          <w:p>
            <w:pPr>
              <w:pStyle w:val="13"/>
            </w:pPr>
            <w:r>
              <w:t>511.19</w:t>
            </w:r>
          </w:p>
        </w:tc>
        <w:tc>
          <w:tcPr>
            <w:tcW w:w="1134" w:type="dxa"/>
            <w:vAlign w:val="center"/>
          </w:tcPr>
          <w:p>
            <w:pPr>
              <w:pStyle w:val="13"/>
            </w:pPr>
            <w:r>
              <w:t>511.19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309.96</w:t>
            </w:r>
          </w:p>
        </w:tc>
        <w:tc>
          <w:tcPr>
            <w:tcW w:w="1134" w:type="dxa"/>
            <w:vAlign w:val="center"/>
          </w:tcPr>
          <w:p>
            <w:pPr>
              <w:pStyle w:val="13"/>
            </w:pPr>
            <w:r>
              <w:t>275.17</w:t>
            </w:r>
          </w:p>
        </w:tc>
        <w:tc>
          <w:tcPr>
            <w:tcW w:w="1134" w:type="dxa"/>
            <w:vAlign w:val="center"/>
          </w:tcPr>
          <w:p>
            <w:pPr>
              <w:pStyle w:val="13"/>
            </w:pPr>
            <w:r>
              <w:t>275.17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6.00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230.02</w:t>
            </w:r>
          </w:p>
        </w:tc>
        <w:tc>
          <w:tcPr>
            <w:tcW w:w="1134" w:type="dxa"/>
            <w:vAlign w:val="center"/>
          </w:tcPr>
          <w:p>
            <w:pPr>
              <w:pStyle w:val="13"/>
            </w:pPr>
            <w:r>
              <w:t>230.02</w:t>
            </w:r>
          </w:p>
        </w:tc>
        <w:tc>
          <w:tcPr>
            <w:tcW w:w="1134" w:type="dxa"/>
            <w:vAlign w:val="center"/>
          </w:tcPr>
          <w:p>
            <w:pPr>
              <w:pStyle w:val="13"/>
            </w:pPr>
            <w:r>
              <w:t>230.02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2012902</w:t>
            </w:r>
          </w:p>
        </w:tc>
        <w:tc>
          <w:tcPr>
            <w:tcW w:w="1559" w:type="dxa"/>
            <w:vAlign w:val="center"/>
          </w:tcPr>
          <w:p>
            <w:pPr>
              <w:pStyle w:val="14"/>
            </w:pPr>
            <w:r>
              <w:t>一般行政管理事务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2013102</w:t>
            </w:r>
          </w:p>
        </w:tc>
        <w:tc>
          <w:tcPr>
            <w:tcW w:w="1559" w:type="dxa"/>
            <w:vAlign w:val="center"/>
          </w:tcPr>
          <w:p>
            <w:pPr>
              <w:pStyle w:val="14"/>
            </w:pPr>
            <w:r>
              <w:t>一般行政管理事务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75.90</w:t>
            </w:r>
          </w:p>
        </w:tc>
        <w:tc>
          <w:tcPr>
            <w:tcW w:w="1134" w:type="dxa"/>
            <w:vAlign w:val="center"/>
          </w:tcPr>
          <w:p>
            <w:pPr>
              <w:pStyle w:val="13"/>
            </w:pPr>
            <w:r>
              <w:t>75.90</w:t>
            </w:r>
          </w:p>
        </w:tc>
        <w:tc>
          <w:tcPr>
            <w:tcW w:w="1134" w:type="dxa"/>
            <w:vAlign w:val="center"/>
          </w:tcPr>
          <w:p>
            <w:pPr>
              <w:pStyle w:val="13"/>
            </w:pPr>
            <w:r>
              <w:t>75.90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70.67</w:t>
            </w:r>
          </w:p>
        </w:tc>
        <w:tc>
          <w:tcPr>
            <w:tcW w:w="1134" w:type="dxa"/>
            <w:vAlign w:val="center"/>
          </w:tcPr>
          <w:p>
            <w:pPr>
              <w:pStyle w:val="13"/>
            </w:pPr>
            <w:r>
              <w:t>70.67</w:t>
            </w:r>
          </w:p>
        </w:tc>
        <w:tc>
          <w:tcPr>
            <w:tcW w:w="1134" w:type="dxa"/>
            <w:vAlign w:val="center"/>
          </w:tcPr>
          <w:p>
            <w:pPr>
              <w:pStyle w:val="13"/>
            </w:pPr>
            <w:r>
              <w:t>70.67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5.15</w:t>
            </w:r>
          </w:p>
        </w:tc>
        <w:tc>
          <w:tcPr>
            <w:tcW w:w="1134" w:type="dxa"/>
            <w:vAlign w:val="center"/>
          </w:tcPr>
          <w:p>
            <w:pPr>
              <w:pStyle w:val="13"/>
            </w:pPr>
            <w:r>
              <w:t>5.15</w:t>
            </w:r>
          </w:p>
        </w:tc>
        <w:tc>
          <w:tcPr>
            <w:tcW w:w="1134" w:type="dxa"/>
            <w:vAlign w:val="center"/>
          </w:tcPr>
          <w:p>
            <w:pPr>
              <w:pStyle w:val="13"/>
            </w:pPr>
            <w:r>
              <w:t>5.15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0.98</w:t>
            </w:r>
          </w:p>
        </w:tc>
        <w:tc>
          <w:tcPr>
            <w:tcW w:w="1134" w:type="dxa"/>
            <w:vAlign w:val="center"/>
          </w:tcPr>
          <w:p>
            <w:pPr>
              <w:pStyle w:val="13"/>
            </w:pPr>
            <w:r>
              <w:t>0.98</w:t>
            </w:r>
          </w:p>
        </w:tc>
        <w:tc>
          <w:tcPr>
            <w:tcW w:w="1134" w:type="dxa"/>
            <w:vAlign w:val="center"/>
          </w:tcPr>
          <w:p>
            <w:pPr>
              <w:pStyle w:val="13"/>
            </w:pPr>
            <w:r>
              <w:t>0.98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63.17</w:t>
            </w:r>
          </w:p>
        </w:tc>
        <w:tc>
          <w:tcPr>
            <w:tcW w:w="1134" w:type="dxa"/>
            <w:vAlign w:val="center"/>
          </w:tcPr>
          <w:p>
            <w:pPr>
              <w:pStyle w:val="13"/>
            </w:pPr>
            <w:r>
              <w:t>63.17</w:t>
            </w:r>
          </w:p>
        </w:tc>
        <w:tc>
          <w:tcPr>
            <w:tcW w:w="1134" w:type="dxa"/>
            <w:vAlign w:val="center"/>
          </w:tcPr>
          <w:p>
            <w:pPr>
              <w:pStyle w:val="13"/>
            </w:pPr>
            <w:r>
              <w:t>63.17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1.37</w:t>
            </w:r>
          </w:p>
        </w:tc>
        <w:tc>
          <w:tcPr>
            <w:tcW w:w="1134" w:type="dxa"/>
            <w:vAlign w:val="center"/>
          </w:tcPr>
          <w:p>
            <w:pPr>
              <w:pStyle w:val="13"/>
            </w:pPr>
            <w:r>
              <w:t>1.37</w:t>
            </w:r>
          </w:p>
        </w:tc>
        <w:tc>
          <w:tcPr>
            <w:tcW w:w="1134" w:type="dxa"/>
            <w:vAlign w:val="center"/>
          </w:tcPr>
          <w:p>
            <w:pPr>
              <w:pStyle w:val="13"/>
            </w:pPr>
            <w:r>
              <w:t>1.37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5.23</w:t>
            </w:r>
          </w:p>
        </w:tc>
        <w:tc>
          <w:tcPr>
            <w:tcW w:w="1134" w:type="dxa"/>
            <w:vAlign w:val="center"/>
          </w:tcPr>
          <w:p>
            <w:pPr>
              <w:pStyle w:val="13"/>
            </w:pPr>
            <w:r>
              <w:t>5.23</w:t>
            </w:r>
          </w:p>
        </w:tc>
        <w:tc>
          <w:tcPr>
            <w:tcW w:w="1134" w:type="dxa"/>
            <w:vAlign w:val="center"/>
          </w:tcPr>
          <w:p>
            <w:pPr>
              <w:pStyle w:val="13"/>
            </w:pPr>
            <w:r>
              <w:t>5.23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5.23</w:t>
            </w:r>
          </w:p>
        </w:tc>
        <w:tc>
          <w:tcPr>
            <w:tcW w:w="1134" w:type="dxa"/>
            <w:vAlign w:val="center"/>
          </w:tcPr>
          <w:p>
            <w:pPr>
              <w:pStyle w:val="13"/>
            </w:pPr>
            <w:r>
              <w:t>5.23</w:t>
            </w:r>
          </w:p>
        </w:tc>
        <w:tc>
          <w:tcPr>
            <w:tcW w:w="1134" w:type="dxa"/>
            <w:vAlign w:val="center"/>
          </w:tcPr>
          <w:p>
            <w:pPr>
              <w:pStyle w:val="13"/>
            </w:pPr>
            <w:r>
              <w:t>5.23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47.87</w:t>
            </w:r>
          </w:p>
        </w:tc>
        <w:tc>
          <w:tcPr>
            <w:tcW w:w="1134" w:type="dxa"/>
            <w:vAlign w:val="center"/>
          </w:tcPr>
          <w:p>
            <w:pPr>
              <w:pStyle w:val="13"/>
            </w:pPr>
            <w:r>
              <w:t>44.41</w:t>
            </w:r>
          </w:p>
        </w:tc>
        <w:tc>
          <w:tcPr>
            <w:tcW w:w="1134" w:type="dxa"/>
            <w:vAlign w:val="center"/>
          </w:tcPr>
          <w:p>
            <w:pPr>
              <w:pStyle w:val="13"/>
            </w:pPr>
            <w:r>
              <w:t>44.41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21004</w:t>
            </w:r>
          </w:p>
        </w:tc>
        <w:tc>
          <w:tcPr>
            <w:tcW w:w="1559" w:type="dxa"/>
            <w:vAlign w:val="center"/>
          </w:tcPr>
          <w:p>
            <w:pPr>
              <w:pStyle w:val="14"/>
            </w:pPr>
            <w:r>
              <w:t>公共卫生</w:t>
            </w:r>
          </w:p>
        </w:tc>
        <w:tc>
          <w:tcPr>
            <w:tcW w:w="1134" w:type="dxa"/>
            <w:vAlign w:val="center"/>
          </w:tcPr>
          <w:p>
            <w:pPr>
              <w:pStyle w:val="13"/>
            </w:pPr>
            <w:r>
              <w:t>1.19</w:t>
            </w:r>
          </w:p>
        </w:tc>
        <w:tc>
          <w:tcPr>
            <w:tcW w:w="1134" w:type="dxa"/>
            <w:vAlign w:val="center"/>
          </w:tcPr>
          <w:p>
            <w:pPr>
              <w:pStyle w:val="13"/>
            </w:pPr>
            <w:r>
              <w:t>1.19</w:t>
            </w:r>
          </w:p>
        </w:tc>
        <w:tc>
          <w:tcPr>
            <w:tcW w:w="1134" w:type="dxa"/>
            <w:vAlign w:val="center"/>
          </w:tcPr>
          <w:p>
            <w:pPr>
              <w:pStyle w:val="13"/>
            </w:pPr>
            <w:r>
              <w:t>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2100408</w:t>
            </w:r>
          </w:p>
        </w:tc>
        <w:tc>
          <w:tcPr>
            <w:tcW w:w="1559" w:type="dxa"/>
            <w:vAlign w:val="center"/>
          </w:tcPr>
          <w:p>
            <w:pPr>
              <w:pStyle w:val="14"/>
            </w:pPr>
            <w:r>
              <w:t>基本公共卫生服务</w:t>
            </w:r>
          </w:p>
        </w:tc>
        <w:tc>
          <w:tcPr>
            <w:tcW w:w="1134" w:type="dxa"/>
            <w:vAlign w:val="center"/>
          </w:tcPr>
          <w:p>
            <w:pPr>
              <w:pStyle w:val="13"/>
            </w:pPr>
            <w:r>
              <w:t>1.19</w:t>
            </w:r>
          </w:p>
        </w:tc>
        <w:tc>
          <w:tcPr>
            <w:tcW w:w="1134" w:type="dxa"/>
            <w:vAlign w:val="center"/>
          </w:tcPr>
          <w:p>
            <w:pPr>
              <w:pStyle w:val="13"/>
            </w:pPr>
            <w:r>
              <w:t>1.19</w:t>
            </w:r>
          </w:p>
        </w:tc>
        <w:tc>
          <w:tcPr>
            <w:tcW w:w="1134" w:type="dxa"/>
            <w:vAlign w:val="center"/>
          </w:tcPr>
          <w:p>
            <w:pPr>
              <w:pStyle w:val="13"/>
            </w:pPr>
            <w:r>
              <w:t>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41.06</w:t>
            </w:r>
          </w:p>
        </w:tc>
        <w:tc>
          <w:tcPr>
            <w:tcW w:w="1134" w:type="dxa"/>
            <w:vAlign w:val="center"/>
          </w:tcPr>
          <w:p>
            <w:pPr>
              <w:pStyle w:val="13"/>
            </w:pPr>
            <w:r>
              <w:t>41.06</w:t>
            </w:r>
          </w:p>
        </w:tc>
        <w:tc>
          <w:tcPr>
            <w:tcW w:w="1134" w:type="dxa"/>
            <w:vAlign w:val="center"/>
          </w:tcPr>
          <w:p>
            <w:pPr>
              <w:pStyle w:val="13"/>
            </w:pPr>
            <w:r>
              <w:t>41.06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15.85</w:t>
            </w:r>
          </w:p>
        </w:tc>
        <w:tc>
          <w:tcPr>
            <w:tcW w:w="1134" w:type="dxa"/>
            <w:vAlign w:val="center"/>
          </w:tcPr>
          <w:p>
            <w:pPr>
              <w:pStyle w:val="13"/>
            </w:pPr>
            <w:r>
              <w:t>15.85</w:t>
            </w:r>
          </w:p>
        </w:tc>
        <w:tc>
          <w:tcPr>
            <w:tcW w:w="1134" w:type="dxa"/>
            <w:vAlign w:val="center"/>
          </w:tcPr>
          <w:p>
            <w:pPr>
              <w:pStyle w:val="13"/>
            </w:pPr>
            <w:r>
              <w:t>15.85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21013</w:t>
            </w:r>
          </w:p>
        </w:tc>
        <w:tc>
          <w:tcPr>
            <w:tcW w:w="1559" w:type="dxa"/>
            <w:vAlign w:val="center"/>
          </w:tcPr>
          <w:p>
            <w:pPr>
              <w:pStyle w:val="14"/>
            </w:pPr>
            <w:r>
              <w:t>医疗救助</w:t>
            </w:r>
          </w:p>
        </w:tc>
        <w:tc>
          <w:tcPr>
            <w:tcW w:w="1134" w:type="dxa"/>
            <w:vAlign w:val="center"/>
          </w:tcPr>
          <w:p>
            <w:pPr>
              <w:pStyle w:val="13"/>
            </w:pPr>
            <w:r>
              <w:t>5.61</w:t>
            </w:r>
          </w:p>
        </w:tc>
        <w:tc>
          <w:tcPr>
            <w:tcW w:w="1134" w:type="dxa"/>
            <w:vAlign w:val="center"/>
          </w:tcPr>
          <w:p>
            <w:pPr>
              <w:pStyle w:val="13"/>
            </w:pPr>
            <w:r>
              <w:t>2.16</w:t>
            </w:r>
          </w:p>
        </w:tc>
        <w:tc>
          <w:tcPr>
            <w:tcW w:w="1134" w:type="dxa"/>
            <w:vAlign w:val="center"/>
          </w:tcPr>
          <w:p>
            <w:pPr>
              <w:pStyle w:val="13"/>
            </w:pPr>
            <w:r>
              <w:t>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2101301</w:t>
            </w:r>
          </w:p>
        </w:tc>
        <w:tc>
          <w:tcPr>
            <w:tcW w:w="1559" w:type="dxa"/>
            <w:vAlign w:val="center"/>
          </w:tcPr>
          <w:p>
            <w:pPr>
              <w:pStyle w:val="14"/>
            </w:pPr>
            <w:r>
              <w:t>城乡医疗救助</w:t>
            </w:r>
          </w:p>
        </w:tc>
        <w:tc>
          <w:tcPr>
            <w:tcW w:w="1134" w:type="dxa"/>
            <w:vAlign w:val="center"/>
          </w:tcPr>
          <w:p>
            <w:pPr>
              <w:pStyle w:val="13"/>
            </w:pPr>
            <w:r>
              <w:t>5.61</w:t>
            </w:r>
          </w:p>
        </w:tc>
        <w:tc>
          <w:tcPr>
            <w:tcW w:w="1134" w:type="dxa"/>
            <w:vAlign w:val="center"/>
          </w:tcPr>
          <w:p>
            <w:pPr>
              <w:pStyle w:val="13"/>
            </w:pPr>
            <w:r>
              <w:t>2.16</w:t>
            </w:r>
          </w:p>
        </w:tc>
        <w:tc>
          <w:tcPr>
            <w:tcW w:w="1134" w:type="dxa"/>
            <w:vAlign w:val="center"/>
          </w:tcPr>
          <w:p>
            <w:pPr>
              <w:pStyle w:val="13"/>
            </w:pPr>
            <w:r>
              <w:t>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44.66</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19.66</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8.66</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2110499</w:t>
            </w:r>
          </w:p>
        </w:tc>
        <w:tc>
          <w:tcPr>
            <w:tcW w:w="1559" w:type="dxa"/>
            <w:vAlign w:val="center"/>
          </w:tcPr>
          <w:p>
            <w:pPr>
              <w:pStyle w:val="14"/>
            </w:pPr>
            <w:r>
              <w:t>其他自然生态保护支出</w:t>
            </w:r>
          </w:p>
        </w:tc>
        <w:tc>
          <w:tcPr>
            <w:tcW w:w="1134" w:type="dxa"/>
            <w:vAlign w:val="center"/>
          </w:tcPr>
          <w:p>
            <w:pPr>
              <w:pStyle w:val="13"/>
            </w:pPr>
            <w:r>
              <w:t>11.00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170.32</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21305</w:t>
            </w:r>
          </w:p>
        </w:tc>
        <w:tc>
          <w:tcPr>
            <w:tcW w:w="1559" w:type="dxa"/>
            <w:vAlign w:val="center"/>
          </w:tcPr>
          <w:p>
            <w:pPr>
              <w:pStyle w:val="14"/>
            </w:pPr>
            <w:r>
              <w:t>巩固脱贫衔接乡村振兴</w:t>
            </w:r>
          </w:p>
        </w:tc>
        <w:tc>
          <w:tcPr>
            <w:tcW w:w="1134" w:type="dxa"/>
            <w:vAlign w:val="center"/>
          </w:tcPr>
          <w:p>
            <w:pPr>
              <w:pStyle w:val="13"/>
            </w:pPr>
            <w:r>
              <w:t>6.10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2130502</w:t>
            </w:r>
          </w:p>
        </w:tc>
        <w:tc>
          <w:tcPr>
            <w:tcW w:w="1559" w:type="dxa"/>
            <w:vAlign w:val="center"/>
          </w:tcPr>
          <w:p>
            <w:pPr>
              <w:pStyle w:val="14"/>
            </w:pPr>
            <w:r>
              <w:t>一般行政管理事务</w:t>
            </w:r>
          </w:p>
        </w:tc>
        <w:tc>
          <w:tcPr>
            <w:tcW w:w="1134" w:type="dxa"/>
            <w:vAlign w:val="center"/>
          </w:tcPr>
          <w:p>
            <w:pPr>
              <w:pStyle w:val="13"/>
            </w:pPr>
            <w:r>
              <w:t>6.10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164.22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164.22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164.22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31.59</w:t>
            </w:r>
          </w:p>
        </w:tc>
        <w:tc>
          <w:tcPr>
            <w:tcW w:w="1134" w:type="dxa"/>
            <w:vAlign w:val="center"/>
          </w:tcPr>
          <w:p>
            <w:pPr>
              <w:pStyle w:val="13"/>
            </w:pPr>
            <w:r>
              <w:t>31.59</w:t>
            </w:r>
          </w:p>
        </w:tc>
        <w:tc>
          <w:tcPr>
            <w:tcW w:w="1134" w:type="dxa"/>
            <w:vAlign w:val="center"/>
          </w:tcPr>
          <w:p>
            <w:pPr>
              <w:pStyle w:val="13"/>
            </w:pPr>
            <w:r>
              <w:t>31.59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31.59</w:t>
            </w:r>
          </w:p>
        </w:tc>
        <w:tc>
          <w:tcPr>
            <w:tcW w:w="1134" w:type="dxa"/>
            <w:vAlign w:val="center"/>
          </w:tcPr>
          <w:p>
            <w:pPr>
              <w:pStyle w:val="13"/>
            </w:pPr>
            <w:r>
              <w:t>31.59</w:t>
            </w:r>
          </w:p>
        </w:tc>
        <w:tc>
          <w:tcPr>
            <w:tcW w:w="1134" w:type="dxa"/>
            <w:vAlign w:val="center"/>
          </w:tcPr>
          <w:p>
            <w:pPr>
              <w:pStyle w:val="13"/>
            </w:pPr>
            <w:r>
              <w:t>31.59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31.59</w:t>
            </w:r>
          </w:p>
        </w:tc>
        <w:tc>
          <w:tcPr>
            <w:tcW w:w="1134" w:type="dxa"/>
            <w:vAlign w:val="center"/>
          </w:tcPr>
          <w:p>
            <w:pPr>
              <w:pStyle w:val="13"/>
            </w:pPr>
            <w:r>
              <w:t>31.59</w:t>
            </w:r>
          </w:p>
        </w:tc>
        <w:tc>
          <w:tcPr>
            <w:tcW w:w="1134" w:type="dxa"/>
            <w:vAlign w:val="center"/>
          </w:tcPr>
          <w:p>
            <w:pPr>
              <w:pStyle w:val="13"/>
            </w:pPr>
            <w:r>
              <w:t>31.59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45</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46</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47</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单位预算支出总表</w:t>
      </w:r>
      <w:bookmarkEnd w:id="2"/>
    </w:p>
    <w:tbl>
      <w:tblPr>
        <w:tblStyle w:val="5"/>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924青龙满族自治县凉水河乡人民政府</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932.32</w:t>
            </w:r>
          </w:p>
        </w:tc>
        <w:tc>
          <w:tcPr>
            <w:tcW w:w="1361" w:type="dxa"/>
            <w:vAlign w:val="center"/>
          </w:tcPr>
          <w:p>
            <w:pPr>
              <w:pStyle w:val="17"/>
            </w:pPr>
            <w:r>
              <w:t>688.53</w:t>
            </w:r>
          </w:p>
        </w:tc>
        <w:tc>
          <w:tcPr>
            <w:tcW w:w="1361" w:type="dxa"/>
            <w:vAlign w:val="center"/>
          </w:tcPr>
          <w:p>
            <w:pPr>
              <w:pStyle w:val="17"/>
            </w:pPr>
            <w:r>
              <w:t>243.78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560.98</w:t>
            </w:r>
          </w:p>
        </w:tc>
        <w:tc>
          <w:tcPr>
            <w:tcW w:w="1361" w:type="dxa"/>
            <w:vAlign w:val="center"/>
          </w:tcPr>
          <w:p>
            <w:pPr>
              <w:pStyle w:val="13"/>
            </w:pPr>
            <w:r>
              <w:t>539.98</w:t>
            </w:r>
          </w:p>
        </w:tc>
        <w:tc>
          <w:tcPr>
            <w:tcW w:w="1361" w:type="dxa"/>
            <w:vAlign w:val="center"/>
          </w:tcPr>
          <w:p>
            <w:pPr>
              <w:pStyle w:val="13"/>
            </w:pPr>
            <w:r>
              <w:t>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6" w:type="dxa"/>
            <w:vAlign w:val="center"/>
          </w:tcPr>
          <w:p>
            <w:pPr>
              <w:pStyle w:val="14"/>
            </w:pPr>
            <w:r>
              <w:t>人大事务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2010102</w:t>
            </w:r>
          </w:p>
        </w:tc>
        <w:tc>
          <w:tcPr>
            <w:tcW w:w="4536" w:type="dxa"/>
            <w:vAlign w:val="center"/>
          </w:tcPr>
          <w:p>
            <w:pPr>
              <w:pStyle w:val="14"/>
            </w:pPr>
            <w:r>
              <w:t>一般行政管理事务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6" w:type="dxa"/>
            <w:vAlign w:val="center"/>
          </w:tcPr>
          <w:p>
            <w:pPr>
              <w:pStyle w:val="14"/>
            </w:pPr>
            <w:r>
              <w:t>政府办公厅（室）及相关机构事务</w:t>
            </w:r>
          </w:p>
        </w:tc>
        <w:tc>
          <w:tcPr>
            <w:tcW w:w="1361" w:type="dxa"/>
            <w:vAlign w:val="center"/>
          </w:tcPr>
          <w:p>
            <w:pPr>
              <w:pStyle w:val="13"/>
            </w:pPr>
            <w:r>
              <w:t>552.98</w:t>
            </w:r>
          </w:p>
        </w:tc>
        <w:tc>
          <w:tcPr>
            <w:tcW w:w="1361" w:type="dxa"/>
            <w:vAlign w:val="center"/>
          </w:tcPr>
          <w:p>
            <w:pPr>
              <w:pStyle w:val="13"/>
            </w:pPr>
            <w:r>
              <w:t>539.98</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6" w:type="dxa"/>
            <w:vAlign w:val="center"/>
          </w:tcPr>
          <w:p>
            <w:pPr>
              <w:pStyle w:val="14"/>
            </w:pPr>
            <w:r>
              <w:t>行政运行</w:t>
            </w:r>
          </w:p>
        </w:tc>
        <w:tc>
          <w:tcPr>
            <w:tcW w:w="1361" w:type="dxa"/>
            <w:vAlign w:val="center"/>
          </w:tcPr>
          <w:p>
            <w:pPr>
              <w:pStyle w:val="13"/>
            </w:pPr>
            <w:r>
              <w:t>309.96</w:t>
            </w:r>
          </w:p>
        </w:tc>
        <w:tc>
          <w:tcPr>
            <w:tcW w:w="1361" w:type="dxa"/>
            <w:vAlign w:val="center"/>
          </w:tcPr>
          <w:p>
            <w:pPr>
              <w:pStyle w:val="13"/>
            </w:pPr>
            <w:r>
              <w:t>309.96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6" w:type="dxa"/>
            <w:vAlign w:val="center"/>
          </w:tcPr>
          <w:p>
            <w:pPr>
              <w:pStyle w:val="14"/>
            </w:pPr>
            <w:r>
              <w:t>一般行政管理事务</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2010308</w:t>
            </w:r>
          </w:p>
        </w:tc>
        <w:tc>
          <w:tcPr>
            <w:tcW w:w="4536" w:type="dxa"/>
            <w:vAlign w:val="center"/>
          </w:tcPr>
          <w:p>
            <w:pPr>
              <w:pStyle w:val="14"/>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2010350</w:t>
            </w:r>
          </w:p>
        </w:tc>
        <w:tc>
          <w:tcPr>
            <w:tcW w:w="4536" w:type="dxa"/>
            <w:vAlign w:val="center"/>
          </w:tcPr>
          <w:p>
            <w:pPr>
              <w:pStyle w:val="14"/>
            </w:pPr>
            <w:r>
              <w:t>事业运行</w:t>
            </w:r>
          </w:p>
        </w:tc>
        <w:tc>
          <w:tcPr>
            <w:tcW w:w="1361" w:type="dxa"/>
            <w:vAlign w:val="center"/>
          </w:tcPr>
          <w:p>
            <w:pPr>
              <w:pStyle w:val="13"/>
            </w:pPr>
            <w:r>
              <w:t>230.02</w:t>
            </w:r>
          </w:p>
        </w:tc>
        <w:tc>
          <w:tcPr>
            <w:tcW w:w="1361" w:type="dxa"/>
            <w:vAlign w:val="center"/>
          </w:tcPr>
          <w:p>
            <w:pPr>
              <w:pStyle w:val="13"/>
            </w:pPr>
            <w:r>
              <w:t>230.02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2010399</w:t>
            </w:r>
          </w:p>
        </w:tc>
        <w:tc>
          <w:tcPr>
            <w:tcW w:w="4536" w:type="dxa"/>
            <w:vAlign w:val="center"/>
          </w:tcPr>
          <w:p>
            <w:pPr>
              <w:pStyle w:val="14"/>
            </w:pPr>
            <w:r>
              <w:t>其他政府办公厅（室）及相关机构事务支出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20129</w:t>
            </w:r>
          </w:p>
        </w:tc>
        <w:tc>
          <w:tcPr>
            <w:tcW w:w="4536" w:type="dxa"/>
            <w:vAlign w:val="center"/>
          </w:tcPr>
          <w:p>
            <w:pPr>
              <w:pStyle w:val="14"/>
            </w:pPr>
            <w:r>
              <w:t>群众团体事务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2012902</w:t>
            </w:r>
          </w:p>
        </w:tc>
        <w:tc>
          <w:tcPr>
            <w:tcW w:w="4536" w:type="dxa"/>
            <w:vAlign w:val="center"/>
          </w:tcPr>
          <w:p>
            <w:pPr>
              <w:pStyle w:val="14"/>
            </w:pPr>
            <w:r>
              <w:t>一般行政管理事务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20131</w:t>
            </w:r>
          </w:p>
        </w:tc>
        <w:tc>
          <w:tcPr>
            <w:tcW w:w="4536" w:type="dxa"/>
            <w:vAlign w:val="center"/>
          </w:tcPr>
          <w:p>
            <w:pPr>
              <w:pStyle w:val="14"/>
            </w:pPr>
            <w:r>
              <w:t>党委办公厅（室）及相关机构事务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2013102</w:t>
            </w:r>
          </w:p>
        </w:tc>
        <w:tc>
          <w:tcPr>
            <w:tcW w:w="4536" w:type="dxa"/>
            <w:vAlign w:val="center"/>
          </w:tcPr>
          <w:p>
            <w:pPr>
              <w:pStyle w:val="14"/>
            </w:pPr>
            <w:r>
              <w:t>一般行政管理事务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75.90</w:t>
            </w:r>
          </w:p>
        </w:tc>
        <w:tc>
          <w:tcPr>
            <w:tcW w:w="1361" w:type="dxa"/>
            <w:vAlign w:val="center"/>
          </w:tcPr>
          <w:p>
            <w:pPr>
              <w:pStyle w:val="13"/>
            </w:pPr>
            <w:r>
              <w:t>75.90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70.67</w:t>
            </w:r>
          </w:p>
        </w:tc>
        <w:tc>
          <w:tcPr>
            <w:tcW w:w="1361" w:type="dxa"/>
            <w:vAlign w:val="center"/>
          </w:tcPr>
          <w:p>
            <w:pPr>
              <w:pStyle w:val="13"/>
            </w:pPr>
            <w:r>
              <w:t>70.67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2080501</w:t>
            </w:r>
          </w:p>
        </w:tc>
        <w:tc>
          <w:tcPr>
            <w:tcW w:w="4536" w:type="dxa"/>
            <w:vAlign w:val="center"/>
          </w:tcPr>
          <w:p>
            <w:pPr>
              <w:pStyle w:val="14"/>
            </w:pPr>
            <w:r>
              <w:t>行政单位离退休</w:t>
            </w:r>
          </w:p>
        </w:tc>
        <w:tc>
          <w:tcPr>
            <w:tcW w:w="1361" w:type="dxa"/>
            <w:vAlign w:val="center"/>
          </w:tcPr>
          <w:p>
            <w:pPr>
              <w:pStyle w:val="13"/>
            </w:pPr>
            <w:r>
              <w:t>5.15</w:t>
            </w:r>
          </w:p>
        </w:tc>
        <w:tc>
          <w:tcPr>
            <w:tcW w:w="1361" w:type="dxa"/>
            <w:vAlign w:val="center"/>
          </w:tcPr>
          <w:p>
            <w:pPr>
              <w:pStyle w:val="13"/>
            </w:pPr>
            <w:r>
              <w:t>5.15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2080502</w:t>
            </w:r>
          </w:p>
        </w:tc>
        <w:tc>
          <w:tcPr>
            <w:tcW w:w="4536" w:type="dxa"/>
            <w:vAlign w:val="center"/>
          </w:tcPr>
          <w:p>
            <w:pPr>
              <w:pStyle w:val="14"/>
            </w:pPr>
            <w:r>
              <w:t>事业单位离退休</w:t>
            </w:r>
          </w:p>
        </w:tc>
        <w:tc>
          <w:tcPr>
            <w:tcW w:w="1361" w:type="dxa"/>
            <w:vAlign w:val="center"/>
          </w:tcPr>
          <w:p>
            <w:pPr>
              <w:pStyle w:val="13"/>
            </w:pPr>
            <w:r>
              <w:t>0.98</w:t>
            </w:r>
          </w:p>
        </w:tc>
        <w:tc>
          <w:tcPr>
            <w:tcW w:w="1361" w:type="dxa"/>
            <w:vAlign w:val="center"/>
          </w:tcPr>
          <w:p>
            <w:pPr>
              <w:pStyle w:val="13"/>
            </w:pPr>
            <w:r>
              <w:t>0.98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63.17</w:t>
            </w:r>
          </w:p>
        </w:tc>
        <w:tc>
          <w:tcPr>
            <w:tcW w:w="1361" w:type="dxa"/>
            <w:vAlign w:val="center"/>
          </w:tcPr>
          <w:p>
            <w:pPr>
              <w:pStyle w:val="13"/>
            </w:pPr>
            <w:r>
              <w:t>63.17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2080506</w:t>
            </w:r>
          </w:p>
        </w:tc>
        <w:tc>
          <w:tcPr>
            <w:tcW w:w="4536" w:type="dxa"/>
            <w:vAlign w:val="center"/>
          </w:tcPr>
          <w:p>
            <w:pPr>
              <w:pStyle w:val="14"/>
            </w:pPr>
            <w:r>
              <w:t>机关事业单位职业年金缴费支出</w:t>
            </w:r>
          </w:p>
        </w:tc>
        <w:tc>
          <w:tcPr>
            <w:tcW w:w="1361" w:type="dxa"/>
            <w:vAlign w:val="center"/>
          </w:tcPr>
          <w:p>
            <w:pPr>
              <w:pStyle w:val="13"/>
            </w:pPr>
            <w:r>
              <w:t>1.37</w:t>
            </w:r>
          </w:p>
        </w:tc>
        <w:tc>
          <w:tcPr>
            <w:tcW w:w="1361" w:type="dxa"/>
            <w:vAlign w:val="center"/>
          </w:tcPr>
          <w:p>
            <w:pPr>
              <w:pStyle w:val="13"/>
            </w:pPr>
            <w:r>
              <w:t>1.37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20808</w:t>
            </w:r>
          </w:p>
        </w:tc>
        <w:tc>
          <w:tcPr>
            <w:tcW w:w="4536" w:type="dxa"/>
            <w:vAlign w:val="center"/>
          </w:tcPr>
          <w:p>
            <w:pPr>
              <w:pStyle w:val="14"/>
            </w:pPr>
            <w:r>
              <w:t>抚恤</w:t>
            </w:r>
          </w:p>
        </w:tc>
        <w:tc>
          <w:tcPr>
            <w:tcW w:w="1361" w:type="dxa"/>
            <w:vAlign w:val="center"/>
          </w:tcPr>
          <w:p>
            <w:pPr>
              <w:pStyle w:val="13"/>
            </w:pPr>
            <w:r>
              <w:t>5.23</w:t>
            </w:r>
          </w:p>
        </w:tc>
        <w:tc>
          <w:tcPr>
            <w:tcW w:w="1361" w:type="dxa"/>
            <w:vAlign w:val="center"/>
          </w:tcPr>
          <w:p>
            <w:pPr>
              <w:pStyle w:val="13"/>
            </w:pPr>
            <w:r>
              <w:t>5.23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2080899</w:t>
            </w:r>
          </w:p>
        </w:tc>
        <w:tc>
          <w:tcPr>
            <w:tcW w:w="4536" w:type="dxa"/>
            <w:vAlign w:val="center"/>
          </w:tcPr>
          <w:p>
            <w:pPr>
              <w:pStyle w:val="14"/>
            </w:pPr>
            <w:r>
              <w:t>其他优抚支出</w:t>
            </w:r>
          </w:p>
        </w:tc>
        <w:tc>
          <w:tcPr>
            <w:tcW w:w="1361" w:type="dxa"/>
            <w:vAlign w:val="center"/>
          </w:tcPr>
          <w:p>
            <w:pPr>
              <w:pStyle w:val="13"/>
            </w:pPr>
            <w:r>
              <w:t>5.23</w:t>
            </w:r>
          </w:p>
        </w:tc>
        <w:tc>
          <w:tcPr>
            <w:tcW w:w="1361" w:type="dxa"/>
            <w:vAlign w:val="center"/>
          </w:tcPr>
          <w:p>
            <w:pPr>
              <w:pStyle w:val="13"/>
            </w:pPr>
            <w:r>
              <w:t>5.23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47.87</w:t>
            </w:r>
          </w:p>
        </w:tc>
        <w:tc>
          <w:tcPr>
            <w:tcW w:w="1361" w:type="dxa"/>
            <w:vAlign w:val="center"/>
          </w:tcPr>
          <w:p>
            <w:pPr>
              <w:pStyle w:val="13"/>
            </w:pPr>
            <w:r>
              <w:t>41.06</w:t>
            </w:r>
          </w:p>
        </w:tc>
        <w:tc>
          <w:tcPr>
            <w:tcW w:w="1361" w:type="dxa"/>
            <w:vAlign w:val="center"/>
          </w:tcPr>
          <w:p>
            <w:pPr>
              <w:pStyle w:val="13"/>
            </w:pPr>
            <w:r>
              <w:t>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21004</w:t>
            </w:r>
          </w:p>
        </w:tc>
        <w:tc>
          <w:tcPr>
            <w:tcW w:w="4536" w:type="dxa"/>
            <w:vAlign w:val="center"/>
          </w:tcPr>
          <w:p>
            <w:pPr>
              <w:pStyle w:val="14"/>
            </w:pPr>
            <w:r>
              <w:t>公共卫生</w:t>
            </w:r>
          </w:p>
        </w:tc>
        <w:tc>
          <w:tcPr>
            <w:tcW w:w="1361" w:type="dxa"/>
            <w:vAlign w:val="center"/>
          </w:tcPr>
          <w:p>
            <w:pPr>
              <w:pStyle w:val="13"/>
            </w:pPr>
            <w:r>
              <w:t>1.19</w:t>
            </w:r>
          </w:p>
        </w:tc>
        <w:tc>
          <w:tcPr>
            <w:tcW w:w="1361" w:type="dxa"/>
            <w:vAlign w:val="center"/>
          </w:tcPr>
          <w:p>
            <w:pPr>
              <w:pStyle w:val="13"/>
            </w:pPr>
          </w:p>
        </w:tc>
        <w:tc>
          <w:tcPr>
            <w:tcW w:w="1361" w:type="dxa"/>
            <w:vAlign w:val="center"/>
          </w:tcPr>
          <w:p>
            <w:pPr>
              <w:pStyle w:val="13"/>
            </w:pPr>
            <w:r>
              <w:t>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2100408</w:t>
            </w:r>
          </w:p>
        </w:tc>
        <w:tc>
          <w:tcPr>
            <w:tcW w:w="4536" w:type="dxa"/>
            <w:vAlign w:val="center"/>
          </w:tcPr>
          <w:p>
            <w:pPr>
              <w:pStyle w:val="14"/>
            </w:pPr>
            <w:r>
              <w:t>基本公共卫生服务</w:t>
            </w:r>
          </w:p>
        </w:tc>
        <w:tc>
          <w:tcPr>
            <w:tcW w:w="1361" w:type="dxa"/>
            <w:vAlign w:val="center"/>
          </w:tcPr>
          <w:p>
            <w:pPr>
              <w:pStyle w:val="13"/>
            </w:pPr>
            <w:r>
              <w:t>1.19</w:t>
            </w:r>
          </w:p>
        </w:tc>
        <w:tc>
          <w:tcPr>
            <w:tcW w:w="1361" w:type="dxa"/>
            <w:vAlign w:val="center"/>
          </w:tcPr>
          <w:p>
            <w:pPr>
              <w:pStyle w:val="13"/>
            </w:pPr>
          </w:p>
        </w:tc>
        <w:tc>
          <w:tcPr>
            <w:tcW w:w="1361" w:type="dxa"/>
            <w:vAlign w:val="center"/>
          </w:tcPr>
          <w:p>
            <w:pPr>
              <w:pStyle w:val="13"/>
            </w:pPr>
            <w:r>
              <w:t>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41.06</w:t>
            </w:r>
          </w:p>
        </w:tc>
        <w:tc>
          <w:tcPr>
            <w:tcW w:w="1361" w:type="dxa"/>
            <w:vAlign w:val="center"/>
          </w:tcPr>
          <w:p>
            <w:pPr>
              <w:pStyle w:val="13"/>
            </w:pPr>
            <w:r>
              <w:t>41.06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pPr>
            <w:r>
              <w:t>15.85</w:t>
            </w:r>
          </w:p>
        </w:tc>
        <w:tc>
          <w:tcPr>
            <w:tcW w:w="1361" w:type="dxa"/>
            <w:vAlign w:val="center"/>
          </w:tcPr>
          <w:p>
            <w:pPr>
              <w:pStyle w:val="13"/>
            </w:pPr>
            <w:r>
              <w:t>15.85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2101102</w:t>
            </w:r>
          </w:p>
        </w:tc>
        <w:tc>
          <w:tcPr>
            <w:tcW w:w="4536" w:type="dxa"/>
            <w:vAlign w:val="center"/>
          </w:tcPr>
          <w:p>
            <w:pPr>
              <w:pStyle w:val="14"/>
            </w:pPr>
            <w:r>
              <w:t>事业单位医疗</w:t>
            </w:r>
          </w:p>
        </w:tc>
        <w:tc>
          <w:tcPr>
            <w:tcW w:w="1361" w:type="dxa"/>
            <w:vAlign w:val="center"/>
          </w:tcPr>
          <w:p>
            <w:pPr>
              <w:pStyle w:val="13"/>
            </w:pPr>
            <w:r>
              <w:t>25.21</w:t>
            </w:r>
          </w:p>
        </w:tc>
        <w:tc>
          <w:tcPr>
            <w:tcW w:w="1361" w:type="dxa"/>
            <w:vAlign w:val="center"/>
          </w:tcPr>
          <w:p>
            <w:pPr>
              <w:pStyle w:val="13"/>
            </w:pPr>
            <w:r>
              <w:t>25.21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21013</w:t>
            </w:r>
          </w:p>
        </w:tc>
        <w:tc>
          <w:tcPr>
            <w:tcW w:w="4536" w:type="dxa"/>
            <w:vAlign w:val="center"/>
          </w:tcPr>
          <w:p>
            <w:pPr>
              <w:pStyle w:val="14"/>
            </w:pPr>
            <w:r>
              <w:t>医疗救助</w:t>
            </w:r>
          </w:p>
        </w:tc>
        <w:tc>
          <w:tcPr>
            <w:tcW w:w="1361" w:type="dxa"/>
            <w:vAlign w:val="center"/>
          </w:tcPr>
          <w:p>
            <w:pPr>
              <w:pStyle w:val="13"/>
            </w:pPr>
            <w:r>
              <w:t>5.61</w:t>
            </w:r>
          </w:p>
        </w:tc>
        <w:tc>
          <w:tcPr>
            <w:tcW w:w="1361" w:type="dxa"/>
            <w:vAlign w:val="center"/>
          </w:tcPr>
          <w:p>
            <w:pPr>
              <w:pStyle w:val="13"/>
            </w:pPr>
          </w:p>
        </w:tc>
        <w:tc>
          <w:tcPr>
            <w:tcW w:w="1361" w:type="dxa"/>
            <w:vAlign w:val="center"/>
          </w:tcPr>
          <w:p>
            <w:pPr>
              <w:pStyle w:val="13"/>
            </w:pPr>
            <w:r>
              <w:t>5.61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2101301</w:t>
            </w:r>
          </w:p>
        </w:tc>
        <w:tc>
          <w:tcPr>
            <w:tcW w:w="4536" w:type="dxa"/>
            <w:vAlign w:val="center"/>
          </w:tcPr>
          <w:p>
            <w:pPr>
              <w:pStyle w:val="14"/>
            </w:pPr>
            <w:r>
              <w:t>城乡医疗救助</w:t>
            </w:r>
          </w:p>
        </w:tc>
        <w:tc>
          <w:tcPr>
            <w:tcW w:w="1361" w:type="dxa"/>
            <w:vAlign w:val="center"/>
          </w:tcPr>
          <w:p>
            <w:pPr>
              <w:pStyle w:val="13"/>
            </w:pPr>
            <w:r>
              <w:t>5.61</w:t>
            </w:r>
          </w:p>
        </w:tc>
        <w:tc>
          <w:tcPr>
            <w:tcW w:w="1361" w:type="dxa"/>
            <w:vAlign w:val="center"/>
          </w:tcPr>
          <w:p>
            <w:pPr>
              <w:pStyle w:val="13"/>
            </w:pPr>
          </w:p>
        </w:tc>
        <w:tc>
          <w:tcPr>
            <w:tcW w:w="1361" w:type="dxa"/>
            <w:vAlign w:val="center"/>
          </w:tcPr>
          <w:p>
            <w:pPr>
              <w:pStyle w:val="13"/>
            </w:pPr>
            <w:r>
              <w:t>5.61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211</w:t>
            </w:r>
          </w:p>
        </w:tc>
        <w:tc>
          <w:tcPr>
            <w:tcW w:w="4536" w:type="dxa"/>
            <w:vAlign w:val="center"/>
          </w:tcPr>
          <w:p>
            <w:pPr>
              <w:pStyle w:val="14"/>
            </w:pPr>
            <w:r>
              <w:t>节能环保支出</w:t>
            </w:r>
          </w:p>
        </w:tc>
        <w:tc>
          <w:tcPr>
            <w:tcW w:w="1361" w:type="dxa"/>
            <w:vAlign w:val="center"/>
          </w:tcPr>
          <w:p>
            <w:pPr>
              <w:pStyle w:val="13"/>
            </w:pPr>
            <w:r>
              <w:t>44.66</w:t>
            </w:r>
          </w:p>
        </w:tc>
        <w:tc>
          <w:tcPr>
            <w:tcW w:w="1361" w:type="dxa"/>
            <w:vAlign w:val="center"/>
          </w:tcPr>
          <w:p>
            <w:pPr>
              <w:pStyle w:val="13"/>
            </w:pPr>
          </w:p>
        </w:tc>
        <w:tc>
          <w:tcPr>
            <w:tcW w:w="1361" w:type="dxa"/>
            <w:vAlign w:val="center"/>
          </w:tcPr>
          <w:p>
            <w:pPr>
              <w:pStyle w:val="13"/>
            </w:pPr>
            <w:r>
              <w:t>44.66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21103</w:t>
            </w:r>
          </w:p>
        </w:tc>
        <w:tc>
          <w:tcPr>
            <w:tcW w:w="4536" w:type="dxa"/>
            <w:vAlign w:val="center"/>
          </w:tcPr>
          <w:p>
            <w:pPr>
              <w:pStyle w:val="14"/>
            </w:pPr>
            <w:r>
              <w:t>污染防治</w:t>
            </w: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2110301</w:t>
            </w:r>
          </w:p>
        </w:tc>
        <w:tc>
          <w:tcPr>
            <w:tcW w:w="4536" w:type="dxa"/>
            <w:vAlign w:val="center"/>
          </w:tcPr>
          <w:p>
            <w:pPr>
              <w:pStyle w:val="14"/>
            </w:pPr>
            <w:r>
              <w:t>大气</w:t>
            </w: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21104</w:t>
            </w:r>
          </w:p>
        </w:tc>
        <w:tc>
          <w:tcPr>
            <w:tcW w:w="4536" w:type="dxa"/>
            <w:vAlign w:val="center"/>
          </w:tcPr>
          <w:p>
            <w:pPr>
              <w:pStyle w:val="14"/>
            </w:pPr>
            <w:r>
              <w:t>自然生态保护</w:t>
            </w:r>
          </w:p>
        </w:tc>
        <w:tc>
          <w:tcPr>
            <w:tcW w:w="1361" w:type="dxa"/>
            <w:vAlign w:val="center"/>
          </w:tcPr>
          <w:p>
            <w:pPr>
              <w:pStyle w:val="13"/>
            </w:pPr>
            <w:r>
              <w:t>19.66</w:t>
            </w:r>
          </w:p>
        </w:tc>
        <w:tc>
          <w:tcPr>
            <w:tcW w:w="1361" w:type="dxa"/>
            <w:vAlign w:val="center"/>
          </w:tcPr>
          <w:p>
            <w:pPr>
              <w:pStyle w:val="13"/>
            </w:pPr>
          </w:p>
        </w:tc>
        <w:tc>
          <w:tcPr>
            <w:tcW w:w="1361" w:type="dxa"/>
            <w:vAlign w:val="center"/>
          </w:tcPr>
          <w:p>
            <w:pPr>
              <w:pStyle w:val="13"/>
            </w:pPr>
            <w:r>
              <w:t>19.66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2110402</w:t>
            </w:r>
          </w:p>
        </w:tc>
        <w:tc>
          <w:tcPr>
            <w:tcW w:w="4536" w:type="dxa"/>
            <w:vAlign w:val="center"/>
          </w:tcPr>
          <w:p>
            <w:pPr>
              <w:pStyle w:val="14"/>
            </w:pPr>
            <w:r>
              <w:t>农村环境保护</w:t>
            </w:r>
          </w:p>
        </w:tc>
        <w:tc>
          <w:tcPr>
            <w:tcW w:w="1361" w:type="dxa"/>
            <w:vAlign w:val="center"/>
          </w:tcPr>
          <w:p>
            <w:pPr>
              <w:pStyle w:val="13"/>
            </w:pPr>
            <w:r>
              <w:t>8.66</w:t>
            </w:r>
          </w:p>
        </w:tc>
        <w:tc>
          <w:tcPr>
            <w:tcW w:w="1361" w:type="dxa"/>
            <w:vAlign w:val="center"/>
          </w:tcPr>
          <w:p>
            <w:pPr>
              <w:pStyle w:val="13"/>
            </w:pPr>
          </w:p>
        </w:tc>
        <w:tc>
          <w:tcPr>
            <w:tcW w:w="1361" w:type="dxa"/>
            <w:vAlign w:val="center"/>
          </w:tcPr>
          <w:p>
            <w:pPr>
              <w:pStyle w:val="13"/>
            </w:pPr>
            <w:r>
              <w:t>8.66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2110499</w:t>
            </w:r>
          </w:p>
        </w:tc>
        <w:tc>
          <w:tcPr>
            <w:tcW w:w="4536" w:type="dxa"/>
            <w:vAlign w:val="center"/>
          </w:tcPr>
          <w:p>
            <w:pPr>
              <w:pStyle w:val="14"/>
            </w:pPr>
            <w:r>
              <w:t>其他自然生态保护支出</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213</w:t>
            </w:r>
          </w:p>
        </w:tc>
        <w:tc>
          <w:tcPr>
            <w:tcW w:w="4536" w:type="dxa"/>
            <w:vAlign w:val="center"/>
          </w:tcPr>
          <w:p>
            <w:pPr>
              <w:pStyle w:val="14"/>
            </w:pPr>
            <w:r>
              <w:t>农林水支出</w:t>
            </w:r>
          </w:p>
        </w:tc>
        <w:tc>
          <w:tcPr>
            <w:tcW w:w="1361" w:type="dxa"/>
            <w:vAlign w:val="center"/>
          </w:tcPr>
          <w:p>
            <w:pPr>
              <w:pStyle w:val="13"/>
            </w:pPr>
            <w:r>
              <w:t>170.32</w:t>
            </w:r>
          </w:p>
        </w:tc>
        <w:tc>
          <w:tcPr>
            <w:tcW w:w="1361" w:type="dxa"/>
            <w:vAlign w:val="center"/>
          </w:tcPr>
          <w:p>
            <w:pPr>
              <w:pStyle w:val="13"/>
            </w:pPr>
          </w:p>
        </w:tc>
        <w:tc>
          <w:tcPr>
            <w:tcW w:w="1361" w:type="dxa"/>
            <w:vAlign w:val="center"/>
          </w:tcPr>
          <w:p>
            <w:pPr>
              <w:pStyle w:val="13"/>
            </w:pPr>
            <w:r>
              <w:t>170.32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21305</w:t>
            </w:r>
          </w:p>
        </w:tc>
        <w:tc>
          <w:tcPr>
            <w:tcW w:w="4536" w:type="dxa"/>
            <w:vAlign w:val="center"/>
          </w:tcPr>
          <w:p>
            <w:pPr>
              <w:pStyle w:val="14"/>
            </w:pPr>
            <w:r>
              <w:t>巩固脱贫衔接乡村振兴</w:t>
            </w:r>
          </w:p>
        </w:tc>
        <w:tc>
          <w:tcPr>
            <w:tcW w:w="1361" w:type="dxa"/>
            <w:vAlign w:val="center"/>
          </w:tcPr>
          <w:p>
            <w:pPr>
              <w:pStyle w:val="13"/>
            </w:pPr>
            <w:r>
              <w:t>6.10</w:t>
            </w:r>
          </w:p>
        </w:tc>
        <w:tc>
          <w:tcPr>
            <w:tcW w:w="1361" w:type="dxa"/>
            <w:vAlign w:val="center"/>
          </w:tcPr>
          <w:p>
            <w:pPr>
              <w:pStyle w:val="13"/>
            </w:pPr>
          </w:p>
        </w:tc>
        <w:tc>
          <w:tcPr>
            <w:tcW w:w="1361" w:type="dxa"/>
            <w:vAlign w:val="center"/>
          </w:tcPr>
          <w:p>
            <w:pPr>
              <w:pStyle w:val="13"/>
            </w:pPr>
            <w:r>
              <w:t>6.10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2130502</w:t>
            </w:r>
          </w:p>
        </w:tc>
        <w:tc>
          <w:tcPr>
            <w:tcW w:w="4536" w:type="dxa"/>
            <w:vAlign w:val="center"/>
          </w:tcPr>
          <w:p>
            <w:pPr>
              <w:pStyle w:val="14"/>
            </w:pPr>
            <w:r>
              <w:t>一般行政管理事务</w:t>
            </w:r>
          </w:p>
        </w:tc>
        <w:tc>
          <w:tcPr>
            <w:tcW w:w="1361" w:type="dxa"/>
            <w:vAlign w:val="center"/>
          </w:tcPr>
          <w:p>
            <w:pPr>
              <w:pStyle w:val="13"/>
            </w:pPr>
            <w:r>
              <w:t>6.10</w:t>
            </w:r>
          </w:p>
        </w:tc>
        <w:tc>
          <w:tcPr>
            <w:tcW w:w="1361" w:type="dxa"/>
            <w:vAlign w:val="center"/>
          </w:tcPr>
          <w:p>
            <w:pPr>
              <w:pStyle w:val="13"/>
            </w:pPr>
          </w:p>
        </w:tc>
        <w:tc>
          <w:tcPr>
            <w:tcW w:w="1361" w:type="dxa"/>
            <w:vAlign w:val="center"/>
          </w:tcPr>
          <w:p>
            <w:pPr>
              <w:pStyle w:val="13"/>
            </w:pPr>
            <w:r>
              <w:t>6.10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21307</w:t>
            </w:r>
          </w:p>
        </w:tc>
        <w:tc>
          <w:tcPr>
            <w:tcW w:w="4536" w:type="dxa"/>
            <w:vAlign w:val="center"/>
          </w:tcPr>
          <w:p>
            <w:pPr>
              <w:pStyle w:val="14"/>
            </w:pPr>
            <w:r>
              <w:t>农村综合改革</w:t>
            </w:r>
          </w:p>
        </w:tc>
        <w:tc>
          <w:tcPr>
            <w:tcW w:w="1361" w:type="dxa"/>
            <w:vAlign w:val="center"/>
          </w:tcPr>
          <w:p>
            <w:pPr>
              <w:pStyle w:val="13"/>
            </w:pPr>
            <w:r>
              <w:t>164.22</w:t>
            </w:r>
          </w:p>
        </w:tc>
        <w:tc>
          <w:tcPr>
            <w:tcW w:w="1361" w:type="dxa"/>
            <w:vAlign w:val="center"/>
          </w:tcPr>
          <w:p>
            <w:pPr>
              <w:pStyle w:val="13"/>
            </w:pPr>
          </w:p>
        </w:tc>
        <w:tc>
          <w:tcPr>
            <w:tcW w:w="1361" w:type="dxa"/>
            <w:vAlign w:val="center"/>
          </w:tcPr>
          <w:p>
            <w:pPr>
              <w:pStyle w:val="13"/>
            </w:pPr>
            <w:r>
              <w:t>164.22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2130705</w:t>
            </w:r>
          </w:p>
        </w:tc>
        <w:tc>
          <w:tcPr>
            <w:tcW w:w="4536" w:type="dxa"/>
            <w:vAlign w:val="center"/>
          </w:tcPr>
          <w:p>
            <w:pPr>
              <w:pStyle w:val="14"/>
            </w:pPr>
            <w:r>
              <w:t>对村民委员会和村党支部的补助</w:t>
            </w:r>
          </w:p>
        </w:tc>
        <w:tc>
          <w:tcPr>
            <w:tcW w:w="1361" w:type="dxa"/>
            <w:vAlign w:val="center"/>
          </w:tcPr>
          <w:p>
            <w:pPr>
              <w:pStyle w:val="13"/>
            </w:pPr>
            <w:r>
              <w:t>164.22</w:t>
            </w:r>
          </w:p>
        </w:tc>
        <w:tc>
          <w:tcPr>
            <w:tcW w:w="1361" w:type="dxa"/>
            <w:vAlign w:val="center"/>
          </w:tcPr>
          <w:p>
            <w:pPr>
              <w:pStyle w:val="13"/>
            </w:pPr>
          </w:p>
        </w:tc>
        <w:tc>
          <w:tcPr>
            <w:tcW w:w="1361" w:type="dxa"/>
            <w:vAlign w:val="center"/>
          </w:tcPr>
          <w:p>
            <w:pPr>
              <w:pStyle w:val="13"/>
            </w:pPr>
            <w:r>
              <w:t>164.22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31.59</w:t>
            </w:r>
          </w:p>
        </w:tc>
        <w:tc>
          <w:tcPr>
            <w:tcW w:w="1361" w:type="dxa"/>
            <w:vAlign w:val="center"/>
          </w:tcPr>
          <w:p>
            <w:pPr>
              <w:pStyle w:val="13"/>
            </w:pPr>
            <w:r>
              <w:t>31.59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31.59</w:t>
            </w:r>
          </w:p>
        </w:tc>
        <w:tc>
          <w:tcPr>
            <w:tcW w:w="1361" w:type="dxa"/>
            <w:vAlign w:val="center"/>
          </w:tcPr>
          <w:p>
            <w:pPr>
              <w:pStyle w:val="13"/>
            </w:pPr>
            <w:r>
              <w:t>31.59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31.59</w:t>
            </w:r>
          </w:p>
        </w:tc>
        <w:tc>
          <w:tcPr>
            <w:tcW w:w="1361" w:type="dxa"/>
            <w:vAlign w:val="center"/>
          </w:tcPr>
          <w:p>
            <w:pPr>
              <w:pStyle w:val="13"/>
            </w:pPr>
            <w:r>
              <w:t>31.59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992" w:type="dxa"/>
            <w:vAlign w:val="center"/>
          </w:tcPr>
          <w:p>
            <w:pPr>
              <w:pStyle w:val="14"/>
            </w:pPr>
            <w:r>
              <w:t>224</w:t>
            </w:r>
          </w:p>
        </w:tc>
        <w:tc>
          <w:tcPr>
            <w:tcW w:w="4536" w:type="dxa"/>
            <w:vAlign w:val="center"/>
          </w:tcPr>
          <w:p>
            <w:pPr>
              <w:pStyle w:val="14"/>
            </w:pPr>
            <w:r>
              <w:t>灾害防治及应急管理支出</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992" w:type="dxa"/>
            <w:vAlign w:val="center"/>
          </w:tcPr>
          <w:p>
            <w:pPr>
              <w:pStyle w:val="14"/>
            </w:pPr>
            <w:r>
              <w:t>22401</w:t>
            </w:r>
          </w:p>
        </w:tc>
        <w:tc>
          <w:tcPr>
            <w:tcW w:w="4536" w:type="dxa"/>
            <w:vAlign w:val="center"/>
          </w:tcPr>
          <w:p>
            <w:pPr>
              <w:pStyle w:val="14"/>
            </w:pPr>
            <w:r>
              <w:t>应急管理事务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992" w:type="dxa"/>
            <w:vAlign w:val="center"/>
          </w:tcPr>
          <w:p>
            <w:pPr>
              <w:pStyle w:val="14"/>
            </w:pPr>
            <w:r>
              <w:t>2240104</w:t>
            </w:r>
          </w:p>
        </w:tc>
        <w:tc>
          <w:tcPr>
            <w:tcW w:w="4536" w:type="dxa"/>
            <w:vAlign w:val="center"/>
          </w:tcPr>
          <w:p>
            <w:pPr>
              <w:pStyle w:val="14"/>
            </w:pPr>
            <w:r>
              <w:t>灾害风险防治</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单位预算财政拨款收支总表</w:t>
      </w:r>
      <w:bookmarkEnd w:id="3"/>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924青龙满族自治县凉水河乡人民政府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703.09</w:t>
            </w:r>
          </w:p>
        </w:tc>
        <w:tc>
          <w:tcPr>
            <w:tcW w:w="3402" w:type="dxa"/>
            <w:vAlign w:val="center"/>
          </w:tcPr>
          <w:p>
            <w:pPr>
              <w:pStyle w:val="14"/>
            </w:pPr>
            <w:r>
              <w:t>一、一般公共服务支出</w:t>
            </w:r>
          </w:p>
        </w:tc>
        <w:tc>
          <w:tcPr>
            <w:tcW w:w="1474" w:type="dxa"/>
            <w:vAlign w:val="center"/>
          </w:tcPr>
          <w:p>
            <w:pPr>
              <w:pStyle w:val="13"/>
            </w:pPr>
            <w:r>
              <w:t>560.98</w:t>
            </w:r>
          </w:p>
        </w:tc>
        <w:tc>
          <w:tcPr>
            <w:tcW w:w="1474" w:type="dxa"/>
            <w:vAlign w:val="center"/>
          </w:tcPr>
          <w:p>
            <w:pPr>
              <w:pStyle w:val="13"/>
            </w:pPr>
            <w:r>
              <w:t>560.98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75.90</w:t>
            </w:r>
          </w:p>
        </w:tc>
        <w:tc>
          <w:tcPr>
            <w:tcW w:w="1474" w:type="dxa"/>
            <w:vAlign w:val="center"/>
          </w:tcPr>
          <w:p>
            <w:pPr>
              <w:pStyle w:val="13"/>
            </w:pPr>
            <w:r>
              <w:t>75.90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47.87</w:t>
            </w:r>
          </w:p>
        </w:tc>
        <w:tc>
          <w:tcPr>
            <w:tcW w:w="1474" w:type="dxa"/>
            <w:vAlign w:val="center"/>
          </w:tcPr>
          <w:p>
            <w:pPr>
              <w:pStyle w:val="13"/>
            </w:pPr>
            <w:r>
              <w:t>47.87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44.66</w:t>
            </w:r>
          </w:p>
        </w:tc>
        <w:tc>
          <w:tcPr>
            <w:tcW w:w="1474" w:type="dxa"/>
            <w:vAlign w:val="center"/>
          </w:tcPr>
          <w:p>
            <w:pPr>
              <w:pStyle w:val="13"/>
            </w:pPr>
            <w:r>
              <w:t>44.66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170.32</w:t>
            </w:r>
          </w:p>
        </w:tc>
        <w:tc>
          <w:tcPr>
            <w:tcW w:w="1474" w:type="dxa"/>
            <w:vAlign w:val="center"/>
          </w:tcPr>
          <w:p>
            <w:pPr>
              <w:pStyle w:val="13"/>
            </w:pPr>
            <w:r>
              <w:t>170.32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31.59</w:t>
            </w:r>
          </w:p>
        </w:tc>
        <w:tc>
          <w:tcPr>
            <w:tcW w:w="1474" w:type="dxa"/>
            <w:vAlign w:val="center"/>
          </w:tcPr>
          <w:p>
            <w:pPr>
              <w:pStyle w:val="13"/>
            </w:pPr>
            <w:r>
              <w:t>31.59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1.00</w:t>
            </w:r>
          </w:p>
        </w:tc>
        <w:tc>
          <w:tcPr>
            <w:tcW w:w="1474" w:type="dxa"/>
            <w:vAlign w:val="center"/>
          </w:tcPr>
          <w:p>
            <w:pPr>
              <w:pStyle w:val="13"/>
            </w:pPr>
            <w:r>
              <w:t>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703.09</w:t>
            </w:r>
          </w:p>
        </w:tc>
        <w:tc>
          <w:tcPr>
            <w:tcW w:w="3402" w:type="dxa"/>
            <w:vAlign w:val="center"/>
          </w:tcPr>
          <w:p>
            <w:pPr>
              <w:pStyle w:val="16"/>
            </w:pPr>
            <w:r>
              <w:t>本年支出合计</w:t>
            </w:r>
          </w:p>
        </w:tc>
        <w:tc>
          <w:tcPr>
            <w:tcW w:w="1474" w:type="dxa"/>
            <w:vAlign w:val="center"/>
          </w:tcPr>
          <w:p>
            <w:pPr>
              <w:pStyle w:val="17"/>
            </w:pPr>
            <w:r>
              <w:t>932.32</w:t>
            </w:r>
          </w:p>
        </w:tc>
        <w:tc>
          <w:tcPr>
            <w:tcW w:w="1474" w:type="dxa"/>
            <w:vAlign w:val="center"/>
          </w:tcPr>
          <w:p>
            <w:pPr>
              <w:pStyle w:val="17"/>
            </w:pPr>
            <w:r>
              <w:t>932.32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r>
              <w:t>229.22</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r>
              <w:t>229.22</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932.32</w:t>
            </w:r>
          </w:p>
        </w:tc>
        <w:tc>
          <w:tcPr>
            <w:tcW w:w="3402" w:type="dxa"/>
            <w:vAlign w:val="center"/>
          </w:tcPr>
          <w:p>
            <w:pPr>
              <w:pStyle w:val="16"/>
            </w:pPr>
            <w:r>
              <w:t>支出总计</w:t>
            </w:r>
          </w:p>
        </w:tc>
        <w:tc>
          <w:tcPr>
            <w:tcW w:w="1474" w:type="dxa"/>
            <w:vAlign w:val="center"/>
          </w:tcPr>
          <w:p>
            <w:pPr>
              <w:pStyle w:val="17"/>
            </w:pPr>
            <w:r>
              <w:t>932.32</w:t>
            </w:r>
          </w:p>
        </w:tc>
        <w:tc>
          <w:tcPr>
            <w:tcW w:w="1474" w:type="dxa"/>
            <w:vAlign w:val="center"/>
          </w:tcPr>
          <w:p>
            <w:pPr>
              <w:pStyle w:val="17"/>
            </w:pPr>
            <w:r>
              <w:t>932.32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单位预算一般公共预算财政拨款支出表</w:t>
      </w:r>
      <w:bookmarkEnd w:id="4"/>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932.32</w:t>
            </w:r>
          </w:p>
        </w:tc>
        <w:tc>
          <w:tcPr>
            <w:tcW w:w="2551" w:type="dxa"/>
            <w:vAlign w:val="center"/>
          </w:tcPr>
          <w:p>
            <w:pPr>
              <w:pStyle w:val="17"/>
            </w:pPr>
            <w:r>
              <w:t>688.53</w:t>
            </w:r>
          </w:p>
        </w:tc>
        <w:tc>
          <w:tcPr>
            <w:tcW w:w="2551" w:type="dxa"/>
            <w:vAlign w:val="center"/>
          </w:tcPr>
          <w:p>
            <w:pPr>
              <w:pStyle w:val="17"/>
            </w:pPr>
            <w:r>
              <w:t>243.78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560.98</w:t>
            </w:r>
          </w:p>
        </w:tc>
        <w:tc>
          <w:tcPr>
            <w:tcW w:w="2551" w:type="dxa"/>
            <w:vAlign w:val="center"/>
          </w:tcPr>
          <w:p>
            <w:pPr>
              <w:pStyle w:val="13"/>
            </w:pPr>
            <w:r>
              <w:t>539.98</w:t>
            </w: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2010102</w:t>
            </w:r>
          </w:p>
        </w:tc>
        <w:tc>
          <w:tcPr>
            <w:tcW w:w="4535" w:type="dxa"/>
            <w:vAlign w:val="center"/>
          </w:tcPr>
          <w:p>
            <w:pPr>
              <w:pStyle w:val="14"/>
            </w:pPr>
            <w:r>
              <w:t>一般行政管理事务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552.98</w:t>
            </w:r>
          </w:p>
        </w:tc>
        <w:tc>
          <w:tcPr>
            <w:tcW w:w="2551" w:type="dxa"/>
            <w:vAlign w:val="center"/>
          </w:tcPr>
          <w:p>
            <w:pPr>
              <w:pStyle w:val="13"/>
            </w:pPr>
            <w:r>
              <w:t>539.98</w:t>
            </w: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309.96</w:t>
            </w:r>
          </w:p>
        </w:tc>
        <w:tc>
          <w:tcPr>
            <w:tcW w:w="2551" w:type="dxa"/>
            <w:vAlign w:val="center"/>
          </w:tcPr>
          <w:p>
            <w:pPr>
              <w:pStyle w:val="13"/>
            </w:pPr>
            <w:r>
              <w:t>309.96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230.02</w:t>
            </w:r>
          </w:p>
        </w:tc>
        <w:tc>
          <w:tcPr>
            <w:tcW w:w="2551" w:type="dxa"/>
            <w:vAlign w:val="center"/>
          </w:tcPr>
          <w:p>
            <w:pPr>
              <w:pStyle w:val="13"/>
            </w:pPr>
            <w:r>
              <w:t>230.02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2013102</w:t>
            </w:r>
          </w:p>
        </w:tc>
        <w:tc>
          <w:tcPr>
            <w:tcW w:w="4535" w:type="dxa"/>
            <w:vAlign w:val="center"/>
          </w:tcPr>
          <w:p>
            <w:pPr>
              <w:pStyle w:val="14"/>
            </w:pPr>
            <w:r>
              <w:t>一般行政管理事务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75.90</w:t>
            </w:r>
          </w:p>
        </w:tc>
        <w:tc>
          <w:tcPr>
            <w:tcW w:w="2551" w:type="dxa"/>
            <w:vAlign w:val="center"/>
          </w:tcPr>
          <w:p>
            <w:pPr>
              <w:pStyle w:val="13"/>
            </w:pPr>
            <w:r>
              <w:t>75.90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70.67</w:t>
            </w:r>
          </w:p>
        </w:tc>
        <w:tc>
          <w:tcPr>
            <w:tcW w:w="2551" w:type="dxa"/>
            <w:vAlign w:val="center"/>
          </w:tcPr>
          <w:p>
            <w:pPr>
              <w:pStyle w:val="13"/>
            </w:pPr>
            <w:r>
              <w:t>70.67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5.15</w:t>
            </w:r>
          </w:p>
        </w:tc>
        <w:tc>
          <w:tcPr>
            <w:tcW w:w="2551" w:type="dxa"/>
            <w:vAlign w:val="center"/>
          </w:tcPr>
          <w:p>
            <w:pPr>
              <w:pStyle w:val="13"/>
            </w:pPr>
            <w:r>
              <w:t>5.15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0.98</w:t>
            </w:r>
          </w:p>
        </w:tc>
        <w:tc>
          <w:tcPr>
            <w:tcW w:w="2551" w:type="dxa"/>
            <w:vAlign w:val="center"/>
          </w:tcPr>
          <w:p>
            <w:pPr>
              <w:pStyle w:val="13"/>
            </w:pPr>
            <w:r>
              <w:t>0.98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63.17</w:t>
            </w:r>
          </w:p>
        </w:tc>
        <w:tc>
          <w:tcPr>
            <w:tcW w:w="2551" w:type="dxa"/>
            <w:vAlign w:val="center"/>
          </w:tcPr>
          <w:p>
            <w:pPr>
              <w:pStyle w:val="13"/>
            </w:pPr>
            <w:r>
              <w:t>63.17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1.37</w:t>
            </w:r>
          </w:p>
        </w:tc>
        <w:tc>
          <w:tcPr>
            <w:tcW w:w="2551" w:type="dxa"/>
            <w:vAlign w:val="center"/>
          </w:tcPr>
          <w:p>
            <w:pPr>
              <w:pStyle w:val="13"/>
            </w:pPr>
            <w:r>
              <w:t>1.37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5.23</w:t>
            </w:r>
          </w:p>
        </w:tc>
        <w:tc>
          <w:tcPr>
            <w:tcW w:w="2551" w:type="dxa"/>
            <w:vAlign w:val="center"/>
          </w:tcPr>
          <w:p>
            <w:pPr>
              <w:pStyle w:val="13"/>
            </w:pPr>
            <w:r>
              <w:t>5.23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5.23</w:t>
            </w:r>
          </w:p>
        </w:tc>
        <w:tc>
          <w:tcPr>
            <w:tcW w:w="2551" w:type="dxa"/>
            <w:vAlign w:val="center"/>
          </w:tcPr>
          <w:p>
            <w:pPr>
              <w:pStyle w:val="13"/>
            </w:pPr>
            <w:r>
              <w:t>5.23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47.87</w:t>
            </w:r>
          </w:p>
        </w:tc>
        <w:tc>
          <w:tcPr>
            <w:tcW w:w="2551" w:type="dxa"/>
            <w:vAlign w:val="center"/>
          </w:tcPr>
          <w:p>
            <w:pPr>
              <w:pStyle w:val="13"/>
            </w:pPr>
            <w:r>
              <w:t>41.06</w:t>
            </w:r>
          </w:p>
        </w:tc>
        <w:tc>
          <w:tcPr>
            <w:tcW w:w="2551" w:type="dxa"/>
            <w:vAlign w:val="center"/>
          </w:tcPr>
          <w:p>
            <w:pPr>
              <w:pStyle w:val="13"/>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21004</w:t>
            </w:r>
          </w:p>
        </w:tc>
        <w:tc>
          <w:tcPr>
            <w:tcW w:w="4535" w:type="dxa"/>
            <w:vAlign w:val="center"/>
          </w:tcPr>
          <w:p>
            <w:pPr>
              <w:pStyle w:val="14"/>
            </w:pPr>
            <w:r>
              <w:t>公共卫生</w:t>
            </w:r>
          </w:p>
        </w:tc>
        <w:tc>
          <w:tcPr>
            <w:tcW w:w="2551" w:type="dxa"/>
            <w:vAlign w:val="center"/>
          </w:tcPr>
          <w:p>
            <w:pPr>
              <w:pStyle w:val="13"/>
            </w:pPr>
            <w:r>
              <w:t>1.19</w:t>
            </w:r>
          </w:p>
        </w:tc>
        <w:tc>
          <w:tcPr>
            <w:tcW w:w="2551" w:type="dxa"/>
            <w:vAlign w:val="center"/>
          </w:tcPr>
          <w:p>
            <w:pPr>
              <w:pStyle w:val="13"/>
            </w:pPr>
          </w:p>
        </w:tc>
        <w:tc>
          <w:tcPr>
            <w:tcW w:w="2551" w:type="dxa"/>
            <w:vAlign w:val="center"/>
          </w:tcPr>
          <w:p>
            <w:pPr>
              <w:pStyle w:val="13"/>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2100408</w:t>
            </w:r>
          </w:p>
        </w:tc>
        <w:tc>
          <w:tcPr>
            <w:tcW w:w="4535" w:type="dxa"/>
            <w:vAlign w:val="center"/>
          </w:tcPr>
          <w:p>
            <w:pPr>
              <w:pStyle w:val="14"/>
            </w:pPr>
            <w:r>
              <w:t>基本公共卫生服务</w:t>
            </w:r>
          </w:p>
        </w:tc>
        <w:tc>
          <w:tcPr>
            <w:tcW w:w="2551" w:type="dxa"/>
            <w:vAlign w:val="center"/>
          </w:tcPr>
          <w:p>
            <w:pPr>
              <w:pStyle w:val="13"/>
            </w:pPr>
            <w:r>
              <w:t>1.19</w:t>
            </w:r>
          </w:p>
        </w:tc>
        <w:tc>
          <w:tcPr>
            <w:tcW w:w="2551" w:type="dxa"/>
            <w:vAlign w:val="center"/>
          </w:tcPr>
          <w:p>
            <w:pPr>
              <w:pStyle w:val="13"/>
            </w:pPr>
          </w:p>
        </w:tc>
        <w:tc>
          <w:tcPr>
            <w:tcW w:w="2551" w:type="dxa"/>
            <w:vAlign w:val="center"/>
          </w:tcPr>
          <w:p>
            <w:pPr>
              <w:pStyle w:val="13"/>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41.06</w:t>
            </w:r>
          </w:p>
        </w:tc>
        <w:tc>
          <w:tcPr>
            <w:tcW w:w="2551" w:type="dxa"/>
            <w:vAlign w:val="center"/>
          </w:tcPr>
          <w:p>
            <w:pPr>
              <w:pStyle w:val="13"/>
            </w:pPr>
            <w:r>
              <w:t>41.06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15.85</w:t>
            </w:r>
          </w:p>
        </w:tc>
        <w:tc>
          <w:tcPr>
            <w:tcW w:w="2551" w:type="dxa"/>
            <w:vAlign w:val="center"/>
          </w:tcPr>
          <w:p>
            <w:pPr>
              <w:pStyle w:val="13"/>
            </w:pPr>
            <w:r>
              <w:t>15.85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25.21</w:t>
            </w:r>
          </w:p>
        </w:tc>
        <w:tc>
          <w:tcPr>
            <w:tcW w:w="2551" w:type="dxa"/>
            <w:vAlign w:val="center"/>
          </w:tcPr>
          <w:p>
            <w:pPr>
              <w:pStyle w:val="13"/>
            </w:pPr>
            <w:r>
              <w:t>25.21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21013</w:t>
            </w:r>
          </w:p>
        </w:tc>
        <w:tc>
          <w:tcPr>
            <w:tcW w:w="4535" w:type="dxa"/>
            <w:vAlign w:val="center"/>
          </w:tcPr>
          <w:p>
            <w:pPr>
              <w:pStyle w:val="14"/>
            </w:pPr>
            <w:r>
              <w:t>医疗救助</w:t>
            </w:r>
          </w:p>
        </w:tc>
        <w:tc>
          <w:tcPr>
            <w:tcW w:w="2551" w:type="dxa"/>
            <w:vAlign w:val="center"/>
          </w:tcPr>
          <w:p>
            <w:pPr>
              <w:pStyle w:val="13"/>
            </w:pPr>
            <w:r>
              <w:t>5.61</w:t>
            </w:r>
          </w:p>
        </w:tc>
        <w:tc>
          <w:tcPr>
            <w:tcW w:w="2551" w:type="dxa"/>
            <w:vAlign w:val="center"/>
          </w:tcPr>
          <w:p>
            <w:pPr>
              <w:pStyle w:val="13"/>
            </w:pPr>
          </w:p>
        </w:tc>
        <w:tc>
          <w:tcPr>
            <w:tcW w:w="2551" w:type="dxa"/>
            <w:vAlign w:val="center"/>
          </w:tcPr>
          <w:p>
            <w:pPr>
              <w:pStyle w:val="13"/>
            </w:pPr>
            <w: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2101301</w:t>
            </w:r>
          </w:p>
        </w:tc>
        <w:tc>
          <w:tcPr>
            <w:tcW w:w="4535" w:type="dxa"/>
            <w:vAlign w:val="center"/>
          </w:tcPr>
          <w:p>
            <w:pPr>
              <w:pStyle w:val="14"/>
            </w:pPr>
            <w:r>
              <w:t>城乡医疗救助</w:t>
            </w:r>
          </w:p>
        </w:tc>
        <w:tc>
          <w:tcPr>
            <w:tcW w:w="2551" w:type="dxa"/>
            <w:vAlign w:val="center"/>
          </w:tcPr>
          <w:p>
            <w:pPr>
              <w:pStyle w:val="13"/>
            </w:pPr>
            <w:r>
              <w:t>5.61</w:t>
            </w:r>
          </w:p>
        </w:tc>
        <w:tc>
          <w:tcPr>
            <w:tcW w:w="2551" w:type="dxa"/>
            <w:vAlign w:val="center"/>
          </w:tcPr>
          <w:p>
            <w:pPr>
              <w:pStyle w:val="13"/>
            </w:pPr>
          </w:p>
        </w:tc>
        <w:tc>
          <w:tcPr>
            <w:tcW w:w="2551" w:type="dxa"/>
            <w:vAlign w:val="center"/>
          </w:tcPr>
          <w:p>
            <w:pPr>
              <w:pStyle w:val="13"/>
            </w:pPr>
            <w: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44.66</w:t>
            </w:r>
          </w:p>
        </w:tc>
        <w:tc>
          <w:tcPr>
            <w:tcW w:w="2551" w:type="dxa"/>
            <w:vAlign w:val="center"/>
          </w:tcPr>
          <w:p>
            <w:pPr>
              <w:pStyle w:val="13"/>
            </w:pPr>
          </w:p>
        </w:tc>
        <w:tc>
          <w:tcPr>
            <w:tcW w:w="2551" w:type="dxa"/>
            <w:vAlign w:val="center"/>
          </w:tcPr>
          <w:p>
            <w:pPr>
              <w:pStyle w:val="13"/>
            </w:pPr>
            <w:r>
              <w:t>44.66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19.66</w:t>
            </w:r>
          </w:p>
        </w:tc>
        <w:tc>
          <w:tcPr>
            <w:tcW w:w="2551" w:type="dxa"/>
            <w:vAlign w:val="center"/>
          </w:tcPr>
          <w:p>
            <w:pPr>
              <w:pStyle w:val="13"/>
            </w:pPr>
          </w:p>
        </w:tc>
        <w:tc>
          <w:tcPr>
            <w:tcW w:w="2551" w:type="dxa"/>
            <w:vAlign w:val="center"/>
          </w:tcPr>
          <w:p>
            <w:pPr>
              <w:pStyle w:val="13"/>
            </w:pPr>
            <w:r>
              <w:t>19.66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8.66</w:t>
            </w:r>
          </w:p>
        </w:tc>
        <w:tc>
          <w:tcPr>
            <w:tcW w:w="2551" w:type="dxa"/>
            <w:vAlign w:val="center"/>
          </w:tcPr>
          <w:p>
            <w:pPr>
              <w:pStyle w:val="13"/>
            </w:pPr>
          </w:p>
        </w:tc>
        <w:tc>
          <w:tcPr>
            <w:tcW w:w="2551" w:type="dxa"/>
            <w:vAlign w:val="center"/>
          </w:tcPr>
          <w:p>
            <w:pPr>
              <w:pStyle w:val="13"/>
            </w:pPr>
            <w:r>
              <w:t>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2110499</w:t>
            </w:r>
          </w:p>
        </w:tc>
        <w:tc>
          <w:tcPr>
            <w:tcW w:w="4535" w:type="dxa"/>
            <w:vAlign w:val="center"/>
          </w:tcPr>
          <w:p>
            <w:pPr>
              <w:pStyle w:val="14"/>
            </w:pPr>
            <w:r>
              <w:t>其他自然生态保护支出</w:t>
            </w:r>
          </w:p>
        </w:tc>
        <w:tc>
          <w:tcPr>
            <w:tcW w:w="2551" w:type="dxa"/>
            <w:vAlign w:val="center"/>
          </w:tcPr>
          <w:p>
            <w:pPr>
              <w:pStyle w:val="13"/>
            </w:pPr>
            <w:r>
              <w:t>11.00</w:t>
            </w:r>
          </w:p>
        </w:tc>
        <w:tc>
          <w:tcPr>
            <w:tcW w:w="2551" w:type="dxa"/>
            <w:vAlign w:val="center"/>
          </w:tcPr>
          <w:p>
            <w:pPr>
              <w:pStyle w:val="13"/>
            </w:pPr>
          </w:p>
        </w:tc>
        <w:tc>
          <w:tcPr>
            <w:tcW w:w="2551"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170.32</w:t>
            </w:r>
          </w:p>
        </w:tc>
        <w:tc>
          <w:tcPr>
            <w:tcW w:w="2551" w:type="dxa"/>
            <w:vAlign w:val="center"/>
          </w:tcPr>
          <w:p>
            <w:pPr>
              <w:pStyle w:val="13"/>
            </w:pPr>
          </w:p>
        </w:tc>
        <w:tc>
          <w:tcPr>
            <w:tcW w:w="2551" w:type="dxa"/>
            <w:vAlign w:val="center"/>
          </w:tcPr>
          <w:p>
            <w:pPr>
              <w:pStyle w:val="13"/>
            </w:pPr>
            <w:r>
              <w:t>170.32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21305</w:t>
            </w:r>
          </w:p>
        </w:tc>
        <w:tc>
          <w:tcPr>
            <w:tcW w:w="4535" w:type="dxa"/>
            <w:vAlign w:val="center"/>
          </w:tcPr>
          <w:p>
            <w:pPr>
              <w:pStyle w:val="14"/>
            </w:pPr>
            <w:r>
              <w:t>巩固脱贫衔接乡村振兴</w:t>
            </w:r>
          </w:p>
        </w:tc>
        <w:tc>
          <w:tcPr>
            <w:tcW w:w="2551" w:type="dxa"/>
            <w:vAlign w:val="center"/>
          </w:tcPr>
          <w:p>
            <w:pPr>
              <w:pStyle w:val="13"/>
            </w:pPr>
            <w:r>
              <w:t>6.10</w:t>
            </w:r>
          </w:p>
        </w:tc>
        <w:tc>
          <w:tcPr>
            <w:tcW w:w="2551" w:type="dxa"/>
            <w:vAlign w:val="center"/>
          </w:tcPr>
          <w:p>
            <w:pPr>
              <w:pStyle w:val="13"/>
            </w:pPr>
          </w:p>
        </w:tc>
        <w:tc>
          <w:tcPr>
            <w:tcW w:w="2551" w:type="dxa"/>
            <w:vAlign w:val="center"/>
          </w:tcPr>
          <w:p>
            <w:pPr>
              <w:pStyle w:val="13"/>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2130502</w:t>
            </w:r>
          </w:p>
        </w:tc>
        <w:tc>
          <w:tcPr>
            <w:tcW w:w="4535" w:type="dxa"/>
            <w:vAlign w:val="center"/>
          </w:tcPr>
          <w:p>
            <w:pPr>
              <w:pStyle w:val="14"/>
            </w:pPr>
            <w:r>
              <w:t>一般行政管理事务</w:t>
            </w:r>
          </w:p>
        </w:tc>
        <w:tc>
          <w:tcPr>
            <w:tcW w:w="2551" w:type="dxa"/>
            <w:vAlign w:val="center"/>
          </w:tcPr>
          <w:p>
            <w:pPr>
              <w:pStyle w:val="13"/>
            </w:pPr>
            <w:r>
              <w:t>6.10</w:t>
            </w:r>
          </w:p>
        </w:tc>
        <w:tc>
          <w:tcPr>
            <w:tcW w:w="2551" w:type="dxa"/>
            <w:vAlign w:val="center"/>
          </w:tcPr>
          <w:p>
            <w:pPr>
              <w:pStyle w:val="13"/>
            </w:pPr>
          </w:p>
        </w:tc>
        <w:tc>
          <w:tcPr>
            <w:tcW w:w="2551" w:type="dxa"/>
            <w:vAlign w:val="center"/>
          </w:tcPr>
          <w:p>
            <w:pPr>
              <w:pStyle w:val="13"/>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164.22</w:t>
            </w:r>
          </w:p>
        </w:tc>
        <w:tc>
          <w:tcPr>
            <w:tcW w:w="2551" w:type="dxa"/>
            <w:vAlign w:val="center"/>
          </w:tcPr>
          <w:p>
            <w:pPr>
              <w:pStyle w:val="13"/>
            </w:pPr>
          </w:p>
        </w:tc>
        <w:tc>
          <w:tcPr>
            <w:tcW w:w="2551" w:type="dxa"/>
            <w:vAlign w:val="center"/>
          </w:tcPr>
          <w:p>
            <w:pPr>
              <w:pStyle w:val="13"/>
            </w:pPr>
            <w:r>
              <w:t>164.22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164.22</w:t>
            </w:r>
          </w:p>
        </w:tc>
        <w:tc>
          <w:tcPr>
            <w:tcW w:w="2551" w:type="dxa"/>
            <w:vAlign w:val="center"/>
          </w:tcPr>
          <w:p>
            <w:pPr>
              <w:pStyle w:val="13"/>
            </w:pPr>
          </w:p>
        </w:tc>
        <w:tc>
          <w:tcPr>
            <w:tcW w:w="2551" w:type="dxa"/>
            <w:vAlign w:val="center"/>
          </w:tcPr>
          <w:p>
            <w:pPr>
              <w:pStyle w:val="13"/>
            </w:pPr>
            <w:r>
              <w:t>164.22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31.59</w:t>
            </w:r>
          </w:p>
        </w:tc>
        <w:tc>
          <w:tcPr>
            <w:tcW w:w="2551" w:type="dxa"/>
            <w:vAlign w:val="center"/>
          </w:tcPr>
          <w:p>
            <w:pPr>
              <w:pStyle w:val="13"/>
            </w:pPr>
            <w:r>
              <w:t>31.59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31.59</w:t>
            </w:r>
          </w:p>
        </w:tc>
        <w:tc>
          <w:tcPr>
            <w:tcW w:w="2551" w:type="dxa"/>
            <w:vAlign w:val="center"/>
          </w:tcPr>
          <w:p>
            <w:pPr>
              <w:pStyle w:val="13"/>
            </w:pPr>
            <w:r>
              <w:t>31.59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31.59</w:t>
            </w:r>
          </w:p>
        </w:tc>
        <w:tc>
          <w:tcPr>
            <w:tcW w:w="2551" w:type="dxa"/>
            <w:vAlign w:val="center"/>
          </w:tcPr>
          <w:p>
            <w:pPr>
              <w:pStyle w:val="13"/>
            </w:pPr>
            <w:r>
              <w:t>31.59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47</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单位预算一般公共预算财政拨款基本支出表</w:t>
      </w:r>
      <w:bookmarkEnd w:id="5"/>
    </w:p>
    <w:tbl>
      <w:tblPr>
        <w:tblStyle w:val="5"/>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支出单位经济分类科目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688.53</w:t>
            </w:r>
          </w:p>
        </w:tc>
        <w:tc>
          <w:tcPr>
            <w:tcW w:w="2551" w:type="dxa"/>
            <w:vAlign w:val="center"/>
          </w:tcPr>
          <w:p>
            <w:pPr>
              <w:pStyle w:val="17"/>
            </w:pPr>
            <w:r>
              <w:t>554.14</w:t>
            </w:r>
          </w:p>
        </w:tc>
        <w:tc>
          <w:tcPr>
            <w:tcW w:w="2552" w:type="dxa"/>
            <w:vAlign w:val="center"/>
          </w:tcPr>
          <w:p>
            <w:pPr>
              <w:pStyle w:val="17"/>
            </w:pPr>
            <w:r>
              <w:t>134.39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542.78</w:t>
            </w:r>
          </w:p>
        </w:tc>
        <w:tc>
          <w:tcPr>
            <w:tcW w:w="2551" w:type="dxa"/>
            <w:vAlign w:val="center"/>
          </w:tcPr>
          <w:p>
            <w:pPr>
              <w:pStyle w:val="13"/>
            </w:pPr>
            <w:r>
              <w:t>542.78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213.95</w:t>
            </w:r>
          </w:p>
        </w:tc>
        <w:tc>
          <w:tcPr>
            <w:tcW w:w="2551" w:type="dxa"/>
            <w:vAlign w:val="center"/>
          </w:tcPr>
          <w:p>
            <w:pPr>
              <w:pStyle w:val="13"/>
            </w:pPr>
            <w:r>
              <w:t>213.95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110.66</w:t>
            </w:r>
          </w:p>
        </w:tc>
        <w:tc>
          <w:tcPr>
            <w:tcW w:w="2551" w:type="dxa"/>
            <w:vAlign w:val="center"/>
          </w:tcPr>
          <w:p>
            <w:pPr>
              <w:pStyle w:val="13"/>
            </w:pPr>
            <w:r>
              <w:t>110.66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7.86</w:t>
            </w:r>
          </w:p>
        </w:tc>
        <w:tc>
          <w:tcPr>
            <w:tcW w:w="2551" w:type="dxa"/>
            <w:vAlign w:val="center"/>
          </w:tcPr>
          <w:p>
            <w:pPr>
              <w:pStyle w:val="13"/>
            </w:pPr>
            <w:r>
              <w:t>7.86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70.65</w:t>
            </w:r>
          </w:p>
        </w:tc>
        <w:tc>
          <w:tcPr>
            <w:tcW w:w="2551" w:type="dxa"/>
            <w:vAlign w:val="center"/>
          </w:tcPr>
          <w:p>
            <w:pPr>
              <w:pStyle w:val="13"/>
            </w:pPr>
            <w:r>
              <w:t>70.65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63.17</w:t>
            </w:r>
          </w:p>
        </w:tc>
        <w:tc>
          <w:tcPr>
            <w:tcW w:w="2551" w:type="dxa"/>
            <w:vAlign w:val="center"/>
          </w:tcPr>
          <w:p>
            <w:pPr>
              <w:pStyle w:val="13"/>
            </w:pPr>
            <w:r>
              <w:t>63.17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1.37</w:t>
            </w:r>
          </w:p>
        </w:tc>
        <w:tc>
          <w:tcPr>
            <w:tcW w:w="2551" w:type="dxa"/>
            <w:vAlign w:val="center"/>
          </w:tcPr>
          <w:p>
            <w:pPr>
              <w:pStyle w:val="13"/>
            </w:pPr>
            <w:r>
              <w:t>1.37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39.61</w:t>
            </w:r>
          </w:p>
        </w:tc>
        <w:tc>
          <w:tcPr>
            <w:tcW w:w="2551" w:type="dxa"/>
            <w:vAlign w:val="center"/>
          </w:tcPr>
          <w:p>
            <w:pPr>
              <w:pStyle w:val="13"/>
            </w:pPr>
            <w:r>
              <w:t>39.61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3.43</w:t>
            </w:r>
          </w:p>
        </w:tc>
        <w:tc>
          <w:tcPr>
            <w:tcW w:w="2551" w:type="dxa"/>
            <w:vAlign w:val="center"/>
          </w:tcPr>
          <w:p>
            <w:pPr>
              <w:pStyle w:val="13"/>
            </w:pPr>
            <w:r>
              <w:t>3.43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31.59</w:t>
            </w:r>
          </w:p>
        </w:tc>
        <w:tc>
          <w:tcPr>
            <w:tcW w:w="2551" w:type="dxa"/>
            <w:vAlign w:val="center"/>
          </w:tcPr>
          <w:p>
            <w:pPr>
              <w:pStyle w:val="13"/>
            </w:pPr>
            <w:r>
              <w:t>31.59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0.50</w:t>
            </w:r>
          </w:p>
        </w:tc>
        <w:tc>
          <w:tcPr>
            <w:tcW w:w="2551" w:type="dxa"/>
            <w:vAlign w:val="center"/>
          </w:tcPr>
          <w:p>
            <w:pPr>
              <w:pStyle w:val="13"/>
            </w:pPr>
            <w:r>
              <w:t>0.50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134.39</w:t>
            </w:r>
          </w:p>
        </w:tc>
        <w:tc>
          <w:tcPr>
            <w:tcW w:w="2551" w:type="dxa"/>
            <w:vAlign w:val="center"/>
          </w:tcPr>
          <w:p>
            <w:pPr>
              <w:pStyle w:val="13"/>
            </w:pPr>
          </w:p>
        </w:tc>
        <w:tc>
          <w:tcPr>
            <w:tcW w:w="2552" w:type="dxa"/>
            <w:vAlign w:val="center"/>
          </w:tcPr>
          <w:p>
            <w:pPr>
              <w:pStyle w:val="13"/>
            </w:pPr>
            <w:r>
              <w:t>134.39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49.91</w:t>
            </w:r>
          </w:p>
        </w:tc>
        <w:tc>
          <w:tcPr>
            <w:tcW w:w="2551" w:type="dxa"/>
            <w:vAlign w:val="center"/>
          </w:tcPr>
          <w:p>
            <w:pPr>
              <w:pStyle w:val="13"/>
            </w:pPr>
          </w:p>
        </w:tc>
        <w:tc>
          <w:tcPr>
            <w:tcW w:w="2552" w:type="dxa"/>
            <w:vAlign w:val="center"/>
          </w:tcPr>
          <w:p>
            <w:pPr>
              <w:pStyle w:val="13"/>
            </w:pPr>
            <w:r>
              <w:t>49.91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1.95</w:t>
            </w:r>
          </w:p>
        </w:tc>
        <w:tc>
          <w:tcPr>
            <w:tcW w:w="2551" w:type="dxa"/>
            <w:vAlign w:val="center"/>
          </w:tcPr>
          <w:p>
            <w:pPr>
              <w:pStyle w:val="13"/>
            </w:pPr>
          </w:p>
        </w:tc>
        <w:tc>
          <w:tcPr>
            <w:tcW w:w="2552" w:type="dxa"/>
            <w:vAlign w:val="center"/>
          </w:tcPr>
          <w:p>
            <w:pPr>
              <w:pStyle w:val="13"/>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7.00</w:t>
            </w:r>
          </w:p>
        </w:tc>
        <w:tc>
          <w:tcPr>
            <w:tcW w:w="2551" w:type="dxa"/>
            <w:vAlign w:val="center"/>
          </w:tcPr>
          <w:p>
            <w:pPr>
              <w:pStyle w:val="13"/>
            </w:pPr>
          </w:p>
        </w:tc>
        <w:tc>
          <w:tcPr>
            <w:tcW w:w="2552"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1.82</w:t>
            </w:r>
          </w:p>
        </w:tc>
        <w:tc>
          <w:tcPr>
            <w:tcW w:w="2551" w:type="dxa"/>
            <w:vAlign w:val="center"/>
          </w:tcPr>
          <w:p>
            <w:pPr>
              <w:pStyle w:val="13"/>
            </w:pPr>
          </w:p>
        </w:tc>
        <w:tc>
          <w:tcPr>
            <w:tcW w:w="2552" w:type="dxa"/>
            <w:vAlign w:val="center"/>
          </w:tcPr>
          <w:p>
            <w:pPr>
              <w:pStyle w:val="13"/>
            </w:pP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2.42</w:t>
            </w:r>
          </w:p>
        </w:tc>
        <w:tc>
          <w:tcPr>
            <w:tcW w:w="2551" w:type="dxa"/>
            <w:vAlign w:val="center"/>
          </w:tcPr>
          <w:p>
            <w:pPr>
              <w:pStyle w:val="13"/>
            </w:pPr>
          </w:p>
        </w:tc>
        <w:tc>
          <w:tcPr>
            <w:tcW w:w="2552" w:type="dxa"/>
            <w:vAlign w:val="center"/>
          </w:tcPr>
          <w:p>
            <w:pPr>
              <w:pStyle w:val="13"/>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32.89</w:t>
            </w:r>
          </w:p>
        </w:tc>
        <w:tc>
          <w:tcPr>
            <w:tcW w:w="2551" w:type="dxa"/>
            <w:vAlign w:val="center"/>
          </w:tcPr>
          <w:p>
            <w:pPr>
              <w:pStyle w:val="13"/>
            </w:pPr>
          </w:p>
        </w:tc>
        <w:tc>
          <w:tcPr>
            <w:tcW w:w="2552" w:type="dxa"/>
            <w:vAlign w:val="center"/>
          </w:tcPr>
          <w:p>
            <w:pPr>
              <w:pStyle w:val="13"/>
            </w:pPr>
            <w:r>
              <w:t>32.89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4.30</w:t>
            </w:r>
          </w:p>
        </w:tc>
        <w:tc>
          <w:tcPr>
            <w:tcW w:w="2551" w:type="dxa"/>
            <w:vAlign w:val="center"/>
          </w:tcPr>
          <w:p>
            <w:pPr>
              <w:pStyle w:val="13"/>
            </w:pPr>
          </w:p>
        </w:tc>
        <w:tc>
          <w:tcPr>
            <w:tcW w:w="2552" w:type="dxa"/>
            <w:vAlign w:val="center"/>
          </w:tcPr>
          <w:p>
            <w:pPr>
              <w:pStyle w:val="13"/>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5.00</w:t>
            </w:r>
          </w:p>
        </w:tc>
        <w:tc>
          <w:tcPr>
            <w:tcW w:w="2551" w:type="dxa"/>
            <w:vAlign w:val="center"/>
          </w:tcPr>
          <w:p>
            <w:pPr>
              <w:pStyle w:val="13"/>
            </w:pPr>
          </w:p>
        </w:tc>
        <w:tc>
          <w:tcPr>
            <w:tcW w:w="2552"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2.87</w:t>
            </w:r>
          </w:p>
        </w:tc>
        <w:tc>
          <w:tcPr>
            <w:tcW w:w="2551" w:type="dxa"/>
            <w:vAlign w:val="center"/>
          </w:tcPr>
          <w:p>
            <w:pPr>
              <w:pStyle w:val="13"/>
            </w:pPr>
          </w:p>
        </w:tc>
        <w:tc>
          <w:tcPr>
            <w:tcW w:w="2552" w:type="dxa"/>
            <w:vAlign w:val="center"/>
          </w:tcPr>
          <w:p>
            <w:pPr>
              <w:pStyle w:val="13"/>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26.23</w:t>
            </w:r>
          </w:p>
        </w:tc>
        <w:tc>
          <w:tcPr>
            <w:tcW w:w="2551" w:type="dxa"/>
            <w:vAlign w:val="center"/>
          </w:tcPr>
          <w:p>
            <w:pPr>
              <w:pStyle w:val="13"/>
            </w:pPr>
          </w:p>
        </w:tc>
        <w:tc>
          <w:tcPr>
            <w:tcW w:w="2552" w:type="dxa"/>
            <w:vAlign w:val="center"/>
          </w:tcPr>
          <w:p>
            <w:pPr>
              <w:pStyle w:val="13"/>
            </w:pPr>
            <w:r>
              <w:t>26.23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11.36</w:t>
            </w:r>
          </w:p>
        </w:tc>
        <w:tc>
          <w:tcPr>
            <w:tcW w:w="2551" w:type="dxa"/>
            <w:vAlign w:val="center"/>
          </w:tcPr>
          <w:p>
            <w:pPr>
              <w:pStyle w:val="13"/>
            </w:pPr>
            <w:r>
              <w:t>11.36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6.13</w:t>
            </w:r>
          </w:p>
        </w:tc>
        <w:tc>
          <w:tcPr>
            <w:tcW w:w="2551" w:type="dxa"/>
            <w:vAlign w:val="center"/>
          </w:tcPr>
          <w:p>
            <w:pPr>
              <w:pStyle w:val="13"/>
            </w:pPr>
            <w:r>
              <w:t>6.13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5.23</w:t>
            </w:r>
          </w:p>
        </w:tc>
        <w:tc>
          <w:tcPr>
            <w:tcW w:w="2551" w:type="dxa"/>
            <w:vAlign w:val="center"/>
          </w:tcPr>
          <w:p>
            <w:pPr>
              <w:pStyle w:val="13"/>
            </w:pPr>
            <w:r>
              <w:t>5.23</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单位预算政府基金预算财政拨款支出表</w:t>
      </w:r>
      <w:bookmarkEnd w:id="6"/>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单位预算国有资本经营预算财政拨款支出表</w:t>
      </w:r>
      <w:bookmarkEnd w:id="7"/>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单位预算财政拨款“三公”经费支出表</w:t>
      </w:r>
      <w:bookmarkEnd w:id="8"/>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924青龙满族自治县凉水河乡人民政府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rPr>
                <w:rFonts w:hint="eastAsia"/>
              </w:rPr>
              <w:t>7.17</w:t>
            </w:r>
          </w:p>
        </w:tc>
        <w:tc>
          <w:tcPr>
            <w:tcW w:w="2381" w:type="dxa"/>
            <w:vAlign w:val="center"/>
          </w:tcPr>
          <w:p>
            <w:pPr>
              <w:pStyle w:val="17"/>
            </w:pPr>
            <w:r>
              <w:rPr>
                <w:rFonts w:hint="eastAsia"/>
              </w:rPr>
              <w:t>7.17</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其中：教育科研人员因公出国（境）费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 </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 </w:t>
            </w:r>
          </w:p>
        </w:tc>
        <w:tc>
          <w:tcPr>
            <w:tcW w:w="2382" w:type="dxa"/>
            <w:vAlign w:val="center"/>
          </w:tcPr>
          <w:p>
            <w:pPr>
              <w:pStyle w:val="13"/>
            </w:pPr>
            <w:r>
              <w:t>2.87</w:t>
            </w:r>
          </w:p>
        </w:tc>
        <w:tc>
          <w:tcPr>
            <w:tcW w:w="2381" w:type="dxa"/>
            <w:vAlign w:val="center"/>
          </w:tcPr>
          <w:p>
            <w:pPr>
              <w:pStyle w:val="13"/>
            </w:pPr>
            <w:r>
              <w:t>2.87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r>
              <w:t>4.30</w:t>
            </w:r>
          </w:p>
        </w:tc>
        <w:tc>
          <w:tcPr>
            <w:tcW w:w="2381" w:type="dxa"/>
            <w:vAlign w:val="center"/>
          </w:tcPr>
          <w:p>
            <w:pPr>
              <w:pStyle w:val="13"/>
            </w:pPr>
            <w:r>
              <w:t>4.30</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青龙满族自治县凉水河乡人民政府2022年单位预算信息公开情况说明</w:t>
      </w:r>
    </w:p>
    <w:p>
      <w:pPr>
        <w:jc w:val="center"/>
      </w:pPr>
      <w:r>
        <w:rPr>
          <w:rFonts w:ascii="方正小标宋_GBK" w:hAnsi="方正小标宋_GBK" w:eastAsia="方正小标宋_GBK" w:cs="方正小标宋_GBK"/>
          <w:color w:val="000000"/>
          <w:sz w:val="44"/>
        </w:rPr>
        <w:t>青龙满族自治县凉水河乡人民政府2022年单位预算信息公开情况说明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按照《中华人民共和国预算法》、《地方预决算公开操作规程》和《关于进一步推进预算公开工作的实施意见》规定，现将青龙满族自治县凉水河乡人民政府2022年单位预算公开如下：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一、单位职责及机构设置情况</w:t>
      </w:r>
      <w:bookmarkEnd w:id="9"/>
    </w:p>
    <w:p>
      <w:pPr>
        <w:spacing w:line="500" w:lineRule="exact"/>
        <w:ind w:firstLine="560"/>
        <w:rPr>
          <w:rFonts w:eastAsia="方正仿宋_GBK"/>
          <w:color w:val="000000"/>
          <w:sz w:val="28"/>
        </w:rPr>
      </w:pPr>
      <w:r>
        <w:rPr>
          <w:rFonts w:ascii="方正楷体_GBK" w:hAnsi="方正楷体_GBK" w:eastAsia="方正楷体_GBK" w:cs="方正楷体_GBK"/>
          <w:b/>
          <w:color w:val="000000"/>
          <w:sz w:val="32"/>
        </w:rPr>
        <w:t>单位职责：</w:t>
      </w:r>
      <w:r>
        <w:rPr>
          <w:rFonts w:hint="eastAsia" w:eastAsia="方正仿宋_GBK"/>
          <w:color w:val="000000"/>
          <w:sz w:val="28"/>
        </w:rPr>
        <w:t>涉密</w:t>
      </w:r>
    </w:p>
    <w:p>
      <w:pPr>
        <w:ind w:firstLine="640"/>
        <w:rPr>
          <w:rFonts w:ascii="方正楷体_GBK" w:hAnsi="方正楷体_GBK" w:eastAsia="方正楷体_GBK" w:cs="方正楷体_GBK"/>
          <w:b/>
          <w:color w:val="000000"/>
          <w:sz w:val="32"/>
        </w:rPr>
      </w:pP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青龙满族自治县凉水河乡人民政府本级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二、单位预算安排的总体情况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按照预算管理有关规定，目前我省单位预算的编制实行综合预算管理，即全部收入和支出都反映在预算中。青龙满族自治县凉水河乡人民政府机关及所属事业单位的收支包含在单位预算中。</w:t>
      </w:r>
    </w:p>
    <w:p>
      <w:pPr>
        <w:spacing w:line="500" w:lineRule="exact"/>
        <w:ind w:firstLine="560" w:firstLineChars="200"/>
        <w:rPr>
          <w:rFonts w:eastAsia="方正仿宋_GBK"/>
          <w:color w:val="000000"/>
          <w:sz w:val="28"/>
        </w:rPr>
      </w:pPr>
      <w:r>
        <w:rPr>
          <w:rFonts w:hint="eastAsia" w:eastAsia="方正仿宋_GBK"/>
          <w:color w:val="000000"/>
          <w:sz w:val="28"/>
        </w:rPr>
        <w:t>1、收入说明</w:t>
      </w:r>
    </w:p>
    <w:p>
      <w:pPr>
        <w:pStyle w:val="20"/>
        <w:ind w:firstLineChars="200"/>
      </w:pPr>
      <w:r>
        <w:t>本年预算收入</w:t>
      </w:r>
      <w:r>
        <w:rPr>
          <w:rFonts w:hint="eastAsia"/>
        </w:rPr>
        <w:t>932.32</w:t>
      </w:r>
      <w:r>
        <w:t>元，其中</w:t>
      </w:r>
      <w:r>
        <w:rPr>
          <w:rFonts w:hint="eastAsia"/>
        </w:rPr>
        <w:t>本年</w:t>
      </w:r>
      <w:r>
        <w:t>一般公共预算拨款</w:t>
      </w:r>
      <w:r>
        <w:rPr>
          <w:rFonts w:hint="eastAsia"/>
        </w:rPr>
        <w:t>703.09</w:t>
      </w:r>
      <w:r>
        <w:t>万元</w:t>
      </w:r>
      <w:r>
        <w:rPr>
          <w:rFonts w:hint="eastAsia"/>
        </w:rPr>
        <w:t>，</w:t>
      </w:r>
      <w:r>
        <w:t>上年结转结余229.22万元</w:t>
      </w:r>
      <w:r>
        <w:rPr>
          <w:rFonts w:hint="eastAsia"/>
        </w:rPr>
        <w:t>。</w:t>
      </w:r>
      <w:r>
        <w:t>政府性基金预算拨款0万元</w:t>
      </w:r>
      <w:r>
        <w:rPr>
          <w:rFonts w:hint="eastAsia"/>
        </w:rPr>
        <w:t>，</w:t>
      </w:r>
      <w:r>
        <w:t>财政专户核拨收入0万元，国有资本经营收入0万元，其他来源收入0万元。</w:t>
      </w:r>
    </w:p>
    <w:p>
      <w:pPr>
        <w:pStyle w:val="20"/>
        <w:ind w:firstLineChars="200"/>
      </w:pPr>
      <w:r>
        <w:rPr>
          <w:rFonts w:hint="eastAsia"/>
        </w:rPr>
        <w:t>2、支出说明</w:t>
      </w:r>
    </w:p>
    <w:p>
      <w:pPr>
        <w:pStyle w:val="20"/>
        <w:ind w:firstLineChars="200"/>
      </w:pPr>
      <w:r>
        <w:t>本年预算支出</w:t>
      </w:r>
      <w:r>
        <w:rPr>
          <w:rFonts w:hint="eastAsia"/>
        </w:rPr>
        <w:t>932.32</w:t>
      </w:r>
      <w:r>
        <w:t>万元，</w:t>
      </w:r>
      <w:r>
        <w:rPr>
          <w:rFonts w:hint="eastAsia"/>
        </w:rPr>
        <w:t>含</w:t>
      </w:r>
      <w:r>
        <w:t>上年结转结余229.22万元</w:t>
      </w:r>
      <w:r>
        <w:rPr>
          <w:rFonts w:hint="eastAsia"/>
        </w:rPr>
        <w:t>。</w:t>
      </w:r>
      <w:r>
        <w:t>其中一般公共服务支出</w:t>
      </w:r>
      <w:r>
        <w:rPr>
          <w:rFonts w:hint="eastAsia"/>
        </w:rPr>
        <w:t>560.98</w:t>
      </w:r>
      <w:r>
        <w:t>万元、社会保障和就业支出75.9万元、卫生健康支出47.87元、节能环保支出44.66万元、农林水支出170.32万元、住房保障支出31.59万元、灾害防治及应急管理支出</w:t>
      </w:r>
      <w:r>
        <w:rPr>
          <w:rFonts w:hint="eastAsia"/>
        </w:rPr>
        <w:t>1</w:t>
      </w:r>
      <w:r>
        <w:t>万元。</w:t>
      </w:r>
    </w:p>
    <w:p>
      <w:pPr>
        <w:pStyle w:val="20"/>
        <w:ind w:firstLineChars="200"/>
      </w:pPr>
      <w:r>
        <w:rPr>
          <w:rFonts w:hint="eastAsia"/>
        </w:rPr>
        <w:t>3、比上年增减情况</w:t>
      </w:r>
    </w:p>
    <w:p>
      <w:pPr>
        <w:pStyle w:val="20"/>
        <w:ind w:firstLineChars="200"/>
      </w:pPr>
      <w:r>
        <w:rPr>
          <w:rFonts w:hint="eastAsia"/>
        </w:rPr>
        <w:t>2022年预算收支安排932.32万元，较2021年预算增加276.65万元。其中：基本支出增加99.57万元，主要是有上年结转结余经费和人员经费增加；项目支出增加177.07万元，主要是有上年结转结余经费和村级经费增加。</w:t>
      </w:r>
    </w:p>
    <w:p>
      <w:p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pStyle w:val="20"/>
        <w:rPr>
          <w:rFonts w:eastAsia="宋体"/>
        </w:rPr>
      </w:pPr>
      <w:r>
        <w:rPr>
          <w:rFonts w:hint="eastAsia"/>
        </w:rPr>
        <w:t>2022年，我单位机关运行经费共计安排</w:t>
      </w:r>
      <w:r>
        <w:rPr>
          <w:rFonts w:hint="eastAsia" w:eastAsia="宋体"/>
        </w:rPr>
        <w:t>134.39</w:t>
      </w:r>
      <w:r>
        <w:rPr>
          <w:rFonts w:hint="eastAsia"/>
        </w:rPr>
        <w:t>万元，主要用于办公费</w:t>
      </w:r>
      <w:r>
        <w:rPr>
          <w:rFonts w:hint="eastAsia" w:ascii="宋体" w:hAnsi="宋体" w:eastAsia="宋体"/>
        </w:rPr>
        <w:t>49.91</w:t>
      </w:r>
      <w:r>
        <w:rPr>
          <w:rFonts w:hint="eastAsia"/>
        </w:rPr>
        <w:t>万元、印刷费1.95万元、电费</w:t>
      </w:r>
      <w:r>
        <w:rPr>
          <w:rFonts w:hint="eastAsia" w:eastAsia="宋体"/>
        </w:rPr>
        <w:t>7</w:t>
      </w:r>
      <w:r>
        <w:rPr>
          <w:rFonts w:hint="eastAsia"/>
        </w:rPr>
        <w:t>万元、邮电费1.82万元、差旅费</w:t>
      </w:r>
      <w:r>
        <w:rPr>
          <w:rFonts w:hint="eastAsia" w:eastAsia="宋体"/>
        </w:rPr>
        <w:t>2.42</w:t>
      </w:r>
      <w:r>
        <w:rPr>
          <w:rFonts w:hint="eastAsia"/>
        </w:rPr>
        <w:t>万元、维修（护）费</w:t>
      </w:r>
      <w:r>
        <w:rPr>
          <w:rFonts w:hint="eastAsia" w:eastAsia="宋体"/>
        </w:rPr>
        <w:t>32.89</w:t>
      </w:r>
      <w:r>
        <w:rPr>
          <w:rFonts w:hint="eastAsia"/>
        </w:rPr>
        <w:t>万元、公务接待费</w:t>
      </w:r>
      <w:r>
        <w:rPr>
          <w:rFonts w:hint="eastAsia" w:eastAsia="宋体"/>
        </w:rPr>
        <w:t>4.3</w:t>
      </w:r>
      <w:r>
        <w:rPr>
          <w:rFonts w:hint="eastAsia"/>
        </w:rPr>
        <w:t>万元、劳务费5万元、公车运行维护费</w:t>
      </w:r>
      <w:r>
        <w:rPr>
          <w:rFonts w:hint="eastAsia" w:ascii="宋体" w:hAnsi="宋体" w:eastAsia="宋体"/>
        </w:rPr>
        <w:t>2.87</w:t>
      </w:r>
      <w:r>
        <w:rPr>
          <w:rFonts w:hint="eastAsia"/>
        </w:rPr>
        <w:t>万元、其他交通费用</w:t>
      </w:r>
      <w:r>
        <w:rPr>
          <w:rFonts w:hint="eastAsia" w:eastAsia="宋体"/>
        </w:rPr>
        <w:t>26.23</w:t>
      </w:r>
      <w:r>
        <w:rPr>
          <w:rFonts w:hint="eastAsia"/>
        </w:rP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rPr>
          <w:rFonts w:hint="eastAsia"/>
        </w:rPr>
        <w:t>2022年，我单位财政拨款“三公”经费预算安排</w:t>
      </w:r>
      <w:r>
        <w:rPr>
          <w:rFonts w:hint="eastAsia" w:ascii="宋体" w:hAnsi="宋体" w:eastAsia="宋体"/>
        </w:rPr>
        <w:t>7.17</w:t>
      </w:r>
      <w:r>
        <w:rPr>
          <w:rFonts w:hint="eastAsia"/>
        </w:rPr>
        <w:t>万元，其中因公出国（境）费0万元，同比无变化，原因是无因公出国（境）安排；公务用车购置及运维费</w:t>
      </w:r>
      <w:r>
        <w:rPr>
          <w:rFonts w:hint="eastAsia" w:eastAsia="宋体"/>
        </w:rPr>
        <w:t>2.87</w:t>
      </w:r>
      <w:r>
        <w:rPr>
          <w:rFonts w:hint="eastAsia"/>
        </w:rPr>
        <w:t>万元（其中：公务用车购置费为0万元，公务用车运维费</w:t>
      </w:r>
      <w:r>
        <w:rPr>
          <w:rFonts w:hint="eastAsia" w:ascii="宋体" w:hAnsi="宋体" w:eastAsia="宋体"/>
        </w:rPr>
        <w:t>2.87</w:t>
      </w:r>
      <w:r>
        <w:rPr>
          <w:rFonts w:hint="eastAsia"/>
        </w:rPr>
        <w:t>万元)同比增加1.27万元，原因是含上年结转金额；公务接待费</w:t>
      </w:r>
      <w:r>
        <w:rPr>
          <w:rFonts w:hint="eastAsia" w:eastAsia="宋体"/>
        </w:rPr>
        <w:t>4.3</w:t>
      </w:r>
      <w:r>
        <w:rPr>
          <w:rFonts w:hint="eastAsia"/>
        </w:rPr>
        <w:t>万元，同比持平，我单位严格落实了《党政机关厉行节约反对浪费条例》，规范公务接待活动，严格审批、严控标准，大力压缩公务接待费支出。</w:t>
      </w: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3"/>
      </w:pPr>
      <w:r>
        <w:t>2022年我乡将坚持以习近平新时代中国特色社会主义思想为指导，突出深化改革工作，提高改革的针对性和实效性，促进全乡各项事业持续健康发展。紧紧围绕我县“生态立县、转型跨越”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优化环境抓项目。不断优化经济发展环境,提高服务水平,营造“亲商、安商、富商”的浓厚氛围。</w:t>
      </w:r>
    </w:p>
    <w:p>
      <w:pPr>
        <w:spacing w:line="500" w:lineRule="exact"/>
        <w:ind w:firstLine="560"/>
      </w:pPr>
      <w:r>
        <w:rPr>
          <w:rFonts w:eastAsia="方正仿宋_GBK"/>
          <w:color w:val="000000"/>
          <w:sz w:val="28"/>
        </w:rPr>
        <w:t>（二）分项绩效目标</w:t>
      </w:r>
    </w:p>
    <w:p>
      <w:pPr>
        <w:pStyle w:val="23"/>
      </w:pPr>
      <w:r>
        <w:rPr>
          <w:rFonts w:hint="eastAsia"/>
        </w:rPr>
        <w:t>一、扶贫产业资金及时足额落实到位，产业项目建设圆满完成，提质增效入户类扶贫资金全额到户。集中力量，整合资源，圆满实现脱贫攻坚阶段性胜利。</w:t>
      </w:r>
    </w:p>
    <w:p>
      <w:pPr>
        <w:pStyle w:val="23"/>
      </w:pPr>
      <w:r>
        <w:rPr>
          <w:rFonts w:hint="eastAsia"/>
        </w:rP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pPr>
        <w:pStyle w:val="23"/>
      </w:pPr>
      <w:r>
        <w:rPr>
          <w:rFonts w:hint="eastAsia"/>
        </w:rP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pPr>
        <w:pStyle w:val="23"/>
      </w:pPr>
      <w:r>
        <w:rPr>
          <w:rFonts w:hint="eastAsia"/>
        </w:rPr>
        <w:t>四、做好青年统战对象的团结教育、引导、服务工作，为全县经济社会发展贡献力量。</w:t>
      </w:r>
    </w:p>
    <w:p>
      <w:pPr>
        <w:pStyle w:val="23"/>
      </w:pPr>
      <w:r>
        <w:rPr>
          <w:rFonts w:hint="eastAsia"/>
        </w:rP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单位做好中、小学学生的教育管理工作。</w:t>
      </w:r>
    </w:p>
    <w:p>
      <w:pPr>
        <w:pStyle w:val="23"/>
      </w:pPr>
      <w:r>
        <w:rPr>
          <w:rFonts w:hint="eastAsia"/>
        </w:rP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pPr>
        <w:pStyle w:val="23"/>
      </w:pPr>
      <w:r>
        <w:rPr>
          <w:rFonts w:hint="eastAsia"/>
        </w:rP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pPr>
        <w:pStyle w:val="23"/>
      </w:pPr>
      <w:r>
        <w:rPr>
          <w:rFonts w:hint="eastAsia"/>
        </w:rP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pPr>
        <w:pStyle w:val="23"/>
      </w:pPr>
      <w:r>
        <w:rPr>
          <w:rFonts w:hint="eastAsia"/>
        </w:rPr>
        <w:t>八、十三五贫困村重点项目得到倾斜或优先安排，项目建设规划科学、操作性强、效益较好。维护土地利用和城镇规划建设管理秩序，发挥用地审批、建设监管作用。巡查、纠正、上报</w:t>
      </w:r>
      <w:r>
        <w:t>“</w:t>
      </w:r>
      <w:r>
        <w:rPr>
          <w:rFonts w:hint="eastAsia"/>
        </w:rPr>
        <w:t>双违</w:t>
      </w:r>
      <w:r>
        <w:t>”</w:t>
      </w:r>
      <w:r>
        <w:rPr>
          <w:rFonts w:hint="eastAsia"/>
        </w:rPr>
        <w:t xml:space="preserve">建筑，完成清零工作。 </w:t>
      </w:r>
    </w:p>
    <w:p>
      <w:pPr>
        <w:pStyle w:val="23"/>
      </w:pPr>
      <w:r>
        <w:rPr>
          <w:rFonts w:hint="eastAsia"/>
        </w:rPr>
        <w:t xml:space="preserve">九、严格按照法律法规规定开展村财管工作，确保实现农村基层财务管理规范化、公开化。完善农村综合改革，保 障村级行政运行经费、村干部工资及时足额到位。 </w:t>
      </w:r>
    </w:p>
    <w:p>
      <w:pPr>
        <w:pStyle w:val="23"/>
      </w:pPr>
      <w:r>
        <w:rPr>
          <w:rFonts w:hint="eastAsia"/>
        </w:rP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pPr>
        <w:pStyle w:val="23"/>
      </w:pPr>
      <w:r>
        <w:rPr>
          <w:rFonts w:hint="eastAsia"/>
        </w:rP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 供坚实保障</w:t>
      </w:r>
    </w:p>
    <w:p>
      <w:pPr>
        <w:pStyle w:val="24"/>
        <w:rPr>
          <w:highlight w:val="yellow"/>
        </w:rPr>
      </w:pPr>
    </w:p>
    <w:p>
      <w:pPr>
        <w:spacing w:line="500" w:lineRule="exact"/>
        <w:ind w:firstLine="560"/>
      </w:pPr>
      <w:r>
        <w:rPr>
          <w:rFonts w:eastAsia="方正仿宋_GBK"/>
          <w:color w:val="000000"/>
          <w:sz w:val="28"/>
        </w:rPr>
        <w:t>（三）工作保障措施</w:t>
      </w:r>
    </w:p>
    <w:p>
      <w:pPr>
        <w:spacing w:line="500" w:lineRule="exact"/>
        <w:ind w:firstLine="560" w:firstLineChars="200"/>
        <w:rPr>
          <w:rFonts w:eastAsia="方正仿宋_GBK"/>
          <w:sz w:val="28"/>
        </w:rPr>
      </w:pPr>
      <w:r>
        <w:rPr>
          <w:rFonts w:eastAsia="方正仿宋_GBK"/>
          <w:sz w:val="28"/>
        </w:rPr>
        <w:t>1、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pPr>
        <w:spacing w:line="500" w:lineRule="exact"/>
        <w:ind w:firstLine="560" w:firstLineChars="200"/>
        <w:rPr>
          <w:rFonts w:eastAsia="方正仿宋_GBK"/>
          <w:sz w:val="28"/>
        </w:rPr>
      </w:pPr>
      <w:r>
        <w:rPr>
          <w:rFonts w:eastAsia="方正仿宋_GBK"/>
          <w:sz w:val="28"/>
        </w:rPr>
        <w:t>2、加强生态建设。深入实施大气污染防治行动，狠抓秸秆禁烧和综合利用，积极推广清洁燃烧炉具。深入实施水环境治理行动，全力抓好河道垃圾清理。</w:t>
      </w:r>
    </w:p>
    <w:p>
      <w:pPr>
        <w:spacing w:line="500" w:lineRule="exact"/>
        <w:ind w:firstLine="560" w:firstLineChars="200"/>
        <w:rPr>
          <w:rFonts w:eastAsia="方正仿宋_GBK"/>
          <w:sz w:val="28"/>
        </w:rPr>
      </w:pPr>
      <w:r>
        <w:rPr>
          <w:rFonts w:eastAsia="方正仿宋_GBK"/>
          <w:sz w:val="28"/>
        </w:rPr>
        <w:t>3、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pPr>
        <w:spacing w:line="500" w:lineRule="exact"/>
        <w:ind w:firstLine="560" w:firstLineChars="200"/>
        <w:rPr>
          <w:rFonts w:eastAsia="方正仿宋_GBK"/>
          <w:sz w:val="28"/>
        </w:rPr>
      </w:pPr>
      <w:r>
        <w:rPr>
          <w:rFonts w:eastAsia="方正仿宋_GBK"/>
          <w:sz w:val="28"/>
        </w:rPr>
        <w:t>4、完善社会保障体系，新农合、新农保做到应保尽保；建立健全促进就业长效机制，继续抓好低保、五保等工作，认真落实农村大病救助、困难救助救济等政策。</w:t>
      </w:r>
    </w:p>
    <w:p>
      <w:pPr>
        <w:spacing w:line="500" w:lineRule="exact"/>
        <w:ind w:firstLine="560" w:firstLineChars="200"/>
        <w:rPr>
          <w:rFonts w:eastAsia="方正仿宋_GBK"/>
          <w:sz w:val="28"/>
        </w:rPr>
      </w:pPr>
      <w:r>
        <w:rPr>
          <w:rFonts w:eastAsia="方正仿宋_GBK"/>
          <w:sz w:val="28"/>
        </w:rPr>
        <w:t>5、加强党政班子建设。坚持全面从严治党、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pPr>
        <w:spacing w:line="500" w:lineRule="exact"/>
        <w:ind w:firstLine="560" w:firstLineChars="200"/>
        <w:rPr>
          <w:rFonts w:eastAsia="方正仿宋_GBK"/>
          <w:sz w:val="28"/>
        </w:rPr>
      </w:pPr>
      <w:r>
        <w:rPr>
          <w:rFonts w:eastAsia="方正仿宋_GBK"/>
          <w:sz w:val="28"/>
        </w:rPr>
        <w:t>6、加强基层组织建设。深化“四强四有”基层组织创建活动，落实农村党建“十规范”要求，持续推进农村党建规范化建设。夯实基层基础，健全村干部教育管理机制，进一步发挥其在脱贫攻坚、美丽乡村、项目建设、维护稳定方面的战斗堡垒作用和先锋模范作用。从严从实管理党员干部队伍，深入实施党员“双育”工程。</w:t>
      </w:r>
    </w:p>
    <w:p>
      <w:pPr>
        <w:spacing w:line="500" w:lineRule="exact"/>
        <w:ind w:firstLine="560" w:firstLineChars="200"/>
        <w:rPr>
          <w:rFonts w:eastAsia="方正仿宋_GBK"/>
          <w:sz w:val="28"/>
        </w:rPr>
      </w:pPr>
      <w:r>
        <w:rPr>
          <w:rFonts w:eastAsia="方正仿宋_GBK"/>
          <w:sz w:val="28"/>
        </w:rPr>
        <w:t xml:space="preserve">7、加强党风廉政建设。严格落实中央八项规定，不断提高服务群众水平。完善工作机制，建立健全绩效考核、出勤管理、带薪年休假和村级考核、财务监督等制度。牢固树立过紧日子思想，严格控制 “三公”经费和行政成本，提高资金使用效率。严格落实 “两个责任”，大力推行“机制+科技+文化”惩治和预防腐败模式，坚决守好政治纪律和政治规矩。 </w:t>
      </w:r>
    </w:p>
    <w:p>
      <w:pPr>
        <w:spacing w:line="500" w:lineRule="exact"/>
        <w:ind w:firstLine="560" w:firstLineChars="200"/>
        <w:rPr>
          <w:rFonts w:eastAsia="方正仿宋_GBK"/>
          <w:sz w:val="28"/>
        </w:rPr>
      </w:pPr>
      <w:r>
        <w:rPr>
          <w:rFonts w:eastAsia="方正仿宋_GBK"/>
          <w:sz w:val="28"/>
        </w:rPr>
        <w:t>8、完善制度建设。包括制定完善预算绩效管理制度、资金管理办法、工作保障制度等，为全年预算绩效目标的实现奠定制度基础。</w:t>
      </w:r>
    </w:p>
    <w:p>
      <w:pPr>
        <w:spacing w:line="500" w:lineRule="exact"/>
        <w:ind w:firstLine="560" w:firstLineChars="200"/>
        <w:rPr>
          <w:rFonts w:eastAsia="方正仿宋_GBK"/>
          <w:sz w:val="28"/>
        </w:rPr>
      </w:pPr>
      <w:r>
        <w:rPr>
          <w:rFonts w:eastAsia="方正仿宋_GBK"/>
          <w:sz w:val="28"/>
        </w:rPr>
        <w:t>9、加强支出管理。通过优化支出结构、编细编实预算、加快履行政府采购手续、尽快启动项目、及时支付资金、按规定及时下达资金等多种措施，确保支出进度达标。</w:t>
      </w:r>
    </w:p>
    <w:p>
      <w:pPr>
        <w:spacing w:line="500" w:lineRule="exact"/>
        <w:ind w:firstLine="560" w:firstLineChars="200"/>
        <w:rPr>
          <w:rFonts w:eastAsia="方正仿宋_GBK"/>
          <w:sz w:val="28"/>
        </w:rPr>
      </w:pPr>
      <w:r>
        <w:rPr>
          <w:rFonts w:eastAsia="方正仿宋_GBK"/>
          <w:sz w:val="28"/>
        </w:rPr>
        <w:t>10、加强绩效运行监控。按要求开展绩效运行监控，发现问题及时采取措施，确保绩效目标如期保质实现。</w:t>
      </w:r>
    </w:p>
    <w:p>
      <w:pPr>
        <w:spacing w:line="500" w:lineRule="exact"/>
        <w:ind w:firstLine="560" w:firstLineChars="200"/>
        <w:rPr>
          <w:rFonts w:eastAsia="方正仿宋_GBK"/>
          <w:sz w:val="28"/>
        </w:rPr>
      </w:pPr>
      <w:r>
        <w:rPr>
          <w:rFonts w:eastAsia="方正仿宋_GBK"/>
          <w:sz w:val="28"/>
        </w:rPr>
        <w:t>11、做好绩效自评。按要求开展上年度单位预算绩效自评和重点评价工作，对评价中发现的问题及时整改，调整优化支出结构，提高财政资金使用效益。</w:t>
      </w:r>
    </w:p>
    <w:p>
      <w:pPr>
        <w:spacing w:line="500" w:lineRule="exact"/>
        <w:ind w:firstLine="560" w:firstLineChars="200"/>
        <w:rPr>
          <w:rFonts w:eastAsia="方正仿宋_GBK"/>
          <w:sz w:val="28"/>
        </w:rPr>
      </w:pPr>
      <w:r>
        <w:rPr>
          <w:rFonts w:eastAsia="方正仿宋_GBK"/>
          <w:sz w:val="28"/>
        </w:rPr>
        <w:t>12、规范财务资产管理。完善财务管理制度，严格审批程序，加强固定资产登记、使用和报废处置管理，做到支出合理，物尽其用。</w:t>
      </w:r>
    </w:p>
    <w:p>
      <w:pPr>
        <w:spacing w:line="500" w:lineRule="exact"/>
        <w:ind w:firstLine="560" w:firstLineChars="200"/>
        <w:rPr>
          <w:rFonts w:eastAsia="方正仿宋_GBK"/>
          <w:sz w:val="28"/>
        </w:rPr>
      </w:pPr>
      <w:r>
        <w:rPr>
          <w:rFonts w:eastAsia="方正仿宋_GBK"/>
          <w:sz w:val="28"/>
        </w:rPr>
        <w:t>13、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560" w:firstLineChars="200"/>
        <w:rPr>
          <w:rFonts w:eastAsia="方正仿宋_GBK"/>
          <w:sz w:val="28"/>
        </w:rPr>
      </w:pPr>
      <w:r>
        <w:rPr>
          <w:rFonts w:eastAsia="方正仿宋_GBK"/>
          <w:sz w:val="28"/>
        </w:rPr>
        <w:t>14、加强宣传培训调研等。加强人员培训，提高本单位职工业务素质；加强调研，提出优化财政资金配置、提高资金使用效益的</w:t>
      </w:r>
      <w:bookmarkStart w:id="18" w:name="_GoBack"/>
      <w:bookmarkEnd w:id="18"/>
      <w:r>
        <w:rPr>
          <w:rFonts w:eastAsia="方正仿宋_GBK"/>
          <w:sz w:val="28"/>
        </w:rPr>
        <w:t>意见；加大宣传力度，强化预算绩效管理意识，促进预算绩效管理水平进一步提升。</w:t>
      </w:r>
    </w:p>
    <w:p>
      <w:pPr>
        <w:pStyle w:val="25"/>
      </w:pPr>
    </w:p>
    <w:p>
      <w:pPr>
        <w:ind w:firstLine="640"/>
      </w:pPr>
      <w:r>
        <w:rPr>
          <w:rFonts w:ascii="方正楷体_GBK" w:hAnsi="方正楷体_GBK" w:eastAsia="方正楷体_GBK" w:cs="方正楷体_GBK"/>
          <w:b/>
          <w:color w:val="000000"/>
          <w:sz w:val="32"/>
        </w:rPr>
        <w:t>第二部分  专项资金绩效目标</w:t>
      </w:r>
    </w:p>
    <w:p>
      <w:pPr>
        <w:pStyle w:val="26"/>
        <w:ind w:firstLine="640"/>
      </w:pPr>
      <w:r>
        <w:rPr>
          <w:rFonts w:ascii="方正楷体_GBK" w:hAnsi="方正楷体_GBK" w:eastAsia="方正楷体_GBK" w:cs="方正楷体_GBK"/>
          <w:b/>
          <w:color w:val="000000"/>
          <w:sz w:val="32"/>
        </w:rPr>
        <w:t>第三部分  预算项目绩效目标</w:t>
      </w:r>
    </w:p>
    <w:p>
      <w:pPr>
        <w:pStyle w:val="26"/>
        <w:ind w:firstLine="560"/>
      </w:pPr>
      <w:r>
        <w:rPr>
          <w:rFonts w:ascii="方正仿宋_GBK" w:hAnsi="方正仿宋_GBK" w:eastAsia="方正仿宋_GBK" w:cs="方正仿宋_GBK"/>
          <w:b/>
          <w:color w:val="000000"/>
          <w:sz w:val="28"/>
        </w:rPr>
        <w:t>1、村两委换届经费绩效目标表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1.通过开展村两委换届工作，顺利完成换届任务，确保新老领导班子平稳交接。</w:t>
            </w:r>
          </w:p>
          <w:p>
            <w:pPr>
              <w:pStyle w:val="28"/>
            </w:pPr>
          </w:p>
          <w:p>
            <w:pPr>
              <w:pStyle w:val="28"/>
            </w:pPr>
            <w:r>
              <w:t>2.通过选优配强领导班子，优化结构，提升领导班子凝聚力战斗力。</w:t>
            </w:r>
          </w:p>
          <w:p>
            <w:pPr>
              <w:pStyle w:val="28"/>
            </w:pP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村级换届班子数量</w:t>
            </w:r>
          </w:p>
        </w:tc>
        <w:tc>
          <w:tcPr>
            <w:tcW w:w="2835" w:type="dxa"/>
            <w:vAlign w:val="center"/>
          </w:tcPr>
          <w:p>
            <w:pPr>
              <w:pStyle w:val="28"/>
            </w:pPr>
            <w:r>
              <w:t>反映全乡各村级领导班子换届数量</w:t>
            </w:r>
          </w:p>
        </w:tc>
        <w:tc>
          <w:tcPr>
            <w:tcW w:w="2551" w:type="dxa"/>
            <w:vAlign w:val="center"/>
          </w:tcPr>
          <w:p>
            <w:pPr>
              <w:pStyle w:val="28"/>
            </w:pPr>
            <w:r>
              <w:t>22个</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村两委换届人数</w:t>
            </w:r>
          </w:p>
        </w:tc>
        <w:tc>
          <w:tcPr>
            <w:tcW w:w="2835" w:type="dxa"/>
            <w:vAlign w:val="center"/>
          </w:tcPr>
          <w:p>
            <w:pPr>
              <w:pStyle w:val="28"/>
            </w:pPr>
            <w:r>
              <w:t>反映村两委班子换届成员数量</w:t>
            </w:r>
          </w:p>
        </w:tc>
        <w:tc>
          <w:tcPr>
            <w:tcW w:w="2551" w:type="dxa"/>
            <w:vAlign w:val="center"/>
          </w:tcPr>
          <w:p>
            <w:pPr>
              <w:pStyle w:val="28"/>
            </w:pPr>
            <w:r>
              <w:t>≥110人</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下乡组织换届租车数</w:t>
            </w:r>
          </w:p>
        </w:tc>
        <w:tc>
          <w:tcPr>
            <w:tcW w:w="2835" w:type="dxa"/>
            <w:vAlign w:val="center"/>
          </w:tcPr>
          <w:p>
            <w:pPr>
              <w:pStyle w:val="28"/>
            </w:pPr>
            <w:r>
              <w:t>反映下组织换届租车数量</w:t>
            </w:r>
          </w:p>
        </w:tc>
        <w:tc>
          <w:tcPr>
            <w:tcW w:w="2551" w:type="dxa"/>
            <w:vAlign w:val="center"/>
          </w:tcPr>
          <w:p>
            <w:pPr>
              <w:pStyle w:val="28"/>
            </w:pPr>
            <w:r>
              <w:t>≥45次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村级班子队伍结构优化</w:t>
            </w:r>
          </w:p>
        </w:tc>
        <w:tc>
          <w:tcPr>
            <w:tcW w:w="2835" w:type="dxa"/>
            <w:vAlign w:val="center"/>
          </w:tcPr>
          <w:p>
            <w:pPr>
              <w:pStyle w:val="28"/>
            </w:pPr>
            <w:r>
              <w:t>反映村两委班子中大专学历占比情况</w:t>
            </w:r>
          </w:p>
        </w:tc>
        <w:tc>
          <w:tcPr>
            <w:tcW w:w="2551" w:type="dxa"/>
            <w:vAlign w:val="center"/>
          </w:tcPr>
          <w:p>
            <w:pPr>
              <w:pStyle w:val="28"/>
            </w:pPr>
            <w:r>
              <w:t>≥45%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各村换届完成时间</w:t>
            </w:r>
          </w:p>
        </w:tc>
        <w:tc>
          <w:tcPr>
            <w:tcW w:w="2835" w:type="dxa"/>
            <w:vAlign w:val="center"/>
          </w:tcPr>
          <w:p>
            <w:pPr>
              <w:pStyle w:val="28"/>
            </w:pPr>
            <w:r>
              <w:t>严格按上级文件要求完成各村班子换届工作</w:t>
            </w:r>
          </w:p>
        </w:tc>
        <w:tc>
          <w:tcPr>
            <w:tcW w:w="2551" w:type="dxa"/>
            <w:vAlign w:val="center"/>
          </w:tcPr>
          <w:p>
            <w:pPr>
              <w:pStyle w:val="28"/>
            </w:pPr>
            <w:r>
              <w:t>2021年5月底前完成</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交通费</w:t>
            </w:r>
          </w:p>
        </w:tc>
        <w:tc>
          <w:tcPr>
            <w:tcW w:w="2835" w:type="dxa"/>
            <w:vAlign w:val="center"/>
          </w:tcPr>
          <w:p>
            <w:pPr>
              <w:pStyle w:val="28"/>
            </w:pPr>
            <w:r>
              <w:t>用于下乡换届的交通费用支出</w:t>
            </w:r>
          </w:p>
        </w:tc>
        <w:tc>
          <w:tcPr>
            <w:tcW w:w="2551" w:type="dxa"/>
            <w:vAlign w:val="center"/>
          </w:tcPr>
          <w:p>
            <w:pPr>
              <w:pStyle w:val="28"/>
            </w:pPr>
            <w:r>
              <w:t>≤2万元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办公费</w:t>
            </w:r>
          </w:p>
        </w:tc>
        <w:tc>
          <w:tcPr>
            <w:tcW w:w="2835" w:type="dxa"/>
            <w:vAlign w:val="center"/>
          </w:tcPr>
          <w:p>
            <w:pPr>
              <w:pStyle w:val="28"/>
            </w:pPr>
            <w:r>
              <w:t>用于下乡换届的办公费用支出</w:t>
            </w:r>
          </w:p>
        </w:tc>
        <w:tc>
          <w:tcPr>
            <w:tcW w:w="2551" w:type="dxa"/>
            <w:vAlign w:val="center"/>
          </w:tcPr>
          <w:p>
            <w:pPr>
              <w:pStyle w:val="28"/>
            </w:pPr>
            <w:r>
              <w:t>≤3万元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村干部队伍选优配强</w:t>
            </w:r>
          </w:p>
        </w:tc>
        <w:tc>
          <w:tcPr>
            <w:tcW w:w="2835" w:type="dxa"/>
            <w:vAlign w:val="center"/>
          </w:tcPr>
          <w:p>
            <w:pPr>
              <w:pStyle w:val="28"/>
            </w:pPr>
            <w:r>
              <w:t>通过换届筑牢基层基础，打造引领乡村振兴的高素质村干部队伍</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新老领导班子平稳交接率</w:t>
            </w:r>
          </w:p>
        </w:tc>
        <w:tc>
          <w:tcPr>
            <w:tcW w:w="2835" w:type="dxa"/>
            <w:vAlign w:val="center"/>
          </w:tcPr>
          <w:p>
            <w:pPr>
              <w:pStyle w:val="28"/>
            </w:pPr>
            <w:r>
              <w:t>顺利完成换届任务，确保新老领导班子平稳交接</w:t>
            </w:r>
          </w:p>
        </w:tc>
        <w:tc>
          <w:tcPr>
            <w:tcW w:w="2551" w:type="dxa"/>
            <w:vAlign w:val="center"/>
          </w:tcPr>
          <w:p>
            <w:pPr>
              <w:pStyle w:val="28"/>
            </w:pPr>
            <w:r>
              <w:t>≥95%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优化结构提升班子凝聚力</w:t>
            </w:r>
          </w:p>
        </w:tc>
        <w:tc>
          <w:tcPr>
            <w:tcW w:w="2835" w:type="dxa"/>
            <w:vAlign w:val="center"/>
          </w:tcPr>
          <w:p>
            <w:pPr>
              <w:pStyle w:val="28"/>
            </w:pPr>
            <w:r>
              <w:t>优化班子年龄结构，提升领导班子凝聚力战斗力</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干部群众满意度</w:t>
            </w:r>
          </w:p>
        </w:tc>
        <w:tc>
          <w:tcPr>
            <w:tcW w:w="2835" w:type="dxa"/>
            <w:vAlign w:val="center"/>
          </w:tcPr>
          <w:p>
            <w:pPr>
              <w:pStyle w:val="28"/>
            </w:pPr>
            <w:r>
              <w:t>全乡干部群众对换届工作的满意程度</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pStyle w:val="26"/>
        <w:ind w:firstLine="560"/>
      </w:pPr>
      <w:r>
        <w:rPr>
          <w:rFonts w:ascii="方正仿宋_GBK" w:hAnsi="方正仿宋_GBK" w:eastAsia="方正仿宋_GBK" w:cs="方正仿宋_GBK"/>
          <w:b/>
          <w:color w:val="000000"/>
          <w:sz w:val="28"/>
        </w:rPr>
        <w:t>2、党建工作经费绩效目标表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1.通过开展组织、宣传等党建工作，加强干部队伍建设，发挥基层党组织的作用。</w:t>
            </w:r>
          </w:p>
          <w:p>
            <w:pPr>
              <w:pStyle w:val="28"/>
            </w:pPr>
            <w:r>
              <w:t>2.践行“不忘初心、牢记使命”宗旨，充分发挥党的思想政治优势、组织优势和密切联系群众的优势。</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组织宣传活动次数（次）</w:t>
            </w:r>
          </w:p>
        </w:tc>
        <w:tc>
          <w:tcPr>
            <w:tcW w:w="2835" w:type="dxa"/>
            <w:vAlign w:val="center"/>
          </w:tcPr>
          <w:p>
            <w:pPr>
              <w:pStyle w:val="28"/>
            </w:pPr>
            <w:r>
              <w:t>组织宣传活动次数</w:t>
            </w:r>
          </w:p>
        </w:tc>
        <w:tc>
          <w:tcPr>
            <w:tcW w:w="2551" w:type="dxa"/>
            <w:vAlign w:val="center"/>
          </w:tcPr>
          <w:p>
            <w:pPr>
              <w:pStyle w:val="28"/>
            </w:pPr>
            <w:r>
              <w:t>≥10次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舆情信息数量（条）</w:t>
            </w:r>
          </w:p>
        </w:tc>
        <w:tc>
          <w:tcPr>
            <w:tcW w:w="2835" w:type="dxa"/>
            <w:vAlign w:val="center"/>
          </w:tcPr>
          <w:p>
            <w:pPr>
              <w:pStyle w:val="28"/>
            </w:pPr>
            <w:r>
              <w:t>收集、分析、上报舆情信息的数量</w:t>
            </w:r>
          </w:p>
        </w:tc>
        <w:tc>
          <w:tcPr>
            <w:tcW w:w="2551" w:type="dxa"/>
            <w:vAlign w:val="center"/>
          </w:tcPr>
          <w:p>
            <w:pPr>
              <w:pStyle w:val="28"/>
            </w:pPr>
            <w:r>
              <w:t>≥100条</w:t>
            </w:r>
          </w:p>
        </w:tc>
        <w:tc>
          <w:tcPr>
            <w:tcW w:w="2268" w:type="dxa"/>
            <w:vAlign w:val="center"/>
          </w:tcPr>
          <w:p>
            <w:pPr>
              <w:pStyle w:val="2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党员培训覆盖率（%）</w:t>
            </w:r>
          </w:p>
        </w:tc>
        <w:tc>
          <w:tcPr>
            <w:tcW w:w="2835" w:type="dxa"/>
            <w:vAlign w:val="center"/>
          </w:tcPr>
          <w:p>
            <w:pPr>
              <w:pStyle w:val="28"/>
            </w:pPr>
            <w:r>
              <w:t>培训对象数量占应覆盖对象数量的比率</w:t>
            </w:r>
          </w:p>
        </w:tc>
        <w:tc>
          <w:tcPr>
            <w:tcW w:w="2551" w:type="dxa"/>
            <w:vAlign w:val="center"/>
          </w:tcPr>
          <w:p>
            <w:pPr>
              <w:pStyle w:val="28"/>
            </w:pPr>
            <w:r>
              <w:t>≥80%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党建工作达标率</w:t>
            </w:r>
          </w:p>
        </w:tc>
        <w:tc>
          <w:tcPr>
            <w:tcW w:w="2835" w:type="dxa"/>
            <w:vAlign w:val="center"/>
          </w:tcPr>
          <w:p>
            <w:pPr>
              <w:pStyle w:val="28"/>
            </w:pPr>
            <w:r>
              <w:t>党建工作达到上级相关规范及要求</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党建工作完成时效性</w:t>
            </w:r>
          </w:p>
        </w:tc>
        <w:tc>
          <w:tcPr>
            <w:tcW w:w="2835" w:type="dxa"/>
            <w:vAlign w:val="center"/>
          </w:tcPr>
          <w:p>
            <w:pPr>
              <w:pStyle w:val="28"/>
            </w:pPr>
            <w:r>
              <w:t>全年按计划完成各项工作</w:t>
            </w:r>
          </w:p>
        </w:tc>
        <w:tc>
          <w:tcPr>
            <w:tcW w:w="2551" w:type="dxa"/>
            <w:vAlign w:val="center"/>
          </w:tcPr>
          <w:p>
            <w:pPr>
              <w:pStyle w:val="28"/>
            </w:pPr>
            <w:r>
              <w:t>12月31日前</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党建费用支出控制情况</w:t>
            </w:r>
          </w:p>
        </w:tc>
        <w:tc>
          <w:tcPr>
            <w:tcW w:w="2835" w:type="dxa"/>
            <w:vAlign w:val="center"/>
          </w:tcPr>
          <w:p>
            <w:pPr>
              <w:pStyle w:val="28"/>
            </w:pPr>
            <w:r>
              <w:t>党建费用支出情况控制在年度预算额度内</w:t>
            </w:r>
          </w:p>
        </w:tc>
        <w:tc>
          <w:tcPr>
            <w:tcW w:w="2551" w:type="dxa"/>
            <w:vAlign w:val="center"/>
          </w:tcPr>
          <w:p>
            <w:pPr>
              <w:pStyle w:val="28"/>
            </w:pPr>
            <w:r>
              <w:t>≤6万元</w:t>
            </w:r>
          </w:p>
        </w:tc>
        <w:tc>
          <w:tcPr>
            <w:tcW w:w="2268" w:type="dxa"/>
            <w:vAlign w:val="center"/>
          </w:tcPr>
          <w:p>
            <w:pPr>
              <w:pStyle w:val="28"/>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基层党组织带动示范作用</w:t>
            </w:r>
          </w:p>
        </w:tc>
        <w:tc>
          <w:tcPr>
            <w:tcW w:w="2835" w:type="dxa"/>
            <w:vAlign w:val="center"/>
          </w:tcPr>
          <w:p>
            <w:pPr>
              <w:pStyle w:val="28"/>
            </w:pPr>
            <w:r>
              <w:t>通过党建工作促进党员队伍能力提升，在经济建设中发挥带动示范作用</w:t>
            </w:r>
          </w:p>
        </w:tc>
        <w:tc>
          <w:tcPr>
            <w:tcW w:w="2551" w:type="dxa"/>
            <w:vAlign w:val="center"/>
          </w:tcPr>
          <w:p>
            <w:pPr>
              <w:pStyle w:val="28"/>
            </w:pPr>
            <w:r>
              <w:t>≥80%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党员带头发展经济</w:t>
            </w:r>
          </w:p>
        </w:tc>
        <w:tc>
          <w:tcPr>
            <w:tcW w:w="2835" w:type="dxa"/>
            <w:vAlign w:val="center"/>
          </w:tcPr>
          <w:p>
            <w:pPr>
              <w:pStyle w:val="28"/>
            </w:pPr>
            <w:r>
              <w:t>通过党员带动发展经济，增加村民收入</w:t>
            </w:r>
          </w:p>
        </w:tc>
        <w:tc>
          <w:tcPr>
            <w:tcW w:w="2551" w:type="dxa"/>
            <w:vAlign w:val="center"/>
          </w:tcPr>
          <w:p>
            <w:pPr>
              <w:pStyle w:val="28"/>
            </w:pPr>
            <w:r>
              <w:t>≥2000元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群众对全乡党建满意度</w:t>
            </w:r>
          </w:p>
        </w:tc>
        <w:tc>
          <w:tcPr>
            <w:tcW w:w="2835" w:type="dxa"/>
            <w:vAlign w:val="center"/>
          </w:tcPr>
          <w:p>
            <w:pPr>
              <w:pStyle w:val="28"/>
            </w:pPr>
            <w:r>
              <w:t>全乡群众对党建工作的满意度</w:t>
            </w:r>
          </w:p>
        </w:tc>
        <w:tc>
          <w:tcPr>
            <w:tcW w:w="2551" w:type="dxa"/>
            <w:vAlign w:val="center"/>
          </w:tcPr>
          <w:p>
            <w:pPr>
              <w:pStyle w:val="28"/>
            </w:pPr>
            <w:r>
              <w:t>≥95%</w:t>
            </w:r>
          </w:p>
        </w:tc>
        <w:tc>
          <w:tcPr>
            <w:tcW w:w="2268" w:type="dxa"/>
            <w:vAlign w:val="center"/>
          </w:tcPr>
          <w:p>
            <w:pPr>
              <w:pStyle w:val="28"/>
            </w:pPr>
            <w:r>
              <w:t>问卷调查</w:t>
            </w:r>
          </w:p>
        </w:tc>
      </w:tr>
    </w:tbl>
    <w:p>
      <w:pPr>
        <w:pStyle w:val="26"/>
      </w:pPr>
    </w:p>
    <w:p>
      <w:pPr>
        <w:pStyle w:val="26"/>
        <w:ind w:firstLine="560"/>
      </w:pPr>
      <w:r>
        <w:rPr>
          <w:rFonts w:ascii="方正仿宋_GBK" w:hAnsi="方正仿宋_GBK" w:eastAsia="方正仿宋_GBK" w:cs="方正仿宋_GBK"/>
          <w:b/>
          <w:color w:val="000000"/>
          <w:sz w:val="28"/>
        </w:rPr>
        <w:t>3、防火防汛工作经费绩效目标表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1.通过扎实开展日常防火工作，广泛宣传，全天候巡查，加强防火扑救物资的储备，有效防范和遏制森林火灾的发生。</w:t>
            </w:r>
          </w:p>
          <w:p>
            <w:pPr>
              <w:pStyle w:val="28"/>
            </w:pPr>
            <w:r>
              <w:t>2.通过开展巡视巡查整治工作，及时消除防汛安全隐患，确保辖区内河道行洪通畅。</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日常巡查次数(次)</w:t>
            </w:r>
          </w:p>
        </w:tc>
        <w:tc>
          <w:tcPr>
            <w:tcW w:w="2835" w:type="dxa"/>
            <w:vAlign w:val="center"/>
          </w:tcPr>
          <w:p>
            <w:pPr>
              <w:pStyle w:val="28"/>
            </w:pPr>
            <w:r>
              <w:t>当年实际日常巡查次数</w:t>
            </w:r>
          </w:p>
        </w:tc>
        <w:tc>
          <w:tcPr>
            <w:tcW w:w="2551" w:type="dxa"/>
            <w:vAlign w:val="center"/>
          </w:tcPr>
          <w:p>
            <w:pPr>
              <w:pStyle w:val="28"/>
            </w:pPr>
            <w:r>
              <w:t>≥200次</w:t>
            </w:r>
          </w:p>
        </w:tc>
        <w:tc>
          <w:tcPr>
            <w:tcW w:w="2268" w:type="dxa"/>
            <w:vAlign w:val="center"/>
          </w:tcPr>
          <w:p>
            <w:pPr>
              <w:pStyle w:val="28"/>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日常巡查覆盖率</w:t>
            </w:r>
          </w:p>
        </w:tc>
        <w:tc>
          <w:tcPr>
            <w:tcW w:w="2835" w:type="dxa"/>
            <w:vAlign w:val="center"/>
          </w:tcPr>
          <w:p>
            <w:pPr>
              <w:pStyle w:val="28"/>
            </w:pPr>
            <w:r>
              <w:t>反应巡查范围为整个镇区。</w:t>
            </w:r>
          </w:p>
        </w:tc>
        <w:tc>
          <w:tcPr>
            <w:tcW w:w="2551" w:type="dxa"/>
            <w:vAlign w:val="center"/>
          </w:tcPr>
          <w:p>
            <w:pPr>
              <w:pStyle w:val="28"/>
            </w:pPr>
            <w:r>
              <w:t>≥95%</w:t>
            </w:r>
          </w:p>
        </w:tc>
        <w:tc>
          <w:tcPr>
            <w:tcW w:w="2268" w:type="dxa"/>
            <w:vAlign w:val="center"/>
          </w:tcPr>
          <w:p>
            <w:pPr>
              <w:pStyle w:val="28"/>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确保河道畅通</w:t>
            </w:r>
          </w:p>
        </w:tc>
        <w:tc>
          <w:tcPr>
            <w:tcW w:w="2835" w:type="dxa"/>
            <w:vAlign w:val="center"/>
          </w:tcPr>
          <w:p>
            <w:pPr>
              <w:pStyle w:val="28"/>
            </w:pPr>
            <w:r>
              <w:t>反映汛期河道通畅率</w:t>
            </w:r>
          </w:p>
        </w:tc>
        <w:tc>
          <w:tcPr>
            <w:tcW w:w="2551" w:type="dxa"/>
            <w:vAlign w:val="center"/>
          </w:tcPr>
          <w:p>
            <w:pPr>
              <w:pStyle w:val="28"/>
            </w:pPr>
            <w:r>
              <w:t>100%</w:t>
            </w:r>
          </w:p>
        </w:tc>
        <w:tc>
          <w:tcPr>
            <w:tcW w:w="2268" w:type="dxa"/>
            <w:vAlign w:val="center"/>
          </w:tcPr>
          <w:p>
            <w:pPr>
              <w:pStyle w:val="28"/>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巡查完成时间</w:t>
            </w:r>
          </w:p>
        </w:tc>
        <w:tc>
          <w:tcPr>
            <w:tcW w:w="2835" w:type="dxa"/>
            <w:vAlign w:val="center"/>
          </w:tcPr>
          <w:p>
            <w:pPr>
              <w:pStyle w:val="28"/>
            </w:pPr>
            <w:r>
              <w:t>反应防火防汛完成时间</w:t>
            </w:r>
          </w:p>
        </w:tc>
        <w:tc>
          <w:tcPr>
            <w:tcW w:w="2551" w:type="dxa"/>
            <w:vAlign w:val="center"/>
          </w:tcPr>
          <w:p>
            <w:pPr>
              <w:pStyle w:val="28"/>
            </w:pPr>
            <w:r>
              <w:t>2022年全年持续</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交通费支出</w:t>
            </w:r>
          </w:p>
        </w:tc>
        <w:tc>
          <w:tcPr>
            <w:tcW w:w="2835" w:type="dxa"/>
            <w:vAlign w:val="center"/>
          </w:tcPr>
          <w:p>
            <w:pPr>
              <w:pStyle w:val="28"/>
            </w:pPr>
            <w:r>
              <w:t>反应用于防火防汛的交通费</w:t>
            </w:r>
          </w:p>
        </w:tc>
        <w:tc>
          <w:tcPr>
            <w:tcW w:w="2551" w:type="dxa"/>
            <w:vAlign w:val="center"/>
          </w:tcPr>
          <w:p>
            <w:pPr>
              <w:pStyle w:val="28"/>
            </w:pPr>
            <w:r>
              <w:t>≤2万元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办公费用支出</w:t>
            </w:r>
          </w:p>
        </w:tc>
        <w:tc>
          <w:tcPr>
            <w:tcW w:w="2835" w:type="dxa"/>
            <w:vAlign w:val="center"/>
          </w:tcPr>
          <w:p>
            <w:pPr>
              <w:pStyle w:val="28"/>
            </w:pPr>
            <w:r>
              <w:t>反应用于防火防汛的宣传单等办公费</w:t>
            </w:r>
          </w:p>
        </w:tc>
        <w:tc>
          <w:tcPr>
            <w:tcW w:w="2551" w:type="dxa"/>
            <w:vAlign w:val="center"/>
          </w:tcPr>
          <w:p>
            <w:pPr>
              <w:pStyle w:val="28"/>
            </w:pPr>
            <w:r>
              <w:t>≤2万元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降低火灾对环境的破坏</w:t>
            </w:r>
          </w:p>
        </w:tc>
        <w:tc>
          <w:tcPr>
            <w:tcW w:w="2835" w:type="dxa"/>
            <w:vAlign w:val="center"/>
          </w:tcPr>
          <w:p>
            <w:pPr>
              <w:pStyle w:val="28"/>
            </w:pPr>
            <w:r>
              <w:t>反映降低火灾对环境破坏的比率</w:t>
            </w:r>
          </w:p>
        </w:tc>
        <w:tc>
          <w:tcPr>
            <w:tcW w:w="2551" w:type="dxa"/>
            <w:vAlign w:val="center"/>
          </w:tcPr>
          <w:p>
            <w:pPr>
              <w:pStyle w:val="28"/>
            </w:pPr>
            <w:r>
              <w:t>≥30%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森林火灾受害率(％)</w:t>
            </w:r>
          </w:p>
        </w:tc>
        <w:tc>
          <w:tcPr>
            <w:tcW w:w="2835" w:type="dxa"/>
            <w:vAlign w:val="center"/>
          </w:tcPr>
          <w:p>
            <w:pPr>
              <w:pStyle w:val="28"/>
            </w:pPr>
            <w:r>
              <w:t>全镇森林火灾发生面积占森林总面积的比例</w:t>
            </w:r>
          </w:p>
        </w:tc>
        <w:tc>
          <w:tcPr>
            <w:tcW w:w="2551" w:type="dxa"/>
            <w:vAlign w:val="center"/>
          </w:tcPr>
          <w:p>
            <w:pPr>
              <w:pStyle w:val="28"/>
            </w:pPr>
            <w:r>
              <w:t>≤0.01%</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群众对防火防汛工作满意度</w:t>
            </w:r>
          </w:p>
        </w:tc>
        <w:tc>
          <w:tcPr>
            <w:tcW w:w="2551" w:type="dxa"/>
            <w:vAlign w:val="center"/>
          </w:tcPr>
          <w:p>
            <w:pPr>
              <w:pStyle w:val="28"/>
            </w:pPr>
            <w:r>
              <w:t>≥95%</w:t>
            </w:r>
          </w:p>
        </w:tc>
        <w:tc>
          <w:tcPr>
            <w:tcW w:w="2268" w:type="dxa"/>
            <w:vAlign w:val="center"/>
          </w:tcPr>
          <w:p>
            <w:pPr>
              <w:pStyle w:val="28"/>
            </w:pPr>
            <w:r>
              <w:t>问卷调查</w:t>
            </w:r>
          </w:p>
        </w:tc>
      </w:tr>
    </w:tbl>
    <w:p>
      <w:pPr>
        <w:pStyle w:val="26"/>
      </w:pPr>
    </w:p>
    <w:p>
      <w:pPr>
        <w:pStyle w:val="26"/>
        <w:ind w:firstLine="560"/>
      </w:pPr>
      <w:r>
        <w:rPr>
          <w:rFonts w:ascii="方正仿宋_GBK" w:hAnsi="方正仿宋_GBK" w:eastAsia="方正仿宋_GBK" w:cs="方正仿宋_GBK"/>
          <w:b/>
          <w:color w:val="000000"/>
          <w:sz w:val="28"/>
        </w:rPr>
        <w:t>4、防火和防汛经费绩效目标表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1.通过扎实开展日常防火工作，广泛宣传，全天候巡查，加强防火扑救物资的储备，有效防范和遏制森林火灾的发生。</w:t>
            </w:r>
          </w:p>
          <w:p>
            <w:pPr>
              <w:pStyle w:val="28"/>
            </w:pPr>
            <w:r>
              <w:t>2.通过开展巡视巡查整治工作，及时消除防汛安全隐患，确保辖区内河道行洪通畅。</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日常巡查次数(次)</w:t>
            </w:r>
          </w:p>
        </w:tc>
        <w:tc>
          <w:tcPr>
            <w:tcW w:w="2835" w:type="dxa"/>
            <w:vAlign w:val="center"/>
          </w:tcPr>
          <w:p>
            <w:pPr>
              <w:pStyle w:val="28"/>
            </w:pPr>
            <w:r>
              <w:t>当年实际日常巡查次数</w:t>
            </w:r>
          </w:p>
        </w:tc>
        <w:tc>
          <w:tcPr>
            <w:tcW w:w="2551" w:type="dxa"/>
            <w:vAlign w:val="center"/>
          </w:tcPr>
          <w:p>
            <w:pPr>
              <w:pStyle w:val="28"/>
            </w:pPr>
            <w:r>
              <w:t>≥200次</w:t>
            </w:r>
          </w:p>
        </w:tc>
        <w:tc>
          <w:tcPr>
            <w:tcW w:w="2268" w:type="dxa"/>
            <w:vAlign w:val="center"/>
          </w:tcPr>
          <w:p>
            <w:pPr>
              <w:pStyle w:val="28"/>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日常巡查覆盖率</w:t>
            </w:r>
          </w:p>
        </w:tc>
        <w:tc>
          <w:tcPr>
            <w:tcW w:w="2835" w:type="dxa"/>
            <w:vAlign w:val="center"/>
          </w:tcPr>
          <w:p>
            <w:pPr>
              <w:pStyle w:val="28"/>
            </w:pPr>
            <w:r>
              <w:t>反应巡查范围为整个乡</w:t>
            </w:r>
          </w:p>
        </w:tc>
        <w:tc>
          <w:tcPr>
            <w:tcW w:w="2551" w:type="dxa"/>
            <w:vAlign w:val="center"/>
          </w:tcPr>
          <w:p>
            <w:pPr>
              <w:pStyle w:val="28"/>
            </w:pPr>
            <w:r>
              <w:t>≥95%</w:t>
            </w:r>
          </w:p>
        </w:tc>
        <w:tc>
          <w:tcPr>
            <w:tcW w:w="2268" w:type="dxa"/>
            <w:vAlign w:val="center"/>
          </w:tcPr>
          <w:p>
            <w:pPr>
              <w:pStyle w:val="28"/>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确保河道畅通</w:t>
            </w:r>
          </w:p>
        </w:tc>
        <w:tc>
          <w:tcPr>
            <w:tcW w:w="2835" w:type="dxa"/>
            <w:vAlign w:val="center"/>
          </w:tcPr>
          <w:p>
            <w:pPr>
              <w:pStyle w:val="28"/>
            </w:pPr>
            <w:r>
              <w:t>反映汛期河道通畅率</w:t>
            </w:r>
          </w:p>
        </w:tc>
        <w:tc>
          <w:tcPr>
            <w:tcW w:w="2551" w:type="dxa"/>
            <w:vAlign w:val="center"/>
          </w:tcPr>
          <w:p>
            <w:pPr>
              <w:pStyle w:val="28"/>
            </w:pPr>
            <w:r>
              <w:t>100%</w:t>
            </w:r>
          </w:p>
        </w:tc>
        <w:tc>
          <w:tcPr>
            <w:tcW w:w="2268" w:type="dxa"/>
            <w:vAlign w:val="center"/>
          </w:tcPr>
          <w:p>
            <w:pPr>
              <w:pStyle w:val="28"/>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巡查完成时间</w:t>
            </w:r>
          </w:p>
        </w:tc>
        <w:tc>
          <w:tcPr>
            <w:tcW w:w="2835" w:type="dxa"/>
            <w:vAlign w:val="center"/>
          </w:tcPr>
          <w:p>
            <w:pPr>
              <w:pStyle w:val="28"/>
            </w:pPr>
            <w:r>
              <w:t>反应防火防汛完成时间</w:t>
            </w:r>
          </w:p>
        </w:tc>
        <w:tc>
          <w:tcPr>
            <w:tcW w:w="2551" w:type="dxa"/>
            <w:vAlign w:val="center"/>
          </w:tcPr>
          <w:p>
            <w:pPr>
              <w:pStyle w:val="28"/>
            </w:pPr>
            <w:r>
              <w:t>2022年全年持续</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交通费支出</w:t>
            </w:r>
          </w:p>
        </w:tc>
        <w:tc>
          <w:tcPr>
            <w:tcW w:w="2835" w:type="dxa"/>
            <w:vAlign w:val="center"/>
          </w:tcPr>
          <w:p>
            <w:pPr>
              <w:pStyle w:val="28"/>
            </w:pPr>
            <w:r>
              <w:t>反应用于防火防汛的交通费</w:t>
            </w:r>
          </w:p>
        </w:tc>
        <w:tc>
          <w:tcPr>
            <w:tcW w:w="2551" w:type="dxa"/>
            <w:vAlign w:val="center"/>
          </w:tcPr>
          <w:p>
            <w:pPr>
              <w:pStyle w:val="28"/>
            </w:pPr>
            <w:r>
              <w:t>≤1万元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办公费用支出</w:t>
            </w:r>
          </w:p>
        </w:tc>
        <w:tc>
          <w:tcPr>
            <w:tcW w:w="2835" w:type="dxa"/>
            <w:vAlign w:val="center"/>
          </w:tcPr>
          <w:p>
            <w:pPr>
              <w:pStyle w:val="28"/>
            </w:pPr>
            <w:r>
              <w:t>反应用于防火防汛的宣传单等办公费</w:t>
            </w:r>
          </w:p>
        </w:tc>
        <w:tc>
          <w:tcPr>
            <w:tcW w:w="2551" w:type="dxa"/>
            <w:vAlign w:val="center"/>
          </w:tcPr>
          <w:p>
            <w:pPr>
              <w:pStyle w:val="28"/>
            </w:pPr>
            <w:r>
              <w:t>≤6万元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降低火灾对环境的破坏</w:t>
            </w:r>
          </w:p>
        </w:tc>
        <w:tc>
          <w:tcPr>
            <w:tcW w:w="2835" w:type="dxa"/>
            <w:vAlign w:val="center"/>
          </w:tcPr>
          <w:p>
            <w:pPr>
              <w:pStyle w:val="28"/>
            </w:pPr>
            <w:r>
              <w:t>反映降低火灾对环境破坏的比率</w:t>
            </w:r>
          </w:p>
        </w:tc>
        <w:tc>
          <w:tcPr>
            <w:tcW w:w="2551" w:type="dxa"/>
            <w:vAlign w:val="center"/>
          </w:tcPr>
          <w:p>
            <w:pPr>
              <w:pStyle w:val="28"/>
            </w:pPr>
            <w:r>
              <w:t>≥30%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森林火灾受害率(％)</w:t>
            </w:r>
          </w:p>
        </w:tc>
        <w:tc>
          <w:tcPr>
            <w:tcW w:w="2835" w:type="dxa"/>
            <w:vAlign w:val="center"/>
          </w:tcPr>
          <w:p>
            <w:pPr>
              <w:pStyle w:val="28"/>
            </w:pPr>
            <w:r>
              <w:t>全镇森林火灾发生面积占森林总面积的比例</w:t>
            </w:r>
          </w:p>
        </w:tc>
        <w:tc>
          <w:tcPr>
            <w:tcW w:w="2551" w:type="dxa"/>
            <w:vAlign w:val="center"/>
          </w:tcPr>
          <w:p>
            <w:pPr>
              <w:pStyle w:val="28"/>
            </w:pPr>
            <w:r>
              <w:t>≤0.01%</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群众对防火防汛工作满意度</w:t>
            </w:r>
          </w:p>
        </w:tc>
        <w:tc>
          <w:tcPr>
            <w:tcW w:w="2551" w:type="dxa"/>
            <w:vAlign w:val="center"/>
          </w:tcPr>
          <w:p>
            <w:pPr>
              <w:pStyle w:val="28"/>
            </w:pPr>
            <w:r>
              <w:t>≥95%</w:t>
            </w:r>
          </w:p>
        </w:tc>
        <w:tc>
          <w:tcPr>
            <w:tcW w:w="2268" w:type="dxa"/>
            <w:vAlign w:val="center"/>
          </w:tcPr>
          <w:p>
            <w:pPr>
              <w:pStyle w:val="28"/>
            </w:pPr>
            <w:r>
              <w:t>问卷调查</w:t>
            </w:r>
          </w:p>
        </w:tc>
      </w:tr>
    </w:tbl>
    <w:p>
      <w:pPr>
        <w:pStyle w:val="26"/>
      </w:pPr>
    </w:p>
    <w:p>
      <w:pPr>
        <w:pStyle w:val="26"/>
        <w:ind w:firstLine="560"/>
      </w:pPr>
      <w:r>
        <w:rPr>
          <w:rFonts w:ascii="方正仿宋_GBK" w:hAnsi="方正仿宋_GBK" w:eastAsia="方正仿宋_GBK" w:cs="方正仿宋_GBK"/>
          <w:b/>
          <w:color w:val="000000"/>
          <w:sz w:val="28"/>
        </w:rPr>
        <w:t>5、扶贫工作专项经费绩效目标表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1.通过项目实施，保障扶贫工作的正常进行。</w:t>
            </w:r>
          </w:p>
          <w:p>
            <w:pPr>
              <w:pStyle w:val="28"/>
            </w:pPr>
            <w:r>
              <w:t>2.为完成脱贫攻坚任务，提供有力保障。</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贫困村脱贫出列数（个）</w:t>
            </w:r>
          </w:p>
        </w:tc>
        <w:tc>
          <w:tcPr>
            <w:tcW w:w="2835" w:type="dxa"/>
            <w:vAlign w:val="center"/>
          </w:tcPr>
          <w:p>
            <w:pPr>
              <w:pStyle w:val="28"/>
            </w:pPr>
            <w:r>
              <w:t>建档立卡贫困村脱贫出列数量</w:t>
            </w:r>
          </w:p>
        </w:tc>
        <w:tc>
          <w:tcPr>
            <w:tcW w:w="2551" w:type="dxa"/>
            <w:vAlign w:val="center"/>
          </w:tcPr>
          <w:p>
            <w:pPr>
              <w:pStyle w:val="28"/>
            </w:pPr>
            <w:r>
              <w:t>5个</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农村脱贫人口比率</w:t>
            </w:r>
          </w:p>
        </w:tc>
        <w:tc>
          <w:tcPr>
            <w:tcW w:w="2835" w:type="dxa"/>
            <w:vAlign w:val="center"/>
          </w:tcPr>
          <w:p>
            <w:pPr>
              <w:pStyle w:val="28"/>
            </w:pPr>
            <w:r>
              <w:t>年度计划脱贫人口数量占贫困人口总数的比率</w:t>
            </w:r>
          </w:p>
        </w:tc>
        <w:tc>
          <w:tcPr>
            <w:tcW w:w="2551" w:type="dxa"/>
            <w:vAlign w:val="center"/>
          </w:tcPr>
          <w:p>
            <w:pPr>
              <w:pStyle w:val="28"/>
            </w:pPr>
            <w:r>
              <w:t>≥95%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工作及时率</w:t>
            </w:r>
          </w:p>
        </w:tc>
        <w:tc>
          <w:tcPr>
            <w:tcW w:w="2835" w:type="dxa"/>
            <w:vAlign w:val="center"/>
          </w:tcPr>
          <w:p>
            <w:pPr>
              <w:pStyle w:val="28"/>
            </w:pPr>
            <w:r>
              <w:t>各项工作按年度计划完成</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扶贫工作交通费支出</w:t>
            </w:r>
          </w:p>
        </w:tc>
        <w:tc>
          <w:tcPr>
            <w:tcW w:w="2835" w:type="dxa"/>
            <w:vAlign w:val="center"/>
          </w:tcPr>
          <w:p>
            <w:pPr>
              <w:pStyle w:val="28"/>
            </w:pPr>
            <w:r>
              <w:t>下乡扶贫的租车等交通费用支出</w:t>
            </w:r>
          </w:p>
        </w:tc>
        <w:tc>
          <w:tcPr>
            <w:tcW w:w="2551" w:type="dxa"/>
            <w:vAlign w:val="center"/>
          </w:tcPr>
          <w:p>
            <w:pPr>
              <w:pStyle w:val="28"/>
            </w:pPr>
            <w:r>
              <w:t>≤1万元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扶贫工作办公费支出</w:t>
            </w:r>
          </w:p>
        </w:tc>
        <w:tc>
          <w:tcPr>
            <w:tcW w:w="2835" w:type="dxa"/>
            <w:vAlign w:val="center"/>
          </w:tcPr>
          <w:p>
            <w:pPr>
              <w:pStyle w:val="28"/>
            </w:pPr>
            <w:r>
              <w:t>用于下乡扶贫工作办公经费支出</w:t>
            </w:r>
          </w:p>
        </w:tc>
        <w:tc>
          <w:tcPr>
            <w:tcW w:w="2551" w:type="dxa"/>
            <w:vAlign w:val="center"/>
          </w:tcPr>
          <w:p>
            <w:pPr>
              <w:pStyle w:val="28"/>
            </w:pPr>
            <w:r>
              <w:t>≤1万元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扶贫慰问支出</w:t>
            </w:r>
          </w:p>
        </w:tc>
        <w:tc>
          <w:tcPr>
            <w:tcW w:w="2835" w:type="dxa"/>
            <w:vAlign w:val="center"/>
          </w:tcPr>
          <w:p>
            <w:pPr>
              <w:pStyle w:val="28"/>
            </w:pPr>
            <w:r>
              <w:t>用于下乡扶贫慰问支出</w:t>
            </w:r>
          </w:p>
        </w:tc>
        <w:tc>
          <w:tcPr>
            <w:tcW w:w="2551" w:type="dxa"/>
            <w:vAlign w:val="center"/>
          </w:tcPr>
          <w:p>
            <w:pPr>
              <w:pStyle w:val="28"/>
            </w:pPr>
            <w:r>
              <w:t>≤0.09万元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扶贫保障工作完成</w:t>
            </w:r>
          </w:p>
        </w:tc>
        <w:tc>
          <w:tcPr>
            <w:tcW w:w="2835" w:type="dxa"/>
            <w:vAlign w:val="center"/>
          </w:tcPr>
          <w:p>
            <w:pPr>
              <w:pStyle w:val="28"/>
            </w:pPr>
            <w:r>
              <w:t>反应保障脱贫工作的正常运行，解决下乡扶贫的后勤问题</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贫困村农民人均纯收入增长率（%）</w:t>
            </w:r>
          </w:p>
        </w:tc>
        <w:tc>
          <w:tcPr>
            <w:tcW w:w="2835" w:type="dxa"/>
            <w:vAlign w:val="center"/>
          </w:tcPr>
          <w:p>
            <w:pPr>
              <w:pStyle w:val="28"/>
            </w:pPr>
            <w:r>
              <w:t>贫困村农民人均纯收入的同比增长比率</w:t>
            </w:r>
          </w:p>
        </w:tc>
        <w:tc>
          <w:tcPr>
            <w:tcW w:w="2551" w:type="dxa"/>
            <w:vAlign w:val="center"/>
          </w:tcPr>
          <w:p>
            <w:pPr>
              <w:pStyle w:val="28"/>
            </w:pPr>
            <w:r>
              <w:t>≥20%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被帮扶贫困人员满意度</w:t>
            </w:r>
          </w:p>
        </w:tc>
        <w:tc>
          <w:tcPr>
            <w:tcW w:w="2835" w:type="dxa"/>
            <w:vAlign w:val="center"/>
          </w:tcPr>
          <w:p>
            <w:pPr>
              <w:pStyle w:val="28"/>
            </w:pPr>
            <w:r>
              <w:t>被帮扶贫困人员对扶贫工作的满意度</w:t>
            </w:r>
          </w:p>
        </w:tc>
        <w:tc>
          <w:tcPr>
            <w:tcW w:w="2551" w:type="dxa"/>
            <w:vAlign w:val="center"/>
          </w:tcPr>
          <w:p>
            <w:pPr>
              <w:pStyle w:val="28"/>
            </w:pPr>
            <w:r>
              <w:t>≥90%</w:t>
            </w:r>
          </w:p>
        </w:tc>
        <w:tc>
          <w:tcPr>
            <w:tcW w:w="2268" w:type="dxa"/>
            <w:vAlign w:val="center"/>
          </w:tcPr>
          <w:p>
            <w:pPr>
              <w:pStyle w:val="28"/>
            </w:pPr>
            <w:r>
              <w:t>问卷调查</w:t>
            </w:r>
          </w:p>
        </w:tc>
      </w:tr>
    </w:tbl>
    <w:p>
      <w:pPr>
        <w:pStyle w:val="26"/>
      </w:pPr>
    </w:p>
    <w:p>
      <w:pPr>
        <w:pStyle w:val="26"/>
        <w:ind w:firstLine="560"/>
      </w:pPr>
      <w:r>
        <w:rPr>
          <w:rFonts w:ascii="方正仿宋_GBK" w:hAnsi="方正仿宋_GBK" w:eastAsia="方正仿宋_GBK" w:cs="方正仿宋_GBK"/>
          <w:b/>
          <w:color w:val="000000"/>
          <w:sz w:val="28"/>
        </w:rPr>
        <w:t>6、扶贫工作专项经费绩效目标表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1.通过项目实施，保障扶贫工作的正常进行。</w:t>
            </w:r>
          </w:p>
          <w:p>
            <w:pPr>
              <w:pStyle w:val="28"/>
            </w:pPr>
            <w:r>
              <w:t>2.为完成脱贫攻坚任务，提供有力保障。</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贫困村脱贫出列数（个）</w:t>
            </w:r>
          </w:p>
        </w:tc>
        <w:tc>
          <w:tcPr>
            <w:tcW w:w="2835" w:type="dxa"/>
            <w:vAlign w:val="center"/>
          </w:tcPr>
          <w:p>
            <w:pPr>
              <w:pStyle w:val="28"/>
            </w:pPr>
            <w:r>
              <w:t>建档立卡贫困村脱贫出列数量</w:t>
            </w:r>
          </w:p>
        </w:tc>
        <w:tc>
          <w:tcPr>
            <w:tcW w:w="2551" w:type="dxa"/>
            <w:vAlign w:val="center"/>
          </w:tcPr>
          <w:p>
            <w:pPr>
              <w:pStyle w:val="28"/>
            </w:pPr>
            <w:r>
              <w:t>5个</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农村脱贫人口比率</w:t>
            </w:r>
          </w:p>
        </w:tc>
        <w:tc>
          <w:tcPr>
            <w:tcW w:w="2835" w:type="dxa"/>
            <w:vAlign w:val="center"/>
          </w:tcPr>
          <w:p>
            <w:pPr>
              <w:pStyle w:val="28"/>
            </w:pPr>
            <w:r>
              <w:t>年度计划脱贫人口数量占贫困人口总数的比率</w:t>
            </w:r>
          </w:p>
        </w:tc>
        <w:tc>
          <w:tcPr>
            <w:tcW w:w="2551" w:type="dxa"/>
            <w:vAlign w:val="center"/>
          </w:tcPr>
          <w:p>
            <w:pPr>
              <w:pStyle w:val="28"/>
            </w:pPr>
            <w:r>
              <w:t>≥95%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工作及时率</w:t>
            </w:r>
          </w:p>
        </w:tc>
        <w:tc>
          <w:tcPr>
            <w:tcW w:w="2835" w:type="dxa"/>
            <w:vAlign w:val="center"/>
          </w:tcPr>
          <w:p>
            <w:pPr>
              <w:pStyle w:val="28"/>
            </w:pPr>
            <w:r>
              <w:t>各项工作按年度计划完成</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扶贫工作交通费支出</w:t>
            </w:r>
          </w:p>
        </w:tc>
        <w:tc>
          <w:tcPr>
            <w:tcW w:w="2835" w:type="dxa"/>
            <w:vAlign w:val="center"/>
          </w:tcPr>
          <w:p>
            <w:pPr>
              <w:pStyle w:val="28"/>
            </w:pPr>
            <w:r>
              <w:t>下乡扶贫的租车等交通费用支出</w:t>
            </w:r>
          </w:p>
        </w:tc>
        <w:tc>
          <w:tcPr>
            <w:tcW w:w="2551" w:type="dxa"/>
            <w:vAlign w:val="center"/>
          </w:tcPr>
          <w:p>
            <w:pPr>
              <w:pStyle w:val="28"/>
            </w:pPr>
            <w:r>
              <w:t>≤0.5万元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扶贫工作办公费支出</w:t>
            </w:r>
          </w:p>
        </w:tc>
        <w:tc>
          <w:tcPr>
            <w:tcW w:w="2835" w:type="dxa"/>
            <w:vAlign w:val="center"/>
          </w:tcPr>
          <w:p>
            <w:pPr>
              <w:pStyle w:val="28"/>
            </w:pPr>
            <w:r>
              <w:t>用于下乡扶贫工作办公经费支出</w:t>
            </w:r>
          </w:p>
        </w:tc>
        <w:tc>
          <w:tcPr>
            <w:tcW w:w="2551" w:type="dxa"/>
            <w:vAlign w:val="center"/>
          </w:tcPr>
          <w:p>
            <w:pPr>
              <w:pStyle w:val="28"/>
            </w:pPr>
            <w:r>
              <w:t>≤0.3万元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扶贫慰问支出</w:t>
            </w:r>
          </w:p>
        </w:tc>
        <w:tc>
          <w:tcPr>
            <w:tcW w:w="2835" w:type="dxa"/>
            <w:vAlign w:val="center"/>
          </w:tcPr>
          <w:p>
            <w:pPr>
              <w:pStyle w:val="28"/>
            </w:pPr>
            <w:r>
              <w:t>用于下乡扶贫慰问支出</w:t>
            </w:r>
          </w:p>
        </w:tc>
        <w:tc>
          <w:tcPr>
            <w:tcW w:w="2551" w:type="dxa"/>
            <w:vAlign w:val="center"/>
          </w:tcPr>
          <w:p>
            <w:pPr>
              <w:pStyle w:val="28"/>
            </w:pPr>
            <w:r>
              <w:t>≤0.2万元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扶贫保障工作完成</w:t>
            </w:r>
          </w:p>
        </w:tc>
        <w:tc>
          <w:tcPr>
            <w:tcW w:w="2835" w:type="dxa"/>
            <w:vAlign w:val="center"/>
          </w:tcPr>
          <w:p>
            <w:pPr>
              <w:pStyle w:val="28"/>
            </w:pPr>
            <w:r>
              <w:t>反应保障脱贫工作的正常运行，解决下乡扶贫的后勤问题</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贫困村农民人均纯收入增长率（%）</w:t>
            </w:r>
          </w:p>
        </w:tc>
        <w:tc>
          <w:tcPr>
            <w:tcW w:w="2835" w:type="dxa"/>
            <w:vAlign w:val="center"/>
          </w:tcPr>
          <w:p>
            <w:pPr>
              <w:pStyle w:val="28"/>
            </w:pPr>
            <w:r>
              <w:t>贫困村农民人均纯收入的同比增长比率</w:t>
            </w:r>
          </w:p>
        </w:tc>
        <w:tc>
          <w:tcPr>
            <w:tcW w:w="2551" w:type="dxa"/>
            <w:vAlign w:val="center"/>
          </w:tcPr>
          <w:p>
            <w:pPr>
              <w:pStyle w:val="28"/>
            </w:pPr>
            <w:r>
              <w:t>≥20%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被帮扶贫困人员满意度</w:t>
            </w:r>
          </w:p>
        </w:tc>
        <w:tc>
          <w:tcPr>
            <w:tcW w:w="2835" w:type="dxa"/>
            <w:vAlign w:val="center"/>
          </w:tcPr>
          <w:p>
            <w:pPr>
              <w:pStyle w:val="28"/>
            </w:pPr>
            <w:r>
              <w:t>被帮扶贫困人员对扶贫工作的满意度</w:t>
            </w:r>
          </w:p>
        </w:tc>
        <w:tc>
          <w:tcPr>
            <w:tcW w:w="2551" w:type="dxa"/>
            <w:vAlign w:val="center"/>
          </w:tcPr>
          <w:p>
            <w:pPr>
              <w:pStyle w:val="28"/>
            </w:pPr>
            <w:r>
              <w:t>≥90%</w:t>
            </w:r>
          </w:p>
        </w:tc>
        <w:tc>
          <w:tcPr>
            <w:tcW w:w="2268" w:type="dxa"/>
            <w:vAlign w:val="center"/>
          </w:tcPr>
          <w:p>
            <w:pPr>
              <w:pStyle w:val="28"/>
            </w:pPr>
            <w:r>
              <w:t>问卷调查</w:t>
            </w:r>
          </w:p>
        </w:tc>
      </w:tr>
    </w:tbl>
    <w:p>
      <w:pPr>
        <w:pStyle w:val="26"/>
      </w:pPr>
    </w:p>
    <w:p>
      <w:pPr>
        <w:pStyle w:val="26"/>
        <w:ind w:firstLine="560"/>
      </w:pPr>
      <w:r>
        <w:rPr>
          <w:rFonts w:ascii="方正仿宋_GBK" w:hAnsi="方正仿宋_GBK" w:eastAsia="方正仿宋_GBK" w:cs="方正仿宋_GBK"/>
          <w:b/>
          <w:color w:val="000000"/>
          <w:sz w:val="28"/>
        </w:rPr>
        <w:t>7、扶贫经费绩效目标表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1.通过项目实施，保障扶贫工作的正常进行。</w:t>
            </w:r>
          </w:p>
          <w:p>
            <w:pPr>
              <w:pStyle w:val="28"/>
            </w:pPr>
            <w:r>
              <w:t>2.为完成脱贫攻坚任务，提供有力保障。</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贫困村脱贫出列数（个）</w:t>
            </w:r>
          </w:p>
        </w:tc>
        <w:tc>
          <w:tcPr>
            <w:tcW w:w="2835" w:type="dxa"/>
            <w:vAlign w:val="center"/>
          </w:tcPr>
          <w:p>
            <w:pPr>
              <w:pStyle w:val="28"/>
            </w:pPr>
            <w:r>
              <w:t>建档立卡贫困村脱贫出列数量</w:t>
            </w:r>
          </w:p>
        </w:tc>
        <w:tc>
          <w:tcPr>
            <w:tcW w:w="2551" w:type="dxa"/>
            <w:vAlign w:val="center"/>
          </w:tcPr>
          <w:p>
            <w:pPr>
              <w:pStyle w:val="28"/>
            </w:pPr>
            <w:r>
              <w:t>5个</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农村脱贫人口比率</w:t>
            </w:r>
          </w:p>
        </w:tc>
        <w:tc>
          <w:tcPr>
            <w:tcW w:w="2835" w:type="dxa"/>
            <w:vAlign w:val="center"/>
          </w:tcPr>
          <w:p>
            <w:pPr>
              <w:pStyle w:val="28"/>
            </w:pPr>
            <w:r>
              <w:t>年度计划脱贫人口数量占贫困人口总数的比率</w:t>
            </w:r>
          </w:p>
        </w:tc>
        <w:tc>
          <w:tcPr>
            <w:tcW w:w="2551" w:type="dxa"/>
            <w:vAlign w:val="center"/>
          </w:tcPr>
          <w:p>
            <w:pPr>
              <w:pStyle w:val="28"/>
            </w:pPr>
            <w:r>
              <w:t>≥95%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工作及时率</w:t>
            </w:r>
          </w:p>
        </w:tc>
        <w:tc>
          <w:tcPr>
            <w:tcW w:w="2835" w:type="dxa"/>
            <w:vAlign w:val="center"/>
          </w:tcPr>
          <w:p>
            <w:pPr>
              <w:pStyle w:val="28"/>
            </w:pPr>
            <w:r>
              <w:t>各项工作按年度计划完成</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扶贫工作交通费支出</w:t>
            </w:r>
          </w:p>
        </w:tc>
        <w:tc>
          <w:tcPr>
            <w:tcW w:w="2835" w:type="dxa"/>
            <w:vAlign w:val="center"/>
          </w:tcPr>
          <w:p>
            <w:pPr>
              <w:pStyle w:val="28"/>
            </w:pPr>
            <w:r>
              <w:t>下乡扶贫的租车等交通费用支出</w:t>
            </w:r>
          </w:p>
        </w:tc>
        <w:tc>
          <w:tcPr>
            <w:tcW w:w="2551" w:type="dxa"/>
            <w:vAlign w:val="center"/>
          </w:tcPr>
          <w:p>
            <w:pPr>
              <w:pStyle w:val="28"/>
            </w:pPr>
            <w:r>
              <w:t>≤1万元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扶贫工作办公费支出</w:t>
            </w:r>
          </w:p>
        </w:tc>
        <w:tc>
          <w:tcPr>
            <w:tcW w:w="2835" w:type="dxa"/>
            <w:vAlign w:val="center"/>
          </w:tcPr>
          <w:p>
            <w:pPr>
              <w:pStyle w:val="28"/>
            </w:pPr>
            <w:r>
              <w:t>用于下乡扶贫工作办公经费支出</w:t>
            </w:r>
          </w:p>
        </w:tc>
        <w:tc>
          <w:tcPr>
            <w:tcW w:w="2551" w:type="dxa"/>
            <w:vAlign w:val="center"/>
          </w:tcPr>
          <w:p>
            <w:pPr>
              <w:pStyle w:val="28"/>
            </w:pPr>
            <w:r>
              <w:t>≤1万元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扶贫慰问支出</w:t>
            </w:r>
          </w:p>
        </w:tc>
        <w:tc>
          <w:tcPr>
            <w:tcW w:w="2835" w:type="dxa"/>
            <w:vAlign w:val="center"/>
          </w:tcPr>
          <w:p>
            <w:pPr>
              <w:pStyle w:val="28"/>
            </w:pPr>
            <w:r>
              <w:t>用于下乡扶贫慰问支出</w:t>
            </w:r>
          </w:p>
        </w:tc>
        <w:tc>
          <w:tcPr>
            <w:tcW w:w="2551" w:type="dxa"/>
            <w:vAlign w:val="center"/>
          </w:tcPr>
          <w:p>
            <w:pPr>
              <w:pStyle w:val="28"/>
            </w:pPr>
            <w:r>
              <w:t>≤1万元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扶贫保障工作完成</w:t>
            </w:r>
          </w:p>
        </w:tc>
        <w:tc>
          <w:tcPr>
            <w:tcW w:w="2835" w:type="dxa"/>
            <w:vAlign w:val="center"/>
          </w:tcPr>
          <w:p>
            <w:pPr>
              <w:pStyle w:val="28"/>
            </w:pPr>
            <w:r>
              <w:t>反应保障脱贫工作的正常运行，解决下乡扶贫的后勤问题</w:t>
            </w:r>
          </w:p>
        </w:tc>
        <w:tc>
          <w:tcPr>
            <w:tcW w:w="2551" w:type="dxa"/>
            <w:vAlign w:val="center"/>
          </w:tcPr>
          <w:p>
            <w:pPr>
              <w:pStyle w:val="28"/>
            </w:pPr>
            <w:r>
              <w:t>100%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经济效益指标</w:t>
            </w:r>
          </w:p>
        </w:tc>
        <w:tc>
          <w:tcPr>
            <w:tcW w:w="2835" w:type="dxa"/>
            <w:vAlign w:val="center"/>
          </w:tcPr>
          <w:p>
            <w:pPr>
              <w:pStyle w:val="28"/>
            </w:pPr>
            <w:r>
              <w:t>贫困村农民人均纯收入增长率（%）</w:t>
            </w:r>
          </w:p>
        </w:tc>
        <w:tc>
          <w:tcPr>
            <w:tcW w:w="2835" w:type="dxa"/>
            <w:vAlign w:val="center"/>
          </w:tcPr>
          <w:p>
            <w:pPr>
              <w:pStyle w:val="28"/>
            </w:pPr>
            <w:r>
              <w:t>贫困村农民人均纯收入的同比增长比率</w:t>
            </w:r>
          </w:p>
        </w:tc>
        <w:tc>
          <w:tcPr>
            <w:tcW w:w="2551" w:type="dxa"/>
            <w:vAlign w:val="center"/>
          </w:tcPr>
          <w:p>
            <w:pPr>
              <w:pStyle w:val="28"/>
            </w:pPr>
            <w:r>
              <w:t>≥20%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被帮扶贫困人员满意度</w:t>
            </w:r>
          </w:p>
        </w:tc>
        <w:tc>
          <w:tcPr>
            <w:tcW w:w="2835" w:type="dxa"/>
            <w:vAlign w:val="center"/>
          </w:tcPr>
          <w:p>
            <w:pPr>
              <w:pStyle w:val="28"/>
            </w:pPr>
            <w:r>
              <w:t>被帮扶贫困人员对扶贫工作的满意度</w:t>
            </w:r>
          </w:p>
        </w:tc>
        <w:tc>
          <w:tcPr>
            <w:tcW w:w="2551" w:type="dxa"/>
            <w:vAlign w:val="center"/>
          </w:tcPr>
          <w:p>
            <w:pPr>
              <w:pStyle w:val="28"/>
            </w:pPr>
            <w:r>
              <w:t>≥90%</w:t>
            </w:r>
          </w:p>
        </w:tc>
        <w:tc>
          <w:tcPr>
            <w:tcW w:w="2268" w:type="dxa"/>
            <w:vAlign w:val="center"/>
          </w:tcPr>
          <w:p>
            <w:pPr>
              <w:pStyle w:val="28"/>
            </w:pPr>
            <w:r>
              <w:t>问卷调查</w:t>
            </w:r>
          </w:p>
        </w:tc>
      </w:tr>
    </w:tbl>
    <w:p>
      <w:pPr>
        <w:pStyle w:val="26"/>
      </w:pPr>
    </w:p>
    <w:p>
      <w:pPr>
        <w:pStyle w:val="26"/>
        <w:ind w:firstLine="560"/>
      </w:pPr>
      <w:r>
        <w:rPr>
          <w:rFonts w:ascii="方正仿宋_GBK" w:hAnsi="方正仿宋_GBK" w:eastAsia="方正仿宋_GBK" w:cs="方正仿宋_GBK"/>
          <w:b/>
          <w:color w:val="000000"/>
          <w:sz w:val="28"/>
        </w:rPr>
        <w:t>8、农村环境综合整治工作经费绩效目标表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1.通过开展农村环境巡查排查，使农村环境存在的突出问题、难点问题得到改善，提高人民生活质量。</w:t>
            </w:r>
            <w:r>
              <w:tab/>
            </w:r>
            <w:r>
              <w:tab/>
            </w:r>
          </w:p>
          <w:p>
            <w:pPr>
              <w:pStyle w:val="28"/>
            </w:pPr>
            <w:r>
              <w:t>2.通过开展农村环境巡查排查，有效解决村庄环境脏、乱、差问题，基本实现村容村貌干净整洁有序，村民清洁卫生文明意识明显提高。</w:t>
            </w:r>
            <w:r>
              <w:tab/>
            </w:r>
            <w:r>
              <w:tab/>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重点污染治理工程数量</w:t>
            </w:r>
          </w:p>
        </w:tc>
        <w:tc>
          <w:tcPr>
            <w:tcW w:w="2835" w:type="dxa"/>
            <w:vAlign w:val="center"/>
          </w:tcPr>
          <w:p>
            <w:pPr>
              <w:pStyle w:val="28"/>
            </w:pPr>
            <w:r>
              <w:t>反映完成的重点污染治理工程数量</w:t>
            </w:r>
          </w:p>
        </w:tc>
        <w:tc>
          <w:tcPr>
            <w:tcW w:w="2551" w:type="dxa"/>
            <w:vAlign w:val="center"/>
          </w:tcPr>
          <w:p>
            <w:pPr>
              <w:pStyle w:val="28"/>
            </w:pPr>
            <w:r>
              <w:t>≥2个</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下乡检查工作</w:t>
            </w:r>
          </w:p>
        </w:tc>
        <w:tc>
          <w:tcPr>
            <w:tcW w:w="2835" w:type="dxa"/>
            <w:vAlign w:val="center"/>
          </w:tcPr>
          <w:p>
            <w:pPr>
              <w:pStyle w:val="28"/>
            </w:pPr>
            <w:r>
              <w:t>反映每年下乡检查工作的次数</w:t>
            </w:r>
          </w:p>
        </w:tc>
        <w:tc>
          <w:tcPr>
            <w:tcW w:w="2551" w:type="dxa"/>
            <w:vAlign w:val="center"/>
          </w:tcPr>
          <w:p>
            <w:pPr>
              <w:pStyle w:val="28"/>
            </w:pPr>
            <w:r>
              <w:t>≥20次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宣传次数</w:t>
            </w:r>
          </w:p>
        </w:tc>
        <w:tc>
          <w:tcPr>
            <w:tcW w:w="2835" w:type="dxa"/>
            <w:vAlign w:val="center"/>
          </w:tcPr>
          <w:p>
            <w:pPr>
              <w:pStyle w:val="28"/>
            </w:pPr>
            <w:r>
              <w:t>反映下乡宣传次数</w:t>
            </w:r>
          </w:p>
        </w:tc>
        <w:tc>
          <w:tcPr>
            <w:tcW w:w="2551" w:type="dxa"/>
            <w:vAlign w:val="center"/>
          </w:tcPr>
          <w:p>
            <w:pPr>
              <w:pStyle w:val="28"/>
            </w:pPr>
            <w:r>
              <w:t>≥30次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发现重大环保事件数量比率（%）</w:t>
            </w:r>
          </w:p>
        </w:tc>
        <w:tc>
          <w:tcPr>
            <w:tcW w:w="2835" w:type="dxa"/>
            <w:vAlign w:val="center"/>
          </w:tcPr>
          <w:p>
            <w:pPr>
              <w:pStyle w:val="28"/>
            </w:pPr>
            <w:r>
              <w:t>在规定时间内督查发现的重大环保事件数占重大环保事件总数的比率</w:t>
            </w:r>
          </w:p>
        </w:tc>
        <w:tc>
          <w:tcPr>
            <w:tcW w:w="2551" w:type="dxa"/>
            <w:vAlign w:val="center"/>
          </w:tcPr>
          <w:p>
            <w:pPr>
              <w:pStyle w:val="28"/>
            </w:pPr>
            <w:r>
              <w:t>≥90%</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检查时间</w:t>
            </w:r>
          </w:p>
        </w:tc>
        <w:tc>
          <w:tcPr>
            <w:tcW w:w="2835" w:type="dxa"/>
            <w:vAlign w:val="center"/>
          </w:tcPr>
          <w:p>
            <w:pPr>
              <w:pStyle w:val="28"/>
            </w:pPr>
            <w:r>
              <w:t>反映下乡检查工作的时间</w:t>
            </w:r>
          </w:p>
        </w:tc>
        <w:tc>
          <w:tcPr>
            <w:tcW w:w="2551" w:type="dxa"/>
            <w:vAlign w:val="center"/>
          </w:tcPr>
          <w:p>
            <w:pPr>
              <w:pStyle w:val="28"/>
            </w:pPr>
            <w:r>
              <w:t>每周两次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人工费用</w:t>
            </w:r>
          </w:p>
        </w:tc>
        <w:tc>
          <w:tcPr>
            <w:tcW w:w="2835" w:type="dxa"/>
            <w:vAlign w:val="center"/>
          </w:tcPr>
          <w:p>
            <w:pPr>
              <w:pStyle w:val="28"/>
            </w:pPr>
            <w:r>
              <w:t>反映用于环境治理的人工费</w:t>
            </w:r>
          </w:p>
        </w:tc>
        <w:tc>
          <w:tcPr>
            <w:tcW w:w="2551" w:type="dxa"/>
            <w:vAlign w:val="center"/>
          </w:tcPr>
          <w:p>
            <w:pPr>
              <w:pStyle w:val="28"/>
            </w:pPr>
            <w:r>
              <w:t>1万元</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群众投诉下降率（%）</w:t>
            </w:r>
          </w:p>
        </w:tc>
        <w:tc>
          <w:tcPr>
            <w:tcW w:w="2835" w:type="dxa"/>
            <w:vAlign w:val="center"/>
          </w:tcPr>
          <w:p>
            <w:pPr>
              <w:pStyle w:val="28"/>
            </w:pPr>
            <w:r>
              <w:t>反映本辖区群众因环境问题投诉下降率（%）</w:t>
            </w:r>
          </w:p>
        </w:tc>
        <w:tc>
          <w:tcPr>
            <w:tcW w:w="2551" w:type="dxa"/>
            <w:vAlign w:val="center"/>
          </w:tcPr>
          <w:p>
            <w:pPr>
              <w:pStyle w:val="28"/>
            </w:pPr>
            <w:r>
              <w:t>≥3%</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反映改善生态环境质量提升率</w:t>
            </w:r>
          </w:p>
        </w:tc>
        <w:tc>
          <w:tcPr>
            <w:tcW w:w="2551" w:type="dxa"/>
            <w:vAlign w:val="center"/>
          </w:tcPr>
          <w:p>
            <w:pPr>
              <w:pStyle w:val="28"/>
            </w:pPr>
            <w:r>
              <w:t>≥0.3%</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受益群体参加调查问卷满意度</w:t>
            </w:r>
          </w:p>
        </w:tc>
        <w:tc>
          <w:tcPr>
            <w:tcW w:w="2551" w:type="dxa"/>
            <w:vAlign w:val="center"/>
          </w:tcPr>
          <w:p>
            <w:pPr>
              <w:pStyle w:val="28"/>
            </w:pPr>
            <w:r>
              <w:t>≥85%</w:t>
            </w:r>
          </w:p>
        </w:tc>
        <w:tc>
          <w:tcPr>
            <w:tcW w:w="2268" w:type="dxa"/>
            <w:vAlign w:val="center"/>
          </w:tcPr>
          <w:p>
            <w:pPr>
              <w:pStyle w:val="28"/>
            </w:pPr>
            <w:r>
              <w:t>工作计划</w:t>
            </w:r>
          </w:p>
        </w:tc>
      </w:tr>
    </w:tbl>
    <w:p>
      <w:pPr>
        <w:pStyle w:val="26"/>
      </w:pPr>
    </w:p>
    <w:p>
      <w:pPr>
        <w:pStyle w:val="26"/>
        <w:ind w:firstLine="560"/>
      </w:pPr>
      <w:r>
        <w:rPr>
          <w:rFonts w:ascii="方正仿宋_GBK" w:hAnsi="方正仿宋_GBK" w:eastAsia="方正仿宋_GBK" w:cs="方正仿宋_GBK"/>
          <w:b/>
          <w:color w:val="000000"/>
          <w:sz w:val="28"/>
        </w:rPr>
        <w:t>9、农村环境综合整治工作经费绩效目标表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1.通过开展农村环境巡查排查，使农村环境存在的突出问题、难点问题得到改善，提高人民生活质量。</w:t>
            </w:r>
            <w:r>
              <w:tab/>
            </w:r>
          </w:p>
          <w:p>
            <w:pPr>
              <w:pStyle w:val="28"/>
            </w:pPr>
            <w:r>
              <w:t>2.通过开展农村环境巡查排查，有效解决村庄环境脏、乱、差问题，基本实现村容村貌干净整洁有序，村民清洁卫生文明意识明显提高。</w:t>
            </w:r>
            <w:r>
              <w:tab/>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重点污染治理工程数量</w:t>
            </w:r>
          </w:p>
        </w:tc>
        <w:tc>
          <w:tcPr>
            <w:tcW w:w="2835" w:type="dxa"/>
            <w:vAlign w:val="center"/>
          </w:tcPr>
          <w:p>
            <w:pPr>
              <w:pStyle w:val="28"/>
            </w:pPr>
            <w:r>
              <w:t>反映完成的重点污染治理工程数量</w:t>
            </w:r>
          </w:p>
        </w:tc>
        <w:tc>
          <w:tcPr>
            <w:tcW w:w="2551" w:type="dxa"/>
            <w:vAlign w:val="center"/>
          </w:tcPr>
          <w:p>
            <w:pPr>
              <w:pStyle w:val="28"/>
            </w:pPr>
            <w:r>
              <w:t>≥2个</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下乡检查工作</w:t>
            </w:r>
          </w:p>
        </w:tc>
        <w:tc>
          <w:tcPr>
            <w:tcW w:w="2835" w:type="dxa"/>
            <w:vAlign w:val="center"/>
          </w:tcPr>
          <w:p>
            <w:pPr>
              <w:pStyle w:val="28"/>
            </w:pPr>
            <w:r>
              <w:t>反映每年下乡检查工作的次数</w:t>
            </w:r>
          </w:p>
        </w:tc>
        <w:tc>
          <w:tcPr>
            <w:tcW w:w="2551" w:type="dxa"/>
            <w:vAlign w:val="center"/>
          </w:tcPr>
          <w:p>
            <w:pPr>
              <w:pStyle w:val="28"/>
            </w:pPr>
            <w:r>
              <w:t>≥20次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宣传次数</w:t>
            </w:r>
          </w:p>
        </w:tc>
        <w:tc>
          <w:tcPr>
            <w:tcW w:w="2835" w:type="dxa"/>
            <w:vAlign w:val="center"/>
          </w:tcPr>
          <w:p>
            <w:pPr>
              <w:pStyle w:val="28"/>
            </w:pPr>
            <w:r>
              <w:t>反映下乡宣传次数</w:t>
            </w:r>
          </w:p>
        </w:tc>
        <w:tc>
          <w:tcPr>
            <w:tcW w:w="2551" w:type="dxa"/>
            <w:vAlign w:val="center"/>
          </w:tcPr>
          <w:p>
            <w:pPr>
              <w:pStyle w:val="28"/>
            </w:pPr>
            <w:r>
              <w:t>≥30次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发现重大环保事件数量比率（%）</w:t>
            </w:r>
          </w:p>
        </w:tc>
        <w:tc>
          <w:tcPr>
            <w:tcW w:w="2835" w:type="dxa"/>
            <w:vAlign w:val="center"/>
          </w:tcPr>
          <w:p>
            <w:pPr>
              <w:pStyle w:val="28"/>
            </w:pPr>
            <w:r>
              <w:t>在规定时间内督查发现的重大环保事件数占重大环保事件总数的比率</w:t>
            </w:r>
          </w:p>
        </w:tc>
        <w:tc>
          <w:tcPr>
            <w:tcW w:w="2551" w:type="dxa"/>
            <w:vAlign w:val="center"/>
          </w:tcPr>
          <w:p>
            <w:pPr>
              <w:pStyle w:val="28"/>
            </w:pPr>
            <w:r>
              <w:t>≥90%</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检查时间</w:t>
            </w:r>
          </w:p>
        </w:tc>
        <w:tc>
          <w:tcPr>
            <w:tcW w:w="2835" w:type="dxa"/>
            <w:vAlign w:val="center"/>
          </w:tcPr>
          <w:p>
            <w:pPr>
              <w:pStyle w:val="28"/>
            </w:pPr>
            <w:r>
              <w:t>反映下乡检查工作的时间</w:t>
            </w:r>
          </w:p>
        </w:tc>
        <w:tc>
          <w:tcPr>
            <w:tcW w:w="2551" w:type="dxa"/>
            <w:vAlign w:val="center"/>
          </w:tcPr>
          <w:p>
            <w:pPr>
              <w:pStyle w:val="28"/>
            </w:pPr>
            <w:r>
              <w:t>每周两次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人工费用</w:t>
            </w:r>
          </w:p>
        </w:tc>
        <w:tc>
          <w:tcPr>
            <w:tcW w:w="2835" w:type="dxa"/>
            <w:vAlign w:val="center"/>
          </w:tcPr>
          <w:p>
            <w:pPr>
              <w:pStyle w:val="28"/>
            </w:pPr>
            <w:r>
              <w:t>反映用于环境治理的人工费</w:t>
            </w:r>
          </w:p>
        </w:tc>
        <w:tc>
          <w:tcPr>
            <w:tcW w:w="2551" w:type="dxa"/>
            <w:vAlign w:val="center"/>
          </w:tcPr>
          <w:p>
            <w:pPr>
              <w:pStyle w:val="28"/>
            </w:pPr>
            <w:r>
              <w:t>≤1万元</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群众投诉下降率（%）</w:t>
            </w:r>
          </w:p>
        </w:tc>
        <w:tc>
          <w:tcPr>
            <w:tcW w:w="2835" w:type="dxa"/>
            <w:vAlign w:val="center"/>
          </w:tcPr>
          <w:p>
            <w:pPr>
              <w:pStyle w:val="28"/>
            </w:pPr>
            <w:r>
              <w:t>反映本辖区群众因环境问题投诉下降率（%）</w:t>
            </w:r>
          </w:p>
        </w:tc>
        <w:tc>
          <w:tcPr>
            <w:tcW w:w="2551" w:type="dxa"/>
            <w:vAlign w:val="center"/>
          </w:tcPr>
          <w:p>
            <w:pPr>
              <w:pStyle w:val="28"/>
            </w:pPr>
            <w:r>
              <w:t>≥3%</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反映改善生态环境质量提升率</w:t>
            </w:r>
          </w:p>
        </w:tc>
        <w:tc>
          <w:tcPr>
            <w:tcW w:w="2551" w:type="dxa"/>
            <w:vAlign w:val="center"/>
          </w:tcPr>
          <w:p>
            <w:pPr>
              <w:pStyle w:val="28"/>
            </w:pPr>
            <w:r>
              <w:t>≥0.3%</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受益群体参加调查问卷满意度</w:t>
            </w:r>
          </w:p>
        </w:tc>
        <w:tc>
          <w:tcPr>
            <w:tcW w:w="2551" w:type="dxa"/>
            <w:vAlign w:val="center"/>
          </w:tcPr>
          <w:p>
            <w:pPr>
              <w:pStyle w:val="28"/>
            </w:pPr>
            <w:r>
              <w:t>≥85%</w:t>
            </w:r>
          </w:p>
        </w:tc>
        <w:tc>
          <w:tcPr>
            <w:tcW w:w="2268" w:type="dxa"/>
            <w:vAlign w:val="center"/>
          </w:tcPr>
          <w:p>
            <w:pPr>
              <w:pStyle w:val="28"/>
            </w:pPr>
            <w:r>
              <w:t>工作计划</w:t>
            </w:r>
          </w:p>
        </w:tc>
      </w:tr>
    </w:tbl>
    <w:p>
      <w:pPr>
        <w:pStyle w:val="26"/>
      </w:pPr>
    </w:p>
    <w:p>
      <w:pPr>
        <w:pStyle w:val="26"/>
        <w:ind w:firstLine="560"/>
      </w:pPr>
      <w:r>
        <w:rPr>
          <w:rFonts w:ascii="方正仿宋_GBK" w:hAnsi="方正仿宋_GBK" w:eastAsia="方正仿宋_GBK" w:cs="方正仿宋_GBK"/>
          <w:b/>
          <w:color w:val="000000"/>
          <w:sz w:val="28"/>
        </w:rPr>
        <w:t>10、全国自然灾害综合风险普查工作经费绩效目标表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1.通过开展全乡自然灾害普查工作，确保全面掌握我乡自然灾害风险防范情况。</w:t>
            </w:r>
          </w:p>
          <w:p>
            <w:pPr>
              <w:pStyle w:val="28"/>
            </w:pPr>
            <w:r>
              <w:t>2.通过设备购置和宣传培训工作，提升我乡抵御自然灾害综合防范能力</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普查行政村个数</w:t>
            </w:r>
          </w:p>
        </w:tc>
        <w:tc>
          <w:tcPr>
            <w:tcW w:w="2835" w:type="dxa"/>
            <w:vAlign w:val="center"/>
          </w:tcPr>
          <w:p>
            <w:pPr>
              <w:pStyle w:val="28"/>
            </w:pPr>
            <w:r>
              <w:t>反映普查行政村个数</w:t>
            </w:r>
          </w:p>
        </w:tc>
        <w:tc>
          <w:tcPr>
            <w:tcW w:w="2551" w:type="dxa"/>
            <w:vAlign w:val="center"/>
          </w:tcPr>
          <w:p>
            <w:pPr>
              <w:pStyle w:val="28"/>
            </w:pPr>
            <w:r>
              <w:t>22个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普查自然灾害类型</w:t>
            </w:r>
          </w:p>
        </w:tc>
        <w:tc>
          <w:tcPr>
            <w:tcW w:w="2835" w:type="dxa"/>
            <w:vAlign w:val="center"/>
          </w:tcPr>
          <w:p>
            <w:pPr>
              <w:pStyle w:val="28"/>
            </w:pPr>
            <w:r>
              <w:t>本次普查涉及的自然灾害类型个数</w:t>
            </w:r>
          </w:p>
        </w:tc>
        <w:tc>
          <w:tcPr>
            <w:tcW w:w="2551" w:type="dxa"/>
            <w:vAlign w:val="center"/>
          </w:tcPr>
          <w:p>
            <w:pPr>
              <w:pStyle w:val="28"/>
            </w:pPr>
            <w:r>
              <w:t>≥6项</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受益人数</w:t>
            </w:r>
          </w:p>
        </w:tc>
        <w:tc>
          <w:tcPr>
            <w:tcW w:w="2835" w:type="dxa"/>
            <w:vAlign w:val="center"/>
          </w:tcPr>
          <w:p>
            <w:pPr>
              <w:pStyle w:val="28"/>
            </w:pPr>
            <w:r>
              <w:t>自然灾害普查受益人口数</w:t>
            </w:r>
          </w:p>
        </w:tc>
        <w:tc>
          <w:tcPr>
            <w:tcW w:w="2551" w:type="dxa"/>
            <w:vAlign w:val="center"/>
          </w:tcPr>
          <w:p>
            <w:pPr>
              <w:pStyle w:val="28"/>
            </w:pPr>
            <w:r>
              <w:t>≥20000人</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普查工作完成率</w:t>
            </w:r>
          </w:p>
        </w:tc>
        <w:tc>
          <w:tcPr>
            <w:tcW w:w="2835" w:type="dxa"/>
            <w:vAlign w:val="center"/>
          </w:tcPr>
          <w:p>
            <w:pPr>
              <w:pStyle w:val="28"/>
            </w:pPr>
            <w:r>
              <w:t>普查工作完成率</w:t>
            </w:r>
          </w:p>
        </w:tc>
        <w:tc>
          <w:tcPr>
            <w:tcW w:w="2551" w:type="dxa"/>
            <w:vAlign w:val="center"/>
          </w:tcPr>
          <w:p>
            <w:pPr>
              <w:pStyle w:val="28"/>
            </w:pPr>
            <w:r>
              <w:t>100%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完成时间</w:t>
            </w:r>
          </w:p>
        </w:tc>
        <w:tc>
          <w:tcPr>
            <w:tcW w:w="2835" w:type="dxa"/>
            <w:vAlign w:val="center"/>
          </w:tcPr>
          <w:p>
            <w:pPr>
              <w:pStyle w:val="28"/>
            </w:pPr>
            <w:r>
              <w:t>普查工作完成时间</w:t>
            </w:r>
          </w:p>
        </w:tc>
        <w:tc>
          <w:tcPr>
            <w:tcW w:w="2551" w:type="dxa"/>
            <w:vAlign w:val="center"/>
          </w:tcPr>
          <w:p>
            <w:pPr>
              <w:pStyle w:val="28"/>
            </w:pPr>
            <w:r>
              <w:t>2022年12月底</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宣传、办公费用</w:t>
            </w:r>
          </w:p>
        </w:tc>
        <w:tc>
          <w:tcPr>
            <w:tcW w:w="2835" w:type="dxa"/>
            <w:vAlign w:val="center"/>
          </w:tcPr>
          <w:p>
            <w:pPr>
              <w:pStyle w:val="28"/>
            </w:pPr>
            <w:r>
              <w:t>反映用于本次普查宣传费、办公费</w:t>
            </w:r>
          </w:p>
        </w:tc>
        <w:tc>
          <w:tcPr>
            <w:tcW w:w="2551" w:type="dxa"/>
            <w:vAlign w:val="center"/>
          </w:tcPr>
          <w:p>
            <w:pPr>
              <w:pStyle w:val="28"/>
            </w:pPr>
            <w:r>
              <w:t>≤0.5万元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租车费用</w:t>
            </w:r>
          </w:p>
        </w:tc>
        <w:tc>
          <w:tcPr>
            <w:tcW w:w="2835" w:type="dxa"/>
            <w:vAlign w:val="center"/>
          </w:tcPr>
          <w:p>
            <w:pPr>
              <w:pStyle w:val="28"/>
            </w:pPr>
            <w:r>
              <w:t>反映用于本次普查租车费</w:t>
            </w:r>
          </w:p>
        </w:tc>
        <w:tc>
          <w:tcPr>
            <w:tcW w:w="2551" w:type="dxa"/>
            <w:vAlign w:val="center"/>
          </w:tcPr>
          <w:p>
            <w:pPr>
              <w:pStyle w:val="28"/>
            </w:pPr>
            <w:r>
              <w:t>≤0.5万元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提升抵御自然灾害防范能力</w:t>
            </w:r>
          </w:p>
        </w:tc>
        <w:tc>
          <w:tcPr>
            <w:tcW w:w="2835" w:type="dxa"/>
            <w:vAlign w:val="center"/>
          </w:tcPr>
          <w:p>
            <w:pPr>
              <w:pStyle w:val="28"/>
            </w:pPr>
            <w:r>
              <w:t>通过普查，提升抵御自然灾害防能力，提交高质量普查结果报告</w:t>
            </w:r>
          </w:p>
        </w:tc>
        <w:tc>
          <w:tcPr>
            <w:tcW w:w="2551" w:type="dxa"/>
            <w:vAlign w:val="center"/>
          </w:tcPr>
          <w:p>
            <w:pPr>
              <w:pStyle w:val="28"/>
            </w:pPr>
            <w:r>
              <w:t>≥1份</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防灾减灾能力提成情况</w:t>
            </w:r>
          </w:p>
        </w:tc>
        <w:tc>
          <w:tcPr>
            <w:tcW w:w="2835" w:type="dxa"/>
            <w:vAlign w:val="center"/>
          </w:tcPr>
          <w:p>
            <w:pPr>
              <w:pStyle w:val="28"/>
            </w:pPr>
            <w:r>
              <w:t>通过开展灾害普查，促进防灾减灾能力提升</w:t>
            </w:r>
          </w:p>
        </w:tc>
        <w:tc>
          <w:tcPr>
            <w:tcW w:w="2551" w:type="dxa"/>
            <w:vAlign w:val="center"/>
          </w:tcPr>
          <w:p>
            <w:pPr>
              <w:pStyle w:val="28"/>
            </w:pPr>
            <w:r>
              <w:t>≥10%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村民满意度</w:t>
            </w:r>
          </w:p>
        </w:tc>
        <w:tc>
          <w:tcPr>
            <w:tcW w:w="2835" w:type="dxa"/>
            <w:vAlign w:val="center"/>
          </w:tcPr>
          <w:p>
            <w:pPr>
              <w:pStyle w:val="28"/>
            </w:pPr>
            <w:r>
              <w:t>村民调查中，满意和较满意的人数占全部调查人数的比率</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pStyle w:val="26"/>
        <w:ind w:firstLine="560"/>
      </w:pPr>
      <w:r>
        <w:rPr>
          <w:rFonts w:ascii="方正仿宋_GBK" w:hAnsi="方正仿宋_GBK" w:eastAsia="方正仿宋_GBK" w:cs="方正仿宋_GBK"/>
          <w:b/>
          <w:color w:val="000000"/>
          <w:sz w:val="28"/>
        </w:rPr>
        <w:t>11、人大代表之家工作经费绩效目标表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1.通过学习宣传培训，开展代表活动，使得人大常委会机关团体密切联系群众，能够定期开展人大代表接访、走访、约访、回访等工作，接受群众监督，提出议案建议。</w:t>
            </w:r>
            <w:r>
              <w:tab/>
            </w:r>
            <w:r>
              <w:tab/>
            </w:r>
            <w:r>
              <w:tab/>
            </w:r>
          </w:p>
          <w:p>
            <w:pPr>
              <w:pStyle w:val="28"/>
            </w:pPr>
            <w:r>
              <w:t>2.通过开展人大代表之家工作，提供场地和经费，有利于学习宣传宪法法律和党的路线方针政策及各级党委政府重大决策部署，定期开展代表活动。</w:t>
            </w:r>
            <w:r>
              <w:tab/>
            </w:r>
            <w:r>
              <w:tab/>
            </w:r>
            <w:r>
              <w:tab/>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组织代表参加活动次数</w:t>
            </w:r>
          </w:p>
        </w:tc>
        <w:tc>
          <w:tcPr>
            <w:tcW w:w="2835" w:type="dxa"/>
            <w:vAlign w:val="center"/>
          </w:tcPr>
          <w:p>
            <w:pPr>
              <w:pStyle w:val="28"/>
            </w:pPr>
            <w:r>
              <w:t>计划召开学习宣传培训活动次数</w:t>
            </w:r>
          </w:p>
        </w:tc>
        <w:tc>
          <w:tcPr>
            <w:tcW w:w="2551" w:type="dxa"/>
            <w:vAlign w:val="center"/>
          </w:tcPr>
          <w:p>
            <w:pPr>
              <w:pStyle w:val="28"/>
            </w:pPr>
            <w:r>
              <w:t>≥2次</w:t>
            </w:r>
          </w:p>
        </w:tc>
        <w:tc>
          <w:tcPr>
            <w:tcW w:w="2268" w:type="dxa"/>
            <w:vAlign w:val="center"/>
          </w:tcPr>
          <w:p>
            <w:pPr>
              <w:pStyle w:val="28"/>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开展调研的次数</w:t>
            </w:r>
          </w:p>
        </w:tc>
        <w:tc>
          <w:tcPr>
            <w:tcW w:w="2835" w:type="dxa"/>
            <w:vAlign w:val="center"/>
          </w:tcPr>
          <w:p>
            <w:pPr>
              <w:pStyle w:val="28"/>
            </w:pPr>
            <w:r>
              <w:t>计划开展调研的次数</w:t>
            </w:r>
          </w:p>
        </w:tc>
        <w:tc>
          <w:tcPr>
            <w:tcW w:w="2551" w:type="dxa"/>
            <w:vAlign w:val="center"/>
          </w:tcPr>
          <w:p>
            <w:pPr>
              <w:pStyle w:val="28"/>
            </w:pPr>
            <w:r>
              <w:t>≥5次</w:t>
            </w:r>
          </w:p>
        </w:tc>
        <w:tc>
          <w:tcPr>
            <w:tcW w:w="2268" w:type="dxa"/>
            <w:vAlign w:val="center"/>
          </w:tcPr>
          <w:p>
            <w:pPr>
              <w:pStyle w:val="28"/>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完成调研报告数量</w:t>
            </w:r>
          </w:p>
        </w:tc>
        <w:tc>
          <w:tcPr>
            <w:tcW w:w="2835" w:type="dxa"/>
            <w:vAlign w:val="center"/>
          </w:tcPr>
          <w:p>
            <w:pPr>
              <w:pStyle w:val="28"/>
            </w:pPr>
            <w:r>
              <w:t>当年完成调研报告的数量</w:t>
            </w:r>
          </w:p>
        </w:tc>
        <w:tc>
          <w:tcPr>
            <w:tcW w:w="2551" w:type="dxa"/>
            <w:vAlign w:val="center"/>
          </w:tcPr>
          <w:p>
            <w:pPr>
              <w:pStyle w:val="28"/>
            </w:pPr>
            <w:r>
              <w:t>≥2篇</w:t>
            </w:r>
          </w:p>
        </w:tc>
        <w:tc>
          <w:tcPr>
            <w:tcW w:w="2268" w:type="dxa"/>
            <w:vAlign w:val="center"/>
          </w:tcPr>
          <w:p>
            <w:pPr>
              <w:pStyle w:val="28"/>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活动完成率</w:t>
            </w:r>
          </w:p>
        </w:tc>
        <w:tc>
          <w:tcPr>
            <w:tcW w:w="2835" w:type="dxa"/>
            <w:vAlign w:val="center"/>
          </w:tcPr>
          <w:p>
            <w:pPr>
              <w:pStyle w:val="28"/>
            </w:pPr>
            <w:r>
              <w:t>做好协调组织工作，为代表依法履职提供服务</w:t>
            </w:r>
          </w:p>
        </w:tc>
        <w:tc>
          <w:tcPr>
            <w:tcW w:w="2551" w:type="dxa"/>
            <w:vAlign w:val="center"/>
          </w:tcPr>
          <w:p>
            <w:pPr>
              <w:pStyle w:val="28"/>
            </w:pPr>
            <w:r>
              <w:t>＝100%</w:t>
            </w:r>
          </w:p>
        </w:tc>
        <w:tc>
          <w:tcPr>
            <w:tcW w:w="2268" w:type="dxa"/>
            <w:vAlign w:val="center"/>
          </w:tcPr>
          <w:p>
            <w:pPr>
              <w:pStyle w:val="28"/>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活动及时完成率</w:t>
            </w:r>
          </w:p>
        </w:tc>
        <w:tc>
          <w:tcPr>
            <w:tcW w:w="2835" w:type="dxa"/>
            <w:vAlign w:val="center"/>
          </w:tcPr>
          <w:p>
            <w:pPr>
              <w:pStyle w:val="28"/>
            </w:pPr>
            <w:r>
              <w:t>各项人大活动及时完成的比率</w:t>
            </w:r>
          </w:p>
        </w:tc>
        <w:tc>
          <w:tcPr>
            <w:tcW w:w="2551" w:type="dxa"/>
            <w:vAlign w:val="center"/>
          </w:tcPr>
          <w:p>
            <w:pPr>
              <w:pStyle w:val="28"/>
            </w:pPr>
            <w:r>
              <w:t>≥95%</w:t>
            </w:r>
          </w:p>
        </w:tc>
        <w:tc>
          <w:tcPr>
            <w:tcW w:w="2268" w:type="dxa"/>
            <w:vAlign w:val="center"/>
          </w:tcPr>
          <w:p>
            <w:pPr>
              <w:pStyle w:val="28"/>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支出控制数</w:t>
            </w:r>
          </w:p>
        </w:tc>
        <w:tc>
          <w:tcPr>
            <w:tcW w:w="2835" w:type="dxa"/>
            <w:vAlign w:val="center"/>
          </w:tcPr>
          <w:p>
            <w:pPr>
              <w:pStyle w:val="28"/>
            </w:pPr>
            <w:r>
              <w:t>总体控制在年度预算额度内</w:t>
            </w:r>
          </w:p>
        </w:tc>
        <w:tc>
          <w:tcPr>
            <w:tcW w:w="2551" w:type="dxa"/>
            <w:vAlign w:val="center"/>
          </w:tcPr>
          <w:p>
            <w:pPr>
              <w:pStyle w:val="28"/>
            </w:pPr>
            <w:r>
              <w:t>≤1万元</w:t>
            </w:r>
          </w:p>
        </w:tc>
        <w:tc>
          <w:tcPr>
            <w:tcW w:w="2268" w:type="dxa"/>
            <w:vAlign w:val="center"/>
          </w:tcPr>
          <w:p>
            <w:pPr>
              <w:pStyle w:val="28"/>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意见建议采纳率</w:t>
            </w:r>
          </w:p>
        </w:tc>
        <w:tc>
          <w:tcPr>
            <w:tcW w:w="2835" w:type="dxa"/>
            <w:vAlign w:val="center"/>
          </w:tcPr>
          <w:p>
            <w:pPr>
              <w:pStyle w:val="28"/>
            </w:pPr>
            <w:r>
              <w:t>人大代表提出建议,被采纳率</w:t>
            </w:r>
          </w:p>
        </w:tc>
        <w:tc>
          <w:tcPr>
            <w:tcW w:w="2551" w:type="dxa"/>
            <w:vAlign w:val="center"/>
          </w:tcPr>
          <w:p>
            <w:pPr>
              <w:pStyle w:val="28"/>
            </w:pPr>
            <w:r>
              <w:t>≥50%</w:t>
            </w:r>
          </w:p>
        </w:tc>
        <w:tc>
          <w:tcPr>
            <w:tcW w:w="2268" w:type="dxa"/>
            <w:vAlign w:val="center"/>
          </w:tcPr>
          <w:p>
            <w:pPr>
              <w:pStyle w:val="28"/>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履职质量和水平</w:t>
            </w:r>
          </w:p>
        </w:tc>
        <w:tc>
          <w:tcPr>
            <w:tcW w:w="2835" w:type="dxa"/>
            <w:vAlign w:val="center"/>
          </w:tcPr>
          <w:p>
            <w:pPr>
              <w:pStyle w:val="28"/>
            </w:pPr>
            <w:r>
              <w:t>加强对乡镇人大工作的联系和指导，规范化、制度化水平显著提升</w:t>
            </w:r>
          </w:p>
        </w:tc>
        <w:tc>
          <w:tcPr>
            <w:tcW w:w="2551" w:type="dxa"/>
            <w:vAlign w:val="center"/>
          </w:tcPr>
          <w:p>
            <w:pPr>
              <w:pStyle w:val="28"/>
            </w:pPr>
            <w:r>
              <w:t>≥95%</w:t>
            </w:r>
          </w:p>
        </w:tc>
        <w:tc>
          <w:tcPr>
            <w:tcW w:w="2268" w:type="dxa"/>
            <w:vAlign w:val="center"/>
          </w:tcPr>
          <w:p>
            <w:pPr>
              <w:pStyle w:val="28"/>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会议服务工作满意率</w:t>
            </w:r>
          </w:p>
        </w:tc>
        <w:tc>
          <w:tcPr>
            <w:tcW w:w="2835" w:type="dxa"/>
            <w:vAlign w:val="center"/>
          </w:tcPr>
          <w:p>
            <w:pPr>
              <w:pStyle w:val="28"/>
            </w:pPr>
            <w:r>
              <w:t>乡人大代表和常委对代表工作的满意程度</w:t>
            </w:r>
          </w:p>
        </w:tc>
        <w:tc>
          <w:tcPr>
            <w:tcW w:w="2551" w:type="dxa"/>
            <w:vAlign w:val="center"/>
          </w:tcPr>
          <w:p>
            <w:pPr>
              <w:pStyle w:val="28"/>
            </w:pPr>
            <w:r>
              <w:t>≥95%</w:t>
            </w:r>
          </w:p>
        </w:tc>
        <w:tc>
          <w:tcPr>
            <w:tcW w:w="2268" w:type="dxa"/>
            <w:vAlign w:val="center"/>
          </w:tcPr>
          <w:p>
            <w:pPr>
              <w:pStyle w:val="28"/>
            </w:pPr>
            <w:r>
              <w:t>按调查结果统计确定</w:t>
            </w:r>
          </w:p>
        </w:tc>
      </w:tr>
    </w:tbl>
    <w:p>
      <w:pPr>
        <w:pStyle w:val="26"/>
      </w:pPr>
    </w:p>
    <w:p>
      <w:pPr>
        <w:pStyle w:val="26"/>
        <w:ind w:firstLine="560"/>
      </w:pPr>
      <w:r>
        <w:rPr>
          <w:rFonts w:ascii="方正仿宋_GBK" w:hAnsi="方正仿宋_GBK" w:eastAsia="方正仿宋_GBK" w:cs="方正仿宋_GBK"/>
          <w:b/>
          <w:color w:val="000000"/>
          <w:sz w:val="28"/>
        </w:rPr>
        <w:t>12、人居环境整治经费绩效目标表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1.通过开展农村环境巡查排查，使农村环境存在的突出问题、难点问题得到改善，提高人民生活质量。</w:t>
            </w:r>
            <w:r>
              <w:tab/>
            </w:r>
          </w:p>
          <w:p>
            <w:pPr>
              <w:pStyle w:val="28"/>
            </w:pPr>
            <w:r>
              <w:t>2.通过开展农村环境巡查排查，有效解决村庄环境脏、乱、差问题，基本实现村容村貌干净整洁有序，村民清洁卫生文明意识明显提高。</w:t>
            </w:r>
            <w:r>
              <w:tab/>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重点污染治理工程数量</w:t>
            </w:r>
          </w:p>
        </w:tc>
        <w:tc>
          <w:tcPr>
            <w:tcW w:w="2835" w:type="dxa"/>
            <w:vAlign w:val="center"/>
          </w:tcPr>
          <w:p>
            <w:pPr>
              <w:pStyle w:val="28"/>
            </w:pPr>
            <w:r>
              <w:t>反映完成的重点污染治理工程数量</w:t>
            </w:r>
          </w:p>
        </w:tc>
        <w:tc>
          <w:tcPr>
            <w:tcW w:w="2551" w:type="dxa"/>
            <w:vAlign w:val="center"/>
          </w:tcPr>
          <w:p>
            <w:pPr>
              <w:pStyle w:val="28"/>
            </w:pPr>
            <w:r>
              <w:t>≥2个</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下乡检查工作</w:t>
            </w:r>
          </w:p>
        </w:tc>
        <w:tc>
          <w:tcPr>
            <w:tcW w:w="2835" w:type="dxa"/>
            <w:vAlign w:val="center"/>
          </w:tcPr>
          <w:p>
            <w:pPr>
              <w:pStyle w:val="28"/>
            </w:pPr>
            <w:r>
              <w:t>反映每年下乡检查工作的次数</w:t>
            </w:r>
          </w:p>
        </w:tc>
        <w:tc>
          <w:tcPr>
            <w:tcW w:w="2551" w:type="dxa"/>
            <w:vAlign w:val="center"/>
          </w:tcPr>
          <w:p>
            <w:pPr>
              <w:pStyle w:val="28"/>
            </w:pPr>
            <w:r>
              <w:t>≥20次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宣传次数</w:t>
            </w:r>
          </w:p>
        </w:tc>
        <w:tc>
          <w:tcPr>
            <w:tcW w:w="2835" w:type="dxa"/>
            <w:vAlign w:val="center"/>
          </w:tcPr>
          <w:p>
            <w:pPr>
              <w:pStyle w:val="28"/>
            </w:pPr>
            <w:r>
              <w:t>反映下乡宣传次数</w:t>
            </w:r>
          </w:p>
        </w:tc>
        <w:tc>
          <w:tcPr>
            <w:tcW w:w="2551" w:type="dxa"/>
            <w:vAlign w:val="center"/>
          </w:tcPr>
          <w:p>
            <w:pPr>
              <w:pStyle w:val="28"/>
            </w:pPr>
            <w:r>
              <w:t>≥30次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发现重大环保事件数量比率（%）</w:t>
            </w:r>
          </w:p>
        </w:tc>
        <w:tc>
          <w:tcPr>
            <w:tcW w:w="2835" w:type="dxa"/>
            <w:vAlign w:val="center"/>
          </w:tcPr>
          <w:p>
            <w:pPr>
              <w:pStyle w:val="28"/>
            </w:pPr>
            <w:r>
              <w:t>在规定时间内督查发现的重大环保事件数占重大环保事件总数的比率</w:t>
            </w:r>
          </w:p>
        </w:tc>
        <w:tc>
          <w:tcPr>
            <w:tcW w:w="2551" w:type="dxa"/>
            <w:vAlign w:val="center"/>
          </w:tcPr>
          <w:p>
            <w:pPr>
              <w:pStyle w:val="28"/>
            </w:pPr>
            <w:r>
              <w:t>≥90%</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检查时间</w:t>
            </w:r>
          </w:p>
        </w:tc>
        <w:tc>
          <w:tcPr>
            <w:tcW w:w="2835" w:type="dxa"/>
            <w:vAlign w:val="center"/>
          </w:tcPr>
          <w:p>
            <w:pPr>
              <w:pStyle w:val="28"/>
            </w:pPr>
            <w:r>
              <w:t>反映下乡检查工作的时间</w:t>
            </w:r>
          </w:p>
        </w:tc>
        <w:tc>
          <w:tcPr>
            <w:tcW w:w="2551" w:type="dxa"/>
            <w:vAlign w:val="center"/>
          </w:tcPr>
          <w:p>
            <w:pPr>
              <w:pStyle w:val="28"/>
            </w:pPr>
            <w:r>
              <w:t>每周两次</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人工费用</w:t>
            </w:r>
          </w:p>
        </w:tc>
        <w:tc>
          <w:tcPr>
            <w:tcW w:w="2835" w:type="dxa"/>
            <w:vAlign w:val="center"/>
          </w:tcPr>
          <w:p>
            <w:pPr>
              <w:pStyle w:val="28"/>
            </w:pPr>
            <w:r>
              <w:t>反映用于环境治理的人工费</w:t>
            </w:r>
          </w:p>
        </w:tc>
        <w:tc>
          <w:tcPr>
            <w:tcW w:w="2551" w:type="dxa"/>
            <w:vAlign w:val="center"/>
          </w:tcPr>
          <w:p>
            <w:pPr>
              <w:pStyle w:val="28"/>
            </w:pPr>
            <w:r>
              <w:t>2.97万元</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群众投诉下降率（%）</w:t>
            </w:r>
          </w:p>
        </w:tc>
        <w:tc>
          <w:tcPr>
            <w:tcW w:w="2835" w:type="dxa"/>
            <w:vAlign w:val="center"/>
          </w:tcPr>
          <w:p>
            <w:pPr>
              <w:pStyle w:val="28"/>
            </w:pPr>
            <w:r>
              <w:t>反映本辖区群众因环境问题投诉下降率（%）</w:t>
            </w:r>
          </w:p>
        </w:tc>
        <w:tc>
          <w:tcPr>
            <w:tcW w:w="2551" w:type="dxa"/>
            <w:vAlign w:val="center"/>
          </w:tcPr>
          <w:p>
            <w:pPr>
              <w:pStyle w:val="28"/>
            </w:pPr>
            <w:r>
              <w:t>≥3%</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反映改善生态环境质量提升率</w:t>
            </w:r>
          </w:p>
        </w:tc>
        <w:tc>
          <w:tcPr>
            <w:tcW w:w="2551" w:type="dxa"/>
            <w:vAlign w:val="center"/>
          </w:tcPr>
          <w:p>
            <w:pPr>
              <w:pStyle w:val="28"/>
            </w:pPr>
            <w:r>
              <w:t>≥0.3%</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受益群体满意度</w:t>
            </w:r>
          </w:p>
        </w:tc>
        <w:tc>
          <w:tcPr>
            <w:tcW w:w="2835" w:type="dxa"/>
            <w:vAlign w:val="center"/>
          </w:tcPr>
          <w:p>
            <w:pPr>
              <w:pStyle w:val="28"/>
            </w:pPr>
            <w:r>
              <w:t>受益群体参加调查问卷满意度</w:t>
            </w:r>
          </w:p>
        </w:tc>
        <w:tc>
          <w:tcPr>
            <w:tcW w:w="2551" w:type="dxa"/>
            <w:vAlign w:val="center"/>
          </w:tcPr>
          <w:p>
            <w:pPr>
              <w:pStyle w:val="28"/>
            </w:pPr>
            <w:r>
              <w:t>≥85%</w:t>
            </w:r>
          </w:p>
        </w:tc>
        <w:tc>
          <w:tcPr>
            <w:tcW w:w="2268" w:type="dxa"/>
            <w:vAlign w:val="center"/>
          </w:tcPr>
          <w:p>
            <w:pPr>
              <w:pStyle w:val="28"/>
            </w:pPr>
            <w:r>
              <w:t>工作计划</w:t>
            </w:r>
          </w:p>
        </w:tc>
      </w:tr>
    </w:tbl>
    <w:p>
      <w:pPr>
        <w:pStyle w:val="26"/>
      </w:pPr>
    </w:p>
    <w:p>
      <w:pPr>
        <w:pStyle w:val="26"/>
        <w:ind w:firstLine="560"/>
      </w:pPr>
      <w:r>
        <w:rPr>
          <w:rFonts w:ascii="方正仿宋_GBK" w:hAnsi="方正仿宋_GBK" w:eastAsia="方正仿宋_GBK" w:cs="方正仿宋_GBK"/>
          <w:b/>
          <w:color w:val="000000"/>
          <w:sz w:val="28"/>
        </w:rPr>
        <w:t>13、团委工作经费绩效目标表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1.通过团委工作有序开展，积极发挥团委作用。</w:t>
            </w:r>
          </w:p>
          <w:p>
            <w:pPr>
              <w:pStyle w:val="28"/>
            </w:pPr>
            <w:r>
              <w:t>2.开展好群团组织工作，为党的建设储备好后备力量。</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组织活动的次数</w:t>
            </w:r>
          </w:p>
        </w:tc>
        <w:tc>
          <w:tcPr>
            <w:tcW w:w="2835" w:type="dxa"/>
            <w:vAlign w:val="center"/>
          </w:tcPr>
          <w:p>
            <w:pPr>
              <w:pStyle w:val="28"/>
            </w:pPr>
            <w:r>
              <w:t>组织镇青年慰问留守儿童活动的次数</w:t>
            </w:r>
          </w:p>
        </w:tc>
        <w:tc>
          <w:tcPr>
            <w:tcW w:w="2551" w:type="dxa"/>
            <w:vAlign w:val="center"/>
          </w:tcPr>
          <w:p>
            <w:pPr>
              <w:pStyle w:val="28"/>
            </w:pPr>
            <w:r>
              <w:t>≥3次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“圆梦大学”走访的次数</w:t>
            </w:r>
          </w:p>
        </w:tc>
        <w:tc>
          <w:tcPr>
            <w:tcW w:w="2835" w:type="dxa"/>
            <w:vAlign w:val="center"/>
          </w:tcPr>
          <w:p>
            <w:pPr>
              <w:pStyle w:val="28"/>
            </w:pPr>
            <w:r>
              <w:t>反映“圆梦大学”走访的次数</w:t>
            </w:r>
          </w:p>
        </w:tc>
        <w:tc>
          <w:tcPr>
            <w:tcW w:w="2551" w:type="dxa"/>
            <w:vAlign w:val="center"/>
          </w:tcPr>
          <w:p>
            <w:pPr>
              <w:pStyle w:val="28"/>
            </w:pPr>
            <w:r>
              <w:t>≥3次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宣传单数量</w:t>
            </w:r>
          </w:p>
        </w:tc>
        <w:tc>
          <w:tcPr>
            <w:tcW w:w="2835" w:type="dxa"/>
            <w:vAlign w:val="center"/>
          </w:tcPr>
          <w:p>
            <w:pPr>
              <w:pStyle w:val="28"/>
            </w:pPr>
            <w:r>
              <w:t>反映用于青少年法治宣传教育印刷的宣传单数量</w:t>
            </w:r>
          </w:p>
        </w:tc>
        <w:tc>
          <w:tcPr>
            <w:tcW w:w="2551" w:type="dxa"/>
            <w:vAlign w:val="center"/>
          </w:tcPr>
          <w:p>
            <w:pPr>
              <w:pStyle w:val="28"/>
            </w:pPr>
            <w:r>
              <w:t>≥2000张</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活动完成率</w:t>
            </w:r>
          </w:p>
        </w:tc>
        <w:tc>
          <w:tcPr>
            <w:tcW w:w="2835" w:type="dxa"/>
            <w:vAlign w:val="center"/>
          </w:tcPr>
          <w:p>
            <w:pPr>
              <w:pStyle w:val="28"/>
            </w:pPr>
            <w:r>
              <w:t>活动完成次数占预计次数的比例</w:t>
            </w:r>
          </w:p>
        </w:tc>
        <w:tc>
          <w:tcPr>
            <w:tcW w:w="2551" w:type="dxa"/>
            <w:vAlign w:val="center"/>
          </w:tcPr>
          <w:p>
            <w:pPr>
              <w:pStyle w:val="28"/>
            </w:pPr>
            <w:r>
              <w:t>≥95%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活动完成时间</w:t>
            </w:r>
          </w:p>
        </w:tc>
        <w:tc>
          <w:tcPr>
            <w:tcW w:w="2835" w:type="dxa"/>
            <w:vAlign w:val="center"/>
          </w:tcPr>
          <w:p>
            <w:pPr>
              <w:pStyle w:val="28"/>
            </w:pPr>
            <w:r>
              <w:t>反映各项活动完成时间</w:t>
            </w:r>
          </w:p>
        </w:tc>
        <w:tc>
          <w:tcPr>
            <w:tcW w:w="2551" w:type="dxa"/>
            <w:vAlign w:val="center"/>
          </w:tcPr>
          <w:p>
            <w:pPr>
              <w:pStyle w:val="28"/>
            </w:pPr>
            <w:r>
              <w:t>12月31日前</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经费支出控制数</w:t>
            </w:r>
          </w:p>
        </w:tc>
        <w:tc>
          <w:tcPr>
            <w:tcW w:w="2835" w:type="dxa"/>
            <w:vAlign w:val="center"/>
          </w:tcPr>
          <w:p>
            <w:pPr>
              <w:pStyle w:val="28"/>
            </w:pPr>
            <w:r>
              <w:t>团委活动经费支出控制在预算额度内</w:t>
            </w:r>
          </w:p>
        </w:tc>
        <w:tc>
          <w:tcPr>
            <w:tcW w:w="2551" w:type="dxa"/>
            <w:vAlign w:val="center"/>
          </w:tcPr>
          <w:p>
            <w:pPr>
              <w:pStyle w:val="28"/>
            </w:pPr>
            <w:r>
              <w:t>≤1万元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未成年思想道德建设宣传情况</w:t>
            </w:r>
          </w:p>
        </w:tc>
        <w:tc>
          <w:tcPr>
            <w:tcW w:w="2835" w:type="dxa"/>
            <w:vAlign w:val="center"/>
          </w:tcPr>
          <w:p>
            <w:pPr>
              <w:pStyle w:val="28"/>
            </w:pPr>
            <w:r>
              <w:t>反映全乡未成年人思想道德建设宣传覆盖率</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团费收缴完成率</w:t>
            </w:r>
          </w:p>
        </w:tc>
        <w:tc>
          <w:tcPr>
            <w:tcW w:w="2835" w:type="dxa"/>
            <w:vAlign w:val="center"/>
          </w:tcPr>
          <w:p>
            <w:pPr>
              <w:pStyle w:val="28"/>
            </w:pPr>
            <w:r>
              <w:t>反映全乡团费收缴和上缴工作完成比率</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群众对团委工作满意度</w:t>
            </w:r>
          </w:p>
        </w:tc>
        <w:tc>
          <w:tcPr>
            <w:tcW w:w="2835" w:type="dxa"/>
            <w:vAlign w:val="center"/>
          </w:tcPr>
          <w:p>
            <w:pPr>
              <w:pStyle w:val="28"/>
            </w:pPr>
            <w:r>
              <w:t>全乡群众对团工作的满意度</w:t>
            </w:r>
          </w:p>
        </w:tc>
        <w:tc>
          <w:tcPr>
            <w:tcW w:w="2551" w:type="dxa"/>
            <w:vAlign w:val="center"/>
          </w:tcPr>
          <w:p>
            <w:pPr>
              <w:pStyle w:val="28"/>
            </w:pPr>
            <w:r>
              <w:t>≥90%</w:t>
            </w:r>
          </w:p>
        </w:tc>
        <w:tc>
          <w:tcPr>
            <w:tcW w:w="2268" w:type="dxa"/>
            <w:vAlign w:val="center"/>
          </w:tcPr>
          <w:p>
            <w:pPr>
              <w:pStyle w:val="28"/>
            </w:pPr>
            <w:r>
              <w:t>问卷调查</w:t>
            </w:r>
          </w:p>
        </w:tc>
      </w:tr>
    </w:tbl>
    <w:p>
      <w:pPr>
        <w:pStyle w:val="26"/>
      </w:pPr>
    </w:p>
    <w:p>
      <w:pPr>
        <w:pStyle w:val="26"/>
        <w:ind w:firstLine="560"/>
      </w:pPr>
      <w:r>
        <w:rPr>
          <w:rFonts w:ascii="方正仿宋_GBK" w:hAnsi="方正仿宋_GBK" w:eastAsia="方正仿宋_GBK" w:cs="方正仿宋_GBK"/>
          <w:b/>
          <w:color w:val="000000"/>
          <w:sz w:val="28"/>
        </w:rPr>
        <w:t>14、维稳经费绩效目标表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1.通过开展综治工作，宣传相关政策，加大依法行政的力度，达到维护农业农村工作的稳定效果；加强法制宣传教育、提高公民的法律意识和素质，教育农民知法、懂法和守法</w:t>
            </w:r>
          </w:p>
          <w:p>
            <w:pPr>
              <w:pStyle w:val="28"/>
            </w:pPr>
            <w:r>
              <w:t>2.通过综合工作协调联动，协助司法机关打击各类刑事犯罪活动，使得妥善处理突发性、群体性事件；搞好村级治安工作、村委会建设、完善村规民约，深化农村平安创建工作</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维稳次数</w:t>
            </w:r>
          </w:p>
        </w:tc>
        <w:tc>
          <w:tcPr>
            <w:tcW w:w="2835" w:type="dxa"/>
            <w:vAlign w:val="center"/>
          </w:tcPr>
          <w:p>
            <w:pPr>
              <w:pStyle w:val="28"/>
            </w:pPr>
            <w:r>
              <w:t>反映每年下乡维稳的次数</w:t>
            </w:r>
          </w:p>
        </w:tc>
        <w:tc>
          <w:tcPr>
            <w:tcW w:w="2551" w:type="dxa"/>
            <w:vAlign w:val="center"/>
          </w:tcPr>
          <w:p>
            <w:pPr>
              <w:pStyle w:val="28"/>
            </w:pPr>
            <w:r>
              <w:t>≥100次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接信访人返青次数</w:t>
            </w:r>
          </w:p>
        </w:tc>
        <w:tc>
          <w:tcPr>
            <w:tcW w:w="2835" w:type="dxa"/>
            <w:vAlign w:val="center"/>
          </w:tcPr>
          <w:p>
            <w:pPr>
              <w:pStyle w:val="28"/>
            </w:pPr>
            <w:r>
              <w:t>反映每年接信访人返青次数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宣传次数</w:t>
            </w:r>
          </w:p>
        </w:tc>
        <w:tc>
          <w:tcPr>
            <w:tcW w:w="2835" w:type="dxa"/>
            <w:vAlign w:val="center"/>
          </w:tcPr>
          <w:p>
            <w:pPr>
              <w:pStyle w:val="28"/>
            </w:pPr>
            <w:r>
              <w:t>反映每年法制宣传教育次数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协调督导事项化解率(%)</w:t>
            </w:r>
          </w:p>
        </w:tc>
        <w:tc>
          <w:tcPr>
            <w:tcW w:w="2835" w:type="dxa"/>
            <w:vAlign w:val="center"/>
          </w:tcPr>
          <w:p>
            <w:pPr>
              <w:pStyle w:val="28"/>
            </w:pPr>
            <w:r>
              <w:t>化解事项占督导事项总数的比率</w:t>
            </w:r>
          </w:p>
        </w:tc>
        <w:tc>
          <w:tcPr>
            <w:tcW w:w="2551" w:type="dxa"/>
            <w:vAlign w:val="center"/>
          </w:tcPr>
          <w:p>
            <w:pPr>
              <w:pStyle w:val="28"/>
            </w:pPr>
            <w:r>
              <w:t>≥90%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涉稳舆情处置率(%)</w:t>
            </w:r>
          </w:p>
        </w:tc>
        <w:tc>
          <w:tcPr>
            <w:tcW w:w="2835" w:type="dxa"/>
            <w:vAlign w:val="center"/>
          </w:tcPr>
          <w:p>
            <w:pPr>
              <w:pStyle w:val="28"/>
            </w:pPr>
            <w:r>
              <w:t>处置的涉稳舆情数占涉稳网络舆情总数的比率</w:t>
            </w:r>
          </w:p>
        </w:tc>
        <w:tc>
          <w:tcPr>
            <w:tcW w:w="2551" w:type="dxa"/>
            <w:vAlign w:val="center"/>
          </w:tcPr>
          <w:p>
            <w:pPr>
              <w:pStyle w:val="28"/>
            </w:pPr>
            <w:r>
              <w:t>≥90%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及时率</w:t>
            </w:r>
          </w:p>
        </w:tc>
        <w:tc>
          <w:tcPr>
            <w:tcW w:w="2835" w:type="dxa"/>
            <w:vAlign w:val="center"/>
          </w:tcPr>
          <w:p>
            <w:pPr>
              <w:pStyle w:val="28"/>
            </w:pPr>
            <w:r>
              <w:t>反映完成各项工作及时率</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交通费用</w:t>
            </w:r>
          </w:p>
        </w:tc>
        <w:tc>
          <w:tcPr>
            <w:tcW w:w="2835" w:type="dxa"/>
            <w:vAlign w:val="center"/>
          </w:tcPr>
          <w:p>
            <w:pPr>
              <w:pStyle w:val="28"/>
            </w:pPr>
            <w:r>
              <w:t>反映接信访人员的交通费用和下乡的交通费</w:t>
            </w:r>
          </w:p>
        </w:tc>
        <w:tc>
          <w:tcPr>
            <w:tcW w:w="2551" w:type="dxa"/>
            <w:vAlign w:val="center"/>
          </w:tcPr>
          <w:p>
            <w:pPr>
              <w:pStyle w:val="28"/>
            </w:pPr>
            <w:r>
              <w:t>≤2万元</w:t>
            </w:r>
          </w:p>
        </w:tc>
        <w:tc>
          <w:tcPr>
            <w:tcW w:w="2268" w:type="dxa"/>
            <w:vAlign w:val="center"/>
          </w:tcPr>
          <w:p>
            <w:pPr>
              <w:pStyle w:val="2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提高公民的法律意识和素质</w:t>
            </w:r>
          </w:p>
        </w:tc>
        <w:tc>
          <w:tcPr>
            <w:tcW w:w="2835" w:type="dxa"/>
            <w:vAlign w:val="center"/>
          </w:tcPr>
          <w:p>
            <w:pPr>
              <w:pStyle w:val="28"/>
            </w:pPr>
            <w:r>
              <w:t>加强法制宣传教育、提高公民的法律意识和素质，教育农民知法、懂法和守法</w:t>
            </w:r>
          </w:p>
        </w:tc>
        <w:tc>
          <w:tcPr>
            <w:tcW w:w="2551" w:type="dxa"/>
            <w:vAlign w:val="center"/>
          </w:tcPr>
          <w:p>
            <w:pPr>
              <w:pStyle w:val="28"/>
            </w:pPr>
            <w:r>
              <w:t>≥10%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促进社会和谐稳定</w:t>
            </w:r>
          </w:p>
        </w:tc>
        <w:tc>
          <w:tcPr>
            <w:tcW w:w="2835" w:type="dxa"/>
            <w:vAlign w:val="center"/>
          </w:tcPr>
          <w:p>
            <w:pPr>
              <w:pStyle w:val="28"/>
            </w:pPr>
            <w:r>
              <w:t>维护农业农村工作的稳定，促进社会和谐稳定，非访率控制范围之内</w:t>
            </w:r>
          </w:p>
        </w:tc>
        <w:tc>
          <w:tcPr>
            <w:tcW w:w="2551" w:type="dxa"/>
            <w:vAlign w:val="center"/>
          </w:tcPr>
          <w:p>
            <w:pPr>
              <w:pStyle w:val="28"/>
            </w:pPr>
            <w:r>
              <w:t>≤5%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服务对象调查满意率(％)</w:t>
            </w:r>
          </w:p>
        </w:tc>
        <w:tc>
          <w:tcPr>
            <w:tcW w:w="2835" w:type="dxa"/>
            <w:vAlign w:val="center"/>
          </w:tcPr>
          <w:p>
            <w:pPr>
              <w:pStyle w:val="28"/>
            </w:pPr>
            <w:r>
              <w:t>群众满意及比较满意人数占参加调查总人数的比率</w:t>
            </w:r>
          </w:p>
        </w:tc>
        <w:tc>
          <w:tcPr>
            <w:tcW w:w="2551" w:type="dxa"/>
            <w:vAlign w:val="center"/>
          </w:tcPr>
          <w:p>
            <w:pPr>
              <w:pStyle w:val="28"/>
            </w:pPr>
            <w:r>
              <w:t>≥95%</w:t>
            </w:r>
          </w:p>
        </w:tc>
        <w:tc>
          <w:tcPr>
            <w:tcW w:w="2268" w:type="dxa"/>
            <w:vAlign w:val="center"/>
          </w:tcPr>
          <w:p>
            <w:pPr>
              <w:pStyle w:val="28"/>
            </w:pPr>
            <w:r>
              <w:t>调研获得</w:t>
            </w:r>
          </w:p>
        </w:tc>
      </w:tr>
    </w:tbl>
    <w:p>
      <w:pPr>
        <w:pStyle w:val="26"/>
      </w:pPr>
    </w:p>
    <w:p>
      <w:pPr>
        <w:pStyle w:val="26"/>
        <w:ind w:firstLine="560"/>
      </w:pPr>
      <w:r>
        <w:rPr>
          <w:rFonts w:ascii="方正仿宋_GBK" w:hAnsi="方正仿宋_GBK" w:eastAsia="方正仿宋_GBK" w:cs="方正仿宋_GBK"/>
          <w:b/>
          <w:color w:val="000000"/>
          <w:sz w:val="28"/>
        </w:rPr>
        <w:t>15、矽肺病人员生活困难补助绩效目标表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1.通过对矽肺病人发放生活补助，保障病人基本生活。</w:t>
            </w:r>
          </w:p>
          <w:p>
            <w:pPr>
              <w:pStyle w:val="28"/>
            </w:pPr>
            <w:r>
              <w:t>2.通过稳控不稳定群体，确保基层社会稳定。</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补助人数</w:t>
            </w:r>
          </w:p>
        </w:tc>
        <w:tc>
          <w:tcPr>
            <w:tcW w:w="2835" w:type="dxa"/>
            <w:vAlign w:val="center"/>
          </w:tcPr>
          <w:p>
            <w:pPr>
              <w:pStyle w:val="28"/>
            </w:pPr>
            <w:r>
              <w:t>已认定伤残等级待遇矽肺病人数</w:t>
            </w:r>
          </w:p>
        </w:tc>
        <w:tc>
          <w:tcPr>
            <w:tcW w:w="2551" w:type="dxa"/>
            <w:vAlign w:val="center"/>
          </w:tcPr>
          <w:p>
            <w:pPr>
              <w:pStyle w:val="28"/>
            </w:pPr>
            <w:r>
              <w:t>16人</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补助金额</w:t>
            </w:r>
          </w:p>
        </w:tc>
        <w:tc>
          <w:tcPr>
            <w:tcW w:w="2835" w:type="dxa"/>
            <w:vAlign w:val="center"/>
          </w:tcPr>
          <w:p>
            <w:pPr>
              <w:pStyle w:val="28"/>
            </w:pPr>
            <w:r>
              <w:t>享受生活补助的金额</w:t>
            </w:r>
          </w:p>
        </w:tc>
        <w:tc>
          <w:tcPr>
            <w:tcW w:w="2551" w:type="dxa"/>
            <w:vAlign w:val="center"/>
          </w:tcPr>
          <w:p>
            <w:pPr>
              <w:pStyle w:val="28"/>
            </w:pPr>
            <w:r>
              <w:t>360元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资金发放到位率（%）</w:t>
            </w:r>
          </w:p>
        </w:tc>
        <w:tc>
          <w:tcPr>
            <w:tcW w:w="2835" w:type="dxa"/>
            <w:vAlign w:val="center"/>
          </w:tcPr>
          <w:p>
            <w:pPr>
              <w:pStyle w:val="28"/>
            </w:pPr>
            <w:r>
              <w:t>资金待遇按时足额发放人数占应发放人数的比率</w:t>
            </w:r>
          </w:p>
        </w:tc>
        <w:tc>
          <w:tcPr>
            <w:tcW w:w="2551" w:type="dxa"/>
            <w:vAlign w:val="center"/>
          </w:tcPr>
          <w:p>
            <w:pPr>
              <w:pStyle w:val="28"/>
            </w:pPr>
            <w:r>
              <w:t>100%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认定准确率</w:t>
            </w:r>
          </w:p>
        </w:tc>
        <w:tc>
          <w:tcPr>
            <w:tcW w:w="2835" w:type="dxa"/>
            <w:vAlign w:val="center"/>
          </w:tcPr>
          <w:p>
            <w:pPr>
              <w:pStyle w:val="28"/>
            </w:pPr>
            <w:r>
              <w:t>认定伤残待遇矽肺病人员准确率</w:t>
            </w:r>
          </w:p>
        </w:tc>
        <w:tc>
          <w:tcPr>
            <w:tcW w:w="2551" w:type="dxa"/>
            <w:vAlign w:val="center"/>
          </w:tcPr>
          <w:p>
            <w:pPr>
              <w:pStyle w:val="28"/>
            </w:pPr>
            <w:r>
              <w:t>100%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发放标准准确率</w:t>
            </w:r>
          </w:p>
        </w:tc>
        <w:tc>
          <w:tcPr>
            <w:tcW w:w="2835" w:type="dxa"/>
            <w:vAlign w:val="center"/>
          </w:tcPr>
          <w:p>
            <w:pPr>
              <w:pStyle w:val="28"/>
            </w:pPr>
            <w:r>
              <w:t>按照相关文件标准发放标准准确率</w:t>
            </w:r>
          </w:p>
        </w:tc>
        <w:tc>
          <w:tcPr>
            <w:tcW w:w="2551" w:type="dxa"/>
            <w:vAlign w:val="center"/>
          </w:tcPr>
          <w:p>
            <w:pPr>
              <w:pStyle w:val="28"/>
            </w:pPr>
            <w:r>
              <w:t>100%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资金发放及时性</w:t>
            </w:r>
          </w:p>
        </w:tc>
        <w:tc>
          <w:tcPr>
            <w:tcW w:w="2835" w:type="dxa"/>
            <w:vAlign w:val="center"/>
          </w:tcPr>
          <w:p>
            <w:pPr>
              <w:pStyle w:val="28"/>
            </w:pPr>
            <w:r>
              <w:t>收到专项资金后拨付到救助对象手中的时效</w:t>
            </w:r>
          </w:p>
        </w:tc>
        <w:tc>
          <w:tcPr>
            <w:tcW w:w="2551" w:type="dxa"/>
            <w:vAlign w:val="center"/>
          </w:tcPr>
          <w:p>
            <w:pPr>
              <w:pStyle w:val="28"/>
            </w:pPr>
            <w:r>
              <w:t>≤30天</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每人每年发放标准</w:t>
            </w:r>
          </w:p>
        </w:tc>
        <w:tc>
          <w:tcPr>
            <w:tcW w:w="2835" w:type="dxa"/>
            <w:vAlign w:val="center"/>
          </w:tcPr>
          <w:p>
            <w:pPr>
              <w:pStyle w:val="28"/>
            </w:pPr>
            <w:r>
              <w:t>支付已认定伤残等级待遇矽肺病的生活补助</w:t>
            </w:r>
          </w:p>
        </w:tc>
        <w:tc>
          <w:tcPr>
            <w:tcW w:w="2551" w:type="dxa"/>
            <w:vAlign w:val="center"/>
          </w:tcPr>
          <w:p>
            <w:pPr>
              <w:pStyle w:val="28"/>
            </w:pPr>
            <w:r>
              <w:t>0.43万元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提升生活质量提升，维护社会稳定</w:t>
            </w:r>
          </w:p>
        </w:tc>
        <w:tc>
          <w:tcPr>
            <w:tcW w:w="2835" w:type="dxa"/>
            <w:vAlign w:val="center"/>
          </w:tcPr>
          <w:p>
            <w:pPr>
              <w:pStyle w:val="28"/>
            </w:pPr>
            <w:r>
              <w:t>保障、提升矽肺病人家庭生活水平，维护社会稳定</w:t>
            </w:r>
          </w:p>
        </w:tc>
        <w:tc>
          <w:tcPr>
            <w:tcW w:w="2551" w:type="dxa"/>
            <w:vAlign w:val="center"/>
          </w:tcPr>
          <w:p>
            <w:pPr>
              <w:pStyle w:val="28"/>
            </w:pPr>
            <w:r>
              <w:t>16人</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救助对象满意度（%）</w:t>
            </w:r>
          </w:p>
        </w:tc>
        <w:tc>
          <w:tcPr>
            <w:tcW w:w="2835" w:type="dxa"/>
            <w:vAlign w:val="center"/>
          </w:tcPr>
          <w:p>
            <w:pPr>
              <w:pStyle w:val="28"/>
            </w:pPr>
            <w:r>
              <w:t>问卷调查中，满意和较满意的救助对象数量占调研对象总数的比率</w:t>
            </w:r>
          </w:p>
        </w:tc>
        <w:tc>
          <w:tcPr>
            <w:tcW w:w="2551" w:type="dxa"/>
            <w:vAlign w:val="center"/>
          </w:tcPr>
          <w:p>
            <w:pPr>
              <w:pStyle w:val="28"/>
            </w:pPr>
            <w:r>
              <w:t>≥90%</w:t>
            </w:r>
          </w:p>
        </w:tc>
        <w:tc>
          <w:tcPr>
            <w:tcW w:w="2268" w:type="dxa"/>
            <w:vAlign w:val="center"/>
          </w:tcPr>
          <w:p>
            <w:pPr>
              <w:pStyle w:val="28"/>
            </w:pPr>
            <w:r>
              <w:t>年初计划</w:t>
            </w:r>
          </w:p>
        </w:tc>
      </w:tr>
    </w:tbl>
    <w:p>
      <w:pPr>
        <w:pStyle w:val="26"/>
      </w:pPr>
    </w:p>
    <w:p>
      <w:pPr>
        <w:pStyle w:val="26"/>
        <w:ind w:firstLine="560"/>
      </w:pPr>
      <w:r>
        <w:rPr>
          <w:rFonts w:ascii="方正仿宋_GBK" w:hAnsi="方正仿宋_GBK" w:eastAsia="方正仿宋_GBK" w:cs="方正仿宋_GBK"/>
          <w:b/>
          <w:color w:val="000000"/>
          <w:sz w:val="28"/>
        </w:rPr>
        <w:t>16、专项武装经费绩效目标表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1.通过开展专项武装工作，强化基层武装力量建设，促进能力提升。</w:t>
            </w:r>
          </w:p>
          <w:p>
            <w:pPr>
              <w:pStyle w:val="28"/>
            </w:pPr>
            <w:r>
              <w:t>2.通过基层武装能力提升，保障全县武装专项工作水平提升。</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下乡调研指导基层武装工作次数</w:t>
            </w:r>
          </w:p>
        </w:tc>
        <w:tc>
          <w:tcPr>
            <w:tcW w:w="2835" w:type="dxa"/>
            <w:vAlign w:val="center"/>
          </w:tcPr>
          <w:p>
            <w:pPr>
              <w:pStyle w:val="28"/>
            </w:pPr>
            <w:r>
              <w:t>反映下乡开展调查、检查工作的次数</w:t>
            </w:r>
          </w:p>
        </w:tc>
        <w:tc>
          <w:tcPr>
            <w:tcW w:w="2551" w:type="dxa"/>
            <w:vAlign w:val="center"/>
          </w:tcPr>
          <w:p>
            <w:pPr>
              <w:pStyle w:val="28"/>
            </w:pPr>
            <w:r>
              <w:t>≥80次</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开展武装专项工作宣传次数</w:t>
            </w:r>
          </w:p>
        </w:tc>
        <w:tc>
          <w:tcPr>
            <w:tcW w:w="2835" w:type="dxa"/>
            <w:vAlign w:val="center"/>
          </w:tcPr>
          <w:p>
            <w:pPr>
              <w:pStyle w:val="28"/>
            </w:pPr>
            <w:r>
              <w:t>反映开展宣传活动的次数</w:t>
            </w:r>
          </w:p>
        </w:tc>
        <w:tc>
          <w:tcPr>
            <w:tcW w:w="2551" w:type="dxa"/>
            <w:vAlign w:val="center"/>
          </w:tcPr>
          <w:p>
            <w:pPr>
              <w:pStyle w:val="28"/>
            </w:pPr>
            <w:r>
              <w:t>≥2次</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印发宣传单数量</w:t>
            </w:r>
          </w:p>
        </w:tc>
        <w:tc>
          <w:tcPr>
            <w:tcW w:w="2835" w:type="dxa"/>
            <w:vAlign w:val="center"/>
          </w:tcPr>
          <w:p>
            <w:pPr>
              <w:pStyle w:val="28"/>
            </w:pPr>
            <w:r>
              <w:t>反映开展宣传活动中需印刷的宣传单数量</w:t>
            </w:r>
          </w:p>
        </w:tc>
        <w:tc>
          <w:tcPr>
            <w:tcW w:w="2551" w:type="dxa"/>
            <w:vAlign w:val="center"/>
          </w:tcPr>
          <w:p>
            <w:pPr>
              <w:pStyle w:val="28"/>
            </w:pPr>
            <w:r>
              <w:t>≥3000份</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宣传普及率</w:t>
            </w:r>
          </w:p>
        </w:tc>
        <w:tc>
          <w:tcPr>
            <w:tcW w:w="2835" w:type="dxa"/>
            <w:vAlign w:val="center"/>
          </w:tcPr>
          <w:p>
            <w:pPr>
              <w:pStyle w:val="28"/>
            </w:pPr>
            <w:r>
              <w:t>知晓专项武装工作居民占全乡总人口的比率。</w:t>
            </w:r>
          </w:p>
        </w:tc>
        <w:tc>
          <w:tcPr>
            <w:tcW w:w="2551" w:type="dxa"/>
            <w:vAlign w:val="center"/>
          </w:tcPr>
          <w:p>
            <w:pPr>
              <w:pStyle w:val="28"/>
            </w:pPr>
            <w:r>
              <w:t>≥90%</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调查、检查覆盖率</w:t>
            </w:r>
          </w:p>
        </w:tc>
        <w:tc>
          <w:tcPr>
            <w:tcW w:w="2835" w:type="dxa"/>
            <w:vAlign w:val="center"/>
          </w:tcPr>
          <w:p>
            <w:pPr>
              <w:pStyle w:val="28"/>
            </w:pPr>
            <w:r>
              <w:t>向全乡开展宣传专项武装工作的普及程度</w:t>
            </w:r>
          </w:p>
        </w:tc>
        <w:tc>
          <w:tcPr>
            <w:tcW w:w="2551" w:type="dxa"/>
            <w:vAlign w:val="center"/>
          </w:tcPr>
          <w:p>
            <w:pPr>
              <w:pStyle w:val="28"/>
            </w:pPr>
            <w:r>
              <w:t>≥90%</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调查、检查的时间</w:t>
            </w:r>
          </w:p>
        </w:tc>
        <w:tc>
          <w:tcPr>
            <w:tcW w:w="2835" w:type="dxa"/>
            <w:vAlign w:val="center"/>
          </w:tcPr>
          <w:p>
            <w:pPr>
              <w:pStyle w:val="28"/>
            </w:pPr>
            <w:r>
              <w:t>反映开展调查、检查工作进度安排</w:t>
            </w:r>
          </w:p>
        </w:tc>
        <w:tc>
          <w:tcPr>
            <w:tcW w:w="2551" w:type="dxa"/>
            <w:vAlign w:val="center"/>
          </w:tcPr>
          <w:p>
            <w:pPr>
              <w:pStyle w:val="28"/>
            </w:pPr>
            <w:r>
              <w:t>2022年3-10月</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开展宣传工作的时间</w:t>
            </w:r>
          </w:p>
        </w:tc>
        <w:tc>
          <w:tcPr>
            <w:tcW w:w="2835" w:type="dxa"/>
            <w:vAlign w:val="center"/>
          </w:tcPr>
          <w:p>
            <w:pPr>
              <w:pStyle w:val="28"/>
            </w:pPr>
            <w:r>
              <w:t>反映开展征兵宣传活动的进度</w:t>
            </w:r>
          </w:p>
        </w:tc>
        <w:tc>
          <w:tcPr>
            <w:tcW w:w="2551" w:type="dxa"/>
            <w:vAlign w:val="center"/>
          </w:tcPr>
          <w:p>
            <w:pPr>
              <w:pStyle w:val="28"/>
            </w:pPr>
            <w:r>
              <w:t>2022年10月底前</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差旅支出</w:t>
            </w:r>
          </w:p>
        </w:tc>
        <w:tc>
          <w:tcPr>
            <w:tcW w:w="2835" w:type="dxa"/>
            <w:vAlign w:val="center"/>
          </w:tcPr>
          <w:p>
            <w:pPr>
              <w:pStyle w:val="28"/>
            </w:pPr>
            <w:r>
              <w:t>反应用于征兵的差旅支出</w:t>
            </w:r>
          </w:p>
        </w:tc>
        <w:tc>
          <w:tcPr>
            <w:tcW w:w="2551" w:type="dxa"/>
            <w:vAlign w:val="center"/>
          </w:tcPr>
          <w:p>
            <w:pPr>
              <w:pStyle w:val="28"/>
            </w:pPr>
            <w:r>
              <w:t>≤1万元</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办公费用</w:t>
            </w:r>
          </w:p>
        </w:tc>
        <w:tc>
          <w:tcPr>
            <w:tcW w:w="2835" w:type="dxa"/>
            <w:vAlign w:val="center"/>
          </w:tcPr>
          <w:p>
            <w:pPr>
              <w:pStyle w:val="28"/>
            </w:pPr>
            <w:r>
              <w:t>用于日常办公所需费用</w:t>
            </w:r>
          </w:p>
        </w:tc>
        <w:tc>
          <w:tcPr>
            <w:tcW w:w="2551" w:type="dxa"/>
            <w:vAlign w:val="center"/>
          </w:tcPr>
          <w:p>
            <w:pPr>
              <w:pStyle w:val="28"/>
            </w:pPr>
            <w:r>
              <w:t>≤1万元</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基层武装保障能力提升情况</w:t>
            </w:r>
          </w:p>
        </w:tc>
        <w:tc>
          <w:tcPr>
            <w:tcW w:w="2835" w:type="dxa"/>
            <w:vAlign w:val="center"/>
          </w:tcPr>
          <w:p>
            <w:pPr>
              <w:pStyle w:val="28"/>
            </w:pPr>
            <w:r>
              <w:t>通过开展武装专项促进基层武装工作能力提升</w:t>
            </w:r>
          </w:p>
        </w:tc>
        <w:tc>
          <w:tcPr>
            <w:tcW w:w="2551" w:type="dxa"/>
            <w:vAlign w:val="center"/>
          </w:tcPr>
          <w:p>
            <w:pPr>
              <w:pStyle w:val="28"/>
            </w:pPr>
            <w:r>
              <w:t>≥10%</w:t>
            </w:r>
          </w:p>
        </w:tc>
        <w:tc>
          <w:tcPr>
            <w:tcW w:w="2268" w:type="dxa"/>
            <w:vAlign w:val="center"/>
          </w:tcPr>
          <w:p>
            <w:pPr>
              <w:pStyle w:val="28"/>
            </w:pPr>
            <w: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基层人民群众对武装工作满意度</w:t>
            </w:r>
          </w:p>
        </w:tc>
        <w:tc>
          <w:tcPr>
            <w:tcW w:w="2551" w:type="dxa"/>
            <w:vAlign w:val="center"/>
          </w:tcPr>
          <w:p>
            <w:pPr>
              <w:pStyle w:val="28"/>
            </w:pPr>
            <w:r>
              <w:t>≥95%</w:t>
            </w:r>
          </w:p>
        </w:tc>
        <w:tc>
          <w:tcPr>
            <w:tcW w:w="2268" w:type="dxa"/>
            <w:vAlign w:val="center"/>
          </w:tcPr>
          <w:p>
            <w:pPr>
              <w:pStyle w:val="28"/>
            </w:pPr>
            <w:r>
              <w:t>2022工作计划</w:t>
            </w:r>
          </w:p>
        </w:tc>
      </w:tr>
    </w:tbl>
    <w:p>
      <w:pPr>
        <w:pStyle w:val="26"/>
      </w:pPr>
    </w:p>
    <w:p>
      <w:pPr>
        <w:pStyle w:val="26"/>
        <w:ind w:firstLine="560"/>
      </w:pPr>
      <w:r>
        <w:rPr>
          <w:rFonts w:ascii="方正仿宋_GBK" w:hAnsi="方正仿宋_GBK" w:eastAsia="方正仿宋_GBK" w:cs="方正仿宋_GBK"/>
          <w:b/>
          <w:color w:val="000000"/>
          <w:sz w:val="28"/>
        </w:rPr>
        <w:t>17、综治工作经费绩效目标表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1.通过开展综治工作，宣传相关政策，加大依法行政的力度，达到维护农业农村工作的稳定效果；加强法制宣传教育、提高公民的法律意识和素质，教育农民知法、懂法和守法</w:t>
            </w:r>
          </w:p>
          <w:p>
            <w:pPr>
              <w:pStyle w:val="28"/>
            </w:pPr>
            <w:r>
              <w:t>2.通过综合工作协调联动，协助司法机关打击各类刑事犯罪活动，使得妥善处理突发性、群体性事件；搞好村级治安工作、村委会建设、完善村规民约，深化农村平安创建工作</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维稳次数</w:t>
            </w:r>
          </w:p>
        </w:tc>
        <w:tc>
          <w:tcPr>
            <w:tcW w:w="2835" w:type="dxa"/>
            <w:vAlign w:val="center"/>
          </w:tcPr>
          <w:p>
            <w:pPr>
              <w:pStyle w:val="28"/>
            </w:pPr>
            <w:r>
              <w:t>反映每年下乡维稳的次数</w:t>
            </w:r>
          </w:p>
        </w:tc>
        <w:tc>
          <w:tcPr>
            <w:tcW w:w="2551" w:type="dxa"/>
            <w:vAlign w:val="center"/>
          </w:tcPr>
          <w:p>
            <w:pPr>
              <w:pStyle w:val="28"/>
            </w:pPr>
            <w:r>
              <w:t>≥100次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接信访人返青次数</w:t>
            </w:r>
          </w:p>
        </w:tc>
        <w:tc>
          <w:tcPr>
            <w:tcW w:w="2835" w:type="dxa"/>
            <w:vAlign w:val="center"/>
          </w:tcPr>
          <w:p>
            <w:pPr>
              <w:pStyle w:val="28"/>
            </w:pPr>
            <w:r>
              <w:t>反映每年接信访人返青次数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宣传次数</w:t>
            </w:r>
          </w:p>
        </w:tc>
        <w:tc>
          <w:tcPr>
            <w:tcW w:w="2835" w:type="dxa"/>
            <w:vAlign w:val="center"/>
          </w:tcPr>
          <w:p>
            <w:pPr>
              <w:pStyle w:val="28"/>
            </w:pPr>
            <w:r>
              <w:t>反映每年法制宣传教育次数</w:t>
            </w:r>
          </w:p>
        </w:tc>
        <w:tc>
          <w:tcPr>
            <w:tcW w:w="2551" w:type="dxa"/>
            <w:vAlign w:val="center"/>
          </w:tcPr>
          <w:p>
            <w:pPr>
              <w:pStyle w:val="28"/>
            </w:pPr>
            <w:r>
              <w:t>≥10次</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协调督导事项化解率(%)</w:t>
            </w:r>
          </w:p>
        </w:tc>
        <w:tc>
          <w:tcPr>
            <w:tcW w:w="2835" w:type="dxa"/>
            <w:vAlign w:val="center"/>
          </w:tcPr>
          <w:p>
            <w:pPr>
              <w:pStyle w:val="28"/>
            </w:pPr>
            <w:r>
              <w:t>化解事项占督导事项总数的比率</w:t>
            </w:r>
          </w:p>
        </w:tc>
        <w:tc>
          <w:tcPr>
            <w:tcW w:w="2551" w:type="dxa"/>
            <w:vAlign w:val="center"/>
          </w:tcPr>
          <w:p>
            <w:pPr>
              <w:pStyle w:val="28"/>
            </w:pPr>
            <w:r>
              <w:t>≥90%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涉稳舆情处置率(%)</w:t>
            </w:r>
          </w:p>
        </w:tc>
        <w:tc>
          <w:tcPr>
            <w:tcW w:w="2835" w:type="dxa"/>
            <w:vAlign w:val="center"/>
          </w:tcPr>
          <w:p>
            <w:pPr>
              <w:pStyle w:val="28"/>
            </w:pPr>
            <w:r>
              <w:t>处置的涉稳舆情数占涉稳网络舆情总数的比率</w:t>
            </w:r>
          </w:p>
        </w:tc>
        <w:tc>
          <w:tcPr>
            <w:tcW w:w="2551" w:type="dxa"/>
            <w:vAlign w:val="center"/>
          </w:tcPr>
          <w:p>
            <w:pPr>
              <w:pStyle w:val="28"/>
            </w:pPr>
            <w:r>
              <w:t>≥90%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及时率</w:t>
            </w:r>
          </w:p>
        </w:tc>
        <w:tc>
          <w:tcPr>
            <w:tcW w:w="2835" w:type="dxa"/>
            <w:vAlign w:val="center"/>
          </w:tcPr>
          <w:p>
            <w:pPr>
              <w:pStyle w:val="28"/>
            </w:pPr>
            <w:r>
              <w:t>反映完成各项工作及时率</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交通费用</w:t>
            </w:r>
          </w:p>
        </w:tc>
        <w:tc>
          <w:tcPr>
            <w:tcW w:w="2835" w:type="dxa"/>
            <w:vAlign w:val="center"/>
          </w:tcPr>
          <w:p>
            <w:pPr>
              <w:pStyle w:val="28"/>
            </w:pPr>
            <w:r>
              <w:t>反映接信访人员的交通费用和下乡的交通费</w:t>
            </w:r>
          </w:p>
        </w:tc>
        <w:tc>
          <w:tcPr>
            <w:tcW w:w="2551" w:type="dxa"/>
            <w:vAlign w:val="center"/>
          </w:tcPr>
          <w:p>
            <w:pPr>
              <w:pStyle w:val="28"/>
            </w:pPr>
            <w:r>
              <w:t>≤3万元</w:t>
            </w:r>
          </w:p>
        </w:tc>
        <w:tc>
          <w:tcPr>
            <w:tcW w:w="2268" w:type="dxa"/>
            <w:vAlign w:val="center"/>
          </w:tcPr>
          <w:p>
            <w:pPr>
              <w:pStyle w:val="2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办公费支出</w:t>
            </w:r>
          </w:p>
        </w:tc>
        <w:tc>
          <w:tcPr>
            <w:tcW w:w="2835" w:type="dxa"/>
            <w:vAlign w:val="center"/>
          </w:tcPr>
          <w:p>
            <w:pPr>
              <w:pStyle w:val="28"/>
            </w:pPr>
            <w:r>
              <w:t>反映用于维稳的办公费支出</w:t>
            </w:r>
          </w:p>
        </w:tc>
        <w:tc>
          <w:tcPr>
            <w:tcW w:w="2551" w:type="dxa"/>
            <w:vAlign w:val="center"/>
          </w:tcPr>
          <w:p>
            <w:pPr>
              <w:pStyle w:val="28"/>
            </w:pPr>
            <w:r>
              <w:t>≤1元</w:t>
            </w:r>
          </w:p>
        </w:tc>
        <w:tc>
          <w:tcPr>
            <w:tcW w:w="2268" w:type="dxa"/>
            <w:vAlign w:val="center"/>
          </w:tcPr>
          <w:p>
            <w:pPr>
              <w:pStyle w:val="2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提高公民的法律意识和素质</w:t>
            </w:r>
          </w:p>
        </w:tc>
        <w:tc>
          <w:tcPr>
            <w:tcW w:w="2835" w:type="dxa"/>
            <w:vAlign w:val="center"/>
          </w:tcPr>
          <w:p>
            <w:pPr>
              <w:pStyle w:val="28"/>
            </w:pPr>
            <w:r>
              <w:t>加强法制宣传教育、提高公民的法律意识和素质，教育农民知法、懂法和守法</w:t>
            </w:r>
          </w:p>
        </w:tc>
        <w:tc>
          <w:tcPr>
            <w:tcW w:w="2551" w:type="dxa"/>
            <w:vAlign w:val="center"/>
          </w:tcPr>
          <w:p>
            <w:pPr>
              <w:pStyle w:val="28"/>
            </w:pPr>
            <w:r>
              <w:t>≥10%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促进社会和谐稳定</w:t>
            </w:r>
          </w:p>
        </w:tc>
        <w:tc>
          <w:tcPr>
            <w:tcW w:w="2835" w:type="dxa"/>
            <w:vAlign w:val="center"/>
          </w:tcPr>
          <w:p>
            <w:pPr>
              <w:pStyle w:val="28"/>
            </w:pPr>
            <w:r>
              <w:t>维护农业农村工作的稳定，促进社会和谐稳定，非访率控制范围之内</w:t>
            </w:r>
          </w:p>
        </w:tc>
        <w:tc>
          <w:tcPr>
            <w:tcW w:w="2551" w:type="dxa"/>
            <w:vAlign w:val="center"/>
          </w:tcPr>
          <w:p>
            <w:pPr>
              <w:pStyle w:val="28"/>
            </w:pPr>
            <w:r>
              <w:t>≤5%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服务对象调查满意率(％)</w:t>
            </w:r>
          </w:p>
        </w:tc>
        <w:tc>
          <w:tcPr>
            <w:tcW w:w="2835" w:type="dxa"/>
            <w:vAlign w:val="center"/>
          </w:tcPr>
          <w:p>
            <w:pPr>
              <w:pStyle w:val="28"/>
            </w:pPr>
            <w:r>
              <w:t>群众满意及比较满意人数占参加调查总人数的比率</w:t>
            </w:r>
          </w:p>
        </w:tc>
        <w:tc>
          <w:tcPr>
            <w:tcW w:w="2551" w:type="dxa"/>
            <w:vAlign w:val="center"/>
          </w:tcPr>
          <w:p>
            <w:pPr>
              <w:pStyle w:val="28"/>
            </w:pPr>
            <w:r>
              <w:t>≥95%</w:t>
            </w:r>
          </w:p>
        </w:tc>
        <w:tc>
          <w:tcPr>
            <w:tcW w:w="2268" w:type="dxa"/>
            <w:vAlign w:val="center"/>
          </w:tcPr>
          <w:p>
            <w:pPr>
              <w:pStyle w:val="28"/>
            </w:pPr>
            <w:r>
              <w:t>调研获得</w:t>
            </w:r>
          </w:p>
        </w:tc>
      </w:tr>
    </w:tbl>
    <w:p>
      <w:pPr>
        <w:pStyle w:val="26"/>
      </w:pPr>
    </w:p>
    <w:p>
      <w:pPr>
        <w:pStyle w:val="26"/>
        <w:ind w:firstLine="560"/>
      </w:pPr>
      <w:r>
        <w:rPr>
          <w:rFonts w:ascii="方正仿宋_GBK" w:hAnsi="方正仿宋_GBK" w:eastAsia="方正仿宋_GBK" w:cs="方正仿宋_GBK"/>
          <w:b/>
          <w:color w:val="000000"/>
          <w:sz w:val="28"/>
        </w:rPr>
        <w:t>18、村干部基础职务补贴绩效目标表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1.通过村干部工资及时发放，确保农村干部队伍稳定。</w:t>
            </w:r>
          </w:p>
          <w:p>
            <w:pPr>
              <w:pStyle w:val="28"/>
            </w:pPr>
            <w:r>
              <w:t>2.通过保障村干部的基本工资，激发村干部工作热情。</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考核次数</w:t>
            </w:r>
          </w:p>
        </w:tc>
        <w:tc>
          <w:tcPr>
            <w:tcW w:w="2835" w:type="dxa"/>
            <w:vAlign w:val="center"/>
          </w:tcPr>
          <w:p>
            <w:pPr>
              <w:pStyle w:val="28"/>
            </w:pPr>
            <w:r>
              <w:t>反映村干部考核次数</w:t>
            </w:r>
          </w:p>
        </w:tc>
        <w:tc>
          <w:tcPr>
            <w:tcW w:w="2551" w:type="dxa"/>
            <w:vAlign w:val="center"/>
          </w:tcPr>
          <w:p>
            <w:pPr>
              <w:pStyle w:val="28"/>
            </w:pPr>
            <w:r>
              <w:t xml:space="preserve">≥1次 </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按村干部职务分工发放工资比率</w:t>
            </w:r>
          </w:p>
        </w:tc>
        <w:tc>
          <w:tcPr>
            <w:tcW w:w="2835" w:type="dxa"/>
            <w:vAlign w:val="center"/>
          </w:tcPr>
          <w:p>
            <w:pPr>
              <w:pStyle w:val="28"/>
            </w:pPr>
            <w:r>
              <w:t>反映村干部岗位分工情况</w:t>
            </w:r>
          </w:p>
        </w:tc>
        <w:tc>
          <w:tcPr>
            <w:tcW w:w="2551" w:type="dxa"/>
            <w:vAlign w:val="center"/>
          </w:tcPr>
          <w:p>
            <w:pPr>
              <w:pStyle w:val="28"/>
            </w:pPr>
            <w:r>
              <w:t>≥95%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村干部工资发放及时率</w:t>
            </w:r>
          </w:p>
        </w:tc>
        <w:tc>
          <w:tcPr>
            <w:tcW w:w="2835" w:type="dxa"/>
            <w:vAlign w:val="center"/>
          </w:tcPr>
          <w:p>
            <w:pPr>
              <w:pStyle w:val="28"/>
            </w:pPr>
            <w:r>
              <w:t>村干部工资及时发放的比率</w:t>
            </w:r>
          </w:p>
        </w:tc>
        <w:tc>
          <w:tcPr>
            <w:tcW w:w="2551" w:type="dxa"/>
            <w:vAlign w:val="center"/>
          </w:tcPr>
          <w:p>
            <w:pPr>
              <w:pStyle w:val="28"/>
            </w:pPr>
            <w:r>
              <w:t>≥95%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村书记主任补贴标准</w:t>
            </w:r>
          </w:p>
        </w:tc>
        <w:tc>
          <w:tcPr>
            <w:tcW w:w="2835" w:type="dxa"/>
            <w:vAlign w:val="center"/>
          </w:tcPr>
          <w:p>
            <w:pPr>
              <w:pStyle w:val="28"/>
            </w:pPr>
            <w:r>
              <w:t>反映一肩挑人均补贴标准</w:t>
            </w:r>
          </w:p>
        </w:tc>
        <w:tc>
          <w:tcPr>
            <w:tcW w:w="2551" w:type="dxa"/>
            <w:vAlign w:val="center"/>
          </w:tcPr>
          <w:p>
            <w:pPr>
              <w:pStyle w:val="28"/>
            </w:pPr>
            <w:r>
              <w:t>36000元</w:t>
            </w:r>
          </w:p>
        </w:tc>
        <w:tc>
          <w:tcPr>
            <w:tcW w:w="2268" w:type="dxa"/>
            <w:vAlign w:val="center"/>
          </w:tcPr>
          <w:p>
            <w:pPr>
              <w:pStyle w:val="28"/>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其他人员补贴标准</w:t>
            </w:r>
          </w:p>
        </w:tc>
        <w:tc>
          <w:tcPr>
            <w:tcW w:w="2835" w:type="dxa"/>
            <w:vAlign w:val="center"/>
          </w:tcPr>
          <w:p>
            <w:pPr>
              <w:pStyle w:val="28"/>
            </w:pPr>
            <w:r>
              <w:t>反映其他村两委干部人均补贴标准</w:t>
            </w:r>
          </w:p>
        </w:tc>
        <w:tc>
          <w:tcPr>
            <w:tcW w:w="2551" w:type="dxa"/>
            <w:vAlign w:val="center"/>
          </w:tcPr>
          <w:p>
            <w:pPr>
              <w:pStyle w:val="28"/>
            </w:pPr>
            <w:r>
              <w:t>12000元</w:t>
            </w:r>
          </w:p>
        </w:tc>
        <w:tc>
          <w:tcPr>
            <w:tcW w:w="2268" w:type="dxa"/>
            <w:vAlign w:val="center"/>
          </w:tcPr>
          <w:p>
            <w:pPr>
              <w:pStyle w:val="28"/>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村干部人数</w:t>
            </w:r>
          </w:p>
        </w:tc>
        <w:tc>
          <w:tcPr>
            <w:tcW w:w="2835" w:type="dxa"/>
            <w:vAlign w:val="center"/>
          </w:tcPr>
          <w:p>
            <w:pPr>
              <w:pStyle w:val="28"/>
            </w:pPr>
            <w:r>
              <w:t>反映村干部人数</w:t>
            </w:r>
          </w:p>
        </w:tc>
        <w:tc>
          <w:tcPr>
            <w:tcW w:w="2551" w:type="dxa"/>
            <w:vAlign w:val="center"/>
          </w:tcPr>
          <w:p>
            <w:pPr>
              <w:pStyle w:val="28"/>
            </w:pPr>
            <w:r>
              <w:t>≥110人</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村干部考核合格率</w:t>
            </w:r>
          </w:p>
        </w:tc>
        <w:tc>
          <w:tcPr>
            <w:tcW w:w="2835" w:type="dxa"/>
            <w:vAlign w:val="center"/>
          </w:tcPr>
          <w:p>
            <w:pPr>
              <w:pStyle w:val="28"/>
            </w:pPr>
            <w:r>
              <w:t>合格村干部占村干部比例</w:t>
            </w:r>
          </w:p>
        </w:tc>
        <w:tc>
          <w:tcPr>
            <w:tcW w:w="2551" w:type="dxa"/>
            <w:vAlign w:val="center"/>
          </w:tcPr>
          <w:p>
            <w:pPr>
              <w:pStyle w:val="28"/>
            </w:pPr>
            <w:r>
              <w:t>≥95%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村干部队伍稳定性</w:t>
            </w:r>
          </w:p>
        </w:tc>
        <w:tc>
          <w:tcPr>
            <w:tcW w:w="2835" w:type="dxa"/>
            <w:vAlign w:val="center"/>
          </w:tcPr>
          <w:p>
            <w:pPr>
              <w:pStyle w:val="28"/>
            </w:pPr>
            <w:r>
              <w:t>稳定就职村干部占总村干部比率</w:t>
            </w:r>
          </w:p>
        </w:tc>
        <w:tc>
          <w:tcPr>
            <w:tcW w:w="2551" w:type="dxa"/>
            <w:vAlign w:val="center"/>
          </w:tcPr>
          <w:p>
            <w:pPr>
              <w:pStyle w:val="28"/>
            </w:pPr>
            <w:r>
              <w:t>≥95%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村干部满意度</w:t>
            </w:r>
          </w:p>
        </w:tc>
        <w:tc>
          <w:tcPr>
            <w:tcW w:w="2835" w:type="dxa"/>
            <w:vAlign w:val="center"/>
          </w:tcPr>
          <w:p>
            <w:pPr>
              <w:pStyle w:val="28"/>
            </w:pPr>
            <w:r>
              <w:t>调查中满意的村干部占总村干部的比率</w:t>
            </w:r>
          </w:p>
        </w:tc>
        <w:tc>
          <w:tcPr>
            <w:tcW w:w="2551" w:type="dxa"/>
            <w:vAlign w:val="center"/>
          </w:tcPr>
          <w:p>
            <w:pPr>
              <w:pStyle w:val="28"/>
            </w:pPr>
            <w:r>
              <w:t>≥95%</w:t>
            </w:r>
          </w:p>
        </w:tc>
        <w:tc>
          <w:tcPr>
            <w:tcW w:w="2268" w:type="dxa"/>
            <w:vAlign w:val="center"/>
          </w:tcPr>
          <w:p>
            <w:pPr>
              <w:pStyle w:val="28"/>
            </w:pPr>
            <w:r>
              <w:t>问卷调查</w:t>
            </w:r>
          </w:p>
        </w:tc>
      </w:tr>
    </w:tbl>
    <w:p>
      <w:pPr>
        <w:pStyle w:val="26"/>
      </w:pPr>
    </w:p>
    <w:p>
      <w:pPr>
        <w:pStyle w:val="26"/>
        <w:ind w:firstLine="560"/>
      </w:pPr>
      <w:r>
        <w:rPr>
          <w:rFonts w:ascii="方正仿宋_GBK" w:hAnsi="方正仿宋_GBK" w:eastAsia="方正仿宋_GBK" w:cs="方正仿宋_GBK"/>
          <w:b/>
          <w:color w:val="000000"/>
          <w:sz w:val="28"/>
        </w:rPr>
        <w:t>19、服务群众专项经费绩效目标表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1.通过开展垃圾清理等服务群众工作，进一步改善农村人居环境卫生</w:t>
            </w:r>
          </w:p>
          <w:p>
            <w:pPr>
              <w:pStyle w:val="28"/>
            </w:pPr>
            <w:r>
              <w:t>2.实现村容村貌干净整洁有序，提升居民幸福感。</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村级数量</w:t>
            </w:r>
          </w:p>
        </w:tc>
        <w:tc>
          <w:tcPr>
            <w:tcW w:w="2835" w:type="dxa"/>
            <w:vAlign w:val="center"/>
          </w:tcPr>
          <w:p>
            <w:pPr>
              <w:pStyle w:val="28"/>
            </w:pPr>
            <w:r>
              <w:t>反映涉及村级组织数量</w:t>
            </w:r>
          </w:p>
        </w:tc>
        <w:tc>
          <w:tcPr>
            <w:tcW w:w="2551" w:type="dxa"/>
            <w:vAlign w:val="center"/>
          </w:tcPr>
          <w:p>
            <w:pPr>
              <w:pStyle w:val="28"/>
            </w:pPr>
            <w:r>
              <w:t>22个</w:t>
            </w:r>
          </w:p>
        </w:tc>
        <w:tc>
          <w:tcPr>
            <w:tcW w:w="2268" w:type="dxa"/>
            <w:vAlign w:val="center"/>
          </w:tcPr>
          <w:p>
            <w:pPr>
              <w:pStyle w:val="28"/>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服务群众工作完成率</w:t>
            </w:r>
          </w:p>
        </w:tc>
        <w:tc>
          <w:tcPr>
            <w:tcW w:w="2835" w:type="dxa"/>
            <w:vAlign w:val="center"/>
          </w:tcPr>
          <w:p>
            <w:pPr>
              <w:pStyle w:val="28"/>
            </w:pPr>
            <w:r>
              <w:t>反映村级组织开展服务群众具体情况如：村内清运垃圾、公共卫生防疫等等</w:t>
            </w:r>
          </w:p>
        </w:tc>
        <w:tc>
          <w:tcPr>
            <w:tcW w:w="2551" w:type="dxa"/>
            <w:vAlign w:val="center"/>
          </w:tcPr>
          <w:p>
            <w:pPr>
              <w:pStyle w:val="28"/>
            </w:pPr>
            <w:r>
              <w:t>≥90%</w:t>
            </w:r>
          </w:p>
        </w:tc>
        <w:tc>
          <w:tcPr>
            <w:tcW w:w="2268" w:type="dxa"/>
            <w:vAlign w:val="center"/>
          </w:tcPr>
          <w:p>
            <w:pPr>
              <w:pStyle w:val="28"/>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资金发放及时性</w:t>
            </w:r>
          </w:p>
        </w:tc>
        <w:tc>
          <w:tcPr>
            <w:tcW w:w="2835" w:type="dxa"/>
            <w:vAlign w:val="center"/>
          </w:tcPr>
          <w:p>
            <w:pPr>
              <w:pStyle w:val="28"/>
            </w:pPr>
            <w:r>
              <w:t>反映资金到位发放的及时情况</w:t>
            </w:r>
          </w:p>
        </w:tc>
        <w:tc>
          <w:tcPr>
            <w:tcW w:w="2551" w:type="dxa"/>
            <w:vAlign w:val="center"/>
          </w:tcPr>
          <w:p>
            <w:pPr>
              <w:pStyle w:val="28"/>
            </w:pPr>
            <w:r>
              <w:t>≥95%</w:t>
            </w:r>
          </w:p>
        </w:tc>
        <w:tc>
          <w:tcPr>
            <w:tcW w:w="2268" w:type="dxa"/>
            <w:vAlign w:val="center"/>
          </w:tcPr>
          <w:p>
            <w:pPr>
              <w:pStyle w:val="28"/>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工作完成及时性</w:t>
            </w:r>
          </w:p>
        </w:tc>
        <w:tc>
          <w:tcPr>
            <w:tcW w:w="2835" w:type="dxa"/>
            <w:vAlign w:val="center"/>
          </w:tcPr>
          <w:p>
            <w:pPr>
              <w:pStyle w:val="28"/>
            </w:pPr>
            <w:r>
              <w:t>反映各村服务群众各项工作完成的及时情况</w:t>
            </w:r>
          </w:p>
        </w:tc>
        <w:tc>
          <w:tcPr>
            <w:tcW w:w="2551" w:type="dxa"/>
            <w:vAlign w:val="center"/>
          </w:tcPr>
          <w:p>
            <w:pPr>
              <w:pStyle w:val="28"/>
            </w:pPr>
            <w:r>
              <w:t>≥95%</w:t>
            </w:r>
          </w:p>
        </w:tc>
        <w:tc>
          <w:tcPr>
            <w:tcW w:w="2268" w:type="dxa"/>
            <w:vAlign w:val="center"/>
          </w:tcPr>
          <w:p>
            <w:pPr>
              <w:pStyle w:val="28"/>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服务群众经费</w:t>
            </w:r>
          </w:p>
        </w:tc>
        <w:tc>
          <w:tcPr>
            <w:tcW w:w="2835" w:type="dxa"/>
            <w:vAlign w:val="center"/>
          </w:tcPr>
          <w:p>
            <w:pPr>
              <w:pStyle w:val="28"/>
            </w:pPr>
            <w:r>
              <w:t>反映用于20个村的垃圾清理等费用</w:t>
            </w:r>
          </w:p>
        </w:tc>
        <w:tc>
          <w:tcPr>
            <w:tcW w:w="2551" w:type="dxa"/>
            <w:vAlign w:val="center"/>
          </w:tcPr>
          <w:p>
            <w:pPr>
              <w:pStyle w:val="28"/>
            </w:pPr>
            <w:r>
              <w:t>≤66万元</w:t>
            </w:r>
          </w:p>
        </w:tc>
        <w:tc>
          <w:tcPr>
            <w:tcW w:w="2268" w:type="dxa"/>
            <w:vAlign w:val="center"/>
          </w:tcPr>
          <w:p>
            <w:pPr>
              <w:pStyle w:val="28"/>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经费拨付标准</w:t>
            </w:r>
          </w:p>
        </w:tc>
        <w:tc>
          <w:tcPr>
            <w:tcW w:w="2835" w:type="dxa"/>
            <w:vAlign w:val="center"/>
          </w:tcPr>
          <w:p>
            <w:pPr>
              <w:pStyle w:val="28"/>
            </w:pPr>
            <w:r>
              <w:t>反映每个村经费拨付标准</w:t>
            </w:r>
          </w:p>
        </w:tc>
        <w:tc>
          <w:tcPr>
            <w:tcW w:w="2551" w:type="dxa"/>
            <w:vAlign w:val="center"/>
          </w:tcPr>
          <w:p>
            <w:pPr>
              <w:pStyle w:val="28"/>
            </w:pPr>
            <w:r>
              <w:t>≤3万元/村</w:t>
            </w:r>
          </w:p>
        </w:tc>
        <w:tc>
          <w:tcPr>
            <w:tcW w:w="2268" w:type="dxa"/>
            <w:vAlign w:val="center"/>
          </w:tcPr>
          <w:p>
            <w:pPr>
              <w:pStyle w:val="28"/>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受益人数</w:t>
            </w:r>
          </w:p>
        </w:tc>
        <w:tc>
          <w:tcPr>
            <w:tcW w:w="2835" w:type="dxa"/>
            <w:vAlign w:val="center"/>
          </w:tcPr>
          <w:p>
            <w:pPr>
              <w:pStyle w:val="28"/>
            </w:pPr>
            <w:r>
              <w:t>通过项目实施进一步改善农村人居环境卫生，提升居民幸福感，反映受益人口数量</w:t>
            </w:r>
          </w:p>
        </w:tc>
        <w:tc>
          <w:tcPr>
            <w:tcW w:w="2551" w:type="dxa"/>
            <w:vAlign w:val="center"/>
          </w:tcPr>
          <w:p>
            <w:pPr>
              <w:pStyle w:val="28"/>
            </w:pPr>
            <w:r>
              <w:t>≥20000人</w:t>
            </w:r>
          </w:p>
        </w:tc>
        <w:tc>
          <w:tcPr>
            <w:tcW w:w="2268" w:type="dxa"/>
            <w:vAlign w:val="center"/>
          </w:tcPr>
          <w:p>
            <w:pPr>
              <w:pStyle w:val="28"/>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改善生态环境质量</w:t>
            </w:r>
          </w:p>
        </w:tc>
        <w:tc>
          <w:tcPr>
            <w:tcW w:w="2835" w:type="dxa"/>
            <w:vAlign w:val="center"/>
          </w:tcPr>
          <w:p>
            <w:pPr>
              <w:pStyle w:val="28"/>
            </w:pPr>
            <w:r>
              <w:t>通过进一步改善农村生态环境，实现村容村貌干净整洁有序,改善生态环境村数量</w:t>
            </w:r>
          </w:p>
        </w:tc>
        <w:tc>
          <w:tcPr>
            <w:tcW w:w="2551" w:type="dxa"/>
            <w:vAlign w:val="center"/>
          </w:tcPr>
          <w:p>
            <w:pPr>
              <w:pStyle w:val="28"/>
            </w:pPr>
            <w:r>
              <w:t>22个</w:t>
            </w:r>
          </w:p>
        </w:tc>
        <w:tc>
          <w:tcPr>
            <w:tcW w:w="2268" w:type="dxa"/>
            <w:vAlign w:val="center"/>
          </w:tcPr>
          <w:p>
            <w:pPr>
              <w:pStyle w:val="28"/>
            </w:pPr>
            <w:r>
              <w:t>2021工作计划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通过问卷调查，满意和基本满意的群众占所有调查群众的比例</w:t>
            </w:r>
          </w:p>
        </w:tc>
        <w:tc>
          <w:tcPr>
            <w:tcW w:w="2551" w:type="dxa"/>
            <w:vAlign w:val="center"/>
          </w:tcPr>
          <w:p>
            <w:pPr>
              <w:pStyle w:val="28"/>
            </w:pPr>
            <w:r>
              <w:t>≥90%</w:t>
            </w:r>
          </w:p>
        </w:tc>
        <w:tc>
          <w:tcPr>
            <w:tcW w:w="2268" w:type="dxa"/>
            <w:vAlign w:val="center"/>
          </w:tcPr>
          <w:p>
            <w:pPr>
              <w:pStyle w:val="28"/>
            </w:pPr>
            <w:r>
              <w:t>调查问卷</w:t>
            </w:r>
          </w:p>
        </w:tc>
      </w:tr>
    </w:tbl>
    <w:p>
      <w:pPr>
        <w:pStyle w:val="26"/>
      </w:pPr>
    </w:p>
    <w:p>
      <w:pPr>
        <w:pStyle w:val="26"/>
        <w:ind w:firstLine="560"/>
      </w:pPr>
      <w:r>
        <w:rPr>
          <w:rFonts w:ascii="方正仿宋_GBK" w:hAnsi="方正仿宋_GBK" w:eastAsia="方正仿宋_GBK" w:cs="方正仿宋_GBK"/>
          <w:b/>
          <w:color w:val="000000"/>
          <w:sz w:val="28"/>
        </w:rPr>
        <w:t>20、燃煤锅炉改造及清洁能源补贴（运转保障）绩效目标表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1.通过采取锅炉改造电取暖，确保机关正常办公，为机关工作人员和群众提供良好的工作办事环境。</w:t>
            </w:r>
            <w:r>
              <w:tab/>
            </w:r>
          </w:p>
          <w:p>
            <w:pPr>
              <w:pStyle w:val="28"/>
            </w:pPr>
            <w:r>
              <w:t>2.通过改变取暖方式，加大大气治理力度，提升大气质量，保护自然环境。</w:t>
            </w:r>
            <w:r>
              <w:tab/>
            </w:r>
            <w:r>
              <w:tab/>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冬季采暖保障面积</w:t>
            </w:r>
          </w:p>
        </w:tc>
        <w:tc>
          <w:tcPr>
            <w:tcW w:w="2835" w:type="dxa"/>
            <w:vAlign w:val="center"/>
          </w:tcPr>
          <w:p>
            <w:pPr>
              <w:pStyle w:val="28"/>
            </w:pPr>
            <w:r>
              <w:t>用于冬季采暖的办公场所面积数量</w:t>
            </w:r>
          </w:p>
        </w:tc>
        <w:tc>
          <w:tcPr>
            <w:tcW w:w="2551" w:type="dxa"/>
            <w:vAlign w:val="center"/>
          </w:tcPr>
          <w:p>
            <w:pPr>
              <w:pStyle w:val="28"/>
            </w:pPr>
            <w:r>
              <w:t>≥3000㎡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二氧化硫削排放减率</w:t>
            </w:r>
          </w:p>
        </w:tc>
        <w:tc>
          <w:tcPr>
            <w:tcW w:w="2835" w:type="dxa"/>
            <w:vAlign w:val="center"/>
          </w:tcPr>
          <w:p>
            <w:pPr>
              <w:pStyle w:val="28"/>
            </w:pPr>
            <w:r>
              <w:t>当年实际二氧化硫排放削减率</w:t>
            </w:r>
          </w:p>
        </w:tc>
        <w:tc>
          <w:tcPr>
            <w:tcW w:w="2551" w:type="dxa"/>
            <w:vAlign w:val="center"/>
          </w:tcPr>
          <w:p>
            <w:pPr>
              <w:pStyle w:val="28"/>
            </w:pPr>
            <w:r>
              <w:t>≥5%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细颗粒物排放削减率</w:t>
            </w:r>
          </w:p>
        </w:tc>
        <w:tc>
          <w:tcPr>
            <w:tcW w:w="2835" w:type="dxa"/>
            <w:vAlign w:val="center"/>
          </w:tcPr>
          <w:p>
            <w:pPr>
              <w:pStyle w:val="28"/>
            </w:pPr>
            <w:r>
              <w:t>当年实际细颗粒物排放削减率</w:t>
            </w:r>
          </w:p>
        </w:tc>
        <w:tc>
          <w:tcPr>
            <w:tcW w:w="2551" w:type="dxa"/>
            <w:vAlign w:val="center"/>
          </w:tcPr>
          <w:p>
            <w:pPr>
              <w:pStyle w:val="28"/>
            </w:pPr>
            <w:r>
              <w:t>≥8%</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资金支付时效性</w:t>
            </w:r>
          </w:p>
        </w:tc>
        <w:tc>
          <w:tcPr>
            <w:tcW w:w="2835" w:type="dxa"/>
            <w:vAlign w:val="center"/>
          </w:tcPr>
          <w:p>
            <w:pPr>
              <w:pStyle w:val="28"/>
            </w:pPr>
            <w:r>
              <w:t>燃煤锅炉改造及清洁能源补贴在采暖期内及时拨付</w:t>
            </w:r>
          </w:p>
        </w:tc>
        <w:tc>
          <w:tcPr>
            <w:tcW w:w="2551" w:type="dxa"/>
            <w:vAlign w:val="center"/>
          </w:tcPr>
          <w:p>
            <w:pPr>
              <w:pStyle w:val="28"/>
            </w:pPr>
            <w:r>
              <w:t>2022年10月底</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供暖设施维修支出</w:t>
            </w:r>
          </w:p>
        </w:tc>
        <w:tc>
          <w:tcPr>
            <w:tcW w:w="2835" w:type="dxa"/>
            <w:vAlign w:val="center"/>
          </w:tcPr>
          <w:p>
            <w:pPr>
              <w:pStyle w:val="28"/>
            </w:pPr>
            <w:r>
              <w:t>供暖管道设施维修费用支出</w:t>
            </w:r>
          </w:p>
        </w:tc>
        <w:tc>
          <w:tcPr>
            <w:tcW w:w="2551" w:type="dxa"/>
            <w:vAlign w:val="center"/>
          </w:tcPr>
          <w:p>
            <w:pPr>
              <w:pStyle w:val="28"/>
            </w:pPr>
            <w:r>
              <w:t>≤5万元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采暖费用支出</w:t>
            </w:r>
          </w:p>
        </w:tc>
        <w:tc>
          <w:tcPr>
            <w:tcW w:w="2835" w:type="dxa"/>
            <w:vAlign w:val="center"/>
          </w:tcPr>
          <w:p>
            <w:pPr>
              <w:pStyle w:val="28"/>
            </w:pPr>
            <w:r>
              <w:t>办公场所采暖费用支出</w:t>
            </w:r>
          </w:p>
        </w:tc>
        <w:tc>
          <w:tcPr>
            <w:tcW w:w="2551" w:type="dxa"/>
            <w:vAlign w:val="center"/>
          </w:tcPr>
          <w:p>
            <w:pPr>
              <w:pStyle w:val="28"/>
            </w:pPr>
            <w:r>
              <w:t>≤20万元</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全年空气优良天数增长率（%）</w:t>
            </w:r>
          </w:p>
        </w:tc>
        <w:tc>
          <w:tcPr>
            <w:tcW w:w="2835" w:type="dxa"/>
            <w:vAlign w:val="center"/>
          </w:tcPr>
          <w:p>
            <w:pPr>
              <w:pStyle w:val="28"/>
            </w:pPr>
            <w:r>
              <w:t>全年空气优良天数同比增长率</w:t>
            </w:r>
          </w:p>
        </w:tc>
        <w:tc>
          <w:tcPr>
            <w:tcW w:w="2551" w:type="dxa"/>
            <w:vAlign w:val="center"/>
          </w:tcPr>
          <w:p>
            <w:pPr>
              <w:pStyle w:val="28"/>
            </w:pPr>
            <w:r>
              <w:t>≥5%</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生态效益指标</w:t>
            </w:r>
          </w:p>
        </w:tc>
        <w:tc>
          <w:tcPr>
            <w:tcW w:w="2835" w:type="dxa"/>
            <w:vAlign w:val="center"/>
          </w:tcPr>
          <w:p>
            <w:pPr>
              <w:pStyle w:val="28"/>
            </w:pPr>
            <w:r>
              <w:t>大气环境质量改善</w:t>
            </w:r>
          </w:p>
        </w:tc>
        <w:tc>
          <w:tcPr>
            <w:tcW w:w="2835" w:type="dxa"/>
            <w:vAlign w:val="center"/>
          </w:tcPr>
          <w:p>
            <w:pPr>
              <w:pStyle w:val="28"/>
            </w:pPr>
            <w:r>
              <w:t>大气环境质量改善提升</w:t>
            </w:r>
          </w:p>
        </w:tc>
        <w:tc>
          <w:tcPr>
            <w:tcW w:w="2551" w:type="dxa"/>
            <w:vAlign w:val="center"/>
          </w:tcPr>
          <w:p>
            <w:pPr>
              <w:pStyle w:val="28"/>
            </w:pPr>
            <w:r>
              <w:t>≥10%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公众满意度（%）</w:t>
            </w:r>
          </w:p>
        </w:tc>
        <w:tc>
          <w:tcPr>
            <w:tcW w:w="2835" w:type="dxa"/>
            <w:vAlign w:val="center"/>
          </w:tcPr>
          <w:p>
            <w:pPr>
              <w:pStyle w:val="28"/>
            </w:pPr>
            <w:r>
              <w:t>调查中满意和较满意的公众人数占全部调查人数的比率</w:t>
            </w:r>
          </w:p>
        </w:tc>
        <w:tc>
          <w:tcPr>
            <w:tcW w:w="2551" w:type="dxa"/>
            <w:vAlign w:val="center"/>
          </w:tcPr>
          <w:p>
            <w:pPr>
              <w:pStyle w:val="28"/>
            </w:pPr>
            <w:r>
              <w:t>≥90%</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21、矽肺病人员生活困难补助绩效目标表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1.通过对矽肺病人发放生活补助，保障病人基本生活。</w:t>
            </w:r>
          </w:p>
          <w:p>
            <w:pPr>
              <w:pStyle w:val="28"/>
            </w:pPr>
            <w:r>
              <w:t>2.通过稳控不稳定群体，确保基层社会稳定。</w:t>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补助人数</w:t>
            </w:r>
          </w:p>
        </w:tc>
        <w:tc>
          <w:tcPr>
            <w:tcW w:w="2835" w:type="dxa"/>
            <w:vAlign w:val="center"/>
          </w:tcPr>
          <w:p>
            <w:pPr>
              <w:pStyle w:val="28"/>
            </w:pPr>
            <w:r>
              <w:t>已认定伤残等级待遇矽肺病人数</w:t>
            </w:r>
          </w:p>
        </w:tc>
        <w:tc>
          <w:tcPr>
            <w:tcW w:w="2551" w:type="dxa"/>
            <w:vAlign w:val="center"/>
          </w:tcPr>
          <w:p>
            <w:pPr>
              <w:pStyle w:val="28"/>
            </w:pPr>
            <w:r>
              <w:t>5人</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补助金额</w:t>
            </w:r>
          </w:p>
        </w:tc>
        <w:tc>
          <w:tcPr>
            <w:tcW w:w="2835" w:type="dxa"/>
            <w:vAlign w:val="center"/>
          </w:tcPr>
          <w:p>
            <w:pPr>
              <w:pStyle w:val="28"/>
            </w:pPr>
            <w:r>
              <w:t>享受生活补助的金额</w:t>
            </w:r>
          </w:p>
        </w:tc>
        <w:tc>
          <w:tcPr>
            <w:tcW w:w="2551" w:type="dxa"/>
            <w:vAlign w:val="center"/>
          </w:tcPr>
          <w:p>
            <w:pPr>
              <w:pStyle w:val="28"/>
            </w:pPr>
            <w:r>
              <w:t>360元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资金发放到位率（%）</w:t>
            </w:r>
          </w:p>
        </w:tc>
        <w:tc>
          <w:tcPr>
            <w:tcW w:w="2835" w:type="dxa"/>
            <w:vAlign w:val="center"/>
          </w:tcPr>
          <w:p>
            <w:pPr>
              <w:pStyle w:val="28"/>
            </w:pPr>
            <w:r>
              <w:t>资金待遇按时足额发放人数占应发放人数的比率</w:t>
            </w:r>
          </w:p>
        </w:tc>
        <w:tc>
          <w:tcPr>
            <w:tcW w:w="2551" w:type="dxa"/>
            <w:vAlign w:val="center"/>
          </w:tcPr>
          <w:p>
            <w:pPr>
              <w:pStyle w:val="28"/>
            </w:pPr>
            <w:r>
              <w:t>100%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认定准确率</w:t>
            </w:r>
          </w:p>
        </w:tc>
        <w:tc>
          <w:tcPr>
            <w:tcW w:w="2835" w:type="dxa"/>
            <w:vAlign w:val="center"/>
          </w:tcPr>
          <w:p>
            <w:pPr>
              <w:pStyle w:val="28"/>
            </w:pPr>
            <w:r>
              <w:t>认定伤残待遇矽肺病人员准确率</w:t>
            </w:r>
          </w:p>
        </w:tc>
        <w:tc>
          <w:tcPr>
            <w:tcW w:w="2551" w:type="dxa"/>
            <w:vAlign w:val="center"/>
          </w:tcPr>
          <w:p>
            <w:pPr>
              <w:pStyle w:val="28"/>
            </w:pPr>
            <w:r>
              <w:t>100%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发放标准准确率</w:t>
            </w:r>
          </w:p>
        </w:tc>
        <w:tc>
          <w:tcPr>
            <w:tcW w:w="2835" w:type="dxa"/>
            <w:vAlign w:val="center"/>
          </w:tcPr>
          <w:p>
            <w:pPr>
              <w:pStyle w:val="28"/>
            </w:pPr>
            <w:r>
              <w:t>按照相关文件标准发放标准准确率</w:t>
            </w:r>
          </w:p>
        </w:tc>
        <w:tc>
          <w:tcPr>
            <w:tcW w:w="2551" w:type="dxa"/>
            <w:vAlign w:val="center"/>
          </w:tcPr>
          <w:p>
            <w:pPr>
              <w:pStyle w:val="28"/>
            </w:pPr>
            <w:r>
              <w:t>100%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资金发放及时性</w:t>
            </w:r>
          </w:p>
        </w:tc>
        <w:tc>
          <w:tcPr>
            <w:tcW w:w="2835" w:type="dxa"/>
            <w:vAlign w:val="center"/>
          </w:tcPr>
          <w:p>
            <w:pPr>
              <w:pStyle w:val="28"/>
            </w:pPr>
            <w:r>
              <w:t>收到专项资金后拨付到救助对象手中的时效</w:t>
            </w:r>
          </w:p>
        </w:tc>
        <w:tc>
          <w:tcPr>
            <w:tcW w:w="2551" w:type="dxa"/>
            <w:vAlign w:val="center"/>
          </w:tcPr>
          <w:p>
            <w:pPr>
              <w:pStyle w:val="28"/>
            </w:pPr>
            <w:r>
              <w:t>≤30天</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每人每年发放标准</w:t>
            </w:r>
          </w:p>
        </w:tc>
        <w:tc>
          <w:tcPr>
            <w:tcW w:w="2835" w:type="dxa"/>
            <w:vAlign w:val="center"/>
          </w:tcPr>
          <w:p>
            <w:pPr>
              <w:pStyle w:val="28"/>
            </w:pPr>
            <w:r>
              <w:t>支付已认定伤残等级待遇矽肺病的生活补助</w:t>
            </w:r>
          </w:p>
        </w:tc>
        <w:tc>
          <w:tcPr>
            <w:tcW w:w="2551" w:type="dxa"/>
            <w:vAlign w:val="center"/>
          </w:tcPr>
          <w:p>
            <w:pPr>
              <w:pStyle w:val="28"/>
            </w:pPr>
            <w:r>
              <w:t>≤0.43万元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提升生活质量提升，维护社会稳定</w:t>
            </w:r>
          </w:p>
        </w:tc>
        <w:tc>
          <w:tcPr>
            <w:tcW w:w="2835" w:type="dxa"/>
            <w:vAlign w:val="center"/>
          </w:tcPr>
          <w:p>
            <w:pPr>
              <w:pStyle w:val="28"/>
            </w:pPr>
            <w:r>
              <w:t>保障、提升矽肺病人家庭生活水平，维护社会稳定</w:t>
            </w:r>
          </w:p>
        </w:tc>
        <w:tc>
          <w:tcPr>
            <w:tcW w:w="2551" w:type="dxa"/>
            <w:vAlign w:val="center"/>
          </w:tcPr>
          <w:p>
            <w:pPr>
              <w:pStyle w:val="28"/>
            </w:pPr>
            <w:r>
              <w:t>≥5人</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救助对象满意度（%）</w:t>
            </w:r>
          </w:p>
        </w:tc>
        <w:tc>
          <w:tcPr>
            <w:tcW w:w="2835" w:type="dxa"/>
            <w:vAlign w:val="center"/>
          </w:tcPr>
          <w:p>
            <w:pPr>
              <w:pStyle w:val="28"/>
            </w:pPr>
            <w:r>
              <w:t>问卷调查中，满意和较满意的救助对象数量占调研对象总数的比率</w:t>
            </w:r>
          </w:p>
        </w:tc>
        <w:tc>
          <w:tcPr>
            <w:tcW w:w="2551" w:type="dxa"/>
            <w:vAlign w:val="center"/>
          </w:tcPr>
          <w:p>
            <w:pPr>
              <w:pStyle w:val="28"/>
            </w:pPr>
            <w:r>
              <w:t>≥90%</w:t>
            </w:r>
          </w:p>
        </w:tc>
        <w:tc>
          <w:tcPr>
            <w:tcW w:w="2268" w:type="dxa"/>
            <w:vAlign w:val="center"/>
          </w:tcPr>
          <w:p>
            <w:pPr>
              <w:pStyle w:val="28"/>
            </w:pPr>
            <w:r>
              <w:t>年初计划</w:t>
            </w:r>
          </w:p>
        </w:tc>
      </w:tr>
    </w:tbl>
    <w:p>
      <w:pPr>
        <w:pStyle w:val="26"/>
      </w:pPr>
    </w:p>
    <w:p>
      <w:pPr>
        <w:pStyle w:val="26"/>
        <w:ind w:firstLine="560"/>
      </w:pPr>
      <w:r>
        <w:rPr>
          <w:rFonts w:ascii="方正仿宋_GBK" w:hAnsi="方正仿宋_GBK" w:eastAsia="方正仿宋_GBK" w:cs="方正仿宋_GBK"/>
          <w:b/>
          <w:color w:val="000000"/>
          <w:sz w:val="28"/>
        </w:rPr>
        <w:t>22、严重精神障碍患者监护人责任险绩效目标表</w:t>
      </w:r>
    </w:p>
    <w:tbl>
      <w:tblPr>
        <w:tblStyle w:val="5"/>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1.通过为严重精神障碍患者监护人办理相关保险业，预防严重精神障碍患者伤及人身、损坏财物事件发生。</w:t>
            </w:r>
            <w:r>
              <w:tab/>
            </w:r>
          </w:p>
          <w:p>
            <w:pPr>
              <w:pStyle w:val="28"/>
            </w:pPr>
            <w:r>
              <w:t>2."通过以政府出资投保的方式，减少监护人损失、增强监护人、当事人社会保障，从而化解事后风险。</w:t>
            </w:r>
            <w:r>
              <w:tab/>
            </w:r>
            <w:r>
              <w:t>"</w:t>
            </w:r>
            <w:r>
              <w:tab/>
            </w:r>
            <w:r>
              <w:tab/>
            </w:r>
          </w:p>
        </w:tc>
      </w:tr>
    </w:tbl>
    <w:p>
      <w:pPr>
        <w:pStyle w:val="26"/>
        <w:spacing w:line="2" w:lineRule="exact"/>
        <w:jc w:val="cente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享受保险人数(人)</w:t>
            </w:r>
          </w:p>
        </w:tc>
        <w:tc>
          <w:tcPr>
            <w:tcW w:w="2835" w:type="dxa"/>
            <w:vAlign w:val="center"/>
          </w:tcPr>
          <w:p>
            <w:pPr>
              <w:pStyle w:val="28"/>
            </w:pPr>
            <w:r>
              <w:t>享受严重精神障碍患者监护人责任险的人数</w:t>
            </w:r>
          </w:p>
        </w:tc>
        <w:tc>
          <w:tcPr>
            <w:tcW w:w="2551" w:type="dxa"/>
            <w:vAlign w:val="center"/>
          </w:tcPr>
          <w:p>
            <w:pPr>
              <w:pStyle w:val="28"/>
            </w:pPr>
            <w:r>
              <w:t>119人</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严重精神障碍患者</w:t>
            </w:r>
          </w:p>
        </w:tc>
        <w:tc>
          <w:tcPr>
            <w:tcW w:w="2835" w:type="dxa"/>
            <w:vAlign w:val="center"/>
          </w:tcPr>
          <w:p>
            <w:pPr>
              <w:pStyle w:val="28"/>
            </w:pPr>
            <w:r>
              <w:t>反映严重精神障碍患者人数</w:t>
            </w:r>
          </w:p>
        </w:tc>
        <w:tc>
          <w:tcPr>
            <w:tcW w:w="2551" w:type="dxa"/>
            <w:vAlign w:val="center"/>
          </w:tcPr>
          <w:p>
            <w:pPr>
              <w:pStyle w:val="28"/>
            </w:pPr>
            <w:r>
              <w:t>≥119人</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参保率</w:t>
            </w:r>
          </w:p>
        </w:tc>
        <w:tc>
          <w:tcPr>
            <w:tcW w:w="2835" w:type="dxa"/>
            <w:vAlign w:val="center"/>
          </w:tcPr>
          <w:p>
            <w:pPr>
              <w:pStyle w:val="28"/>
            </w:pPr>
            <w:r>
              <w:t>已参保人数占应参保人数的比率</w:t>
            </w:r>
          </w:p>
        </w:tc>
        <w:tc>
          <w:tcPr>
            <w:tcW w:w="2551" w:type="dxa"/>
            <w:vAlign w:val="center"/>
          </w:tcPr>
          <w:p>
            <w:pPr>
              <w:pStyle w:val="28"/>
            </w:pPr>
            <w:r>
              <w:t>100%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审核准确率</w:t>
            </w:r>
          </w:p>
        </w:tc>
        <w:tc>
          <w:tcPr>
            <w:tcW w:w="2835" w:type="dxa"/>
            <w:vAlign w:val="center"/>
          </w:tcPr>
          <w:p>
            <w:pPr>
              <w:pStyle w:val="28"/>
            </w:pPr>
            <w:r>
              <w:t>责任险报销事项审核准确率</w:t>
            </w:r>
          </w:p>
        </w:tc>
        <w:tc>
          <w:tcPr>
            <w:tcW w:w="2551" w:type="dxa"/>
            <w:vAlign w:val="center"/>
          </w:tcPr>
          <w:p>
            <w:pPr>
              <w:pStyle w:val="28"/>
            </w:pPr>
            <w:r>
              <w:t>100%</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办结率</w:t>
            </w:r>
          </w:p>
        </w:tc>
        <w:tc>
          <w:tcPr>
            <w:tcW w:w="2835" w:type="dxa"/>
            <w:vAlign w:val="center"/>
          </w:tcPr>
          <w:p>
            <w:pPr>
              <w:pStyle w:val="28"/>
            </w:pPr>
            <w:r>
              <w:t>责任险报销事项实际在规定时间内及时办结的件数占应在规定时间内及时办结的件数的比率</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缴纳保险及时率</w:t>
            </w:r>
          </w:p>
        </w:tc>
        <w:tc>
          <w:tcPr>
            <w:tcW w:w="2835" w:type="dxa"/>
            <w:vAlign w:val="center"/>
          </w:tcPr>
          <w:p>
            <w:pPr>
              <w:pStyle w:val="28"/>
            </w:pPr>
            <w:r>
              <w:t>反映及时足额缴纳保险时间</w:t>
            </w:r>
          </w:p>
        </w:tc>
        <w:tc>
          <w:tcPr>
            <w:tcW w:w="2551" w:type="dxa"/>
            <w:vAlign w:val="center"/>
          </w:tcPr>
          <w:p>
            <w:pPr>
              <w:pStyle w:val="28"/>
            </w:pPr>
            <w:r>
              <w:t>10月前</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补助标准</w:t>
            </w:r>
          </w:p>
        </w:tc>
        <w:tc>
          <w:tcPr>
            <w:tcW w:w="2835" w:type="dxa"/>
            <w:vAlign w:val="center"/>
          </w:tcPr>
          <w:p>
            <w:pPr>
              <w:pStyle w:val="28"/>
            </w:pPr>
            <w:r>
              <w:t>给予严重精神障碍患者监护人每人每年支付保险的费用</w:t>
            </w:r>
          </w:p>
        </w:tc>
        <w:tc>
          <w:tcPr>
            <w:tcW w:w="2551" w:type="dxa"/>
            <w:vAlign w:val="center"/>
          </w:tcPr>
          <w:p>
            <w:pPr>
              <w:pStyle w:val="28"/>
            </w:pPr>
            <w:r>
              <w:t>100元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提高监护人保障</w:t>
            </w:r>
          </w:p>
        </w:tc>
        <w:tc>
          <w:tcPr>
            <w:tcW w:w="2835" w:type="dxa"/>
            <w:vAlign w:val="center"/>
          </w:tcPr>
          <w:p>
            <w:pPr>
              <w:pStyle w:val="28"/>
            </w:pPr>
            <w:r>
              <w:t>减少监护人损失、增强监护人、当事人社会保障，从而化解事后风险</w:t>
            </w:r>
          </w:p>
        </w:tc>
        <w:tc>
          <w:tcPr>
            <w:tcW w:w="2551" w:type="dxa"/>
            <w:vAlign w:val="center"/>
          </w:tcPr>
          <w:p>
            <w:pPr>
              <w:pStyle w:val="28"/>
            </w:pPr>
            <w:r>
              <w:t>≥119人</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被保险人满意度（%）</w:t>
            </w:r>
          </w:p>
        </w:tc>
        <w:tc>
          <w:tcPr>
            <w:tcW w:w="2835" w:type="dxa"/>
            <w:vAlign w:val="center"/>
          </w:tcPr>
          <w:p>
            <w:pPr>
              <w:pStyle w:val="28"/>
            </w:pPr>
            <w:r>
              <w:t>被保险监护人对保险服务的满意程度</w:t>
            </w:r>
          </w:p>
        </w:tc>
        <w:tc>
          <w:tcPr>
            <w:tcW w:w="2551" w:type="dxa"/>
            <w:vAlign w:val="center"/>
          </w:tcPr>
          <w:p>
            <w:pPr>
              <w:pStyle w:val="28"/>
            </w:pPr>
            <w:r>
              <w:t>≥95%</w:t>
            </w:r>
          </w:p>
        </w:tc>
        <w:tc>
          <w:tcPr>
            <w:tcW w:w="2268" w:type="dxa"/>
            <w:vAlign w:val="center"/>
          </w:tcPr>
          <w:p>
            <w:pPr>
              <w:pStyle w:val="28"/>
            </w:pPr>
            <w:r>
              <w:t>问卷调查</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2022年，青龙满族自治县凉水河乡人民政府安排政府采购预算0.00万元。具体内容见下表。</w:t>
      </w:r>
    </w:p>
    <w:p>
      <w:pPr>
        <w:jc w:val="center"/>
      </w:pPr>
      <w:r>
        <w:rPr>
          <w:rFonts w:hint="eastAsia" w:ascii="方正小标宋_GBK" w:hAnsi="方正小标宋_GBK" w:eastAsia="宋体" w:cs="方正小标宋_GBK"/>
          <w:color w:val="000000"/>
          <w:sz w:val="36"/>
        </w:rPr>
        <w:t>单位</w:t>
      </w:r>
      <w:r>
        <w:rPr>
          <w:rFonts w:ascii="方正小标宋_GBK" w:hAnsi="方正小标宋_GBK" w:eastAsia="方正小标宋_GBK" w:cs="方正小标宋_GBK"/>
          <w:color w:val="000000"/>
          <w:sz w:val="36"/>
        </w:rPr>
        <w:t>政府采购预算</w:t>
      </w:r>
    </w:p>
    <w:tbl>
      <w:tblPr>
        <w:tblStyle w:val="5"/>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eastAsia="宋体"/>
              </w:rPr>
            </w:pPr>
            <w:r>
              <w:t>924青龙满族自治县凉水河乡人民政府</w:t>
            </w:r>
          </w:p>
        </w:tc>
        <w:tc>
          <w:tcPr>
            <w:tcW w:w="867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政府采购金额（当年单位预算安排资金）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青龙满族自治县凉水河乡人民政府上年末固定资产金额为</w:t>
      </w:r>
      <w:r>
        <w:rPr>
          <w:rFonts w:hint="eastAsia" w:eastAsia="方正仿宋_GBK"/>
          <w:color w:val="000000"/>
          <w:sz w:val="28"/>
        </w:rPr>
        <w:t>513.32</w:t>
      </w:r>
      <w:r>
        <w:rPr>
          <w:rFonts w:eastAsia="方正仿宋_GBK"/>
          <w:color w:val="000000"/>
          <w:sz w:val="28"/>
        </w:rPr>
        <w:t>万元（详见下表）。本年度拟购置固定资产总额为0.00万元</w:t>
      </w:r>
      <w:r>
        <w:rPr>
          <w:rFonts w:hint="eastAsia" w:eastAsia="方正仿宋_GBK"/>
          <w:color w:val="000000"/>
          <w:sz w:val="28"/>
        </w:rPr>
        <w:t>。</w:t>
      </w:r>
    </w:p>
    <w:p>
      <w:pPr>
        <w:jc w:val="center"/>
      </w:pPr>
      <w:r>
        <w:rPr>
          <w:rFonts w:ascii="方正小标宋_GBK" w:hAnsi="方正小标宋_GBK" w:eastAsia="方正小标宋_GBK" w:cs="方正小标宋_GBK"/>
          <w:color w:val="000000"/>
          <w:sz w:val="36"/>
        </w:rPr>
        <w:t>单位固定资产占用情况表</w:t>
      </w:r>
    </w:p>
    <w:tbl>
      <w:tblPr>
        <w:tblStyle w:val="5"/>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eastAsia="宋体"/>
              </w:rPr>
            </w:pPr>
            <w:r>
              <w:t>924青龙满族自治县凉水河乡人民政府</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eastAsia="宋体"/>
              </w:rPr>
            </w:pPr>
            <w:r>
              <w:rPr>
                <w:rFonts w:hint="eastAsia" w:ascii="宋体" w:hAnsi="宋体" w:eastAsia="宋体"/>
              </w:rPr>
              <w:t>513.32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w:t>
            </w:r>
            <w:r>
              <w:rPr>
                <w:rFonts w:hint="eastAsia" w:ascii="宋体" w:hAnsi="宋体" w:eastAsia="宋体"/>
              </w:rPr>
              <w:t>万元</w:t>
            </w:r>
            <w:r>
              <w:t>）</w:t>
            </w:r>
          </w:p>
        </w:tc>
        <w:tc>
          <w:tcPr>
            <w:tcW w:w="2835" w:type="dxa"/>
            <w:vAlign w:val="center"/>
          </w:tcPr>
          <w:p>
            <w:pPr>
              <w:pStyle w:val="15"/>
            </w:pPr>
          </w:p>
        </w:tc>
        <w:tc>
          <w:tcPr>
            <w:tcW w:w="2835" w:type="dxa"/>
            <w:vAlign w:val="center"/>
          </w:tcPr>
          <w:p>
            <w:pPr>
              <w:pStyle w:val="13"/>
            </w:pPr>
            <w:r>
              <w:rPr>
                <w:rFonts w:hint="eastAsia" w:ascii="宋体" w:hAnsi="宋体" w:eastAsia="宋体"/>
              </w:rPr>
              <w:t>434.44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w:t>
            </w:r>
            <w:r>
              <w:rPr>
                <w:rFonts w:hint="eastAsia" w:ascii="宋体" w:hAnsi="宋体" w:eastAsia="宋体"/>
              </w:rPr>
              <w:t>万元</w:t>
            </w:r>
            <w:r>
              <w:t>）</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rPr>
                <w:rFonts w:eastAsia="宋体"/>
              </w:rPr>
            </w:pPr>
            <w:r>
              <w:rPr>
                <w:rFonts w:hint="eastAsia" w:ascii="宋体" w:hAnsi="宋体" w:eastAsia="宋体"/>
              </w:rPr>
              <w:t>24.78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eastAsia="宋体"/>
              </w:rPr>
            </w:pPr>
            <w:r>
              <w:rPr>
                <w:rFonts w:hint="eastAsia" w:ascii="宋体" w:hAnsi="宋体" w:eastAsia="宋体"/>
              </w:rPr>
              <w:t>54.1</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rPr>
        <w:t>县级</w:t>
      </w:r>
      <w:r>
        <w:rPr>
          <w:rFonts w:eastAsia="方正仿宋_GBK"/>
          <w:color w:val="000000"/>
          <w:sz w:val="28"/>
        </w:rPr>
        <w:t>财政预算管理的“三公”经费，是指</w:t>
      </w:r>
      <w:r>
        <w:rPr>
          <w:rFonts w:hint="eastAsia" w:eastAsia="方正仿宋_GBK"/>
          <w:color w:val="000000"/>
          <w:sz w:val="28"/>
        </w:rPr>
        <w:t>县级</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宋体"/>
        </w:rPr>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宋体"/>
          <w:color w:val="000000"/>
          <w:sz w:val="28"/>
        </w:rPr>
        <w:t>单位</w:t>
      </w:r>
      <w:r>
        <w:rPr>
          <w:rFonts w:eastAsia="方正仿宋_GBK"/>
          <w:color w:val="000000"/>
          <w:sz w:val="28"/>
        </w:rPr>
        <w:t>无其他需要说明的事项。</w:t>
      </w:r>
    </w:p>
    <w:p>
      <w:pPr>
        <w:jc w:val="center"/>
      </w:pPr>
    </w:p>
    <w:p>
      <w:pPr>
        <w:jc w:val="center"/>
        <w:rPr>
          <w:rFonts w:eastAsia="宋体"/>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spaceForUL/>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DRjN2Y2NWE5MTY3ZTIxZTI1ZTUyZjA0M2JjZDg1NzkifQ=="/>
  </w:docVars>
  <w:rsids>
    <w:rsidRoot w:val="00A03D5E"/>
    <w:rsid w:val="00007FE0"/>
    <w:rsid w:val="00086DDF"/>
    <w:rsid w:val="000A69F8"/>
    <w:rsid w:val="00110AB2"/>
    <w:rsid w:val="001E6015"/>
    <w:rsid w:val="002248C5"/>
    <w:rsid w:val="00256666"/>
    <w:rsid w:val="002B1375"/>
    <w:rsid w:val="00305B16"/>
    <w:rsid w:val="003303E0"/>
    <w:rsid w:val="003347FD"/>
    <w:rsid w:val="00467DF3"/>
    <w:rsid w:val="0049533C"/>
    <w:rsid w:val="004F31A2"/>
    <w:rsid w:val="00526C4E"/>
    <w:rsid w:val="005E40B8"/>
    <w:rsid w:val="00671AA0"/>
    <w:rsid w:val="006F0235"/>
    <w:rsid w:val="007307F4"/>
    <w:rsid w:val="00794A09"/>
    <w:rsid w:val="007F0E27"/>
    <w:rsid w:val="007F3344"/>
    <w:rsid w:val="0081622E"/>
    <w:rsid w:val="00880049"/>
    <w:rsid w:val="008A2D4F"/>
    <w:rsid w:val="008D33E8"/>
    <w:rsid w:val="0092682F"/>
    <w:rsid w:val="00970AFD"/>
    <w:rsid w:val="009A1122"/>
    <w:rsid w:val="00A03D5E"/>
    <w:rsid w:val="00AE2BEB"/>
    <w:rsid w:val="00BB5D96"/>
    <w:rsid w:val="00C26A92"/>
    <w:rsid w:val="00C36D0F"/>
    <w:rsid w:val="00C7773A"/>
    <w:rsid w:val="00F0521D"/>
    <w:rsid w:val="00F276B6"/>
    <w:rsid w:val="00F86544"/>
    <w:rsid w:val="00FD6F9B"/>
    <w:rsid w:val="01F40F97"/>
    <w:rsid w:val="0C9E4489"/>
    <w:rsid w:val="10947BCD"/>
    <w:rsid w:val="11E051E0"/>
    <w:rsid w:val="17F90C5D"/>
    <w:rsid w:val="18361447"/>
    <w:rsid w:val="192D6E10"/>
    <w:rsid w:val="1B5C2885"/>
    <w:rsid w:val="1B925650"/>
    <w:rsid w:val="1E310314"/>
    <w:rsid w:val="1FD66EEE"/>
    <w:rsid w:val="20AA51EA"/>
    <w:rsid w:val="23CF16CE"/>
    <w:rsid w:val="2623000B"/>
    <w:rsid w:val="279E6812"/>
    <w:rsid w:val="2A816FBC"/>
    <w:rsid w:val="2D8F42CD"/>
    <w:rsid w:val="2EB931C8"/>
    <w:rsid w:val="30ED5380"/>
    <w:rsid w:val="31BB4781"/>
    <w:rsid w:val="32945307"/>
    <w:rsid w:val="374675C3"/>
    <w:rsid w:val="382A683D"/>
    <w:rsid w:val="390C2A26"/>
    <w:rsid w:val="390F7E89"/>
    <w:rsid w:val="399E1F94"/>
    <w:rsid w:val="39B20F40"/>
    <w:rsid w:val="3D540560"/>
    <w:rsid w:val="465D1525"/>
    <w:rsid w:val="47330D5C"/>
    <w:rsid w:val="4B0803D1"/>
    <w:rsid w:val="4D135D42"/>
    <w:rsid w:val="4FE912AB"/>
    <w:rsid w:val="533764A0"/>
    <w:rsid w:val="56666EE2"/>
    <w:rsid w:val="57486FD1"/>
    <w:rsid w:val="58801E3E"/>
    <w:rsid w:val="5ADE100C"/>
    <w:rsid w:val="5F13397F"/>
    <w:rsid w:val="60220911"/>
    <w:rsid w:val="60546516"/>
    <w:rsid w:val="607246D5"/>
    <w:rsid w:val="60DD4245"/>
    <w:rsid w:val="61056357"/>
    <w:rsid w:val="65802ADA"/>
    <w:rsid w:val="68517968"/>
    <w:rsid w:val="6A601048"/>
    <w:rsid w:val="6AC4299E"/>
    <w:rsid w:val="6B282560"/>
    <w:rsid w:val="6C980F9C"/>
    <w:rsid w:val="717363CA"/>
    <w:rsid w:val="76DC782A"/>
    <w:rsid w:val="78671595"/>
    <w:rsid w:val="7DE14F1D"/>
    <w:rsid w:val="7E7F39D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unhideWhenUsed/>
    <w:qFormat/>
    <w:uiPriority w:val="39"/>
    <w:pPr>
      <w:ind w:left="840" w:leftChars="400"/>
    </w:pPr>
  </w:style>
  <w:style w:type="paragraph" w:styleId="3">
    <w:name w:val="footer"/>
    <w:basedOn w:val="1"/>
    <w:link w:val="40"/>
    <w:unhideWhenUsed/>
    <w:qFormat/>
    <w:uiPriority w:val="99"/>
    <w:pPr>
      <w:tabs>
        <w:tab w:val="center" w:pos="4153"/>
        <w:tab w:val="right" w:pos="8306"/>
      </w:tabs>
      <w:snapToGrid w:val="0"/>
    </w:pPr>
    <w:rPr>
      <w:sz w:val="18"/>
      <w:szCs w:val="18"/>
    </w:rPr>
  </w:style>
  <w:style w:type="paragraph" w:styleId="4">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autoRedefine/>
    <w:unhideWhenUsed/>
    <w:qFormat/>
    <w:uiPriority w:val="99"/>
    <w:rPr>
      <w:color w:val="0000FF"/>
      <w:u w:val="single"/>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Normal_b94adca8-9c76-45ce-a9af-b880158666c0"/>
    <w:autoRedefine/>
    <w:qFormat/>
    <w:uiPriority w:val="0"/>
    <w:rPr>
      <w:rFonts w:ascii="Times New Roman" w:hAnsi="Times New Roman" w:eastAsia="Times New Roman" w:cs="Times New Roman"/>
      <w:sz w:val="24"/>
      <w:szCs w:val="24"/>
      <w:lang w:val="en-US" w:eastAsia="zh-CN" w:bidi="ar-SA"/>
    </w:rPr>
  </w:style>
  <w:style w:type="paragraph" w:customStyle="1" w:styleId="27">
    <w:name w:val="单元格样式1_edb316e9-5817-4308-ab0b-07f4ab81a318"/>
    <w:basedOn w:val="1"/>
    <w:autoRedefine/>
    <w:qFormat/>
    <w:uiPriority w:val="0"/>
    <w:pPr>
      <w:jc w:val="center"/>
    </w:pPr>
    <w:rPr>
      <w:rFonts w:ascii="方正书宋_GBK" w:hAnsi="方正书宋_GBK" w:eastAsia="方正书宋_GBK" w:cs="方正书宋_GBK"/>
      <w:b/>
      <w:sz w:val="21"/>
    </w:rPr>
  </w:style>
  <w:style w:type="paragraph" w:customStyle="1" w:styleId="28">
    <w:name w:val="单元格样式2_018bb60d-b1e6-4ca8-a532-cbc0961812a7"/>
    <w:basedOn w:val="1"/>
    <w:autoRedefine/>
    <w:qFormat/>
    <w:uiPriority w:val="0"/>
    <w:rPr>
      <w:rFonts w:ascii="方正书宋_GBK" w:hAnsi="方正书宋_GBK" w:eastAsia="方正书宋_GBK" w:cs="方正书宋_GBK"/>
      <w:sz w:val="21"/>
    </w:rPr>
  </w:style>
  <w:style w:type="paragraph" w:customStyle="1" w:styleId="29">
    <w:name w:val="单元格样式3_08bf2ed5-8bab-4f8a-878d-0586f6f42502"/>
    <w:basedOn w:val="1"/>
    <w:autoRedefine/>
    <w:qFormat/>
    <w:uiPriority w:val="0"/>
    <w:pPr>
      <w:jc w:val="center"/>
    </w:pPr>
    <w:rPr>
      <w:rFonts w:ascii="方正书宋_GBK" w:hAnsi="方正书宋_GBK" w:eastAsia="方正书宋_GBK" w:cs="方正书宋_GBK"/>
      <w:sz w:val="21"/>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5">
    <w:name w:val="TOC 2"/>
    <w:basedOn w:val="1"/>
    <w:qFormat/>
    <w:uiPriority w:val="0"/>
    <w:pPr>
      <w:ind w:left="240"/>
    </w:pPr>
  </w:style>
  <w:style w:type="paragraph" w:customStyle="1" w:styleId="36">
    <w:name w:val="TOC 3"/>
    <w:basedOn w:val="1"/>
    <w:qFormat/>
    <w:uiPriority w:val="0"/>
    <w:pPr>
      <w:ind w:left="480"/>
    </w:pPr>
  </w:style>
  <w:style w:type="paragraph" w:customStyle="1" w:styleId="37">
    <w:name w:val="TOC 4"/>
    <w:basedOn w:val="1"/>
    <w:qFormat/>
    <w:uiPriority w:val="0"/>
    <w:pPr>
      <w:ind w:left="720"/>
    </w:pPr>
  </w:style>
  <w:style w:type="paragraph" w:customStyle="1" w:styleId="38">
    <w:name w:val="TOC 1"/>
    <w:basedOn w:val="1"/>
    <w:qFormat/>
    <w:uiPriority w:val="0"/>
    <w:pPr>
      <w:spacing w:before="120"/>
      <w:ind w:firstLine="560"/>
    </w:pPr>
    <w:rPr>
      <w:rFonts w:eastAsia="方正仿宋_GBK"/>
      <w:color w:val="000000"/>
      <w:sz w:val="28"/>
    </w:rPr>
  </w:style>
  <w:style w:type="character" w:customStyle="1" w:styleId="39">
    <w:name w:val="页眉 Char"/>
    <w:basedOn w:val="7"/>
    <w:link w:val="4"/>
    <w:semiHidden/>
    <w:qFormat/>
    <w:uiPriority w:val="99"/>
    <w:rPr>
      <w:rFonts w:eastAsia="Times New Roman"/>
      <w:sz w:val="18"/>
      <w:szCs w:val="18"/>
    </w:rPr>
  </w:style>
  <w:style w:type="character" w:customStyle="1" w:styleId="40">
    <w:name w:val="页脚 Char"/>
    <w:basedOn w:val="7"/>
    <w:link w:val="3"/>
    <w:semiHidden/>
    <w:qFormat/>
    <w:uiPriority w:val="99"/>
    <w:rPr>
      <w:rFonts w:eastAsia="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58</Pages>
  <Words>4345</Words>
  <Characters>24773</Characters>
  <Lines>206</Lines>
  <Paragraphs>58</Paragraphs>
  <TotalTime>7</TotalTime>
  <ScaleCrop>false</ScaleCrop>
  <LinksUpToDate>false</LinksUpToDate>
  <CharactersWithSpaces>29060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2022-02-15T08:17:00Z</dcterms:created>
  <dc:creator>Administrator</dc:creator>
  <cp:lastModifiedBy>勇</cp:lastModifiedBy>
  <cp:lastPrinted>2022-02-15T07:47:00Z</cp:lastPrinted>
  <dcterms:modified xsi:type="dcterms:W3CDTF">2024-04-12T02:12:18Z</dcterms:modified>
  <dc:title>2022年部门预算信息公开目录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45DA9289EE1C46029662B3087674C9E8</vt:lpwstr>
  </property>
</Properties>
</file>